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9FF95" w14:textId="77777777" w:rsidR="00B60939" w:rsidRPr="0026039D" w:rsidRDefault="00880F21" w:rsidP="00A474F6">
      <w:pPr>
        <w:pStyle w:val="1-MainHeading"/>
      </w:pPr>
      <w:bookmarkStart w:id="0" w:name="_Toc30597562"/>
      <w:r w:rsidRPr="0026039D">
        <w:t>5.03</w:t>
      </w:r>
      <w:r w:rsidR="00163F66" w:rsidRPr="0026039D">
        <w:tab/>
      </w:r>
      <w:r w:rsidR="00FE525D" w:rsidRPr="0026039D">
        <w:t>ENTRECTINIB</w:t>
      </w:r>
      <w:r w:rsidR="00163F66" w:rsidRPr="0026039D">
        <w:t>,</w:t>
      </w:r>
      <w:r w:rsidR="00163F66" w:rsidRPr="0026039D">
        <w:br/>
      </w:r>
      <w:r w:rsidR="00A474F6" w:rsidRPr="0026039D">
        <w:t>Capsule 200 mg</w:t>
      </w:r>
      <w:r w:rsidR="00163F66" w:rsidRPr="0026039D">
        <w:t>,</w:t>
      </w:r>
      <w:r w:rsidR="00163F66" w:rsidRPr="0026039D">
        <w:br/>
      </w:r>
      <w:r w:rsidR="00FE525D" w:rsidRPr="0026039D">
        <w:t>Rozlytrek</w:t>
      </w:r>
      <w:r w:rsidR="00B60939" w:rsidRPr="0026039D">
        <w:rPr>
          <w:vertAlign w:val="superscript"/>
        </w:rPr>
        <w:t>®</w:t>
      </w:r>
      <w:r w:rsidR="004A6040" w:rsidRPr="0026039D">
        <w:t>,</w:t>
      </w:r>
      <w:r w:rsidR="004A6040" w:rsidRPr="0026039D">
        <w:br/>
      </w:r>
      <w:r w:rsidR="00FE525D" w:rsidRPr="0026039D">
        <w:t>Roche Products Pty Ltd</w:t>
      </w:r>
      <w:r w:rsidR="00B60939" w:rsidRPr="0026039D">
        <w:t>.</w:t>
      </w:r>
      <w:bookmarkEnd w:id="0"/>
    </w:p>
    <w:p w14:paraId="015EBD44" w14:textId="77777777" w:rsidR="00B10F52" w:rsidRPr="0026039D" w:rsidRDefault="00B10F52" w:rsidP="00B10F52">
      <w:pPr>
        <w:pStyle w:val="2-SectionHeading"/>
      </w:pPr>
      <w:bookmarkStart w:id="1" w:name="_Toc30597564"/>
      <w:bookmarkStart w:id="2" w:name="_Toc22897650"/>
      <w:r w:rsidRPr="0026039D">
        <w:t>Purpose of submission</w:t>
      </w:r>
      <w:bookmarkEnd w:id="1"/>
    </w:p>
    <w:p w14:paraId="2A8F8DC8" w14:textId="77777777" w:rsidR="00B10F52" w:rsidRPr="0026039D" w:rsidRDefault="00B10F52" w:rsidP="00F47E0B">
      <w:pPr>
        <w:pStyle w:val="ListParagraph"/>
        <w:numPr>
          <w:ilvl w:val="1"/>
          <w:numId w:val="1"/>
        </w:numPr>
        <w:spacing w:after="160"/>
        <w:rPr>
          <w:rFonts w:ascii="Calibri" w:hAnsi="Calibri"/>
          <w:szCs w:val="22"/>
          <w:lang w:eastAsia="en-US"/>
        </w:rPr>
      </w:pPr>
      <w:r w:rsidRPr="0026039D">
        <w:rPr>
          <w:rFonts w:ascii="Calibri" w:hAnsi="Calibri"/>
          <w:szCs w:val="22"/>
          <w:lang w:eastAsia="en-US"/>
        </w:rPr>
        <w:t xml:space="preserve">The submission requested </w:t>
      </w:r>
      <w:r w:rsidR="00DE6489" w:rsidRPr="0026039D">
        <w:rPr>
          <w:rFonts w:ascii="Calibri" w:hAnsi="Calibri"/>
          <w:szCs w:val="22"/>
          <w:lang w:eastAsia="en-US"/>
        </w:rPr>
        <w:t xml:space="preserve">an </w:t>
      </w:r>
      <w:r w:rsidRPr="0026039D">
        <w:rPr>
          <w:rFonts w:ascii="Calibri" w:hAnsi="Calibri"/>
          <w:szCs w:val="22"/>
          <w:lang w:eastAsia="en-US"/>
        </w:rPr>
        <w:t>Authority Required listing for entrectinib for the treatment of locally advanced (Stage IIIB) or metastatic (Stage IV) c-ros proto-oncogene 1 (ROS1)-positive non-squamous or not otherwise specified (NOS) non-small cell lung cancer (NSCLC). A streamlined co</w:t>
      </w:r>
      <w:r w:rsidR="009B3377" w:rsidRPr="0026039D">
        <w:rPr>
          <w:rFonts w:ascii="Calibri" w:hAnsi="Calibri"/>
          <w:szCs w:val="22"/>
          <w:lang w:eastAsia="en-US"/>
        </w:rPr>
        <w:t>-</w:t>
      </w:r>
      <w:r w:rsidRPr="0026039D">
        <w:rPr>
          <w:rFonts w:ascii="Calibri" w:hAnsi="Calibri"/>
          <w:szCs w:val="22"/>
          <w:lang w:eastAsia="en-US"/>
        </w:rPr>
        <w:t xml:space="preserve">dependent submission </w:t>
      </w:r>
      <w:r w:rsidR="002F2A01" w:rsidRPr="0026039D">
        <w:rPr>
          <w:rFonts w:ascii="Calibri" w:hAnsi="Calibri"/>
          <w:szCs w:val="22"/>
          <w:lang w:eastAsia="en-US"/>
        </w:rPr>
        <w:t>was</w:t>
      </w:r>
      <w:r w:rsidRPr="0026039D">
        <w:rPr>
          <w:rFonts w:ascii="Calibri" w:hAnsi="Calibri"/>
          <w:szCs w:val="22"/>
          <w:lang w:eastAsia="en-US"/>
        </w:rPr>
        <w:t xml:space="preserve"> lodged concurrently with the </w:t>
      </w:r>
      <w:r w:rsidR="00CC2398">
        <w:rPr>
          <w:rFonts w:ascii="Calibri" w:hAnsi="Calibri"/>
          <w:szCs w:val="22"/>
          <w:lang w:eastAsia="en-US"/>
        </w:rPr>
        <w:t>Medical Services Advisory Committee (</w:t>
      </w:r>
      <w:r w:rsidRPr="0026039D">
        <w:rPr>
          <w:rFonts w:ascii="Calibri" w:hAnsi="Calibri"/>
          <w:szCs w:val="22"/>
          <w:lang w:eastAsia="en-US"/>
        </w:rPr>
        <w:t>MSAC</w:t>
      </w:r>
      <w:r w:rsidR="00CC2398">
        <w:rPr>
          <w:rFonts w:ascii="Calibri" w:hAnsi="Calibri"/>
          <w:szCs w:val="22"/>
          <w:lang w:eastAsia="en-US"/>
        </w:rPr>
        <w:t>)</w:t>
      </w:r>
      <w:r w:rsidRPr="0026039D">
        <w:rPr>
          <w:rFonts w:ascii="Calibri" w:hAnsi="Calibri"/>
          <w:szCs w:val="22"/>
          <w:lang w:eastAsia="en-US"/>
        </w:rPr>
        <w:t xml:space="preserve"> for a minor amendment to Medicare Benefits Schedule (MBS) item 73344, to allow </w:t>
      </w:r>
      <w:r w:rsidR="002F2A01" w:rsidRPr="0026039D">
        <w:rPr>
          <w:rFonts w:ascii="Calibri" w:hAnsi="Calibri"/>
          <w:szCs w:val="22"/>
          <w:lang w:eastAsia="en-US"/>
        </w:rPr>
        <w:t>testing for</w:t>
      </w:r>
      <w:r w:rsidRPr="0026039D">
        <w:rPr>
          <w:rFonts w:ascii="Calibri" w:hAnsi="Calibri"/>
          <w:szCs w:val="22"/>
          <w:lang w:eastAsia="en-US"/>
        </w:rPr>
        <w:t xml:space="preserve"> ROS1 gene rearrangement for access to </w:t>
      </w:r>
      <w:r w:rsidR="00E53F1E" w:rsidRPr="0026039D">
        <w:rPr>
          <w:rFonts w:ascii="Calibri" w:hAnsi="Calibri"/>
          <w:szCs w:val="22"/>
          <w:lang w:eastAsia="en-US"/>
        </w:rPr>
        <w:t xml:space="preserve">either </w:t>
      </w:r>
      <w:r w:rsidRPr="0026039D">
        <w:rPr>
          <w:rFonts w:ascii="Calibri" w:hAnsi="Calibri"/>
          <w:szCs w:val="22"/>
          <w:lang w:eastAsia="en-US"/>
        </w:rPr>
        <w:t>crizotinib or entrectinib on the</w:t>
      </w:r>
      <w:r w:rsidR="00CC2398">
        <w:rPr>
          <w:rFonts w:ascii="Calibri" w:hAnsi="Calibri"/>
          <w:szCs w:val="22"/>
          <w:lang w:eastAsia="en-US"/>
        </w:rPr>
        <w:t xml:space="preserve"> Pharmaceutical Benefits Scheme</w:t>
      </w:r>
      <w:r w:rsidRPr="0026039D">
        <w:rPr>
          <w:rFonts w:ascii="Calibri" w:hAnsi="Calibri"/>
          <w:szCs w:val="22"/>
          <w:lang w:eastAsia="en-US"/>
        </w:rPr>
        <w:t xml:space="preserve"> </w:t>
      </w:r>
      <w:r w:rsidR="00CC2398">
        <w:rPr>
          <w:rFonts w:ascii="Calibri" w:hAnsi="Calibri"/>
          <w:szCs w:val="22"/>
          <w:lang w:eastAsia="en-US"/>
        </w:rPr>
        <w:t>(</w:t>
      </w:r>
      <w:r w:rsidRPr="0026039D">
        <w:rPr>
          <w:rFonts w:ascii="Calibri" w:hAnsi="Calibri"/>
          <w:szCs w:val="22"/>
          <w:lang w:eastAsia="en-US"/>
        </w:rPr>
        <w:t>PBS</w:t>
      </w:r>
      <w:r w:rsidR="00CC2398">
        <w:rPr>
          <w:rFonts w:ascii="Calibri" w:hAnsi="Calibri"/>
          <w:szCs w:val="22"/>
          <w:lang w:eastAsia="en-US"/>
        </w:rPr>
        <w:t>)</w:t>
      </w:r>
      <w:r w:rsidRPr="0026039D">
        <w:rPr>
          <w:rFonts w:ascii="Calibri" w:hAnsi="Calibri"/>
          <w:szCs w:val="22"/>
          <w:lang w:eastAsia="en-US"/>
        </w:rPr>
        <w:t>.</w:t>
      </w:r>
      <w:r w:rsidR="009B3377" w:rsidRPr="0026039D">
        <w:rPr>
          <w:rFonts w:ascii="Calibri" w:hAnsi="Calibri"/>
          <w:szCs w:val="22"/>
          <w:lang w:eastAsia="en-US"/>
        </w:rPr>
        <w:t xml:space="preserve"> The co-dependent submission will be considered by MSAC at its April 2020 meeting.</w:t>
      </w:r>
    </w:p>
    <w:p w14:paraId="603EEE59" w14:textId="77777777" w:rsidR="00B10F52" w:rsidRPr="0026039D" w:rsidRDefault="002F2A01" w:rsidP="00F47E0B">
      <w:pPr>
        <w:pStyle w:val="ListParagraph"/>
        <w:numPr>
          <w:ilvl w:val="1"/>
          <w:numId w:val="1"/>
        </w:numPr>
        <w:spacing w:after="160"/>
        <w:rPr>
          <w:rFonts w:ascii="Calibri" w:hAnsi="Calibri"/>
          <w:szCs w:val="22"/>
          <w:lang w:eastAsia="en-US"/>
        </w:rPr>
      </w:pPr>
      <w:r w:rsidRPr="0026039D">
        <w:rPr>
          <w:rFonts w:ascii="Calibri" w:hAnsi="Calibri"/>
          <w:szCs w:val="22"/>
          <w:lang w:eastAsia="en-US"/>
        </w:rPr>
        <w:t>A PBS l</w:t>
      </w:r>
      <w:r w:rsidR="00B10F52" w:rsidRPr="0026039D">
        <w:rPr>
          <w:rFonts w:ascii="Calibri" w:hAnsi="Calibri"/>
          <w:szCs w:val="22"/>
          <w:lang w:eastAsia="en-US"/>
        </w:rPr>
        <w:t xml:space="preserve">isting was requested on the basis of a cost-minimisation analysis </w:t>
      </w:r>
      <w:r w:rsidRPr="0026039D">
        <w:rPr>
          <w:rFonts w:ascii="Calibri" w:hAnsi="Calibri"/>
          <w:szCs w:val="22"/>
          <w:lang w:eastAsia="en-US"/>
        </w:rPr>
        <w:t xml:space="preserve">between entrectinib and </w:t>
      </w:r>
      <w:r w:rsidR="00B10F52" w:rsidRPr="0026039D">
        <w:rPr>
          <w:rFonts w:ascii="Calibri" w:hAnsi="Calibri"/>
          <w:szCs w:val="22"/>
          <w:lang w:eastAsia="en-US"/>
        </w:rPr>
        <w:t>crizotinib. The key components of the clinical issue addressed by the submission are summarised below.</w:t>
      </w:r>
    </w:p>
    <w:p w14:paraId="694AB69E" w14:textId="77777777" w:rsidR="00B10F52" w:rsidRPr="0026039D" w:rsidRDefault="00541619" w:rsidP="00A81549">
      <w:pPr>
        <w:pStyle w:val="TableHeading"/>
        <w:rPr>
          <w:rStyle w:val="CommentReference"/>
          <w:b/>
          <w:szCs w:val="24"/>
        </w:rPr>
      </w:pPr>
      <w:r w:rsidRPr="0026039D">
        <w:t xml:space="preserve">Table </w:t>
      </w:r>
      <w:r w:rsidR="00345BF4" w:rsidRPr="0026039D">
        <w:t>1</w:t>
      </w:r>
      <w:r w:rsidRPr="0026039D">
        <w:t xml:space="preserve">: </w:t>
      </w:r>
      <w:r w:rsidRPr="0026039D">
        <w:rPr>
          <w:rStyle w:val="CommentReference"/>
          <w:b/>
          <w:szCs w:val="24"/>
        </w:rPr>
        <w:t>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as stated in the submission)"/>
      </w:tblPr>
      <w:tblGrid>
        <w:gridCol w:w="1643"/>
        <w:gridCol w:w="7374"/>
      </w:tblGrid>
      <w:tr w:rsidR="00A72CDF" w:rsidRPr="0026039D" w14:paraId="07CAD3FE" w14:textId="77777777" w:rsidTr="00B41A01">
        <w:tc>
          <w:tcPr>
            <w:tcW w:w="911" w:type="pct"/>
            <w:vAlign w:val="center"/>
          </w:tcPr>
          <w:p w14:paraId="724CAB4E" w14:textId="77777777" w:rsidR="00A72CDF" w:rsidRPr="0026039D" w:rsidRDefault="00A72CDF" w:rsidP="00A81549">
            <w:pPr>
              <w:pStyle w:val="In-tableHeading"/>
              <w:rPr>
                <w:lang w:val="en-AU"/>
              </w:rPr>
            </w:pPr>
            <w:r w:rsidRPr="0026039D">
              <w:rPr>
                <w:lang w:val="en-AU"/>
              </w:rPr>
              <w:t>Component</w:t>
            </w:r>
          </w:p>
        </w:tc>
        <w:tc>
          <w:tcPr>
            <w:tcW w:w="4089" w:type="pct"/>
            <w:vAlign w:val="center"/>
          </w:tcPr>
          <w:p w14:paraId="0254BC5C" w14:textId="77777777" w:rsidR="00A72CDF" w:rsidRPr="0026039D" w:rsidRDefault="00A72CDF" w:rsidP="00A81549">
            <w:pPr>
              <w:pStyle w:val="In-tableHeading"/>
              <w:rPr>
                <w:lang w:val="en-AU"/>
              </w:rPr>
            </w:pPr>
            <w:r w:rsidRPr="0026039D">
              <w:rPr>
                <w:lang w:val="en-AU"/>
              </w:rPr>
              <w:t>Description</w:t>
            </w:r>
          </w:p>
        </w:tc>
      </w:tr>
      <w:tr w:rsidR="00A72CDF" w:rsidRPr="0026039D" w14:paraId="3339526A" w14:textId="77777777" w:rsidTr="00B41A01">
        <w:tc>
          <w:tcPr>
            <w:tcW w:w="911" w:type="pct"/>
            <w:vAlign w:val="center"/>
          </w:tcPr>
          <w:p w14:paraId="0B335E18" w14:textId="77777777" w:rsidR="00A72CDF" w:rsidRPr="0026039D" w:rsidRDefault="00A72CDF" w:rsidP="00A81549">
            <w:pPr>
              <w:pStyle w:val="TableText0"/>
            </w:pPr>
            <w:r w:rsidRPr="0026039D">
              <w:t>Population</w:t>
            </w:r>
          </w:p>
        </w:tc>
        <w:tc>
          <w:tcPr>
            <w:tcW w:w="4089" w:type="pct"/>
            <w:vAlign w:val="center"/>
          </w:tcPr>
          <w:p w14:paraId="4CAD6645" w14:textId="77777777" w:rsidR="00A72CDF" w:rsidRPr="0026039D" w:rsidRDefault="00A72CDF" w:rsidP="00A81549">
            <w:pPr>
              <w:pStyle w:val="TableText0"/>
            </w:pPr>
            <w:r w:rsidRPr="0026039D">
              <w:t xml:space="preserve">Patients with c-ros </w:t>
            </w:r>
            <w:r w:rsidR="0086718B" w:rsidRPr="0026039D">
              <w:t>proto-</w:t>
            </w:r>
            <w:r w:rsidRPr="0026039D">
              <w:t>oncogene 1 (ROS1) positive, locally advanced (Stage IIIB) or metastatic (Stage IV) NSCLC.</w:t>
            </w:r>
          </w:p>
        </w:tc>
      </w:tr>
      <w:tr w:rsidR="00A72CDF" w:rsidRPr="0026039D" w14:paraId="212F962A" w14:textId="77777777" w:rsidTr="00B41A01">
        <w:tc>
          <w:tcPr>
            <w:tcW w:w="911" w:type="pct"/>
            <w:vAlign w:val="center"/>
          </w:tcPr>
          <w:p w14:paraId="391B8E4A" w14:textId="77777777" w:rsidR="00A72CDF" w:rsidRPr="0026039D" w:rsidRDefault="00A72CDF" w:rsidP="00A81549">
            <w:pPr>
              <w:pStyle w:val="TableText0"/>
            </w:pPr>
            <w:r w:rsidRPr="0026039D">
              <w:t>Intervention</w:t>
            </w:r>
          </w:p>
        </w:tc>
        <w:tc>
          <w:tcPr>
            <w:tcW w:w="4089" w:type="pct"/>
            <w:vAlign w:val="center"/>
          </w:tcPr>
          <w:p w14:paraId="712E884B" w14:textId="77777777" w:rsidR="00A72CDF" w:rsidRPr="0026039D" w:rsidRDefault="00A72CDF" w:rsidP="00A81549">
            <w:pPr>
              <w:pStyle w:val="TableText0"/>
            </w:pPr>
            <w:r w:rsidRPr="0026039D">
              <w:t>Entrectinib 600 mg (three 200 mg capsules) daily until progression or unacceptable toxicity.</w:t>
            </w:r>
          </w:p>
        </w:tc>
      </w:tr>
      <w:tr w:rsidR="00A72CDF" w:rsidRPr="0026039D" w14:paraId="449CCF5F" w14:textId="77777777" w:rsidTr="00B41A01">
        <w:tc>
          <w:tcPr>
            <w:tcW w:w="911" w:type="pct"/>
            <w:vAlign w:val="center"/>
          </w:tcPr>
          <w:p w14:paraId="39A098E8" w14:textId="77777777" w:rsidR="00A72CDF" w:rsidRPr="0026039D" w:rsidRDefault="00A72CDF" w:rsidP="00A81549">
            <w:pPr>
              <w:pStyle w:val="TableText0"/>
            </w:pPr>
            <w:r w:rsidRPr="0026039D">
              <w:t>Comparator</w:t>
            </w:r>
          </w:p>
        </w:tc>
        <w:tc>
          <w:tcPr>
            <w:tcW w:w="4089" w:type="pct"/>
            <w:vAlign w:val="center"/>
          </w:tcPr>
          <w:p w14:paraId="6116D957" w14:textId="77777777" w:rsidR="00A72CDF" w:rsidRPr="0026039D" w:rsidRDefault="00A72CDF" w:rsidP="00A81549">
            <w:pPr>
              <w:pStyle w:val="TableText0"/>
            </w:pPr>
            <w:r w:rsidRPr="0026039D">
              <w:t xml:space="preserve">Crizotinib 250 mg (one 250 mg capsule) twice daily until progression or unacceptable toxicity. </w:t>
            </w:r>
          </w:p>
        </w:tc>
      </w:tr>
      <w:tr w:rsidR="00A72CDF" w:rsidRPr="0026039D" w14:paraId="539E67FD" w14:textId="77777777" w:rsidTr="00B41A01">
        <w:tc>
          <w:tcPr>
            <w:tcW w:w="911" w:type="pct"/>
            <w:vAlign w:val="center"/>
          </w:tcPr>
          <w:p w14:paraId="4ECC5783" w14:textId="77777777" w:rsidR="00A72CDF" w:rsidRPr="0026039D" w:rsidRDefault="00A72CDF" w:rsidP="00A81549">
            <w:pPr>
              <w:pStyle w:val="TableText0"/>
            </w:pPr>
            <w:r w:rsidRPr="0026039D">
              <w:t>Outcomes</w:t>
            </w:r>
          </w:p>
        </w:tc>
        <w:tc>
          <w:tcPr>
            <w:tcW w:w="4089" w:type="pct"/>
            <w:vAlign w:val="center"/>
          </w:tcPr>
          <w:p w14:paraId="10461AEE" w14:textId="77777777" w:rsidR="00A72CDF" w:rsidRPr="0026039D" w:rsidRDefault="00A72CDF" w:rsidP="00A81549">
            <w:pPr>
              <w:pStyle w:val="TableText0"/>
            </w:pPr>
            <w:r w:rsidRPr="0026039D">
              <w:t>Objective response rate (ORR), progression free survival (PFS), overall survival (OS),</w:t>
            </w:r>
          </w:p>
          <w:p w14:paraId="6C83C3DF" w14:textId="77777777" w:rsidR="00A72CDF" w:rsidRPr="0026039D" w:rsidRDefault="00A72CDF" w:rsidP="00A81549">
            <w:pPr>
              <w:pStyle w:val="TableText0"/>
            </w:pPr>
            <w:r w:rsidRPr="0026039D">
              <w:t>Quality of life (QoL) and treatment-related adverse events</w:t>
            </w:r>
          </w:p>
          <w:p w14:paraId="15FE30AF" w14:textId="77777777" w:rsidR="00A72CDF" w:rsidRPr="0026039D" w:rsidRDefault="00A72CDF" w:rsidP="00A81549">
            <w:pPr>
              <w:pStyle w:val="TableText0"/>
            </w:pPr>
            <w:r w:rsidRPr="0026039D">
              <w:t xml:space="preserve">CNS outcomes (including time to CNS nervous system progression, CNS objective response rate and CNS duration of response) have been presented for </w:t>
            </w:r>
            <w:r w:rsidR="002F2A01" w:rsidRPr="0026039D">
              <w:t xml:space="preserve">the </w:t>
            </w:r>
            <w:r w:rsidRPr="0026039D">
              <w:t xml:space="preserve">entrectinib studies. Limited CNS ORR outcomes have been reported in </w:t>
            </w:r>
            <w:r w:rsidR="00805C51">
              <w:t xml:space="preserve">the </w:t>
            </w:r>
            <w:r w:rsidRPr="0026039D">
              <w:t>crizotinib studies.</w:t>
            </w:r>
          </w:p>
        </w:tc>
      </w:tr>
      <w:tr w:rsidR="00A72CDF" w:rsidRPr="0026039D" w14:paraId="43EC3521" w14:textId="77777777" w:rsidTr="00B41A01">
        <w:tc>
          <w:tcPr>
            <w:tcW w:w="911" w:type="pct"/>
            <w:vAlign w:val="center"/>
          </w:tcPr>
          <w:p w14:paraId="7F083A82" w14:textId="77777777" w:rsidR="00A72CDF" w:rsidRPr="0026039D" w:rsidRDefault="00A72CDF" w:rsidP="00A81549">
            <w:pPr>
              <w:pStyle w:val="TableText0"/>
            </w:pPr>
            <w:r w:rsidRPr="0026039D">
              <w:t>Clinical claim</w:t>
            </w:r>
          </w:p>
        </w:tc>
        <w:tc>
          <w:tcPr>
            <w:tcW w:w="4089" w:type="pct"/>
            <w:vAlign w:val="center"/>
          </w:tcPr>
          <w:p w14:paraId="79B9991D" w14:textId="77777777" w:rsidR="00A72CDF" w:rsidRPr="0026039D" w:rsidRDefault="00A72CDF" w:rsidP="00A81549">
            <w:pPr>
              <w:pStyle w:val="TableText0"/>
            </w:pPr>
            <w:r w:rsidRPr="0026039D">
              <w:t xml:space="preserve">In patients with ROS1-positive, locally advanced or metastatic NSCLC, entrectinib is non-inferior to the main comparator crizotinib based on key systemic efficacy </w:t>
            </w:r>
            <w:r w:rsidR="00211450" w:rsidRPr="0026039D">
              <w:t xml:space="preserve">outcomes </w:t>
            </w:r>
            <w:r w:rsidRPr="0026039D">
              <w:t>(ORR, PFS and OS).</w:t>
            </w:r>
          </w:p>
          <w:p w14:paraId="6033F288" w14:textId="77777777" w:rsidR="00A72CDF" w:rsidRPr="0026039D" w:rsidRDefault="00A72CDF" w:rsidP="00A81549">
            <w:pPr>
              <w:pStyle w:val="TableText0"/>
            </w:pPr>
            <w:r w:rsidRPr="0026039D">
              <w:t>Entrectinib has demonstrated a non-inferior, but different safety profile relative to crizotinib</w:t>
            </w:r>
            <w:r w:rsidR="002F2A01" w:rsidRPr="0026039D">
              <w:t>.</w:t>
            </w:r>
          </w:p>
        </w:tc>
      </w:tr>
    </w:tbl>
    <w:p w14:paraId="57BF1824" w14:textId="77777777" w:rsidR="00B10F52" w:rsidRPr="0026039D" w:rsidRDefault="00B10F52" w:rsidP="00A81549">
      <w:pPr>
        <w:pStyle w:val="TableFigureFooter"/>
        <w:keepNext/>
      </w:pPr>
      <w:r w:rsidRPr="0026039D">
        <w:t>Source: Table 1.1, p16 of the submission.</w:t>
      </w:r>
    </w:p>
    <w:p w14:paraId="590DFF28" w14:textId="77777777" w:rsidR="00B10F52" w:rsidRPr="0026039D" w:rsidRDefault="00B10F52" w:rsidP="00A81549">
      <w:pPr>
        <w:pStyle w:val="TableFigureFooter"/>
        <w:keepNext/>
      </w:pPr>
      <w:r w:rsidRPr="0026039D">
        <w:t>CNS = central nervous system; NSCLC = non-small cell lung cancer.</w:t>
      </w:r>
    </w:p>
    <w:p w14:paraId="090298D2" w14:textId="77777777" w:rsidR="00B10F52" w:rsidRPr="0026039D" w:rsidRDefault="00B10F52" w:rsidP="00B10F52">
      <w:pPr>
        <w:pStyle w:val="2-SectionHeading"/>
      </w:pPr>
      <w:bookmarkStart w:id="3" w:name="_Toc30597565"/>
      <w:r w:rsidRPr="0026039D">
        <w:t>Background</w:t>
      </w:r>
      <w:bookmarkEnd w:id="3"/>
    </w:p>
    <w:p w14:paraId="43AD6A5C" w14:textId="77777777" w:rsidR="00B10F52" w:rsidRPr="0026039D" w:rsidRDefault="00B10F52" w:rsidP="00B10F52">
      <w:pPr>
        <w:pStyle w:val="4-SubsectionHeading"/>
      </w:pPr>
      <w:bookmarkStart w:id="4" w:name="_Toc22897638"/>
      <w:bookmarkStart w:id="5" w:name="_Toc30597566"/>
      <w:r w:rsidRPr="0026039D">
        <w:t>Registration status</w:t>
      </w:r>
      <w:bookmarkEnd w:id="4"/>
      <w:bookmarkEnd w:id="5"/>
    </w:p>
    <w:p w14:paraId="6ED61C7E" w14:textId="77777777" w:rsidR="005F4DD7" w:rsidRPr="001E3776" w:rsidRDefault="00CC2398" w:rsidP="001E3776">
      <w:pPr>
        <w:pStyle w:val="ListParagraph"/>
        <w:numPr>
          <w:ilvl w:val="1"/>
          <w:numId w:val="1"/>
        </w:numPr>
        <w:spacing w:after="160"/>
      </w:pPr>
      <w:r>
        <w:t>Therapeutic Goods Administration (</w:t>
      </w:r>
      <w:r w:rsidR="00400BC1" w:rsidRPr="001E3776">
        <w:t>TGA</w:t>
      </w:r>
      <w:r>
        <w:t>)</w:t>
      </w:r>
      <w:r w:rsidR="00400BC1" w:rsidRPr="001E3776">
        <w:t xml:space="preserve"> status at the time of PBAC consideration: </w:t>
      </w:r>
      <w:r w:rsidR="00B10F52" w:rsidRPr="001E3776">
        <w:t>The submission was</w:t>
      </w:r>
      <w:r w:rsidR="00400BC1" w:rsidRPr="001E3776">
        <w:t xml:space="preserve"> </w:t>
      </w:r>
      <w:r w:rsidR="00B10F52" w:rsidRPr="001E3776">
        <w:t xml:space="preserve">made under the TGA/PBAC Parallel Process. </w:t>
      </w:r>
      <w:r w:rsidR="003B15A6" w:rsidRPr="001E3776">
        <w:t>The requested TGA indication was for the treatment of patients with ROS1-positive, locally advanced or metastatic NSCLC.</w:t>
      </w:r>
      <w:r w:rsidR="004A313C" w:rsidRPr="001E3776">
        <w:t xml:space="preserve"> </w:t>
      </w:r>
      <w:r w:rsidR="0066573B" w:rsidRPr="001E3776">
        <w:t>The</w:t>
      </w:r>
      <w:r w:rsidR="00B418D3" w:rsidRPr="001E3776">
        <w:t xml:space="preserve"> TGA Clinical Evaluation Report (CER) </w:t>
      </w:r>
      <w:r w:rsidR="00614F1D" w:rsidRPr="001E3776">
        <w:t>was received on</w:t>
      </w:r>
      <w:r w:rsidR="00B418D3" w:rsidRPr="001E3776">
        <w:t xml:space="preserve"> 29 </w:t>
      </w:r>
      <w:r w:rsidR="00B418D3" w:rsidRPr="001E3776">
        <w:lastRenderedPageBreak/>
        <w:t>January 2020</w:t>
      </w:r>
      <w:r w:rsidR="002B101A" w:rsidRPr="001E3776">
        <w:t xml:space="preserve"> and t</w:t>
      </w:r>
      <w:r w:rsidR="00B10F52" w:rsidRPr="001E3776">
        <w:t xml:space="preserve">he TGA Delegate’s Overview was </w:t>
      </w:r>
      <w:r w:rsidR="00317331" w:rsidRPr="001E3776">
        <w:t>provided prior to the</w:t>
      </w:r>
      <w:r w:rsidR="00B10F52" w:rsidRPr="001E3776">
        <w:t xml:space="preserve"> March 2020</w:t>
      </w:r>
      <w:r w:rsidR="00317331" w:rsidRPr="001E3776">
        <w:t xml:space="preserve"> PBAC Meeting</w:t>
      </w:r>
      <w:r w:rsidR="00B10F52" w:rsidRPr="001E3776">
        <w:t>.</w:t>
      </w:r>
    </w:p>
    <w:p w14:paraId="270FFC25" w14:textId="77777777" w:rsidR="006735AF" w:rsidRPr="0026039D" w:rsidRDefault="006735AF" w:rsidP="006D5A4C">
      <w:pPr>
        <w:pStyle w:val="3-BodyText"/>
        <w:numPr>
          <w:ilvl w:val="0"/>
          <w:numId w:val="0"/>
        </w:numPr>
        <w:ind w:left="720"/>
        <w:rPr>
          <w:lang w:eastAsia="en-US"/>
        </w:rPr>
      </w:pPr>
      <w:r w:rsidRPr="0026039D">
        <w:rPr>
          <w:i/>
          <w:iCs/>
        </w:rPr>
        <w:t>For more detail on PBAC’s view, see section 7 PBAC outcome.</w:t>
      </w:r>
    </w:p>
    <w:p w14:paraId="2B48E059" w14:textId="77777777" w:rsidR="00B10F52" w:rsidRPr="0026039D" w:rsidRDefault="00B10F52" w:rsidP="00B10F52">
      <w:pPr>
        <w:pStyle w:val="2-SectionHeading"/>
      </w:pPr>
      <w:bookmarkStart w:id="6" w:name="_Toc30597567"/>
      <w:r w:rsidRPr="0026039D">
        <w:t>Requested listing</w:t>
      </w:r>
      <w:bookmarkEnd w:id="6"/>
    </w:p>
    <w:p w14:paraId="25D3860F" w14:textId="77777777" w:rsidR="00AB258A" w:rsidRPr="0026039D" w:rsidRDefault="007361A1" w:rsidP="000033EA">
      <w:pPr>
        <w:pStyle w:val="ListParagraph"/>
        <w:numPr>
          <w:ilvl w:val="1"/>
          <w:numId w:val="1"/>
        </w:numPr>
        <w:spacing w:after="160"/>
      </w:pPr>
      <w:r w:rsidRPr="0026039D">
        <w:t>The proposed r</w:t>
      </w:r>
      <w:r w:rsidR="00FD3B93">
        <w:t>estrictions are provided below.</w:t>
      </w:r>
    </w:p>
    <w:tbl>
      <w:tblPr>
        <w:tblW w:w="5000" w:type="pct"/>
        <w:tblCellMar>
          <w:left w:w="28" w:type="dxa"/>
          <w:right w:w="28" w:type="dxa"/>
        </w:tblCellMar>
        <w:tblLook w:val="0000" w:firstRow="0" w:lastRow="0" w:firstColumn="0" w:lastColumn="0" w:noHBand="0" w:noVBand="0"/>
      </w:tblPr>
      <w:tblGrid>
        <w:gridCol w:w="2022"/>
        <w:gridCol w:w="805"/>
        <w:gridCol w:w="715"/>
        <w:gridCol w:w="715"/>
        <w:gridCol w:w="2421"/>
        <w:gridCol w:w="1141"/>
        <w:gridCol w:w="1208"/>
      </w:tblGrid>
      <w:tr w:rsidR="00582662" w:rsidRPr="0026039D" w14:paraId="512F44EE" w14:textId="77777777" w:rsidTr="00B41A01">
        <w:trPr>
          <w:cantSplit/>
          <w:trHeight w:val="463"/>
        </w:trPr>
        <w:tc>
          <w:tcPr>
            <w:tcW w:w="1566" w:type="pct"/>
            <w:gridSpan w:val="2"/>
            <w:tcBorders>
              <w:top w:val="single" w:sz="4" w:space="0" w:color="auto"/>
              <w:bottom w:val="single" w:sz="4" w:space="0" w:color="auto"/>
            </w:tcBorders>
            <w:vAlign w:val="center"/>
          </w:tcPr>
          <w:p w14:paraId="3ECAAB1E" w14:textId="77777777" w:rsidR="00B10F52" w:rsidRPr="0026039D" w:rsidRDefault="00B10F52" w:rsidP="009D63F1">
            <w:pPr>
              <w:keepNext/>
              <w:jc w:val="left"/>
              <w:rPr>
                <w:rFonts w:ascii="Arial Narrow" w:hAnsi="Arial Narrow"/>
                <w:b/>
                <w:sz w:val="20"/>
              </w:rPr>
            </w:pPr>
            <w:r w:rsidRPr="0026039D">
              <w:rPr>
                <w:rFonts w:ascii="Arial Narrow" w:hAnsi="Arial Narrow"/>
                <w:b/>
                <w:sz w:val="20"/>
              </w:rPr>
              <w:t>Name, Restriction,</w:t>
            </w:r>
          </w:p>
          <w:p w14:paraId="0013642F" w14:textId="77777777" w:rsidR="00B10F52" w:rsidRPr="0026039D" w:rsidRDefault="00B10F52" w:rsidP="009D63F1">
            <w:pPr>
              <w:keepNext/>
              <w:jc w:val="left"/>
              <w:rPr>
                <w:rFonts w:ascii="Arial Narrow" w:hAnsi="Arial Narrow"/>
                <w:b/>
                <w:sz w:val="20"/>
              </w:rPr>
            </w:pPr>
            <w:r w:rsidRPr="0026039D">
              <w:rPr>
                <w:rFonts w:ascii="Arial Narrow" w:hAnsi="Arial Narrow"/>
                <w:b/>
                <w:sz w:val="20"/>
              </w:rPr>
              <w:t>Manner of administration and form</w:t>
            </w:r>
          </w:p>
        </w:tc>
        <w:tc>
          <w:tcPr>
            <w:tcW w:w="396" w:type="pct"/>
            <w:tcBorders>
              <w:top w:val="single" w:sz="4" w:space="0" w:color="auto"/>
              <w:bottom w:val="single" w:sz="4" w:space="0" w:color="auto"/>
            </w:tcBorders>
            <w:vAlign w:val="center"/>
          </w:tcPr>
          <w:p w14:paraId="02F72117" w14:textId="77777777" w:rsidR="00B10F52" w:rsidRPr="0026039D" w:rsidRDefault="00B10F52" w:rsidP="009D63F1">
            <w:pPr>
              <w:keepNext/>
              <w:jc w:val="center"/>
              <w:rPr>
                <w:rFonts w:ascii="Arial Narrow" w:hAnsi="Arial Narrow"/>
                <w:b/>
                <w:sz w:val="20"/>
              </w:rPr>
            </w:pPr>
            <w:r w:rsidRPr="0026039D">
              <w:rPr>
                <w:rFonts w:ascii="Arial Narrow" w:hAnsi="Arial Narrow"/>
                <w:b/>
                <w:sz w:val="20"/>
              </w:rPr>
              <w:t>Max.</w:t>
            </w:r>
          </w:p>
          <w:p w14:paraId="5DBD23CE" w14:textId="77777777" w:rsidR="00B10F52" w:rsidRPr="0026039D" w:rsidRDefault="00B10F52" w:rsidP="009D63F1">
            <w:pPr>
              <w:keepNext/>
              <w:jc w:val="center"/>
              <w:rPr>
                <w:rFonts w:ascii="Arial Narrow" w:hAnsi="Arial Narrow"/>
                <w:b/>
                <w:sz w:val="20"/>
              </w:rPr>
            </w:pPr>
            <w:r w:rsidRPr="0026039D">
              <w:rPr>
                <w:rFonts w:ascii="Arial Narrow" w:hAnsi="Arial Narrow"/>
                <w:b/>
                <w:sz w:val="20"/>
              </w:rPr>
              <w:t xml:space="preserve">Qty </w:t>
            </w:r>
          </w:p>
        </w:tc>
        <w:tc>
          <w:tcPr>
            <w:tcW w:w="396" w:type="pct"/>
            <w:tcBorders>
              <w:top w:val="single" w:sz="4" w:space="0" w:color="auto"/>
              <w:bottom w:val="single" w:sz="4" w:space="0" w:color="auto"/>
            </w:tcBorders>
            <w:vAlign w:val="center"/>
          </w:tcPr>
          <w:p w14:paraId="3C138307" w14:textId="77777777" w:rsidR="00B10F52" w:rsidRPr="0026039D" w:rsidRDefault="00B10F52" w:rsidP="009D63F1">
            <w:pPr>
              <w:keepNext/>
              <w:jc w:val="center"/>
              <w:rPr>
                <w:rFonts w:ascii="Arial Narrow" w:hAnsi="Arial Narrow"/>
                <w:b/>
                <w:sz w:val="20"/>
              </w:rPr>
            </w:pPr>
            <w:r w:rsidRPr="0026039D">
              <w:rPr>
                <w:rFonts w:ascii="Arial Narrow" w:hAnsi="Arial Narrow" w:cs="Times New Roman"/>
                <w:b/>
                <w:sz w:val="20"/>
              </w:rPr>
              <w:t>№</w:t>
            </w:r>
            <w:r w:rsidRPr="0026039D">
              <w:rPr>
                <w:rFonts w:ascii="Arial Narrow" w:hAnsi="Arial Narrow"/>
                <w:b/>
                <w:sz w:val="20"/>
              </w:rPr>
              <w:t>.of</w:t>
            </w:r>
          </w:p>
          <w:p w14:paraId="5396681A" w14:textId="77777777" w:rsidR="00B10F52" w:rsidRPr="0026039D" w:rsidRDefault="00B10F52" w:rsidP="009D63F1">
            <w:pPr>
              <w:keepNext/>
              <w:jc w:val="center"/>
              <w:rPr>
                <w:rFonts w:ascii="Arial Narrow" w:hAnsi="Arial Narrow"/>
                <w:b/>
                <w:sz w:val="20"/>
              </w:rPr>
            </w:pPr>
            <w:r w:rsidRPr="0026039D">
              <w:rPr>
                <w:rFonts w:ascii="Arial Narrow" w:hAnsi="Arial Narrow"/>
                <w:b/>
                <w:sz w:val="20"/>
              </w:rPr>
              <w:t>Rpts</w:t>
            </w:r>
          </w:p>
        </w:tc>
        <w:tc>
          <w:tcPr>
            <w:tcW w:w="1341" w:type="pct"/>
            <w:tcBorders>
              <w:top w:val="single" w:sz="4" w:space="0" w:color="auto"/>
              <w:bottom w:val="single" w:sz="4" w:space="0" w:color="auto"/>
            </w:tcBorders>
            <w:vAlign w:val="center"/>
          </w:tcPr>
          <w:p w14:paraId="4C248F00" w14:textId="77777777" w:rsidR="00B10F52" w:rsidRPr="0026039D" w:rsidRDefault="00B10F52" w:rsidP="009D63F1">
            <w:pPr>
              <w:keepNext/>
              <w:jc w:val="center"/>
              <w:rPr>
                <w:rFonts w:ascii="Arial Narrow" w:hAnsi="Arial Narrow"/>
                <w:b/>
                <w:sz w:val="20"/>
              </w:rPr>
            </w:pPr>
            <w:r w:rsidRPr="0026039D">
              <w:rPr>
                <w:rFonts w:ascii="Arial Narrow" w:hAnsi="Arial Narrow"/>
                <w:b/>
                <w:sz w:val="20"/>
              </w:rPr>
              <w:t xml:space="preserve">Dispensed Price for Max. Qty </w:t>
            </w:r>
          </w:p>
        </w:tc>
        <w:tc>
          <w:tcPr>
            <w:tcW w:w="1300" w:type="pct"/>
            <w:gridSpan w:val="2"/>
            <w:tcBorders>
              <w:top w:val="single" w:sz="4" w:space="0" w:color="auto"/>
              <w:bottom w:val="single" w:sz="4" w:space="0" w:color="auto"/>
            </w:tcBorders>
            <w:vAlign w:val="center"/>
          </w:tcPr>
          <w:p w14:paraId="318EDFDF" w14:textId="77777777" w:rsidR="00B10F52" w:rsidRPr="0026039D" w:rsidRDefault="00B10F52" w:rsidP="009D63F1">
            <w:pPr>
              <w:keepNext/>
              <w:jc w:val="center"/>
              <w:rPr>
                <w:rFonts w:ascii="Arial Narrow" w:hAnsi="Arial Narrow"/>
                <w:b/>
                <w:sz w:val="20"/>
              </w:rPr>
            </w:pPr>
            <w:r w:rsidRPr="0026039D">
              <w:rPr>
                <w:rFonts w:ascii="Arial Narrow" w:hAnsi="Arial Narrow"/>
                <w:b/>
                <w:sz w:val="20"/>
              </w:rPr>
              <w:t>Proprietary Name and Manufacturer</w:t>
            </w:r>
          </w:p>
        </w:tc>
      </w:tr>
      <w:tr w:rsidR="00EB6823" w:rsidRPr="0026039D" w14:paraId="723FB394" w14:textId="77777777" w:rsidTr="00B41A01">
        <w:trPr>
          <w:cantSplit/>
          <w:trHeight w:val="567"/>
        </w:trPr>
        <w:tc>
          <w:tcPr>
            <w:tcW w:w="1566" w:type="pct"/>
            <w:gridSpan w:val="2"/>
            <w:vAlign w:val="center"/>
          </w:tcPr>
          <w:p w14:paraId="1D742CEA" w14:textId="77777777" w:rsidR="00B10F52" w:rsidRPr="0026039D" w:rsidRDefault="00B10F52" w:rsidP="009D63F1">
            <w:pPr>
              <w:keepNext/>
              <w:jc w:val="left"/>
              <w:rPr>
                <w:rFonts w:ascii="Arial Narrow" w:hAnsi="Arial Narrow"/>
                <w:sz w:val="20"/>
              </w:rPr>
            </w:pPr>
            <w:r w:rsidRPr="0026039D">
              <w:rPr>
                <w:rFonts w:ascii="Arial Narrow" w:hAnsi="Arial Narrow"/>
                <w:smallCaps/>
                <w:sz w:val="20"/>
              </w:rPr>
              <w:t>ENTRECTINIB</w:t>
            </w:r>
          </w:p>
          <w:p w14:paraId="0CEBC74E" w14:textId="77777777" w:rsidR="00B10F52" w:rsidRPr="0026039D" w:rsidRDefault="00B10F52" w:rsidP="009D63F1">
            <w:pPr>
              <w:keepNext/>
              <w:jc w:val="left"/>
              <w:rPr>
                <w:rFonts w:ascii="Arial Narrow" w:hAnsi="Arial Narrow"/>
                <w:sz w:val="20"/>
              </w:rPr>
            </w:pPr>
            <w:r w:rsidRPr="0026039D">
              <w:rPr>
                <w:rFonts w:ascii="Arial Narrow" w:hAnsi="Arial Narrow"/>
                <w:sz w:val="20"/>
              </w:rPr>
              <w:t>200 mg capsule, 90</w:t>
            </w:r>
          </w:p>
        </w:tc>
        <w:tc>
          <w:tcPr>
            <w:tcW w:w="396" w:type="pct"/>
            <w:vAlign w:val="center"/>
          </w:tcPr>
          <w:p w14:paraId="4C49BAF3" w14:textId="77777777" w:rsidR="00B10F52" w:rsidRPr="0026039D" w:rsidRDefault="00B10F52" w:rsidP="009D63F1">
            <w:pPr>
              <w:keepNext/>
              <w:jc w:val="center"/>
              <w:rPr>
                <w:rFonts w:ascii="Arial Narrow" w:hAnsi="Arial Narrow"/>
                <w:sz w:val="20"/>
              </w:rPr>
            </w:pPr>
            <w:r w:rsidRPr="0026039D">
              <w:rPr>
                <w:rFonts w:ascii="Arial Narrow" w:hAnsi="Arial Narrow"/>
                <w:sz w:val="20"/>
              </w:rPr>
              <w:t>1</w:t>
            </w:r>
          </w:p>
        </w:tc>
        <w:tc>
          <w:tcPr>
            <w:tcW w:w="396" w:type="pct"/>
            <w:vAlign w:val="center"/>
          </w:tcPr>
          <w:p w14:paraId="4395DE49" w14:textId="77777777" w:rsidR="00B10F52" w:rsidRPr="0026039D" w:rsidRDefault="00B10F52" w:rsidP="009D63F1">
            <w:pPr>
              <w:keepNext/>
              <w:jc w:val="center"/>
              <w:rPr>
                <w:rFonts w:ascii="Arial Narrow" w:hAnsi="Arial Narrow"/>
                <w:sz w:val="20"/>
              </w:rPr>
            </w:pPr>
            <w:r w:rsidRPr="0026039D">
              <w:rPr>
                <w:rFonts w:ascii="Arial Narrow" w:hAnsi="Arial Narrow"/>
                <w:sz w:val="20"/>
              </w:rPr>
              <w:t>1</w:t>
            </w:r>
          </w:p>
        </w:tc>
        <w:tc>
          <w:tcPr>
            <w:tcW w:w="1341" w:type="pct"/>
            <w:vAlign w:val="center"/>
          </w:tcPr>
          <w:p w14:paraId="677D6079" w14:textId="77777777" w:rsidR="00B10F52" w:rsidRPr="0026039D" w:rsidRDefault="00B10F52" w:rsidP="009D63F1">
            <w:pPr>
              <w:keepNext/>
              <w:jc w:val="center"/>
              <w:rPr>
                <w:rFonts w:ascii="Arial Narrow" w:hAnsi="Arial Narrow"/>
                <w:sz w:val="20"/>
              </w:rPr>
            </w:pPr>
            <w:r w:rsidRPr="0026039D">
              <w:rPr>
                <w:rFonts w:ascii="Arial Narrow" w:hAnsi="Arial Narrow"/>
                <w:sz w:val="20"/>
              </w:rPr>
              <w:t>$7,280.42 published price</w:t>
            </w:r>
          </w:p>
          <w:p w14:paraId="4FEAE683" w14:textId="77777777" w:rsidR="00B10F52" w:rsidRPr="0026039D" w:rsidRDefault="00B10F52" w:rsidP="009D63F1">
            <w:pPr>
              <w:keepNext/>
              <w:jc w:val="center"/>
              <w:rPr>
                <w:rFonts w:ascii="Arial Narrow" w:hAnsi="Arial Narrow"/>
                <w:sz w:val="20"/>
              </w:rPr>
            </w:pPr>
            <w:r w:rsidRPr="0026039D">
              <w:rPr>
                <w:rFonts w:ascii="Arial Narrow" w:hAnsi="Arial Narrow"/>
                <w:sz w:val="20"/>
              </w:rPr>
              <w:t>$TBC</w:t>
            </w:r>
            <w:r w:rsidRPr="0026039D">
              <w:rPr>
                <w:rFonts w:ascii="Arial Narrow" w:hAnsi="Arial Narrow"/>
                <w:sz w:val="20"/>
                <w:vertAlign w:val="superscript"/>
              </w:rPr>
              <w:t>a</w:t>
            </w:r>
            <w:r w:rsidRPr="0026039D">
              <w:rPr>
                <w:rFonts w:ascii="Arial Narrow" w:hAnsi="Arial Narrow"/>
                <w:sz w:val="20"/>
              </w:rPr>
              <w:t xml:space="preserve"> effective price</w:t>
            </w:r>
          </w:p>
        </w:tc>
        <w:tc>
          <w:tcPr>
            <w:tcW w:w="632" w:type="pct"/>
            <w:vAlign w:val="center"/>
          </w:tcPr>
          <w:p w14:paraId="019A004B" w14:textId="77777777" w:rsidR="00B10F52" w:rsidRPr="0026039D" w:rsidRDefault="00B10F52" w:rsidP="009D63F1">
            <w:pPr>
              <w:keepNext/>
              <w:jc w:val="center"/>
              <w:rPr>
                <w:rFonts w:ascii="Arial Narrow" w:hAnsi="Arial Narrow"/>
                <w:sz w:val="20"/>
              </w:rPr>
            </w:pPr>
            <w:r w:rsidRPr="0026039D">
              <w:rPr>
                <w:rFonts w:ascii="Arial Narrow" w:hAnsi="Arial Narrow"/>
                <w:sz w:val="20"/>
              </w:rPr>
              <w:t>ROZLYTREK</w:t>
            </w:r>
          </w:p>
        </w:tc>
        <w:tc>
          <w:tcPr>
            <w:tcW w:w="668" w:type="pct"/>
            <w:vAlign w:val="center"/>
          </w:tcPr>
          <w:p w14:paraId="0C09E26A" w14:textId="77777777" w:rsidR="00B10F52" w:rsidRPr="0026039D" w:rsidRDefault="00B10F52" w:rsidP="009D63F1">
            <w:pPr>
              <w:keepNext/>
              <w:jc w:val="center"/>
              <w:rPr>
                <w:rFonts w:ascii="Arial Narrow" w:hAnsi="Arial Narrow"/>
                <w:sz w:val="20"/>
              </w:rPr>
            </w:pPr>
            <w:r w:rsidRPr="0026039D">
              <w:rPr>
                <w:rFonts w:ascii="Arial Narrow" w:hAnsi="Arial Narrow"/>
                <w:sz w:val="20"/>
              </w:rPr>
              <w:t>Roche Products Pty Ltd</w:t>
            </w:r>
          </w:p>
        </w:tc>
      </w:tr>
      <w:tr w:rsidR="00B10F52" w:rsidRPr="0026039D" w14:paraId="6D258368" w14:textId="77777777" w:rsidTr="00B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20" w:type="pct"/>
            <w:tcBorders>
              <w:top w:val="single" w:sz="4" w:space="0" w:color="auto"/>
              <w:left w:val="single" w:sz="4" w:space="0" w:color="auto"/>
              <w:bottom w:val="single" w:sz="4" w:space="0" w:color="auto"/>
              <w:right w:val="single" w:sz="4" w:space="0" w:color="auto"/>
            </w:tcBorders>
            <w:hideMark/>
          </w:tcPr>
          <w:p w14:paraId="10D92D84" w14:textId="77777777" w:rsidR="00B10F52" w:rsidRPr="0026039D" w:rsidRDefault="00B10F52" w:rsidP="009D63F1">
            <w:pPr>
              <w:pStyle w:val="Tabletext"/>
            </w:pPr>
            <w:r w:rsidRPr="0026039D">
              <w:t>Category/Program:</w:t>
            </w:r>
          </w:p>
        </w:tc>
        <w:tc>
          <w:tcPr>
            <w:tcW w:w="3880" w:type="pct"/>
            <w:gridSpan w:val="6"/>
            <w:tcBorders>
              <w:top w:val="single" w:sz="4" w:space="0" w:color="auto"/>
              <w:left w:val="single" w:sz="4" w:space="0" w:color="auto"/>
              <w:bottom w:val="single" w:sz="4" w:space="0" w:color="auto"/>
              <w:right w:val="single" w:sz="4" w:space="0" w:color="auto"/>
            </w:tcBorders>
          </w:tcPr>
          <w:p w14:paraId="76B3DCAB" w14:textId="77777777" w:rsidR="00B10F52" w:rsidRPr="0026039D" w:rsidRDefault="00B10F52" w:rsidP="009D63F1">
            <w:pPr>
              <w:pStyle w:val="Tabletext"/>
            </w:pPr>
            <w:r w:rsidRPr="0026039D">
              <w:t>General Schedule</w:t>
            </w:r>
          </w:p>
        </w:tc>
      </w:tr>
      <w:tr w:rsidR="00B10F52" w:rsidRPr="0026039D" w14:paraId="517C68F6" w14:textId="77777777" w:rsidTr="00B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20" w:type="pct"/>
            <w:tcBorders>
              <w:top w:val="single" w:sz="4" w:space="0" w:color="auto"/>
              <w:left w:val="single" w:sz="4" w:space="0" w:color="auto"/>
              <w:bottom w:val="single" w:sz="4" w:space="0" w:color="auto"/>
              <w:right w:val="single" w:sz="4" w:space="0" w:color="auto"/>
            </w:tcBorders>
            <w:hideMark/>
          </w:tcPr>
          <w:p w14:paraId="532F0D37" w14:textId="77777777" w:rsidR="00B10F52" w:rsidRPr="0026039D" w:rsidRDefault="00B10F52" w:rsidP="009D63F1">
            <w:pPr>
              <w:pStyle w:val="Tabletext"/>
            </w:pPr>
            <w:r w:rsidRPr="0026039D">
              <w:t>PBS indication:</w:t>
            </w:r>
          </w:p>
        </w:tc>
        <w:tc>
          <w:tcPr>
            <w:tcW w:w="3880" w:type="pct"/>
            <w:gridSpan w:val="6"/>
            <w:tcBorders>
              <w:top w:val="single" w:sz="4" w:space="0" w:color="auto"/>
              <w:left w:val="single" w:sz="4" w:space="0" w:color="auto"/>
              <w:bottom w:val="single" w:sz="4" w:space="0" w:color="auto"/>
              <w:right w:val="single" w:sz="4" w:space="0" w:color="auto"/>
            </w:tcBorders>
          </w:tcPr>
          <w:p w14:paraId="4F1AC821" w14:textId="77777777" w:rsidR="00B10F52" w:rsidRPr="0026039D" w:rsidRDefault="00B10F52" w:rsidP="009D63F1">
            <w:pPr>
              <w:pStyle w:val="Tabletext"/>
            </w:pPr>
            <w:r w:rsidRPr="0026039D">
              <w:t>Stage IIIB (locally advanced) or Stage IV (metastatic) NSCLC</w:t>
            </w:r>
          </w:p>
        </w:tc>
      </w:tr>
      <w:tr w:rsidR="00B10F52" w:rsidRPr="0026039D" w14:paraId="319BB157" w14:textId="77777777" w:rsidTr="00B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20" w:type="pct"/>
            <w:tcBorders>
              <w:top w:val="single" w:sz="4" w:space="0" w:color="auto"/>
              <w:left w:val="single" w:sz="4" w:space="0" w:color="auto"/>
              <w:bottom w:val="single" w:sz="4" w:space="0" w:color="auto"/>
              <w:right w:val="single" w:sz="4" w:space="0" w:color="auto"/>
            </w:tcBorders>
            <w:hideMark/>
          </w:tcPr>
          <w:p w14:paraId="2CD39071" w14:textId="77777777" w:rsidR="00B10F52" w:rsidRPr="0026039D" w:rsidRDefault="00B10F52" w:rsidP="009D63F1">
            <w:pPr>
              <w:pStyle w:val="Tabletext"/>
            </w:pPr>
            <w:r w:rsidRPr="0026039D">
              <w:t>Treatment phase:</w:t>
            </w:r>
          </w:p>
        </w:tc>
        <w:tc>
          <w:tcPr>
            <w:tcW w:w="3880" w:type="pct"/>
            <w:gridSpan w:val="6"/>
            <w:tcBorders>
              <w:top w:val="single" w:sz="4" w:space="0" w:color="auto"/>
              <w:left w:val="single" w:sz="4" w:space="0" w:color="auto"/>
              <w:bottom w:val="single" w:sz="4" w:space="0" w:color="auto"/>
              <w:right w:val="single" w:sz="4" w:space="0" w:color="auto"/>
            </w:tcBorders>
          </w:tcPr>
          <w:p w14:paraId="4B59082E" w14:textId="77777777" w:rsidR="00B10F52" w:rsidRPr="0026039D" w:rsidRDefault="00B10F52" w:rsidP="009D63F1">
            <w:pPr>
              <w:pStyle w:val="Tabletext"/>
            </w:pPr>
            <w:r w:rsidRPr="0026039D">
              <w:t>Initial treatment</w:t>
            </w:r>
          </w:p>
        </w:tc>
      </w:tr>
      <w:tr w:rsidR="00B10F52" w:rsidRPr="0026039D" w14:paraId="2579C18E" w14:textId="77777777" w:rsidTr="00B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20" w:type="pct"/>
            <w:tcBorders>
              <w:top w:val="single" w:sz="4" w:space="0" w:color="auto"/>
              <w:left w:val="single" w:sz="4" w:space="0" w:color="auto"/>
              <w:bottom w:val="single" w:sz="4" w:space="0" w:color="auto"/>
              <w:right w:val="single" w:sz="4" w:space="0" w:color="auto"/>
            </w:tcBorders>
            <w:hideMark/>
          </w:tcPr>
          <w:p w14:paraId="3CEF2E46" w14:textId="77777777" w:rsidR="00B10F52" w:rsidRPr="0026039D" w:rsidRDefault="00B10F52" w:rsidP="009D63F1">
            <w:pPr>
              <w:pStyle w:val="Tabletext"/>
            </w:pPr>
            <w:r w:rsidRPr="0026039D">
              <w:t>Restriction:</w:t>
            </w:r>
          </w:p>
        </w:tc>
        <w:tc>
          <w:tcPr>
            <w:tcW w:w="3880" w:type="pct"/>
            <w:gridSpan w:val="6"/>
            <w:tcBorders>
              <w:top w:val="single" w:sz="4" w:space="0" w:color="auto"/>
              <w:left w:val="single" w:sz="4" w:space="0" w:color="auto"/>
              <w:bottom w:val="single" w:sz="4" w:space="0" w:color="auto"/>
              <w:right w:val="single" w:sz="4" w:space="0" w:color="auto"/>
            </w:tcBorders>
          </w:tcPr>
          <w:p w14:paraId="3ECEFAD6" w14:textId="77777777" w:rsidR="00B10F52" w:rsidRPr="0026039D" w:rsidRDefault="00B10F52" w:rsidP="009D63F1">
            <w:pPr>
              <w:pStyle w:val="Tabletext"/>
            </w:pPr>
            <w:r w:rsidRPr="0026039D">
              <w:rPr>
                <w:bCs/>
              </w:rPr>
              <w:fldChar w:fldCharType="begin">
                <w:ffData>
                  <w:name w:val=""/>
                  <w:enabled/>
                  <w:calcOnExit w:val="0"/>
                  <w:checkBox>
                    <w:sizeAuto/>
                    <w:default w:val="1"/>
                  </w:checkBox>
                </w:ffData>
              </w:fldChar>
            </w:r>
            <w:r w:rsidRPr="0026039D">
              <w:rPr>
                <w:bCs/>
              </w:rPr>
              <w:instrText xml:space="preserve"> FORMCHECKBOX </w:instrText>
            </w:r>
            <w:r w:rsidR="00180107">
              <w:rPr>
                <w:bCs/>
              </w:rPr>
            </w:r>
            <w:r w:rsidR="00180107">
              <w:rPr>
                <w:bCs/>
              </w:rPr>
              <w:fldChar w:fldCharType="separate"/>
            </w:r>
            <w:r w:rsidRPr="0026039D">
              <w:fldChar w:fldCharType="end"/>
            </w:r>
            <w:r w:rsidRPr="0026039D">
              <w:rPr>
                <w:bCs/>
              </w:rPr>
              <w:t>Authority Required - In Writing</w:t>
            </w:r>
          </w:p>
        </w:tc>
      </w:tr>
      <w:tr w:rsidR="00B10F52" w:rsidRPr="0026039D" w14:paraId="6972AC4A" w14:textId="77777777" w:rsidTr="00B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20" w:type="pct"/>
            <w:tcBorders>
              <w:top w:val="single" w:sz="4" w:space="0" w:color="auto"/>
              <w:left w:val="single" w:sz="4" w:space="0" w:color="auto"/>
              <w:bottom w:val="single" w:sz="4" w:space="0" w:color="auto"/>
              <w:right w:val="single" w:sz="4" w:space="0" w:color="auto"/>
            </w:tcBorders>
            <w:hideMark/>
          </w:tcPr>
          <w:p w14:paraId="4B0327F2" w14:textId="77777777" w:rsidR="00B10F52" w:rsidRPr="0026039D" w:rsidRDefault="00B10F52" w:rsidP="009D63F1">
            <w:pPr>
              <w:pStyle w:val="Tabletext"/>
            </w:pPr>
            <w:r w:rsidRPr="0026039D">
              <w:t>Clinical criteria:</w:t>
            </w:r>
          </w:p>
        </w:tc>
        <w:tc>
          <w:tcPr>
            <w:tcW w:w="3880" w:type="pct"/>
            <w:gridSpan w:val="6"/>
            <w:tcBorders>
              <w:top w:val="single" w:sz="4" w:space="0" w:color="auto"/>
              <w:left w:val="single" w:sz="4" w:space="0" w:color="auto"/>
              <w:bottom w:val="single" w:sz="4" w:space="0" w:color="auto"/>
              <w:right w:val="single" w:sz="4" w:space="0" w:color="auto"/>
            </w:tcBorders>
          </w:tcPr>
          <w:p w14:paraId="53205411" w14:textId="77777777" w:rsidR="00B10F52" w:rsidRPr="0026039D" w:rsidRDefault="00B10F52" w:rsidP="00617BCC">
            <w:pPr>
              <w:pStyle w:val="Tabletext"/>
              <w:numPr>
                <w:ilvl w:val="0"/>
                <w:numId w:val="6"/>
              </w:numPr>
              <w:rPr>
                <w:bCs/>
              </w:rPr>
            </w:pPr>
            <w:r w:rsidRPr="0026039D">
              <w:rPr>
                <w:bCs/>
              </w:rPr>
              <w:t>The treatment must be as monotherapy,</w:t>
            </w:r>
            <w:r w:rsidRPr="0026039D">
              <w:rPr>
                <w:b/>
                <w:bCs/>
              </w:rPr>
              <w:t xml:space="preserve"> AND</w:t>
            </w:r>
          </w:p>
          <w:p w14:paraId="1A45F242" w14:textId="77777777" w:rsidR="00B10F52" w:rsidRPr="0026039D" w:rsidRDefault="00B10F52" w:rsidP="00617BCC">
            <w:pPr>
              <w:pStyle w:val="Tabletext"/>
              <w:numPr>
                <w:ilvl w:val="0"/>
                <w:numId w:val="6"/>
              </w:numPr>
              <w:rPr>
                <w:bCs/>
              </w:rPr>
            </w:pPr>
            <w:r w:rsidRPr="0026039D">
              <w:rPr>
                <w:bCs/>
              </w:rPr>
              <w:t xml:space="preserve">The condition must be non-squamous type non-small cell lung cancer (NSCLC) or not otherwise specified type NSCLC, </w:t>
            </w:r>
            <w:r w:rsidRPr="0026039D">
              <w:rPr>
                <w:b/>
                <w:bCs/>
              </w:rPr>
              <w:t>AND</w:t>
            </w:r>
          </w:p>
          <w:p w14:paraId="086B9EE7" w14:textId="77777777" w:rsidR="00B10F52" w:rsidRPr="0026039D" w:rsidRDefault="00B10F52" w:rsidP="00617BCC">
            <w:pPr>
              <w:pStyle w:val="Tabletext"/>
              <w:numPr>
                <w:ilvl w:val="0"/>
                <w:numId w:val="6"/>
              </w:numPr>
              <w:rPr>
                <w:bCs/>
              </w:rPr>
            </w:pPr>
            <w:r w:rsidRPr="0026039D">
              <w:rPr>
                <w:bCs/>
              </w:rPr>
              <w:t xml:space="preserve">Patient must have a WHO performance status of 2 or less, </w:t>
            </w:r>
            <w:r w:rsidRPr="0026039D">
              <w:rPr>
                <w:b/>
                <w:bCs/>
              </w:rPr>
              <w:t>AND</w:t>
            </w:r>
          </w:p>
          <w:p w14:paraId="23BBBDFD" w14:textId="77777777" w:rsidR="00B10F52" w:rsidRPr="0026039D" w:rsidRDefault="00B10F52" w:rsidP="00617BCC">
            <w:pPr>
              <w:pStyle w:val="Tabletext"/>
              <w:numPr>
                <w:ilvl w:val="0"/>
                <w:numId w:val="6"/>
              </w:numPr>
              <w:rPr>
                <w:bCs/>
              </w:rPr>
            </w:pPr>
            <w:r w:rsidRPr="0026039D">
              <w:rPr>
                <w:bCs/>
              </w:rPr>
              <w:t xml:space="preserve">Patient must have evidence of c-ROS proto-oncogene 1 (ROS1) gene rearrangement in tumour material, defined as 15% (or greater) positive cells by fluorescence in situ hybridisation (FISH) testing, </w:t>
            </w:r>
            <w:r w:rsidRPr="0026039D">
              <w:rPr>
                <w:b/>
                <w:bCs/>
              </w:rPr>
              <w:t>AND</w:t>
            </w:r>
          </w:p>
          <w:p w14:paraId="747463FB" w14:textId="77777777" w:rsidR="00B10F52" w:rsidRPr="0026039D" w:rsidRDefault="00B10F52" w:rsidP="00617BCC">
            <w:pPr>
              <w:pStyle w:val="Tabletext"/>
              <w:numPr>
                <w:ilvl w:val="0"/>
                <w:numId w:val="6"/>
              </w:numPr>
              <w:rPr>
                <w:bCs/>
              </w:rPr>
            </w:pPr>
            <w:r w:rsidRPr="0026039D">
              <w:rPr>
                <w:bCs/>
              </w:rPr>
              <w:t xml:space="preserve">Patient must not have received prior treatment with a c-ROS proto-oncogene 1 (ROS1) receptor tyrosine kinase inhibitor for this condition, </w:t>
            </w:r>
            <w:r w:rsidRPr="0026039D">
              <w:rPr>
                <w:b/>
                <w:bCs/>
              </w:rPr>
              <w:t>OR</w:t>
            </w:r>
          </w:p>
          <w:p w14:paraId="302C828E" w14:textId="77777777" w:rsidR="00B10F52" w:rsidRPr="0026039D" w:rsidRDefault="00B10F52" w:rsidP="00617BCC">
            <w:pPr>
              <w:pStyle w:val="Tabletext"/>
              <w:numPr>
                <w:ilvl w:val="0"/>
                <w:numId w:val="6"/>
              </w:numPr>
              <w:rPr>
                <w:bCs/>
              </w:rPr>
            </w:pPr>
            <w:r w:rsidRPr="0026039D">
              <w:rPr>
                <w:bCs/>
              </w:rPr>
              <w:t>Patient must have developed intolerance to a c-ROS proto-oncogene 1 (ROS1) receptor tyrosine kinase inhibitor necessitating permanent treatment withdrawal.</w:t>
            </w:r>
          </w:p>
          <w:p w14:paraId="36994A7E" w14:textId="77777777" w:rsidR="00B10F52" w:rsidRPr="0026039D" w:rsidRDefault="00B10F52" w:rsidP="009D63F1">
            <w:pPr>
              <w:pStyle w:val="Tabletext"/>
              <w:rPr>
                <w:bCs/>
              </w:rPr>
            </w:pPr>
          </w:p>
          <w:p w14:paraId="31CB9380" w14:textId="77777777" w:rsidR="00B10F52" w:rsidRPr="0026039D" w:rsidRDefault="00B10F52" w:rsidP="009D63F1">
            <w:pPr>
              <w:pStyle w:val="Tabletext"/>
              <w:rPr>
                <w:bCs/>
              </w:rPr>
            </w:pPr>
            <w:r w:rsidRPr="0026039D">
              <w:rPr>
                <w:bCs/>
              </w:rPr>
              <w:t>The authority application must be made in writing and must include:</w:t>
            </w:r>
          </w:p>
          <w:p w14:paraId="69E6532A" w14:textId="77777777" w:rsidR="00B10F52" w:rsidRPr="0026039D" w:rsidRDefault="00B10F52" w:rsidP="009D63F1">
            <w:pPr>
              <w:pStyle w:val="Tabletext"/>
              <w:rPr>
                <w:bCs/>
              </w:rPr>
            </w:pPr>
            <w:r w:rsidRPr="0026039D">
              <w:rPr>
                <w:bCs/>
              </w:rPr>
              <w:t>(1) a completed authority prescription form; and</w:t>
            </w:r>
          </w:p>
          <w:p w14:paraId="44115EE7" w14:textId="77777777" w:rsidR="00B10F52" w:rsidRPr="0026039D" w:rsidRDefault="00B10F52" w:rsidP="009D63F1">
            <w:pPr>
              <w:pStyle w:val="Tabletext"/>
            </w:pPr>
            <w:r w:rsidRPr="0026039D">
              <w:t>(2) a completed ROS1-Positive Non-Small-Cell Lung Cancer Authority Application - Supporting Information Form, which includes details of ROS1 gene rearrangement in tumour material.</w:t>
            </w:r>
          </w:p>
        </w:tc>
      </w:tr>
      <w:tr w:rsidR="00B10F52" w:rsidRPr="0026039D" w14:paraId="0F64A7CE" w14:textId="77777777" w:rsidTr="00B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20" w:type="pct"/>
            <w:tcBorders>
              <w:top w:val="single" w:sz="4" w:space="0" w:color="auto"/>
              <w:left w:val="single" w:sz="4" w:space="0" w:color="auto"/>
              <w:bottom w:val="single" w:sz="4" w:space="0" w:color="auto"/>
              <w:right w:val="single" w:sz="4" w:space="0" w:color="auto"/>
            </w:tcBorders>
            <w:hideMark/>
          </w:tcPr>
          <w:p w14:paraId="6F48940E" w14:textId="77777777" w:rsidR="00B10F52" w:rsidRPr="0026039D" w:rsidRDefault="00B10F52" w:rsidP="009D63F1">
            <w:pPr>
              <w:pStyle w:val="Tabletext"/>
            </w:pPr>
            <w:r w:rsidRPr="0026039D">
              <w:t>Treatment phase:</w:t>
            </w:r>
          </w:p>
        </w:tc>
        <w:tc>
          <w:tcPr>
            <w:tcW w:w="3880" w:type="pct"/>
            <w:gridSpan w:val="6"/>
            <w:tcBorders>
              <w:top w:val="single" w:sz="4" w:space="0" w:color="auto"/>
              <w:left w:val="single" w:sz="4" w:space="0" w:color="auto"/>
              <w:bottom w:val="single" w:sz="4" w:space="0" w:color="auto"/>
              <w:right w:val="single" w:sz="4" w:space="0" w:color="auto"/>
            </w:tcBorders>
          </w:tcPr>
          <w:p w14:paraId="4E64E2FB" w14:textId="77777777" w:rsidR="00B10F52" w:rsidRPr="0026039D" w:rsidRDefault="00B10F52" w:rsidP="009D63F1">
            <w:pPr>
              <w:pStyle w:val="Tabletext"/>
              <w:rPr>
                <w:color w:val="000000"/>
              </w:rPr>
            </w:pPr>
            <w:r w:rsidRPr="0026039D">
              <w:rPr>
                <w:color w:val="000000"/>
              </w:rPr>
              <w:t>Continuing treatment</w:t>
            </w:r>
          </w:p>
        </w:tc>
      </w:tr>
      <w:tr w:rsidR="00B10F52" w:rsidRPr="0026039D" w14:paraId="6F01FE5B" w14:textId="77777777" w:rsidTr="00B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20" w:type="pct"/>
            <w:tcBorders>
              <w:top w:val="single" w:sz="4" w:space="0" w:color="auto"/>
              <w:left w:val="single" w:sz="4" w:space="0" w:color="auto"/>
              <w:bottom w:val="single" w:sz="4" w:space="0" w:color="auto"/>
              <w:right w:val="single" w:sz="4" w:space="0" w:color="auto"/>
            </w:tcBorders>
          </w:tcPr>
          <w:p w14:paraId="23863D8A" w14:textId="77777777" w:rsidR="00B10F52" w:rsidRPr="0026039D" w:rsidRDefault="00B10F52" w:rsidP="009D63F1">
            <w:pPr>
              <w:pStyle w:val="Tabletext"/>
            </w:pPr>
            <w:r w:rsidRPr="0026039D">
              <w:t>Restriction:</w:t>
            </w:r>
          </w:p>
        </w:tc>
        <w:tc>
          <w:tcPr>
            <w:tcW w:w="3880" w:type="pct"/>
            <w:gridSpan w:val="6"/>
            <w:tcBorders>
              <w:top w:val="single" w:sz="4" w:space="0" w:color="auto"/>
              <w:left w:val="single" w:sz="4" w:space="0" w:color="auto"/>
              <w:bottom w:val="single" w:sz="4" w:space="0" w:color="auto"/>
              <w:right w:val="single" w:sz="4" w:space="0" w:color="auto"/>
            </w:tcBorders>
          </w:tcPr>
          <w:p w14:paraId="6FF39758" w14:textId="77777777" w:rsidR="00B10F52" w:rsidRPr="0026039D" w:rsidRDefault="00B10F52" w:rsidP="009D63F1">
            <w:pPr>
              <w:pStyle w:val="Tabletext"/>
              <w:rPr>
                <w:color w:val="000000"/>
              </w:rPr>
            </w:pPr>
            <w:r w:rsidRPr="0026039D">
              <w:rPr>
                <w:bCs/>
                <w:color w:val="000000"/>
              </w:rPr>
              <w:fldChar w:fldCharType="begin">
                <w:ffData>
                  <w:name w:val="Check3"/>
                  <w:enabled/>
                  <w:calcOnExit w:val="0"/>
                  <w:checkBox>
                    <w:sizeAuto/>
                    <w:default w:val="1"/>
                  </w:checkBox>
                </w:ffData>
              </w:fldChar>
            </w:r>
            <w:r w:rsidRPr="0026039D">
              <w:rPr>
                <w:bCs/>
                <w:color w:val="000000"/>
              </w:rPr>
              <w:instrText xml:space="preserve"> FORMCHECKBOX </w:instrText>
            </w:r>
            <w:r w:rsidR="00180107">
              <w:rPr>
                <w:bCs/>
                <w:color w:val="000000"/>
              </w:rPr>
            </w:r>
            <w:r w:rsidR="00180107">
              <w:rPr>
                <w:bCs/>
                <w:color w:val="000000"/>
              </w:rPr>
              <w:fldChar w:fldCharType="separate"/>
            </w:r>
            <w:r w:rsidRPr="0026039D">
              <w:rPr>
                <w:color w:val="000000"/>
              </w:rPr>
              <w:fldChar w:fldCharType="end"/>
            </w:r>
            <w:r w:rsidRPr="0026039D">
              <w:rPr>
                <w:bCs/>
                <w:color w:val="000000"/>
              </w:rPr>
              <w:t>Authority Required – Telephone</w:t>
            </w:r>
          </w:p>
        </w:tc>
      </w:tr>
      <w:tr w:rsidR="00B10F52" w:rsidRPr="0026039D" w14:paraId="0D5A3BF2" w14:textId="77777777" w:rsidTr="00B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20" w:type="pct"/>
            <w:tcBorders>
              <w:top w:val="single" w:sz="4" w:space="0" w:color="auto"/>
              <w:left w:val="single" w:sz="4" w:space="0" w:color="auto"/>
              <w:bottom w:val="single" w:sz="4" w:space="0" w:color="auto"/>
              <w:right w:val="single" w:sz="4" w:space="0" w:color="auto"/>
            </w:tcBorders>
          </w:tcPr>
          <w:p w14:paraId="3A87DEC6" w14:textId="77777777" w:rsidR="00B10F52" w:rsidRPr="0026039D" w:rsidRDefault="00B10F52" w:rsidP="009D63F1">
            <w:pPr>
              <w:pStyle w:val="Tabletext"/>
            </w:pPr>
            <w:r w:rsidRPr="0026039D">
              <w:t>Clinical criteria:</w:t>
            </w:r>
          </w:p>
        </w:tc>
        <w:tc>
          <w:tcPr>
            <w:tcW w:w="3880" w:type="pct"/>
            <w:gridSpan w:val="6"/>
            <w:tcBorders>
              <w:top w:val="single" w:sz="4" w:space="0" w:color="auto"/>
              <w:left w:val="single" w:sz="4" w:space="0" w:color="auto"/>
              <w:bottom w:val="single" w:sz="4" w:space="0" w:color="auto"/>
              <w:right w:val="single" w:sz="4" w:space="0" w:color="auto"/>
            </w:tcBorders>
          </w:tcPr>
          <w:p w14:paraId="097A1332" w14:textId="77777777" w:rsidR="00B10F52" w:rsidRPr="0026039D" w:rsidRDefault="00B10F52" w:rsidP="00617BCC">
            <w:pPr>
              <w:pStyle w:val="Tabletext"/>
              <w:numPr>
                <w:ilvl w:val="0"/>
                <w:numId w:val="6"/>
              </w:numPr>
              <w:rPr>
                <w:bCs/>
                <w:color w:val="000000"/>
              </w:rPr>
            </w:pPr>
            <w:r w:rsidRPr="0026039D">
              <w:rPr>
                <w:bCs/>
                <w:color w:val="000000"/>
              </w:rPr>
              <w:t>The treatment must be as monotherapy,</w:t>
            </w:r>
            <w:r w:rsidRPr="0026039D">
              <w:rPr>
                <w:b/>
                <w:bCs/>
                <w:color w:val="000000"/>
              </w:rPr>
              <w:t xml:space="preserve"> AND</w:t>
            </w:r>
          </w:p>
          <w:p w14:paraId="2B3F20A9" w14:textId="77777777" w:rsidR="00B10F52" w:rsidRPr="0026039D" w:rsidRDefault="00B10F52" w:rsidP="00617BCC">
            <w:pPr>
              <w:pStyle w:val="Tabletext"/>
              <w:numPr>
                <w:ilvl w:val="0"/>
                <w:numId w:val="6"/>
              </w:numPr>
              <w:rPr>
                <w:bCs/>
                <w:color w:val="000000"/>
              </w:rPr>
            </w:pPr>
            <w:r w:rsidRPr="0026039D">
              <w:rPr>
                <w:bCs/>
                <w:color w:val="000000"/>
              </w:rPr>
              <w:t>Patient must have previously received PBS-subsidised treatment with this drug for this condition, AND</w:t>
            </w:r>
          </w:p>
          <w:p w14:paraId="2FD4AF6A" w14:textId="77777777" w:rsidR="00B10F52" w:rsidRPr="0026039D" w:rsidRDefault="00B10F52" w:rsidP="00617BCC">
            <w:pPr>
              <w:pStyle w:val="Tabletext"/>
              <w:numPr>
                <w:ilvl w:val="0"/>
                <w:numId w:val="6"/>
              </w:numPr>
              <w:rPr>
                <w:color w:val="000000"/>
              </w:rPr>
            </w:pPr>
            <w:r w:rsidRPr="0026039D">
              <w:rPr>
                <w:bCs/>
                <w:color w:val="000000"/>
              </w:rPr>
              <w:t>Patient must not develop disease progression whilst receiving PBS-subsidised treatment with this drug for this condition.</w:t>
            </w:r>
          </w:p>
        </w:tc>
      </w:tr>
      <w:tr w:rsidR="00B10F52" w:rsidRPr="0026039D" w14:paraId="63142BD2" w14:textId="77777777" w:rsidTr="00B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20" w:type="pct"/>
            <w:tcBorders>
              <w:top w:val="single" w:sz="4" w:space="0" w:color="auto"/>
              <w:left w:val="single" w:sz="4" w:space="0" w:color="auto"/>
              <w:bottom w:val="single" w:sz="4" w:space="0" w:color="auto"/>
              <w:right w:val="single" w:sz="4" w:space="0" w:color="auto"/>
            </w:tcBorders>
          </w:tcPr>
          <w:p w14:paraId="59BA5C7F" w14:textId="77777777" w:rsidR="00B10F52" w:rsidRPr="0026039D" w:rsidRDefault="00B10F52" w:rsidP="009D63F1">
            <w:pPr>
              <w:pStyle w:val="Tabletext"/>
            </w:pPr>
            <w:r w:rsidRPr="0026039D">
              <w:t>Treatment phase:</w:t>
            </w:r>
          </w:p>
        </w:tc>
        <w:tc>
          <w:tcPr>
            <w:tcW w:w="3880" w:type="pct"/>
            <w:gridSpan w:val="6"/>
            <w:tcBorders>
              <w:top w:val="single" w:sz="4" w:space="0" w:color="auto"/>
              <w:left w:val="single" w:sz="4" w:space="0" w:color="auto"/>
              <w:bottom w:val="single" w:sz="4" w:space="0" w:color="auto"/>
              <w:right w:val="single" w:sz="4" w:space="0" w:color="auto"/>
            </w:tcBorders>
          </w:tcPr>
          <w:p w14:paraId="5D7B6D12" w14:textId="77777777" w:rsidR="00B10F52" w:rsidRPr="0026039D" w:rsidRDefault="00B10F52" w:rsidP="009D63F1">
            <w:pPr>
              <w:pStyle w:val="Tabletext"/>
              <w:rPr>
                <w:color w:val="000000"/>
              </w:rPr>
            </w:pPr>
            <w:r w:rsidRPr="0026039D">
              <w:rPr>
                <w:color w:val="000000"/>
              </w:rPr>
              <w:t>Grandfathering treatment</w:t>
            </w:r>
          </w:p>
        </w:tc>
      </w:tr>
      <w:tr w:rsidR="00B10F52" w:rsidRPr="0026039D" w14:paraId="795BAFEE" w14:textId="77777777" w:rsidTr="00B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20" w:type="pct"/>
            <w:tcBorders>
              <w:top w:val="single" w:sz="4" w:space="0" w:color="auto"/>
              <w:left w:val="single" w:sz="4" w:space="0" w:color="auto"/>
              <w:bottom w:val="single" w:sz="4" w:space="0" w:color="auto"/>
              <w:right w:val="single" w:sz="4" w:space="0" w:color="auto"/>
            </w:tcBorders>
          </w:tcPr>
          <w:p w14:paraId="17E200CA" w14:textId="77777777" w:rsidR="00B10F52" w:rsidRPr="0026039D" w:rsidRDefault="00B10F52" w:rsidP="009D63F1">
            <w:pPr>
              <w:pStyle w:val="Tabletext"/>
            </w:pPr>
            <w:r w:rsidRPr="0026039D">
              <w:t>Restriction:</w:t>
            </w:r>
          </w:p>
        </w:tc>
        <w:tc>
          <w:tcPr>
            <w:tcW w:w="3880" w:type="pct"/>
            <w:gridSpan w:val="6"/>
            <w:tcBorders>
              <w:top w:val="single" w:sz="4" w:space="0" w:color="auto"/>
              <w:left w:val="single" w:sz="4" w:space="0" w:color="auto"/>
              <w:bottom w:val="single" w:sz="4" w:space="0" w:color="auto"/>
              <w:right w:val="single" w:sz="4" w:space="0" w:color="auto"/>
            </w:tcBorders>
          </w:tcPr>
          <w:p w14:paraId="544515A1" w14:textId="77777777" w:rsidR="00B10F52" w:rsidRPr="0026039D" w:rsidRDefault="00B10F52" w:rsidP="009D63F1">
            <w:pPr>
              <w:pStyle w:val="Tabletext"/>
              <w:rPr>
                <w:color w:val="000000"/>
              </w:rPr>
            </w:pPr>
            <w:r w:rsidRPr="0026039D">
              <w:rPr>
                <w:bCs/>
                <w:color w:val="000000"/>
              </w:rPr>
              <w:fldChar w:fldCharType="begin">
                <w:ffData>
                  <w:name w:val=""/>
                  <w:enabled/>
                  <w:calcOnExit w:val="0"/>
                  <w:checkBox>
                    <w:sizeAuto/>
                    <w:default w:val="1"/>
                  </w:checkBox>
                </w:ffData>
              </w:fldChar>
            </w:r>
            <w:r w:rsidRPr="0026039D">
              <w:rPr>
                <w:bCs/>
                <w:color w:val="000000"/>
              </w:rPr>
              <w:instrText xml:space="preserve"> FORMCHECKBOX </w:instrText>
            </w:r>
            <w:r w:rsidR="00180107">
              <w:rPr>
                <w:bCs/>
                <w:color w:val="000000"/>
              </w:rPr>
            </w:r>
            <w:r w:rsidR="00180107">
              <w:rPr>
                <w:bCs/>
                <w:color w:val="000000"/>
              </w:rPr>
              <w:fldChar w:fldCharType="separate"/>
            </w:r>
            <w:r w:rsidRPr="0026039D">
              <w:rPr>
                <w:color w:val="000000"/>
              </w:rPr>
              <w:fldChar w:fldCharType="end"/>
            </w:r>
            <w:r w:rsidRPr="0026039D">
              <w:rPr>
                <w:bCs/>
                <w:color w:val="000000"/>
              </w:rPr>
              <w:t>Authority Required - In Writing</w:t>
            </w:r>
          </w:p>
        </w:tc>
      </w:tr>
      <w:tr w:rsidR="00B10F52" w:rsidRPr="0026039D" w14:paraId="42B78CD1" w14:textId="77777777" w:rsidTr="00B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20" w:type="pct"/>
            <w:tcBorders>
              <w:top w:val="single" w:sz="4" w:space="0" w:color="auto"/>
              <w:left w:val="single" w:sz="4" w:space="0" w:color="auto"/>
              <w:bottom w:val="single" w:sz="4" w:space="0" w:color="auto"/>
              <w:right w:val="single" w:sz="4" w:space="0" w:color="auto"/>
            </w:tcBorders>
          </w:tcPr>
          <w:p w14:paraId="4D79339F" w14:textId="77777777" w:rsidR="00B10F52" w:rsidRPr="0026039D" w:rsidRDefault="00B10F52" w:rsidP="009D63F1">
            <w:pPr>
              <w:pStyle w:val="Tabletext"/>
            </w:pPr>
            <w:r w:rsidRPr="0026039D">
              <w:t>Clinical criteria:</w:t>
            </w:r>
          </w:p>
        </w:tc>
        <w:tc>
          <w:tcPr>
            <w:tcW w:w="3880" w:type="pct"/>
            <w:gridSpan w:val="6"/>
            <w:tcBorders>
              <w:top w:val="single" w:sz="4" w:space="0" w:color="auto"/>
              <w:left w:val="single" w:sz="4" w:space="0" w:color="auto"/>
              <w:bottom w:val="single" w:sz="4" w:space="0" w:color="auto"/>
              <w:right w:val="single" w:sz="4" w:space="0" w:color="auto"/>
            </w:tcBorders>
          </w:tcPr>
          <w:p w14:paraId="3DBE45D6" w14:textId="77777777" w:rsidR="00B10F52" w:rsidRPr="0026039D" w:rsidRDefault="00B10F52" w:rsidP="00617BCC">
            <w:pPr>
              <w:pStyle w:val="Tabletext"/>
              <w:numPr>
                <w:ilvl w:val="0"/>
                <w:numId w:val="6"/>
              </w:numPr>
              <w:rPr>
                <w:bCs/>
                <w:color w:val="000000"/>
              </w:rPr>
            </w:pPr>
            <w:r w:rsidRPr="0026039D">
              <w:rPr>
                <w:bCs/>
                <w:color w:val="000000"/>
              </w:rPr>
              <w:t>Patient must have received treatment with entrectinib for this condition prior to [the PBS listing dat</w:t>
            </w:r>
            <w:r w:rsidR="00211450" w:rsidRPr="0026039D">
              <w:rPr>
                <w:bCs/>
                <w:color w:val="000000"/>
              </w:rPr>
              <w:t>e</w:t>
            </w:r>
            <w:r w:rsidRPr="0026039D">
              <w:rPr>
                <w:bCs/>
                <w:color w:val="000000"/>
              </w:rPr>
              <w:t xml:space="preserve">], </w:t>
            </w:r>
            <w:r w:rsidRPr="0026039D">
              <w:rPr>
                <w:b/>
                <w:bCs/>
                <w:color w:val="000000"/>
              </w:rPr>
              <w:t>AND</w:t>
            </w:r>
          </w:p>
          <w:p w14:paraId="4789EBDF" w14:textId="77777777" w:rsidR="00B10F52" w:rsidRPr="0026039D" w:rsidRDefault="00B10F52" w:rsidP="00617BCC">
            <w:pPr>
              <w:pStyle w:val="Tabletext"/>
              <w:numPr>
                <w:ilvl w:val="0"/>
                <w:numId w:val="6"/>
              </w:numPr>
              <w:rPr>
                <w:bCs/>
                <w:color w:val="000000"/>
              </w:rPr>
            </w:pPr>
            <w:r w:rsidRPr="0026039D">
              <w:rPr>
                <w:bCs/>
                <w:color w:val="000000"/>
              </w:rPr>
              <w:t>The treatment must be as monotherapy,</w:t>
            </w:r>
            <w:r w:rsidRPr="0026039D">
              <w:rPr>
                <w:b/>
                <w:bCs/>
                <w:color w:val="000000"/>
              </w:rPr>
              <w:t xml:space="preserve"> AND</w:t>
            </w:r>
          </w:p>
          <w:p w14:paraId="112AAEA5" w14:textId="77777777" w:rsidR="00B10F52" w:rsidRPr="0026039D" w:rsidRDefault="00B10F52" w:rsidP="00617BCC">
            <w:pPr>
              <w:pStyle w:val="Tabletext"/>
              <w:numPr>
                <w:ilvl w:val="0"/>
                <w:numId w:val="6"/>
              </w:numPr>
              <w:rPr>
                <w:bCs/>
                <w:color w:val="000000"/>
              </w:rPr>
            </w:pPr>
            <w:r w:rsidRPr="0026039D">
              <w:rPr>
                <w:bCs/>
                <w:color w:val="000000"/>
              </w:rPr>
              <w:t xml:space="preserve">The condition must be non-squamous type non-small cell lung cancer (NSCLC) or not otherwise specified type NSCLC, </w:t>
            </w:r>
            <w:r w:rsidRPr="0026039D">
              <w:rPr>
                <w:b/>
                <w:bCs/>
                <w:color w:val="000000"/>
              </w:rPr>
              <w:t>AND</w:t>
            </w:r>
          </w:p>
          <w:p w14:paraId="2D7AA13F" w14:textId="77777777" w:rsidR="00B10F52" w:rsidRPr="0026039D" w:rsidRDefault="00B10F52" w:rsidP="00617BCC">
            <w:pPr>
              <w:pStyle w:val="Tabletext"/>
              <w:numPr>
                <w:ilvl w:val="0"/>
                <w:numId w:val="6"/>
              </w:numPr>
              <w:rPr>
                <w:bCs/>
                <w:color w:val="000000"/>
              </w:rPr>
            </w:pPr>
            <w:r w:rsidRPr="0026039D">
              <w:rPr>
                <w:bCs/>
                <w:color w:val="000000"/>
              </w:rPr>
              <w:t xml:space="preserve">Patient must have a WHO performance status of 2 or less prior to initiating non-PBS-subsidised treatment with this drug for this condition, </w:t>
            </w:r>
            <w:r w:rsidRPr="0026039D">
              <w:rPr>
                <w:b/>
                <w:bCs/>
                <w:color w:val="000000"/>
              </w:rPr>
              <w:t>AND</w:t>
            </w:r>
          </w:p>
          <w:p w14:paraId="5488B54B" w14:textId="77777777" w:rsidR="00B10F52" w:rsidRPr="0026039D" w:rsidRDefault="00B10F52" w:rsidP="00617BCC">
            <w:pPr>
              <w:pStyle w:val="Tabletext"/>
              <w:numPr>
                <w:ilvl w:val="0"/>
                <w:numId w:val="6"/>
              </w:numPr>
              <w:rPr>
                <w:bCs/>
                <w:color w:val="000000"/>
              </w:rPr>
            </w:pPr>
            <w:r w:rsidRPr="0026039D">
              <w:rPr>
                <w:bCs/>
                <w:color w:val="000000"/>
              </w:rPr>
              <w:t xml:space="preserve">Patient must not have progressive disease; </w:t>
            </w:r>
            <w:r w:rsidRPr="0026039D">
              <w:rPr>
                <w:b/>
                <w:bCs/>
                <w:color w:val="000000"/>
              </w:rPr>
              <w:t>AND</w:t>
            </w:r>
          </w:p>
          <w:p w14:paraId="1B9FDC0F" w14:textId="77777777" w:rsidR="00B10F52" w:rsidRPr="0026039D" w:rsidRDefault="00B10F52" w:rsidP="00617BCC">
            <w:pPr>
              <w:pStyle w:val="Tabletext"/>
              <w:numPr>
                <w:ilvl w:val="0"/>
                <w:numId w:val="6"/>
              </w:numPr>
              <w:rPr>
                <w:bCs/>
                <w:color w:val="000000"/>
              </w:rPr>
            </w:pPr>
            <w:r w:rsidRPr="0026039D">
              <w:rPr>
                <w:bCs/>
                <w:color w:val="000000"/>
              </w:rPr>
              <w:lastRenderedPageBreak/>
              <w:t xml:space="preserve">Patient must have evidence of c-ROS proto-oncogene 1 (ROS1) gene rearrangement in tumour material, defined as 15% (or greater) positive cells by fluorescence in situ hybridisation (FISH) testing, </w:t>
            </w:r>
            <w:r w:rsidRPr="0026039D">
              <w:rPr>
                <w:b/>
                <w:bCs/>
                <w:color w:val="000000"/>
              </w:rPr>
              <w:t>AND</w:t>
            </w:r>
          </w:p>
          <w:p w14:paraId="5EC9EECF" w14:textId="77777777" w:rsidR="00B10F52" w:rsidRPr="0026039D" w:rsidRDefault="00B10F52" w:rsidP="00617BCC">
            <w:pPr>
              <w:pStyle w:val="Tabletext"/>
              <w:numPr>
                <w:ilvl w:val="0"/>
                <w:numId w:val="6"/>
              </w:numPr>
              <w:rPr>
                <w:bCs/>
                <w:color w:val="000000"/>
              </w:rPr>
            </w:pPr>
            <w:r w:rsidRPr="0026039D">
              <w:rPr>
                <w:bCs/>
                <w:color w:val="000000"/>
              </w:rPr>
              <w:t xml:space="preserve">Patient must not have received prior treatment with a c-ROS proto-oncogene 1 (ROS1) receptor tyrosine kinase inhibitor for this condition, </w:t>
            </w:r>
            <w:r w:rsidRPr="0026039D">
              <w:rPr>
                <w:b/>
                <w:bCs/>
                <w:color w:val="000000"/>
              </w:rPr>
              <w:t>OR</w:t>
            </w:r>
          </w:p>
          <w:p w14:paraId="03DB605B" w14:textId="77777777" w:rsidR="00B10F52" w:rsidRPr="0026039D" w:rsidRDefault="00B10F52" w:rsidP="00617BCC">
            <w:pPr>
              <w:pStyle w:val="Tabletext"/>
              <w:numPr>
                <w:ilvl w:val="0"/>
                <w:numId w:val="6"/>
              </w:numPr>
              <w:rPr>
                <w:bCs/>
                <w:color w:val="000000"/>
              </w:rPr>
            </w:pPr>
            <w:r w:rsidRPr="0026039D">
              <w:rPr>
                <w:bCs/>
                <w:color w:val="000000"/>
              </w:rPr>
              <w:t>Patient must have developed intolerance to a c-ROS proto-oncogene 1 (ROS1) receptor tyrosine kinase inhibitor necessitating permanent treatment withdrawal.</w:t>
            </w:r>
          </w:p>
          <w:p w14:paraId="120C3EC8" w14:textId="77777777" w:rsidR="00B10F52" w:rsidRPr="0026039D" w:rsidRDefault="00B10F52" w:rsidP="009D63F1">
            <w:pPr>
              <w:pStyle w:val="Tabletext"/>
              <w:rPr>
                <w:bCs/>
                <w:color w:val="000000"/>
              </w:rPr>
            </w:pPr>
          </w:p>
          <w:p w14:paraId="7AD12936" w14:textId="77777777" w:rsidR="00B10F52" w:rsidRPr="0026039D" w:rsidRDefault="00B10F52" w:rsidP="009D63F1">
            <w:pPr>
              <w:pStyle w:val="Tabletext"/>
              <w:rPr>
                <w:bCs/>
                <w:color w:val="000000"/>
              </w:rPr>
            </w:pPr>
            <w:r w:rsidRPr="0026039D">
              <w:rPr>
                <w:bCs/>
                <w:color w:val="000000"/>
              </w:rPr>
              <w:t>The authority application must be made in writing and must include:</w:t>
            </w:r>
          </w:p>
          <w:p w14:paraId="4527036A" w14:textId="77777777" w:rsidR="00B10F52" w:rsidRPr="0026039D" w:rsidRDefault="00B10F52" w:rsidP="009D63F1">
            <w:pPr>
              <w:pStyle w:val="Tabletext"/>
              <w:rPr>
                <w:bCs/>
                <w:color w:val="000000"/>
              </w:rPr>
            </w:pPr>
            <w:r w:rsidRPr="0026039D">
              <w:rPr>
                <w:bCs/>
                <w:color w:val="000000"/>
              </w:rPr>
              <w:t>(1) a completed authority prescription form; and</w:t>
            </w:r>
          </w:p>
          <w:p w14:paraId="04BACAA9" w14:textId="77777777" w:rsidR="00B10F52" w:rsidRPr="0026039D" w:rsidRDefault="00B10F52" w:rsidP="009D63F1">
            <w:pPr>
              <w:pStyle w:val="Tabletext"/>
              <w:rPr>
                <w:bCs/>
                <w:color w:val="000000"/>
              </w:rPr>
            </w:pPr>
            <w:r w:rsidRPr="0026039D">
              <w:rPr>
                <w:bCs/>
                <w:color w:val="000000"/>
              </w:rPr>
              <w:t>(2) a completed ROS1-Positive Non-Small-Cell Lung Cancer Authority Application - Supporting Information Form, which includes details of ROS1 gene rearrangement in tumour material.</w:t>
            </w:r>
          </w:p>
          <w:p w14:paraId="0CFD5E02" w14:textId="77777777" w:rsidR="00B10F52" w:rsidRPr="0026039D" w:rsidRDefault="00B10F52" w:rsidP="009D63F1">
            <w:pPr>
              <w:pStyle w:val="Tabletext"/>
              <w:rPr>
                <w:bCs/>
                <w:color w:val="000000"/>
              </w:rPr>
            </w:pPr>
          </w:p>
          <w:p w14:paraId="6F0C376F" w14:textId="77777777" w:rsidR="00B10F52" w:rsidRPr="0026039D" w:rsidRDefault="00B10F52" w:rsidP="009D63F1">
            <w:pPr>
              <w:pStyle w:val="Tabletext"/>
              <w:rPr>
                <w:color w:val="000000"/>
              </w:rPr>
            </w:pPr>
            <w:r w:rsidRPr="0026039D">
              <w:rPr>
                <w:color w:val="000000"/>
              </w:rPr>
              <w:t>A patient may qualify for PBS-subsidised treatment under this restriction once only. For continuing PBS-subsidised treatment, a Grandfathered patient must qualify under the Continuing</w:t>
            </w:r>
            <w:r w:rsidR="000F7173" w:rsidRPr="0026039D">
              <w:rPr>
                <w:color w:val="000000"/>
              </w:rPr>
              <w:t xml:space="preserve"> t</w:t>
            </w:r>
            <w:r w:rsidRPr="0026039D">
              <w:rPr>
                <w:color w:val="000000"/>
              </w:rPr>
              <w:t>reatment criteria.</w:t>
            </w:r>
          </w:p>
        </w:tc>
      </w:tr>
    </w:tbl>
    <w:p w14:paraId="16A2128F" w14:textId="77777777" w:rsidR="00B10F52" w:rsidRPr="0026039D" w:rsidRDefault="00FD3B93" w:rsidP="00B10F52">
      <w:pPr>
        <w:pStyle w:val="TableFigureFooter"/>
      </w:pPr>
      <w:r w:rsidRPr="00FD3B93">
        <w:rPr>
          <w:vertAlign w:val="superscript"/>
        </w:rPr>
        <w:lastRenderedPageBreak/>
        <w:t>a</w:t>
      </w:r>
      <w:r>
        <w:rPr>
          <w:vertAlign w:val="superscript"/>
        </w:rPr>
        <w:t xml:space="preserve"> </w:t>
      </w:r>
      <w:r w:rsidR="00FC01F7" w:rsidRPr="0026039D">
        <w:t>TBC = to be confirmed</w:t>
      </w:r>
      <w:r w:rsidR="00B10F52" w:rsidRPr="0026039D">
        <w:t>.</w:t>
      </w:r>
    </w:p>
    <w:p w14:paraId="62AEA940" w14:textId="77777777" w:rsidR="00B10F52" w:rsidRPr="0026039D" w:rsidRDefault="00B10F52" w:rsidP="00C42C52">
      <w:pPr>
        <w:pStyle w:val="ListParagraph"/>
        <w:numPr>
          <w:ilvl w:val="1"/>
          <w:numId w:val="1"/>
        </w:numPr>
        <w:spacing w:after="160"/>
        <w:rPr>
          <w:rFonts w:ascii="Calibri" w:hAnsi="Calibri"/>
          <w:szCs w:val="22"/>
          <w:lang w:eastAsia="en-US"/>
        </w:rPr>
      </w:pPr>
      <w:r w:rsidRPr="0026039D">
        <w:rPr>
          <w:rFonts w:ascii="Calibri" w:hAnsi="Calibri"/>
          <w:szCs w:val="22"/>
          <w:lang w:eastAsia="en-US"/>
        </w:rPr>
        <w:t xml:space="preserve">The submission proposed a published dispensed price for maximum quantity (DPMQ) for entrectinib equal to the published DPMQ for crizotinib, which </w:t>
      </w:r>
      <w:r w:rsidR="002A1BBC" w:rsidRPr="0026039D">
        <w:rPr>
          <w:rFonts w:ascii="Calibri" w:hAnsi="Calibri"/>
          <w:szCs w:val="22"/>
          <w:lang w:eastAsia="en-US"/>
        </w:rPr>
        <w:t>would result</w:t>
      </w:r>
      <w:r w:rsidRPr="0026039D">
        <w:rPr>
          <w:rFonts w:ascii="Calibri" w:hAnsi="Calibri"/>
          <w:szCs w:val="22"/>
          <w:lang w:eastAsia="en-US"/>
        </w:rPr>
        <w:t xml:space="preserve"> in </w:t>
      </w:r>
      <w:r w:rsidR="002A1BBC" w:rsidRPr="0026039D">
        <w:rPr>
          <w:rFonts w:ascii="Calibri" w:hAnsi="Calibri"/>
          <w:szCs w:val="22"/>
          <w:lang w:eastAsia="en-US"/>
        </w:rPr>
        <w:t>the</w:t>
      </w:r>
      <w:r w:rsidRPr="0026039D">
        <w:rPr>
          <w:rFonts w:ascii="Calibri" w:hAnsi="Calibri"/>
          <w:szCs w:val="22"/>
          <w:lang w:eastAsia="en-US"/>
        </w:rPr>
        <w:t xml:space="preserve"> same cost per 30-day</w:t>
      </w:r>
      <w:r w:rsidR="002A1BBC" w:rsidRPr="0026039D">
        <w:rPr>
          <w:rFonts w:ascii="Calibri" w:hAnsi="Calibri"/>
          <w:szCs w:val="22"/>
          <w:lang w:eastAsia="en-US"/>
        </w:rPr>
        <w:t>s of</w:t>
      </w:r>
      <w:r w:rsidRPr="0026039D">
        <w:rPr>
          <w:rFonts w:ascii="Calibri" w:hAnsi="Calibri"/>
          <w:szCs w:val="22"/>
          <w:lang w:eastAsia="en-US"/>
        </w:rPr>
        <w:t xml:space="preserve"> treatment with </w:t>
      </w:r>
      <w:r w:rsidR="002F2A01" w:rsidRPr="0026039D">
        <w:rPr>
          <w:rFonts w:ascii="Calibri" w:hAnsi="Calibri"/>
          <w:szCs w:val="22"/>
          <w:lang w:eastAsia="en-US"/>
        </w:rPr>
        <w:t xml:space="preserve">either </w:t>
      </w:r>
      <w:r w:rsidRPr="0026039D">
        <w:rPr>
          <w:rFonts w:ascii="Calibri" w:hAnsi="Calibri"/>
          <w:szCs w:val="22"/>
          <w:lang w:eastAsia="en-US"/>
        </w:rPr>
        <w:t xml:space="preserve">entrectinib </w:t>
      </w:r>
      <w:r w:rsidR="002F2A01" w:rsidRPr="0026039D">
        <w:rPr>
          <w:rFonts w:ascii="Calibri" w:hAnsi="Calibri"/>
          <w:szCs w:val="22"/>
          <w:lang w:eastAsia="en-US"/>
        </w:rPr>
        <w:t>or</w:t>
      </w:r>
      <w:r w:rsidRPr="0026039D">
        <w:rPr>
          <w:rFonts w:ascii="Calibri" w:hAnsi="Calibri"/>
          <w:szCs w:val="22"/>
          <w:lang w:eastAsia="en-US"/>
        </w:rPr>
        <w:t xml:space="preserve"> crizo</w:t>
      </w:r>
      <w:r w:rsidR="000D2F35" w:rsidRPr="0026039D">
        <w:rPr>
          <w:rFonts w:ascii="Calibri" w:hAnsi="Calibri"/>
          <w:szCs w:val="22"/>
          <w:lang w:eastAsia="en-US"/>
        </w:rPr>
        <w:t>tinib. The submission also propos</w:t>
      </w:r>
      <w:r w:rsidRPr="0026039D">
        <w:rPr>
          <w:rFonts w:ascii="Calibri" w:hAnsi="Calibri"/>
          <w:szCs w:val="22"/>
          <w:lang w:eastAsia="en-US"/>
        </w:rPr>
        <w:t>ed that the effective price for entrectinib w</w:t>
      </w:r>
      <w:r w:rsidR="002A1BBC" w:rsidRPr="0026039D">
        <w:rPr>
          <w:rFonts w:ascii="Calibri" w:hAnsi="Calibri"/>
          <w:szCs w:val="22"/>
          <w:lang w:eastAsia="en-US"/>
        </w:rPr>
        <w:t>ould</w:t>
      </w:r>
      <w:r w:rsidRPr="0026039D">
        <w:rPr>
          <w:rFonts w:ascii="Calibri" w:hAnsi="Calibri"/>
          <w:szCs w:val="22"/>
          <w:lang w:eastAsia="en-US"/>
        </w:rPr>
        <w:t xml:space="preserve"> be no higher than the cost-minimised effective price for crizotinib, based on the</w:t>
      </w:r>
      <w:r w:rsidR="002F2A01" w:rsidRPr="0026039D">
        <w:rPr>
          <w:rFonts w:ascii="Calibri" w:hAnsi="Calibri"/>
          <w:szCs w:val="22"/>
          <w:lang w:eastAsia="en-US"/>
        </w:rPr>
        <w:t>ir</w:t>
      </w:r>
      <w:r w:rsidRPr="0026039D">
        <w:rPr>
          <w:rFonts w:ascii="Calibri" w:hAnsi="Calibri"/>
          <w:szCs w:val="22"/>
          <w:lang w:eastAsia="en-US"/>
        </w:rPr>
        <w:t xml:space="preserve"> equi-effective doses.</w:t>
      </w:r>
    </w:p>
    <w:p w14:paraId="619FEA05" w14:textId="77777777" w:rsidR="00B10F52" w:rsidRPr="0026039D" w:rsidRDefault="00B10F52" w:rsidP="00204310">
      <w:pPr>
        <w:pStyle w:val="ListParagraph"/>
        <w:numPr>
          <w:ilvl w:val="1"/>
          <w:numId w:val="1"/>
        </w:numPr>
        <w:spacing w:after="160"/>
        <w:rPr>
          <w:rFonts w:ascii="Calibri" w:hAnsi="Calibri"/>
          <w:szCs w:val="22"/>
          <w:lang w:eastAsia="en-US"/>
        </w:rPr>
      </w:pPr>
      <w:r w:rsidRPr="0026039D">
        <w:rPr>
          <w:rFonts w:ascii="Calibri" w:hAnsi="Calibri"/>
          <w:szCs w:val="22"/>
          <w:lang w:eastAsia="en-US"/>
        </w:rPr>
        <w:t xml:space="preserve">The proposed PBS restrictions for initial and continuing </w:t>
      </w:r>
      <w:r w:rsidR="002F2A01" w:rsidRPr="0026039D">
        <w:rPr>
          <w:rFonts w:ascii="Calibri" w:hAnsi="Calibri"/>
          <w:szCs w:val="22"/>
          <w:lang w:eastAsia="en-US"/>
        </w:rPr>
        <w:t xml:space="preserve">entrectinib </w:t>
      </w:r>
      <w:r w:rsidRPr="0026039D">
        <w:rPr>
          <w:rFonts w:ascii="Calibri" w:hAnsi="Calibri"/>
          <w:szCs w:val="22"/>
          <w:lang w:eastAsia="en-US"/>
        </w:rPr>
        <w:t xml:space="preserve">treatment </w:t>
      </w:r>
      <w:r w:rsidR="002A1BBC" w:rsidRPr="0026039D">
        <w:rPr>
          <w:rFonts w:ascii="Calibri" w:hAnsi="Calibri"/>
          <w:szCs w:val="22"/>
          <w:lang w:eastAsia="en-US"/>
        </w:rPr>
        <w:t>we</w:t>
      </w:r>
      <w:r w:rsidR="000301B7" w:rsidRPr="0026039D">
        <w:rPr>
          <w:rFonts w:ascii="Calibri" w:hAnsi="Calibri"/>
          <w:szCs w:val="22"/>
          <w:lang w:eastAsia="en-US"/>
        </w:rPr>
        <w:t>re very similar to</w:t>
      </w:r>
      <w:r w:rsidRPr="0026039D">
        <w:rPr>
          <w:rFonts w:ascii="Calibri" w:hAnsi="Calibri"/>
          <w:szCs w:val="22"/>
          <w:lang w:eastAsia="en-US"/>
        </w:rPr>
        <w:t xml:space="preserve"> the current listing for crizotinib for this condition. The submission stated that an additional clinical criterion was specified, </w:t>
      </w:r>
      <w:r w:rsidR="002F2A01" w:rsidRPr="0026039D">
        <w:rPr>
          <w:rFonts w:ascii="Calibri" w:hAnsi="Calibri"/>
          <w:szCs w:val="22"/>
          <w:lang w:eastAsia="en-US"/>
        </w:rPr>
        <w:t xml:space="preserve">that would </w:t>
      </w:r>
      <w:r w:rsidRPr="0026039D">
        <w:rPr>
          <w:rFonts w:ascii="Calibri" w:hAnsi="Calibri"/>
          <w:szCs w:val="22"/>
          <w:lang w:eastAsia="en-US"/>
        </w:rPr>
        <w:t>preclud</w:t>
      </w:r>
      <w:r w:rsidR="002F2A01" w:rsidRPr="0026039D">
        <w:rPr>
          <w:rFonts w:ascii="Calibri" w:hAnsi="Calibri"/>
          <w:szCs w:val="22"/>
          <w:lang w:eastAsia="en-US"/>
        </w:rPr>
        <w:t xml:space="preserve">e </w:t>
      </w:r>
      <w:r w:rsidRPr="0026039D">
        <w:rPr>
          <w:rFonts w:ascii="Calibri" w:hAnsi="Calibri"/>
          <w:szCs w:val="22"/>
          <w:lang w:eastAsia="en-US"/>
        </w:rPr>
        <w:t>the use of entrectinib following crizotinib (unless the</w:t>
      </w:r>
      <w:r w:rsidR="00B45282" w:rsidRPr="0026039D">
        <w:rPr>
          <w:rFonts w:ascii="Calibri" w:hAnsi="Calibri"/>
          <w:szCs w:val="22"/>
          <w:lang w:eastAsia="en-US"/>
        </w:rPr>
        <w:t xml:space="preserve"> patient had</w:t>
      </w:r>
      <w:r w:rsidRPr="0026039D">
        <w:rPr>
          <w:rFonts w:ascii="Calibri" w:hAnsi="Calibri"/>
          <w:szCs w:val="22"/>
          <w:lang w:eastAsia="en-US"/>
        </w:rPr>
        <w:t xml:space="preserve"> develop</w:t>
      </w:r>
      <w:r w:rsidR="00B45282" w:rsidRPr="0026039D">
        <w:rPr>
          <w:rFonts w:ascii="Calibri" w:hAnsi="Calibri"/>
          <w:szCs w:val="22"/>
          <w:lang w:eastAsia="en-US"/>
        </w:rPr>
        <w:t>ed</w:t>
      </w:r>
      <w:r w:rsidRPr="0026039D">
        <w:rPr>
          <w:rFonts w:ascii="Calibri" w:hAnsi="Calibri"/>
          <w:szCs w:val="22"/>
          <w:lang w:eastAsia="en-US"/>
        </w:rPr>
        <w:t xml:space="preserve"> intolerance to crizotinib)</w:t>
      </w:r>
      <w:r w:rsidR="002F2A01" w:rsidRPr="0026039D">
        <w:rPr>
          <w:rFonts w:ascii="Calibri" w:hAnsi="Calibri"/>
          <w:szCs w:val="22"/>
          <w:lang w:eastAsia="en-US"/>
        </w:rPr>
        <w:t>.</w:t>
      </w:r>
      <w:r w:rsidRPr="0026039D">
        <w:rPr>
          <w:rFonts w:ascii="Calibri" w:hAnsi="Calibri"/>
          <w:szCs w:val="22"/>
          <w:lang w:eastAsia="en-US"/>
        </w:rPr>
        <w:t xml:space="preserve"> </w:t>
      </w:r>
      <w:r w:rsidR="002F2A01" w:rsidRPr="0026039D">
        <w:rPr>
          <w:rFonts w:ascii="Calibri" w:hAnsi="Calibri"/>
          <w:szCs w:val="22"/>
          <w:lang w:eastAsia="en-US"/>
        </w:rPr>
        <w:t xml:space="preserve">This was to </w:t>
      </w:r>
      <w:r w:rsidRPr="0026039D">
        <w:rPr>
          <w:rFonts w:ascii="Calibri" w:hAnsi="Calibri"/>
          <w:szCs w:val="22"/>
          <w:lang w:eastAsia="en-US"/>
        </w:rPr>
        <w:t>ensure the appropriate use of entrectinib</w:t>
      </w:r>
      <w:r w:rsidR="002A1BBC" w:rsidRPr="0026039D">
        <w:rPr>
          <w:rFonts w:ascii="Calibri" w:hAnsi="Calibri"/>
          <w:szCs w:val="22"/>
          <w:lang w:eastAsia="en-US"/>
        </w:rPr>
        <w:t>,</w:t>
      </w:r>
      <w:r w:rsidRPr="0026039D">
        <w:rPr>
          <w:rFonts w:ascii="Calibri" w:hAnsi="Calibri"/>
          <w:szCs w:val="22"/>
          <w:lang w:eastAsia="en-US"/>
        </w:rPr>
        <w:t xml:space="preserve"> </w:t>
      </w:r>
      <w:r w:rsidR="00B83EFC" w:rsidRPr="0026039D">
        <w:rPr>
          <w:rFonts w:ascii="Calibri" w:hAnsi="Calibri"/>
          <w:szCs w:val="22"/>
          <w:lang w:eastAsia="en-US"/>
        </w:rPr>
        <w:t xml:space="preserve">in line with the available clinical evidence. </w:t>
      </w:r>
      <w:r w:rsidR="007D2EDF" w:rsidRPr="0026039D">
        <w:rPr>
          <w:rFonts w:ascii="Calibri" w:hAnsi="Calibri"/>
          <w:szCs w:val="22"/>
          <w:lang w:eastAsia="en-US"/>
        </w:rPr>
        <w:t xml:space="preserve">Two of the entrectinib studies presented in the submission (ALKA and STARTRK-1) </w:t>
      </w:r>
      <w:r w:rsidR="004E4243" w:rsidRPr="0026039D">
        <w:rPr>
          <w:rFonts w:ascii="Calibri" w:hAnsi="Calibri"/>
          <w:szCs w:val="22"/>
          <w:lang w:eastAsia="en-US"/>
        </w:rPr>
        <w:t>permitted</w:t>
      </w:r>
      <w:r w:rsidR="007D2EDF" w:rsidRPr="0026039D">
        <w:rPr>
          <w:rFonts w:ascii="Calibri" w:hAnsi="Calibri"/>
          <w:szCs w:val="22"/>
          <w:lang w:eastAsia="en-US"/>
        </w:rPr>
        <w:t xml:space="preserve"> patients </w:t>
      </w:r>
      <w:r w:rsidR="004E4243" w:rsidRPr="0026039D">
        <w:rPr>
          <w:rFonts w:ascii="Calibri" w:hAnsi="Calibri"/>
          <w:szCs w:val="22"/>
          <w:lang w:eastAsia="en-US"/>
        </w:rPr>
        <w:t>who had</w:t>
      </w:r>
      <w:r w:rsidR="007D2EDF" w:rsidRPr="0026039D">
        <w:rPr>
          <w:rFonts w:ascii="Calibri" w:hAnsi="Calibri"/>
          <w:szCs w:val="22"/>
          <w:lang w:eastAsia="en-US"/>
        </w:rPr>
        <w:t xml:space="preserve"> received </w:t>
      </w:r>
      <w:r w:rsidR="004E4243" w:rsidRPr="0026039D">
        <w:rPr>
          <w:rFonts w:ascii="Calibri" w:hAnsi="Calibri"/>
          <w:szCs w:val="22"/>
          <w:lang w:eastAsia="en-US"/>
        </w:rPr>
        <w:t xml:space="preserve">prior </w:t>
      </w:r>
      <w:r w:rsidR="007D2EDF" w:rsidRPr="0026039D">
        <w:rPr>
          <w:rFonts w:ascii="Calibri" w:hAnsi="Calibri"/>
          <w:szCs w:val="22"/>
          <w:lang w:eastAsia="en-US"/>
        </w:rPr>
        <w:t>treatment with crizotinib or ceritinib</w:t>
      </w:r>
      <w:r w:rsidR="004E4243" w:rsidRPr="0026039D">
        <w:rPr>
          <w:rFonts w:ascii="Calibri" w:hAnsi="Calibri"/>
          <w:szCs w:val="22"/>
          <w:lang w:eastAsia="en-US"/>
        </w:rPr>
        <w:t xml:space="preserve"> to enrol</w:t>
      </w:r>
      <w:r w:rsidR="007D2EDF" w:rsidRPr="0026039D">
        <w:rPr>
          <w:rFonts w:ascii="Calibri" w:hAnsi="Calibri"/>
          <w:szCs w:val="22"/>
          <w:lang w:eastAsia="en-US"/>
        </w:rPr>
        <w:t xml:space="preserve">. </w:t>
      </w:r>
      <w:r w:rsidR="00B83EFC" w:rsidRPr="0026039D">
        <w:rPr>
          <w:rFonts w:ascii="Calibri" w:hAnsi="Calibri"/>
          <w:szCs w:val="22"/>
          <w:lang w:eastAsia="en-US"/>
        </w:rPr>
        <w:t xml:space="preserve">The submission stated that an assessment of the clinical efficacy of entrectinib in </w:t>
      </w:r>
      <w:r w:rsidR="007D2EDF" w:rsidRPr="0026039D">
        <w:rPr>
          <w:rFonts w:ascii="Calibri" w:hAnsi="Calibri"/>
          <w:szCs w:val="22"/>
          <w:lang w:eastAsia="en-US"/>
        </w:rPr>
        <w:t xml:space="preserve">the </w:t>
      </w:r>
      <w:r w:rsidRPr="0026039D">
        <w:rPr>
          <w:rFonts w:ascii="Calibri" w:hAnsi="Calibri"/>
          <w:szCs w:val="22"/>
          <w:lang w:eastAsia="en-US"/>
        </w:rPr>
        <w:t>25 patients with solid tumours (6 ROS1-pos</w:t>
      </w:r>
      <w:r w:rsidR="00F04ECA" w:rsidRPr="0026039D">
        <w:rPr>
          <w:rFonts w:ascii="Calibri" w:hAnsi="Calibri"/>
          <w:szCs w:val="22"/>
          <w:lang w:eastAsia="en-US"/>
        </w:rPr>
        <w:t>i</w:t>
      </w:r>
      <w:r w:rsidRPr="0026039D">
        <w:rPr>
          <w:rFonts w:ascii="Calibri" w:hAnsi="Calibri"/>
          <w:szCs w:val="22"/>
          <w:lang w:eastAsia="en-US"/>
        </w:rPr>
        <w:t xml:space="preserve">tive and 19 anaplastic lymphoma kinase (ALK)-positive) </w:t>
      </w:r>
      <w:r w:rsidR="007D2EDF" w:rsidRPr="0026039D">
        <w:rPr>
          <w:rFonts w:ascii="Calibri" w:hAnsi="Calibri"/>
          <w:szCs w:val="22"/>
          <w:lang w:eastAsia="en-US"/>
        </w:rPr>
        <w:t xml:space="preserve">in these studies </w:t>
      </w:r>
      <w:r w:rsidRPr="0026039D">
        <w:rPr>
          <w:rFonts w:ascii="Calibri" w:hAnsi="Calibri"/>
          <w:szCs w:val="22"/>
          <w:lang w:eastAsia="en-US"/>
        </w:rPr>
        <w:t>who had received prior treatment with a ROS1 inhibitor (crizotinib) or an ALK inhibitor (crizotinib or ceritini</w:t>
      </w:r>
      <w:r w:rsidR="002F2A01" w:rsidRPr="0026039D">
        <w:rPr>
          <w:rFonts w:ascii="Calibri" w:hAnsi="Calibri"/>
          <w:szCs w:val="22"/>
          <w:lang w:eastAsia="en-US"/>
        </w:rPr>
        <w:t>b) showed no objective response</w:t>
      </w:r>
      <w:r w:rsidRPr="0026039D">
        <w:rPr>
          <w:rFonts w:ascii="Calibri" w:hAnsi="Calibri"/>
          <w:szCs w:val="22"/>
          <w:lang w:eastAsia="en-US"/>
        </w:rPr>
        <w:t xml:space="preserve"> (i.e. no clinical activity). Based on this evidence, </w:t>
      </w:r>
      <w:r w:rsidR="001D1BC7" w:rsidRPr="0026039D">
        <w:rPr>
          <w:rFonts w:ascii="Calibri" w:hAnsi="Calibri"/>
          <w:szCs w:val="22"/>
          <w:lang w:eastAsia="en-US"/>
        </w:rPr>
        <w:t xml:space="preserve">the PBAC considered </w:t>
      </w:r>
      <w:r w:rsidRPr="0026039D">
        <w:rPr>
          <w:rFonts w:ascii="Calibri" w:hAnsi="Calibri"/>
          <w:szCs w:val="22"/>
          <w:lang w:eastAsia="en-US"/>
        </w:rPr>
        <w:t xml:space="preserve">the </w:t>
      </w:r>
      <w:r w:rsidR="002F2A01" w:rsidRPr="0026039D">
        <w:rPr>
          <w:rFonts w:ascii="Calibri" w:hAnsi="Calibri"/>
          <w:szCs w:val="22"/>
          <w:lang w:eastAsia="en-US"/>
        </w:rPr>
        <w:t xml:space="preserve">inclusion of a </w:t>
      </w:r>
      <w:r w:rsidRPr="0026039D">
        <w:rPr>
          <w:rFonts w:ascii="Calibri" w:hAnsi="Calibri"/>
          <w:szCs w:val="22"/>
          <w:lang w:eastAsia="en-US"/>
        </w:rPr>
        <w:t xml:space="preserve">criterion excluding the use of entrectinib in patients who have </w:t>
      </w:r>
      <w:r w:rsidR="00C85838" w:rsidRPr="0026039D">
        <w:rPr>
          <w:rFonts w:ascii="Calibri" w:hAnsi="Calibri"/>
          <w:szCs w:val="22"/>
          <w:lang w:eastAsia="en-US"/>
        </w:rPr>
        <w:t xml:space="preserve">progressed on or following treatment </w:t>
      </w:r>
      <w:r w:rsidRPr="0026039D">
        <w:rPr>
          <w:rFonts w:ascii="Calibri" w:hAnsi="Calibri"/>
          <w:szCs w:val="22"/>
          <w:lang w:eastAsia="en-US"/>
        </w:rPr>
        <w:t xml:space="preserve">with crizotinib </w:t>
      </w:r>
      <w:r w:rsidR="001D1BC7" w:rsidRPr="0026039D">
        <w:rPr>
          <w:rFonts w:ascii="Calibri" w:hAnsi="Calibri"/>
          <w:szCs w:val="22"/>
          <w:lang w:eastAsia="en-US"/>
        </w:rPr>
        <w:t>to</w:t>
      </w:r>
      <w:r w:rsidR="00D950CA" w:rsidRPr="0026039D">
        <w:rPr>
          <w:rFonts w:ascii="Calibri" w:hAnsi="Calibri"/>
          <w:szCs w:val="22"/>
          <w:lang w:eastAsia="en-US"/>
        </w:rPr>
        <w:t xml:space="preserve"> be </w:t>
      </w:r>
      <w:r w:rsidRPr="0026039D">
        <w:rPr>
          <w:rFonts w:ascii="Calibri" w:hAnsi="Calibri"/>
          <w:szCs w:val="22"/>
          <w:lang w:eastAsia="en-US"/>
        </w:rPr>
        <w:t>appropriate.</w:t>
      </w:r>
      <w:r w:rsidR="00A15582" w:rsidRPr="0026039D">
        <w:rPr>
          <w:rFonts w:ascii="Calibri" w:hAnsi="Calibri"/>
          <w:szCs w:val="22"/>
          <w:lang w:eastAsia="en-US"/>
        </w:rPr>
        <w:t xml:space="preserve"> </w:t>
      </w:r>
      <w:r w:rsidR="001D1BC7" w:rsidRPr="0026039D">
        <w:rPr>
          <w:rFonts w:ascii="Calibri" w:hAnsi="Calibri"/>
          <w:szCs w:val="22"/>
          <w:lang w:eastAsia="en-US"/>
        </w:rPr>
        <w:t>Further, t</w:t>
      </w:r>
      <w:r w:rsidR="00A15582" w:rsidRPr="0026039D">
        <w:rPr>
          <w:rFonts w:ascii="Calibri" w:hAnsi="Calibri"/>
          <w:szCs w:val="22"/>
          <w:lang w:eastAsia="en-US"/>
        </w:rPr>
        <w:t xml:space="preserve">he </w:t>
      </w:r>
      <w:r w:rsidR="001D1BC7" w:rsidRPr="0026039D">
        <w:rPr>
          <w:rFonts w:ascii="Calibri" w:hAnsi="Calibri"/>
          <w:szCs w:val="22"/>
          <w:lang w:eastAsia="en-US"/>
        </w:rPr>
        <w:t>PBAC</w:t>
      </w:r>
      <w:r w:rsidR="00A15582" w:rsidRPr="0026039D">
        <w:rPr>
          <w:rFonts w:ascii="Calibri" w:hAnsi="Calibri"/>
          <w:szCs w:val="22"/>
          <w:lang w:eastAsia="en-US"/>
        </w:rPr>
        <w:t xml:space="preserve"> noted that </w:t>
      </w:r>
      <w:r w:rsidR="00380E8E" w:rsidRPr="0026039D">
        <w:rPr>
          <w:rFonts w:ascii="Calibri" w:hAnsi="Calibri"/>
          <w:szCs w:val="22"/>
          <w:lang w:eastAsia="en-US"/>
        </w:rPr>
        <w:t xml:space="preserve">FDA and </w:t>
      </w:r>
      <w:r w:rsidR="00A15582" w:rsidRPr="0026039D">
        <w:rPr>
          <w:rFonts w:ascii="Calibri" w:hAnsi="Calibri"/>
          <w:szCs w:val="22"/>
          <w:lang w:eastAsia="en-US"/>
        </w:rPr>
        <w:t xml:space="preserve">the </w:t>
      </w:r>
      <w:r w:rsidR="00757977" w:rsidRPr="0026039D">
        <w:rPr>
          <w:rFonts w:ascii="Calibri" w:hAnsi="Calibri"/>
          <w:szCs w:val="22"/>
          <w:lang w:eastAsia="en-US"/>
        </w:rPr>
        <w:t>National Comprehensive Cancer Network (</w:t>
      </w:r>
      <w:r w:rsidR="00A15582" w:rsidRPr="0026039D">
        <w:rPr>
          <w:rFonts w:ascii="Calibri" w:hAnsi="Calibri"/>
          <w:szCs w:val="22"/>
          <w:lang w:eastAsia="en-US"/>
        </w:rPr>
        <w:t>NCCN</w:t>
      </w:r>
      <w:r w:rsidR="00757977" w:rsidRPr="0026039D">
        <w:rPr>
          <w:rFonts w:ascii="Calibri" w:hAnsi="Calibri"/>
          <w:szCs w:val="22"/>
          <w:lang w:eastAsia="en-US"/>
        </w:rPr>
        <w:t>)</w:t>
      </w:r>
      <w:r w:rsidR="00A15582" w:rsidRPr="0026039D">
        <w:rPr>
          <w:rFonts w:ascii="Calibri" w:hAnsi="Calibri"/>
          <w:szCs w:val="22"/>
          <w:lang w:eastAsia="en-US"/>
        </w:rPr>
        <w:t xml:space="preserve"> treatment guidelines</w:t>
      </w:r>
      <w:r w:rsidR="003D68DE" w:rsidRPr="00204310">
        <w:rPr>
          <w:rStyle w:val="FootnoteReference"/>
        </w:rPr>
        <w:footnoteReference w:id="1"/>
      </w:r>
      <w:r w:rsidR="00204310">
        <w:t xml:space="preserve"> </w:t>
      </w:r>
      <w:r w:rsidR="00A15582" w:rsidRPr="0026039D">
        <w:rPr>
          <w:rFonts w:ascii="Calibri" w:hAnsi="Calibri"/>
          <w:szCs w:val="22"/>
          <w:lang w:eastAsia="en-US"/>
        </w:rPr>
        <w:t>place</w:t>
      </w:r>
      <w:r w:rsidR="00805C51">
        <w:rPr>
          <w:rFonts w:ascii="Calibri" w:hAnsi="Calibri"/>
          <w:szCs w:val="22"/>
          <w:lang w:eastAsia="en-US"/>
        </w:rPr>
        <w:t>s</w:t>
      </w:r>
      <w:r w:rsidR="00A15582" w:rsidRPr="0026039D">
        <w:rPr>
          <w:rFonts w:ascii="Calibri" w:hAnsi="Calibri"/>
          <w:szCs w:val="22"/>
          <w:lang w:eastAsia="en-US"/>
        </w:rPr>
        <w:t xml:space="preserve"> entrectinib alongside crizotinib as the preferred first-line treatment for patients with ROS-1 positive NSCLC</w:t>
      </w:r>
      <w:r w:rsidR="00805C51">
        <w:rPr>
          <w:rFonts w:ascii="Calibri" w:hAnsi="Calibri"/>
          <w:szCs w:val="22"/>
          <w:lang w:eastAsia="en-US"/>
        </w:rPr>
        <w:t>,</w:t>
      </w:r>
      <w:r w:rsidR="00A15582" w:rsidRPr="0026039D">
        <w:rPr>
          <w:rFonts w:ascii="Calibri" w:hAnsi="Calibri"/>
          <w:szCs w:val="22"/>
          <w:lang w:eastAsia="en-US"/>
        </w:rPr>
        <w:t xml:space="preserve"> while subsequent</w:t>
      </w:r>
      <w:r w:rsidR="00364730" w:rsidRPr="0026039D">
        <w:rPr>
          <w:rFonts w:ascii="Calibri" w:hAnsi="Calibri"/>
          <w:szCs w:val="22"/>
          <w:lang w:eastAsia="en-US"/>
        </w:rPr>
        <w:t xml:space="preserve"> therapy with</w:t>
      </w:r>
      <w:r w:rsidR="00A15582" w:rsidRPr="0026039D">
        <w:rPr>
          <w:rFonts w:ascii="Calibri" w:hAnsi="Calibri"/>
          <w:szCs w:val="22"/>
          <w:lang w:eastAsia="en-US"/>
        </w:rPr>
        <w:t xml:space="preserve"> o</w:t>
      </w:r>
      <w:r w:rsidR="00274098" w:rsidRPr="0026039D">
        <w:rPr>
          <w:rFonts w:ascii="Calibri" w:hAnsi="Calibri"/>
          <w:szCs w:val="22"/>
          <w:lang w:eastAsia="en-US"/>
        </w:rPr>
        <w:t>ther ROS1 inhibitors is</w:t>
      </w:r>
      <w:r w:rsidR="00364730" w:rsidRPr="0026039D">
        <w:rPr>
          <w:rFonts w:ascii="Calibri" w:hAnsi="Calibri"/>
          <w:szCs w:val="22"/>
          <w:lang w:eastAsia="en-US"/>
        </w:rPr>
        <w:t xml:space="preserve"> not recommended for patients </w:t>
      </w:r>
      <w:r w:rsidR="00835F46" w:rsidRPr="0026039D">
        <w:rPr>
          <w:rFonts w:ascii="Calibri" w:hAnsi="Calibri"/>
          <w:szCs w:val="22"/>
          <w:lang w:eastAsia="en-US"/>
        </w:rPr>
        <w:t xml:space="preserve">with </w:t>
      </w:r>
      <w:r w:rsidR="00364730" w:rsidRPr="0026039D">
        <w:rPr>
          <w:rFonts w:ascii="Calibri" w:hAnsi="Calibri"/>
          <w:szCs w:val="22"/>
          <w:lang w:eastAsia="en-US"/>
        </w:rPr>
        <w:t xml:space="preserve">disease </w:t>
      </w:r>
      <w:r w:rsidR="00835F46" w:rsidRPr="0026039D">
        <w:rPr>
          <w:rFonts w:ascii="Calibri" w:hAnsi="Calibri"/>
          <w:szCs w:val="22"/>
          <w:lang w:eastAsia="en-US"/>
        </w:rPr>
        <w:t>progression</w:t>
      </w:r>
      <w:r w:rsidR="00364730" w:rsidRPr="0026039D">
        <w:rPr>
          <w:rFonts w:ascii="Calibri" w:hAnsi="Calibri"/>
          <w:szCs w:val="22"/>
          <w:lang w:eastAsia="en-US"/>
        </w:rPr>
        <w:t xml:space="preserve"> after treatment with crizotinib or entrectinib. </w:t>
      </w:r>
    </w:p>
    <w:p w14:paraId="4EE19FA0" w14:textId="77777777" w:rsidR="00190E26" w:rsidRPr="0026039D" w:rsidRDefault="00B10F52" w:rsidP="00C42C52">
      <w:pPr>
        <w:pStyle w:val="ListParagraph"/>
        <w:numPr>
          <w:ilvl w:val="1"/>
          <w:numId w:val="1"/>
        </w:numPr>
        <w:spacing w:after="160"/>
      </w:pPr>
      <w:r w:rsidRPr="0026039D">
        <w:lastRenderedPageBreak/>
        <w:t>The submission suggested that similar changes to the clinical criteria for crizotinib for this indication</w:t>
      </w:r>
      <w:r w:rsidR="00073FC6" w:rsidRPr="0026039D">
        <w:t xml:space="preserve"> would be appropriate</w:t>
      </w:r>
      <w:r w:rsidRPr="0026039D">
        <w:t>. Ku et al (2019)</w:t>
      </w:r>
      <w:r w:rsidR="0013311B" w:rsidRPr="00204310">
        <w:rPr>
          <w:rStyle w:val="FootnoteReference"/>
        </w:rPr>
        <w:footnoteReference w:id="2"/>
      </w:r>
      <w:r w:rsidR="0013311B" w:rsidRPr="0026039D">
        <w:t xml:space="preserve"> </w:t>
      </w:r>
      <w:r w:rsidRPr="0026039D">
        <w:t>reported that entrectinib-resistant HCC78 cells exhibited cross-resistance to other ROS1 inhibitors (including crizotinib), and concluded that activation of the RAS signalling pathway can cause entrectinib resistance in ROS1-rearranged NSCLC, which was unlikely to be overcome by sequential single agent ROS1-targeting strategies against such tumours.</w:t>
      </w:r>
      <w:r w:rsidR="00195AF0" w:rsidRPr="0026039D">
        <w:t xml:space="preserve"> </w:t>
      </w:r>
    </w:p>
    <w:p w14:paraId="40B5A6D9" w14:textId="77777777" w:rsidR="00B10F52" w:rsidRPr="0026039D" w:rsidRDefault="00B10F52" w:rsidP="00075F79">
      <w:pPr>
        <w:pStyle w:val="ListParagraph"/>
        <w:numPr>
          <w:ilvl w:val="1"/>
          <w:numId w:val="1"/>
        </w:numPr>
        <w:spacing w:after="160"/>
        <w:rPr>
          <w:iCs/>
        </w:rPr>
      </w:pPr>
      <w:r w:rsidRPr="0026039D">
        <w:t xml:space="preserve">The submission estimated that approximately </w:t>
      </w:r>
      <w:r w:rsidR="00E31DE1">
        <w:t>less than 10,000</w:t>
      </w:r>
      <w:r w:rsidR="00E31DE1" w:rsidRPr="0026039D">
        <w:t xml:space="preserve"> </w:t>
      </w:r>
      <w:r w:rsidRPr="0026039D">
        <w:t>patients from clinical trials and compassionate access programmes would require transfer to PBS eligible treatment.</w:t>
      </w:r>
      <w:r w:rsidR="00C213E0" w:rsidRPr="0026039D">
        <w:rPr>
          <w:iCs/>
        </w:rPr>
        <w:t xml:space="preserve"> T</w:t>
      </w:r>
      <w:r w:rsidRPr="0026039D">
        <w:rPr>
          <w:iCs/>
        </w:rPr>
        <w:t>he</w:t>
      </w:r>
      <w:r w:rsidR="00A775E5" w:rsidRPr="0026039D">
        <w:rPr>
          <w:iCs/>
        </w:rPr>
        <w:t xml:space="preserve"> PBAC considered the</w:t>
      </w:r>
      <w:r w:rsidRPr="0026039D">
        <w:rPr>
          <w:iCs/>
        </w:rPr>
        <w:t xml:space="preserve"> </w:t>
      </w:r>
      <w:r w:rsidR="00075F79" w:rsidRPr="0026039D">
        <w:rPr>
          <w:iCs/>
        </w:rPr>
        <w:t xml:space="preserve">proposed </w:t>
      </w:r>
      <w:r w:rsidRPr="0026039D">
        <w:rPr>
          <w:iCs/>
        </w:rPr>
        <w:t>clinical criteri</w:t>
      </w:r>
      <w:r w:rsidR="00075F79" w:rsidRPr="0026039D">
        <w:rPr>
          <w:iCs/>
        </w:rPr>
        <w:t>a</w:t>
      </w:r>
      <w:r w:rsidRPr="0026039D">
        <w:rPr>
          <w:iCs/>
        </w:rPr>
        <w:t xml:space="preserve"> specifying that ‘patients must not have received prior</w:t>
      </w:r>
      <w:r w:rsidRPr="0026039D">
        <w:t xml:space="preserve"> </w:t>
      </w:r>
      <w:r w:rsidRPr="0026039D">
        <w:rPr>
          <w:iCs/>
        </w:rPr>
        <w:t>treatment with a ROS1 TKI</w:t>
      </w:r>
      <w:r w:rsidR="00075F79" w:rsidRPr="0026039D">
        <w:rPr>
          <w:iCs/>
        </w:rPr>
        <w:t>’;</w:t>
      </w:r>
      <w:r w:rsidRPr="0026039D">
        <w:rPr>
          <w:iCs/>
        </w:rPr>
        <w:t xml:space="preserve"> OR </w:t>
      </w:r>
      <w:r w:rsidR="00075F79" w:rsidRPr="0026039D">
        <w:rPr>
          <w:iCs/>
        </w:rPr>
        <w:t>‘</w:t>
      </w:r>
      <w:r w:rsidRPr="0026039D">
        <w:rPr>
          <w:iCs/>
        </w:rPr>
        <w:t xml:space="preserve">must have developed intolerance to a ROS1 receptor TKI necessitating permanent treatment withdrawal’ </w:t>
      </w:r>
      <w:r w:rsidR="00075F79" w:rsidRPr="0026039D">
        <w:rPr>
          <w:iCs/>
        </w:rPr>
        <w:t xml:space="preserve">be </w:t>
      </w:r>
      <w:r w:rsidR="009833AE" w:rsidRPr="0026039D">
        <w:rPr>
          <w:iCs/>
        </w:rPr>
        <w:t>redundant</w:t>
      </w:r>
      <w:r w:rsidR="00075F79" w:rsidRPr="0026039D">
        <w:rPr>
          <w:iCs/>
        </w:rPr>
        <w:t xml:space="preserve"> for </w:t>
      </w:r>
      <w:r w:rsidR="006D5A4C" w:rsidRPr="0026039D">
        <w:rPr>
          <w:iCs/>
        </w:rPr>
        <w:t xml:space="preserve">the </w:t>
      </w:r>
      <w:r w:rsidR="00075F79" w:rsidRPr="0026039D">
        <w:rPr>
          <w:iCs/>
        </w:rPr>
        <w:t>grandfather</w:t>
      </w:r>
      <w:r w:rsidR="00F47E05">
        <w:rPr>
          <w:iCs/>
        </w:rPr>
        <w:t xml:space="preserve"> </w:t>
      </w:r>
      <w:r w:rsidR="00075F79" w:rsidRPr="0026039D">
        <w:rPr>
          <w:iCs/>
        </w:rPr>
        <w:t>restriction</w:t>
      </w:r>
      <w:r w:rsidRPr="0026039D">
        <w:rPr>
          <w:iCs/>
        </w:rPr>
        <w:t>.</w:t>
      </w:r>
    </w:p>
    <w:p w14:paraId="13CEB7FD" w14:textId="77777777" w:rsidR="00E93BAF" w:rsidRPr="0026039D" w:rsidRDefault="00E93BAF" w:rsidP="00D84DC4">
      <w:pPr>
        <w:pStyle w:val="ListParagraph"/>
        <w:numPr>
          <w:ilvl w:val="1"/>
          <w:numId w:val="1"/>
        </w:numPr>
        <w:spacing w:after="160"/>
      </w:pPr>
      <w:r w:rsidRPr="0026039D">
        <w:t xml:space="preserve">The submission proposed an increase in the number of </w:t>
      </w:r>
      <w:r w:rsidR="0026039D" w:rsidRPr="0026039D">
        <w:t>repeats that</w:t>
      </w:r>
      <w:r w:rsidRPr="0026039D">
        <w:t xml:space="preserve"> would allow patients more flexibility of follow-up with their clinicians. </w:t>
      </w:r>
      <w:r w:rsidR="00113078" w:rsidRPr="0026039D">
        <w:t xml:space="preserve">The ESC noted the PBAC has previously recommended an increase in the number of repeats for the alectinib, ceritinib and crizotinib </w:t>
      </w:r>
      <w:r w:rsidR="00093D0E" w:rsidRPr="0026039D">
        <w:t xml:space="preserve">ALK-positive </w:t>
      </w:r>
      <w:r w:rsidR="00113078" w:rsidRPr="0026039D">
        <w:t>NSCLC listings from 1 to 3 in both initial and continuing treatment phases</w:t>
      </w:r>
      <w:r w:rsidR="00113078" w:rsidRPr="0026039D">
        <w:rPr>
          <w:rStyle w:val="FootnoteReference"/>
        </w:rPr>
        <w:footnoteReference w:id="3"/>
      </w:r>
      <w:r w:rsidR="00113078" w:rsidRPr="0026039D">
        <w:t>.</w:t>
      </w:r>
    </w:p>
    <w:p w14:paraId="7C7520A0" w14:textId="77777777" w:rsidR="006D5A4C" w:rsidRPr="0026039D" w:rsidRDefault="006D5A4C" w:rsidP="006D5A4C">
      <w:pPr>
        <w:pStyle w:val="3-BodyText"/>
        <w:rPr>
          <w:iCs/>
        </w:rPr>
      </w:pPr>
      <w:r w:rsidRPr="0026039D">
        <w:rPr>
          <w:iCs/>
        </w:rPr>
        <w:t>The submission stated that a streamlined co-dependent submission was lodged concurrently with MSAC, requesting a minor amendment to MBS item 73344 to allow testing for a ROS1 gene rearrangement for access to entrectinib. The current and proposed amendment to the MBS listing for ROS1 fluorescence in situ hybridisation (FISH) testing under Item 73344 are summarised below.</w:t>
      </w:r>
    </w:p>
    <w:p w14:paraId="34719169" w14:textId="77777777" w:rsidR="00B10F52" w:rsidRPr="0026039D" w:rsidRDefault="00B10F52" w:rsidP="00400BC1">
      <w:pPr>
        <w:pStyle w:val="TableHeading"/>
      </w:pPr>
      <w:r w:rsidRPr="0026039D">
        <w:t xml:space="preserve">Table </w:t>
      </w:r>
      <w:r w:rsidR="00871462" w:rsidRPr="0026039D">
        <w:t>2</w:t>
      </w:r>
      <w:r w:rsidRPr="0026039D">
        <w:t>: Current and proposed amendment to MBS listing for ROS1 FISH testing under item 73344</w:t>
      </w:r>
    </w:p>
    <w:tbl>
      <w:tblPr>
        <w:tblStyle w:val="TableGrid"/>
        <w:tblW w:w="5000" w:type="pct"/>
        <w:tblLook w:val="04A0" w:firstRow="1" w:lastRow="0" w:firstColumn="1" w:lastColumn="0" w:noHBand="0" w:noVBand="1"/>
        <w:tblCaption w:val="Table 2: Current and proposed amendment to MBS listing for ROS1 FISH testing under item 73344"/>
        <w:tblDescription w:val="Table 2: Current and proposed amendment to MBS listing for ROS1 FISH testing under item 73344"/>
      </w:tblPr>
      <w:tblGrid>
        <w:gridCol w:w="9017"/>
      </w:tblGrid>
      <w:tr w:rsidR="00B10F52" w:rsidRPr="0026039D" w14:paraId="67E783D6" w14:textId="77777777" w:rsidTr="0041158C">
        <w:trPr>
          <w:tblHeader/>
        </w:trPr>
        <w:tc>
          <w:tcPr>
            <w:tcW w:w="5000" w:type="pct"/>
          </w:tcPr>
          <w:p w14:paraId="03E44995" w14:textId="77777777" w:rsidR="00B10F52" w:rsidRPr="0026039D" w:rsidRDefault="00B10F52" w:rsidP="009D63F1">
            <w:pPr>
              <w:pStyle w:val="TableText0"/>
            </w:pPr>
            <w:r w:rsidRPr="0026039D">
              <w:t>Category 6 – PATHOLOGY SERVICES</w:t>
            </w:r>
          </w:p>
        </w:tc>
      </w:tr>
      <w:tr w:rsidR="00B10F52" w:rsidRPr="0026039D" w14:paraId="43B8E163" w14:textId="77777777" w:rsidTr="00B41A01">
        <w:tc>
          <w:tcPr>
            <w:tcW w:w="5000" w:type="pct"/>
          </w:tcPr>
          <w:p w14:paraId="37B9971D" w14:textId="77777777" w:rsidR="00B10F52" w:rsidRPr="0026039D" w:rsidRDefault="00B10F52" w:rsidP="009D63F1">
            <w:pPr>
              <w:pStyle w:val="TableText0"/>
            </w:pPr>
            <w:r w:rsidRPr="0026039D">
              <w:t>MBS item: 73344</w:t>
            </w:r>
          </w:p>
          <w:p w14:paraId="65E6FC5D" w14:textId="77777777" w:rsidR="00B10F52" w:rsidRPr="0026039D" w:rsidRDefault="00B10F52" w:rsidP="009D63F1">
            <w:pPr>
              <w:pStyle w:val="TableText0"/>
            </w:pPr>
          </w:p>
          <w:p w14:paraId="696C6AE7" w14:textId="77777777" w:rsidR="00B10F52" w:rsidRPr="0026039D" w:rsidRDefault="00B10F52" w:rsidP="009D63F1">
            <w:pPr>
              <w:pStyle w:val="TableText0"/>
            </w:pPr>
            <w:r w:rsidRPr="0026039D">
              <w:t xml:space="preserve">Fluorescence in situ hybridization (FISH) test of tumour tissue from a patient with locally advanced or metastatic non-small-cell lung cancer (NSCLC), which is of non-squamous histology or histology not otherwise specified, with documented evidence of ROS proto-oncogene 1 (ROS1) immunoreactivity by immunohistochemical (IHC) examination giving a staining intensity score of 2+ or 3+; and with documented absence of both activating mutations of the epidermal growth factor receptor (EGFR) gene and anaplastic lymphoma kinase (ALK) immunoreactivity by IHC, requested by a specialist or consultant physician to determine if requirements relating to ROS1 gene rearrangement status for access to crizotinib or </w:t>
            </w:r>
            <w:r w:rsidRPr="0026039D">
              <w:rPr>
                <w:iCs/>
              </w:rPr>
              <w:t>entrectinib</w:t>
            </w:r>
            <w:r w:rsidRPr="0026039D">
              <w:t xml:space="preserve"> under the Pharmaceutical Benefits Scheme are fulfilled.</w:t>
            </w:r>
          </w:p>
          <w:p w14:paraId="7F4E0811" w14:textId="77777777" w:rsidR="00B10F52" w:rsidRPr="0026039D" w:rsidRDefault="00B10F52" w:rsidP="009D63F1">
            <w:pPr>
              <w:pStyle w:val="TableText0"/>
            </w:pPr>
          </w:p>
          <w:p w14:paraId="6F986072" w14:textId="77777777" w:rsidR="00B10F52" w:rsidRPr="0026039D" w:rsidRDefault="00B10F52" w:rsidP="009D63F1">
            <w:pPr>
              <w:pStyle w:val="TableText0"/>
            </w:pPr>
            <w:r w:rsidRPr="0026039D">
              <w:t>Fee</w:t>
            </w:r>
            <w:r w:rsidRPr="0026039D">
              <w:rPr>
                <w:b/>
              </w:rPr>
              <w:t>:</w:t>
            </w:r>
            <w:r w:rsidRPr="0026039D">
              <w:t xml:space="preserve"> $400.00 Benefit: 75% = $300.00  85% = $340.00</w:t>
            </w:r>
          </w:p>
        </w:tc>
      </w:tr>
    </w:tbl>
    <w:p w14:paraId="26AB6311" w14:textId="77777777" w:rsidR="00B10F52" w:rsidRPr="0026039D" w:rsidRDefault="00B10F52" w:rsidP="00B10F52">
      <w:pPr>
        <w:pStyle w:val="TableFigureFooter"/>
      </w:pPr>
      <w:r w:rsidRPr="0026039D">
        <w:t>Source: Table 1.8, p29 of the submission.</w:t>
      </w:r>
    </w:p>
    <w:p w14:paraId="18043D53" w14:textId="77777777" w:rsidR="006735AF" w:rsidRPr="0026039D" w:rsidRDefault="006735AF" w:rsidP="006735AF">
      <w:pPr>
        <w:pStyle w:val="3-BodyText"/>
        <w:numPr>
          <w:ilvl w:val="0"/>
          <w:numId w:val="0"/>
        </w:numPr>
        <w:ind w:left="720"/>
        <w:rPr>
          <w:i/>
          <w:iCs/>
        </w:rPr>
      </w:pPr>
      <w:r w:rsidRPr="0026039D">
        <w:rPr>
          <w:i/>
          <w:iCs/>
        </w:rPr>
        <w:t>For more detail on PBAC’s view, see section 7 PBAC outcome.</w:t>
      </w:r>
    </w:p>
    <w:p w14:paraId="75B14AD4" w14:textId="77777777" w:rsidR="00B10F52" w:rsidRPr="0026039D" w:rsidRDefault="00B10F52" w:rsidP="00B10F52">
      <w:pPr>
        <w:pStyle w:val="2-SectionHeading"/>
      </w:pPr>
      <w:bookmarkStart w:id="7" w:name="_Toc30597568"/>
      <w:r w:rsidRPr="0026039D">
        <w:lastRenderedPageBreak/>
        <w:t>Population and disease</w:t>
      </w:r>
      <w:bookmarkEnd w:id="7"/>
    </w:p>
    <w:p w14:paraId="2D909144" w14:textId="77777777" w:rsidR="00B10F52" w:rsidRPr="0026039D" w:rsidRDefault="00B10F52" w:rsidP="001973AD">
      <w:pPr>
        <w:pStyle w:val="ListParagraph"/>
        <w:numPr>
          <w:ilvl w:val="1"/>
          <w:numId w:val="1"/>
        </w:numPr>
        <w:spacing w:after="160"/>
      </w:pPr>
      <w:r w:rsidRPr="0026039D">
        <w:t xml:space="preserve">Patients with ROS1-positive rearranged non-squamous or NOS NSCLC comprise approximately 1-2% of patients with NSCLC. The ROS1 gene fusion in NSCLC occurs predominantly in younger patients, females, patients who have never smoked and those of Asian ethnicity. </w:t>
      </w:r>
      <w:r w:rsidR="005E63E4" w:rsidRPr="0026039D">
        <w:t>For patients with advanced ROS1-positive NSCLC, reported central nervous system (CNS) metastasis incidence rates are high (36%) at diagnosis and associated with a poorer prognosis and quality of life.</w:t>
      </w:r>
    </w:p>
    <w:p w14:paraId="1E21A70F" w14:textId="77777777" w:rsidR="00B10F52" w:rsidRPr="0026039D" w:rsidRDefault="00B10F52" w:rsidP="001973AD">
      <w:pPr>
        <w:pStyle w:val="ListParagraph"/>
        <w:numPr>
          <w:ilvl w:val="1"/>
          <w:numId w:val="1"/>
        </w:numPr>
        <w:spacing w:after="160"/>
      </w:pPr>
      <w:r w:rsidRPr="0026039D">
        <w:t xml:space="preserve">Mutation detection, including ROS1, is standard of care for treatment selection in NSCLC patients. In Australia, immunohistochemistry (IHC) testing for ROS1 overexpression is </w:t>
      </w:r>
      <w:r w:rsidR="003F28FD" w:rsidRPr="0026039D">
        <w:t xml:space="preserve">performed </w:t>
      </w:r>
      <w:r w:rsidRPr="0026039D">
        <w:t xml:space="preserve">sequentially after normal epidermal growth factor receptor test results and normal ALK test results. If ROS1 overexpression is detected by IHC, a MBS funded FISH test </w:t>
      </w:r>
      <w:r w:rsidR="00863FFD" w:rsidRPr="0026039D">
        <w:t xml:space="preserve">(MBS item 73344) </w:t>
      </w:r>
      <w:r w:rsidRPr="0026039D">
        <w:t>is conducted to confirm ROS1-rearrangement status and enable access to targeted crizotinib therap</w:t>
      </w:r>
      <w:r w:rsidR="00863FFD" w:rsidRPr="0026039D">
        <w:t>y under the PBS</w:t>
      </w:r>
      <w:r w:rsidRPr="0026039D">
        <w:t>.</w:t>
      </w:r>
    </w:p>
    <w:p w14:paraId="0C12BDA0" w14:textId="77777777" w:rsidR="00B10F52" w:rsidRPr="0026039D" w:rsidRDefault="00B10F52" w:rsidP="001973AD">
      <w:pPr>
        <w:pStyle w:val="ListParagraph"/>
        <w:numPr>
          <w:ilvl w:val="1"/>
          <w:numId w:val="1"/>
        </w:numPr>
        <w:spacing w:after="160"/>
      </w:pPr>
      <w:r w:rsidRPr="0026039D">
        <w:t>The submission proposed entrectinib as an alternative treatment to crizotinib.</w:t>
      </w:r>
    </w:p>
    <w:p w14:paraId="46014811" w14:textId="77777777" w:rsidR="00F446C6" w:rsidRPr="0026039D" w:rsidRDefault="005E63E4" w:rsidP="001973AD">
      <w:pPr>
        <w:pStyle w:val="ListParagraph"/>
        <w:numPr>
          <w:ilvl w:val="1"/>
          <w:numId w:val="1"/>
        </w:numPr>
        <w:spacing w:after="160"/>
        <w:rPr>
          <w:iCs/>
        </w:rPr>
      </w:pPr>
      <w:r w:rsidRPr="0026039D">
        <w:t>The submission claimed that there was an unmet need for an alternative ROS1 inhibitor with both systemic and demonstrated durable CNS activity, and that entrectinib has demonstrated both clinically meaningful systemic efficacy, and CNS activity</w:t>
      </w:r>
      <w:r w:rsidR="00073FC6" w:rsidRPr="0026039D">
        <w:t>,</w:t>
      </w:r>
      <w:r w:rsidRPr="0026039D">
        <w:t xml:space="preserve"> with durable intracranial objective responses.</w:t>
      </w:r>
      <w:r w:rsidR="00B0054A" w:rsidRPr="0026039D">
        <w:t xml:space="preserve"> </w:t>
      </w:r>
      <w:r w:rsidR="006A4DDA" w:rsidRPr="0026039D">
        <w:t xml:space="preserve">A key factor </w:t>
      </w:r>
      <w:r w:rsidR="002F1A8F" w:rsidRPr="0026039D">
        <w:t xml:space="preserve">given in the submission for </w:t>
      </w:r>
      <w:r w:rsidR="006A4DDA" w:rsidRPr="0026039D">
        <w:t xml:space="preserve">the rationale for </w:t>
      </w:r>
      <w:r w:rsidR="00932958" w:rsidRPr="0026039D">
        <w:t>listing entrectinib related to its CNS activity. While there was some data supporting the intracranial efficacy of entrectinib, in the absence of equivalent data for crizotinib, there was no comparative</w:t>
      </w:r>
      <w:r w:rsidR="00932958" w:rsidRPr="0026039D">
        <w:rPr>
          <w:iCs/>
        </w:rPr>
        <w:t xml:space="preserve"> clinical evidence that entrectinib conferred any additional benefit over crizotinib in patients with CNS metastases</w:t>
      </w:r>
      <w:r w:rsidR="004F6A0B" w:rsidRPr="0026039D">
        <w:rPr>
          <w:iCs/>
        </w:rPr>
        <w:t>.</w:t>
      </w:r>
      <w:r w:rsidR="00F50289" w:rsidRPr="0026039D">
        <w:rPr>
          <w:iCs/>
        </w:rPr>
        <w:t xml:space="preserve"> </w:t>
      </w:r>
      <w:r w:rsidR="009B7244" w:rsidRPr="0026039D">
        <w:rPr>
          <w:iCs/>
        </w:rPr>
        <w:t xml:space="preserve">The ESC </w:t>
      </w:r>
      <w:r w:rsidR="007063AF" w:rsidRPr="0026039D">
        <w:rPr>
          <w:iCs/>
        </w:rPr>
        <w:t xml:space="preserve">noted there was insufficient data to ascertain </w:t>
      </w:r>
      <w:r w:rsidR="00420B69" w:rsidRPr="0026039D">
        <w:rPr>
          <w:iCs/>
        </w:rPr>
        <w:t>any</w:t>
      </w:r>
      <w:r w:rsidR="007063AF" w:rsidRPr="0026039D">
        <w:rPr>
          <w:iCs/>
        </w:rPr>
        <w:t xml:space="preserve"> magnitude of incremental benefit</w:t>
      </w:r>
      <w:r w:rsidR="004F6A0B" w:rsidRPr="0026039D">
        <w:rPr>
          <w:iCs/>
        </w:rPr>
        <w:t xml:space="preserve"> compared to crizotinib</w:t>
      </w:r>
      <w:r w:rsidR="007063AF" w:rsidRPr="0026039D">
        <w:rPr>
          <w:iCs/>
        </w:rPr>
        <w:t xml:space="preserve"> in relation to CNS metastases</w:t>
      </w:r>
      <w:r w:rsidR="00420B69" w:rsidRPr="0026039D">
        <w:rPr>
          <w:iCs/>
        </w:rPr>
        <w:t xml:space="preserve">. However, the ESC </w:t>
      </w:r>
      <w:r w:rsidR="004F6A0B" w:rsidRPr="0026039D">
        <w:rPr>
          <w:iCs/>
        </w:rPr>
        <w:t xml:space="preserve">noted the evidence presented for entrectinib </w:t>
      </w:r>
      <w:r w:rsidR="0036660C" w:rsidRPr="0026039D">
        <w:rPr>
          <w:iCs/>
        </w:rPr>
        <w:t xml:space="preserve">may be suggestive </w:t>
      </w:r>
      <w:r w:rsidR="004F6A0B" w:rsidRPr="0026039D">
        <w:rPr>
          <w:iCs/>
        </w:rPr>
        <w:t xml:space="preserve">of CNS activity </w:t>
      </w:r>
      <w:r w:rsidR="00C82B73" w:rsidRPr="0026039D">
        <w:rPr>
          <w:iCs/>
        </w:rPr>
        <w:t>and</w:t>
      </w:r>
      <w:r w:rsidR="00CA503E" w:rsidRPr="0026039D">
        <w:rPr>
          <w:iCs/>
        </w:rPr>
        <w:t xml:space="preserve"> not</w:t>
      </w:r>
      <w:r w:rsidR="00A41EC9" w:rsidRPr="0026039D">
        <w:rPr>
          <w:iCs/>
        </w:rPr>
        <w:t>ed</w:t>
      </w:r>
      <w:r w:rsidR="00CA503E" w:rsidRPr="0026039D">
        <w:rPr>
          <w:iCs/>
        </w:rPr>
        <w:t xml:space="preserve"> </w:t>
      </w:r>
      <w:r w:rsidR="00A41EC9" w:rsidRPr="0026039D">
        <w:rPr>
          <w:iCs/>
        </w:rPr>
        <w:t xml:space="preserve">that </w:t>
      </w:r>
      <w:r w:rsidR="00CA503E" w:rsidRPr="0026039D">
        <w:rPr>
          <w:iCs/>
        </w:rPr>
        <w:t>CNS penetration of crizotinib is poor</w:t>
      </w:r>
      <w:r w:rsidR="00420B69" w:rsidRPr="0026039D">
        <w:rPr>
          <w:iCs/>
        </w:rPr>
        <w:t>.</w:t>
      </w:r>
      <w:r w:rsidR="009B7244" w:rsidRPr="0026039D">
        <w:rPr>
          <w:iCs/>
        </w:rPr>
        <w:t xml:space="preserve"> </w:t>
      </w:r>
    </w:p>
    <w:p w14:paraId="3A367CB5" w14:textId="77777777" w:rsidR="00DD4F98" w:rsidRPr="0026039D" w:rsidRDefault="00DD4F98" w:rsidP="00F15476">
      <w:pPr>
        <w:pStyle w:val="3-BodyText"/>
        <w:numPr>
          <w:ilvl w:val="0"/>
          <w:numId w:val="0"/>
        </w:numPr>
        <w:ind w:left="720"/>
        <w:rPr>
          <w:i/>
          <w:iCs/>
        </w:rPr>
      </w:pPr>
      <w:r w:rsidRPr="0026039D">
        <w:rPr>
          <w:i/>
          <w:iCs/>
        </w:rPr>
        <w:t>For more detail on PBAC’s view, see section 7 PBAC outcome.</w:t>
      </w:r>
    </w:p>
    <w:p w14:paraId="575AFF00" w14:textId="77777777" w:rsidR="00B10F52" w:rsidRPr="0026039D" w:rsidRDefault="00B10F52" w:rsidP="00B10F52">
      <w:pPr>
        <w:pStyle w:val="2-SectionHeading"/>
      </w:pPr>
      <w:bookmarkStart w:id="8" w:name="_Toc30597569"/>
      <w:r w:rsidRPr="0026039D">
        <w:t>Comparator</w:t>
      </w:r>
      <w:bookmarkEnd w:id="8"/>
    </w:p>
    <w:p w14:paraId="58F57545" w14:textId="77777777" w:rsidR="00B10F52" w:rsidRPr="0026039D" w:rsidRDefault="00B10F52" w:rsidP="001973AD">
      <w:pPr>
        <w:pStyle w:val="ListParagraph"/>
        <w:numPr>
          <w:ilvl w:val="1"/>
          <w:numId w:val="1"/>
        </w:numPr>
        <w:spacing w:after="160"/>
        <w:rPr>
          <w:iCs/>
          <w:snapToGrid/>
        </w:rPr>
      </w:pPr>
      <w:r w:rsidRPr="0026039D">
        <w:t xml:space="preserve">The submission nominated crizotinib as the main comparator. </w:t>
      </w:r>
      <w:r w:rsidR="00097958" w:rsidRPr="0026039D">
        <w:rPr>
          <w:iCs/>
        </w:rPr>
        <w:t xml:space="preserve">The </w:t>
      </w:r>
      <w:r w:rsidR="00787A7E" w:rsidRPr="0026039D">
        <w:rPr>
          <w:iCs/>
        </w:rPr>
        <w:t>PBAC</w:t>
      </w:r>
      <w:r w:rsidR="00097958" w:rsidRPr="0026039D">
        <w:rPr>
          <w:iCs/>
        </w:rPr>
        <w:t xml:space="preserve"> considered crizotinib </w:t>
      </w:r>
      <w:r w:rsidR="00C01D5D" w:rsidRPr="0026039D">
        <w:rPr>
          <w:iCs/>
        </w:rPr>
        <w:t xml:space="preserve">to </w:t>
      </w:r>
      <w:r w:rsidR="00097958" w:rsidRPr="0026039D">
        <w:rPr>
          <w:iCs/>
        </w:rPr>
        <w:t xml:space="preserve">be the appropriate comparator. </w:t>
      </w:r>
    </w:p>
    <w:p w14:paraId="5BA0C2D6" w14:textId="77777777" w:rsidR="00DA4031" w:rsidRPr="0026039D" w:rsidRDefault="00833607" w:rsidP="00DA4031">
      <w:pPr>
        <w:rPr>
          <w:i/>
          <w:iCs/>
        </w:rPr>
      </w:pPr>
      <w:r w:rsidRPr="0026039D">
        <w:rPr>
          <w:i/>
          <w:iCs/>
        </w:rPr>
        <w:tab/>
      </w:r>
      <w:r w:rsidR="00DA4031" w:rsidRPr="0026039D">
        <w:rPr>
          <w:i/>
          <w:iCs/>
        </w:rPr>
        <w:t>For more detail on PBAC’s view, see section 7 PBAC outcome.</w:t>
      </w:r>
    </w:p>
    <w:p w14:paraId="415F85BA" w14:textId="77777777" w:rsidR="00B10F52" w:rsidRPr="0026039D" w:rsidRDefault="00B10F52" w:rsidP="00B10F52">
      <w:pPr>
        <w:pStyle w:val="2-SectionHeading"/>
      </w:pPr>
      <w:bookmarkStart w:id="9" w:name="_Toc30597570"/>
      <w:bookmarkStart w:id="10" w:name="_Toc22897640"/>
      <w:r w:rsidRPr="0026039D">
        <w:t>Consideration of the evidence</w:t>
      </w:r>
      <w:bookmarkEnd w:id="9"/>
    </w:p>
    <w:p w14:paraId="0899FF53" w14:textId="77777777" w:rsidR="009C4D61" w:rsidRPr="0026039D" w:rsidRDefault="009C4D61" w:rsidP="009C4D61">
      <w:pPr>
        <w:pStyle w:val="4-SubsectionHeading"/>
      </w:pPr>
      <w:r w:rsidRPr="0026039D">
        <w:t>Sponsor hearing</w:t>
      </w:r>
    </w:p>
    <w:p w14:paraId="16E4C2F6" w14:textId="77777777" w:rsidR="009C4D61" w:rsidRPr="0026039D" w:rsidRDefault="009C4D61" w:rsidP="001973AD">
      <w:pPr>
        <w:pStyle w:val="ListParagraph"/>
        <w:numPr>
          <w:ilvl w:val="1"/>
          <w:numId w:val="1"/>
        </w:numPr>
        <w:spacing w:after="160"/>
        <w:rPr>
          <w:snapToGrid/>
        </w:rPr>
      </w:pPr>
      <w:r w:rsidRPr="0026039D">
        <w:rPr>
          <w:snapToGrid/>
        </w:rPr>
        <w:t xml:space="preserve">There was no hearing for this item. </w:t>
      </w:r>
    </w:p>
    <w:p w14:paraId="6118067F" w14:textId="77777777" w:rsidR="007330A4" w:rsidRPr="0026039D" w:rsidRDefault="007330A4" w:rsidP="007330A4">
      <w:pPr>
        <w:pStyle w:val="4-SubsectionHeading"/>
        <w:rPr>
          <w:b w:val="0"/>
          <w:bCs/>
          <w:i w:val="0"/>
          <w:iCs/>
        </w:rPr>
      </w:pPr>
      <w:r w:rsidRPr="0026039D">
        <w:lastRenderedPageBreak/>
        <w:t>Consumer comments</w:t>
      </w:r>
    </w:p>
    <w:p w14:paraId="71BE19A4" w14:textId="77777777" w:rsidR="007330A4" w:rsidRPr="0026039D" w:rsidRDefault="007330A4" w:rsidP="00ED3F2A">
      <w:pPr>
        <w:pStyle w:val="ListParagraph"/>
        <w:numPr>
          <w:ilvl w:val="1"/>
          <w:numId w:val="1"/>
        </w:numPr>
        <w:spacing w:after="160"/>
        <w:rPr>
          <w:snapToGrid/>
        </w:rPr>
      </w:pPr>
      <w:r w:rsidRPr="0026039D">
        <w:rPr>
          <w:snapToGrid/>
        </w:rPr>
        <w:t>The PBAC noted and welcomed the input from individuals (</w:t>
      </w:r>
      <w:r w:rsidR="00A06530" w:rsidRPr="0026039D">
        <w:rPr>
          <w:snapToGrid/>
        </w:rPr>
        <w:t>6</w:t>
      </w:r>
      <w:r w:rsidRPr="0026039D">
        <w:rPr>
          <w:snapToGrid/>
        </w:rPr>
        <w:t>) and organisations (</w:t>
      </w:r>
      <w:r w:rsidR="00C85B95" w:rsidRPr="0026039D">
        <w:rPr>
          <w:snapToGrid/>
        </w:rPr>
        <w:t>4</w:t>
      </w:r>
      <w:r w:rsidRPr="0026039D">
        <w:rPr>
          <w:snapToGrid/>
        </w:rPr>
        <w:t>) via the Consumer Comment</w:t>
      </w:r>
      <w:r w:rsidR="009575CF" w:rsidRPr="0026039D">
        <w:rPr>
          <w:snapToGrid/>
        </w:rPr>
        <w:t>s facility on the PBS website</w:t>
      </w:r>
      <w:r w:rsidR="006116F7" w:rsidRPr="0026039D">
        <w:rPr>
          <w:snapToGrid/>
        </w:rPr>
        <w:t>.</w:t>
      </w:r>
      <w:r w:rsidR="00DF578F" w:rsidRPr="0026039D">
        <w:rPr>
          <w:snapToGrid/>
        </w:rPr>
        <w:t xml:space="preserve"> </w:t>
      </w:r>
      <w:r w:rsidR="006116F7" w:rsidRPr="0026039D">
        <w:rPr>
          <w:snapToGrid/>
        </w:rPr>
        <w:t>The comments</w:t>
      </w:r>
      <w:r w:rsidR="00DF578F" w:rsidRPr="0026039D">
        <w:rPr>
          <w:snapToGrid/>
        </w:rPr>
        <w:t xml:space="preserve"> were supportive of a listing</w:t>
      </w:r>
      <w:r w:rsidR="006116F7" w:rsidRPr="0026039D">
        <w:rPr>
          <w:snapToGrid/>
        </w:rPr>
        <w:t xml:space="preserve"> </w:t>
      </w:r>
      <w:r w:rsidR="00A31F5F" w:rsidRPr="0026039D">
        <w:rPr>
          <w:snapToGrid/>
        </w:rPr>
        <w:t>for entrectinib on the PBS and</w:t>
      </w:r>
      <w:r w:rsidR="00DF578F" w:rsidRPr="0026039D">
        <w:rPr>
          <w:snapToGrid/>
        </w:rPr>
        <w:t xml:space="preserve"> emphasised</w:t>
      </w:r>
      <w:r w:rsidR="00A31F5F" w:rsidRPr="0026039D">
        <w:rPr>
          <w:snapToGrid/>
        </w:rPr>
        <w:t xml:space="preserve"> the need for </w:t>
      </w:r>
      <w:r w:rsidR="00ED3F2A" w:rsidRPr="0026039D">
        <w:rPr>
          <w:snapToGrid/>
        </w:rPr>
        <w:t xml:space="preserve">alternative </w:t>
      </w:r>
      <w:r w:rsidR="00A31F5F" w:rsidRPr="0026039D">
        <w:rPr>
          <w:snapToGrid/>
        </w:rPr>
        <w:t xml:space="preserve">treatment options </w:t>
      </w:r>
      <w:r w:rsidR="00DF578F" w:rsidRPr="0026039D">
        <w:rPr>
          <w:snapToGrid/>
        </w:rPr>
        <w:t>for</w:t>
      </w:r>
      <w:r w:rsidR="00A31F5F" w:rsidRPr="0026039D">
        <w:rPr>
          <w:snapToGrid/>
        </w:rPr>
        <w:t xml:space="preserve"> patients</w:t>
      </w:r>
      <w:r w:rsidR="00D72ED6" w:rsidRPr="0026039D">
        <w:rPr>
          <w:snapToGrid/>
        </w:rPr>
        <w:t xml:space="preserve"> with ROS1-</w:t>
      </w:r>
      <w:r w:rsidR="00DF578F" w:rsidRPr="0026039D">
        <w:rPr>
          <w:snapToGrid/>
        </w:rPr>
        <w:t>positive NSCLC</w:t>
      </w:r>
      <w:r w:rsidR="00D72ED6" w:rsidRPr="0026039D">
        <w:rPr>
          <w:snapToGrid/>
        </w:rPr>
        <w:t xml:space="preserve">, particularly where patients are </w:t>
      </w:r>
      <w:r w:rsidR="00ED3F2A" w:rsidRPr="0026039D">
        <w:rPr>
          <w:snapToGrid/>
        </w:rPr>
        <w:t xml:space="preserve">unsuitable or </w:t>
      </w:r>
      <w:r w:rsidR="00D72ED6" w:rsidRPr="0026039D">
        <w:rPr>
          <w:snapToGrid/>
        </w:rPr>
        <w:t>intolerant to current treatment</w:t>
      </w:r>
      <w:r w:rsidR="00A31F5F" w:rsidRPr="0026039D">
        <w:rPr>
          <w:snapToGrid/>
        </w:rPr>
        <w:t xml:space="preserve">. </w:t>
      </w:r>
      <w:r w:rsidRPr="0026039D">
        <w:rPr>
          <w:snapToGrid/>
        </w:rPr>
        <w:t>The comments described a range of benefits of</w:t>
      </w:r>
      <w:r w:rsidR="00D5510C" w:rsidRPr="0026039D">
        <w:rPr>
          <w:snapToGrid/>
        </w:rPr>
        <w:t xml:space="preserve"> </w:t>
      </w:r>
      <w:r w:rsidR="00EA2DC1" w:rsidRPr="0026039D">
        <w:rPr>
          <w:snapToGrid/>
        </w:rPr>
        <w:t xml:space="preserve">targeted </w:t>
      </w:r>
      <w:r w:rsidR="00D5510C" w:rsidRPr="0026039D">
        <w:rPr>
          <w:snapToGrid/>
        </w:rPr>
        <w:t xml:space="preserve">treatment </w:t>
      </w:r>
      <w:r w:rsidRPr="0026039D">
        <w:rPr>
          <w:snapToGrid/>
        </w:rPr>
        <w:t xml:space="preserve">with </w:t>
      </w:r>
      <w:r w:rsidR="00C65DE2" w:rsidRPr="0026039D">
        <w:rPr>
          <w:snapToGrid/>
        </w:rPr>
        <w:t>entrectinib</w:t>
      </w:r>
      <w:r w:rsidR="00EA2DC1" w:rsidRPr="0026039D">
        <w:rPr>
          <w:snapToGrid/>
        </w:rPr>
        <w:t>,</w:t>
      </w:r>
      <w:r w:rsidR="00C65DE2" w:rsidRPr="0026039D">
        <w:rPr>
          <w:snapToGrid/>
        </w:rPr>
        <w:t xml:space="preserve"> </w:t>
      </w:r>
      <w:r w:rsidRPr="0026039D">
        <w:rPr>
          <w:snapToGrid/>
        </w:rPr>
        <w:t>including</w:t>
      </w:r>
      <w:r w:rsidR="00D5510C" w:rsidRPr="0026039D">
        <w:rPr>
          <w:snapToGrid/>
        </w:rPr>
        <w:t xml:space="preserve"> </w:t>
      </w:r>
      <w:r w:rsidR="00142E36" w:rsidRPr="0026039D">
        <w:rPr>
          <w:snapToGrid/>
        </w:rPr>
        <w:t>prolonged</w:t>
      </w:r>
      <w:r w:rsidR="00D5510C" w:rsidRPr="0026039D">
        <w:rPr>
          <w:snapToGrid/>
        </w:rPr>
        <w:t xml:space="preserve"> survival, improved </w:t>
      </w:r>
      <w:r w:rsidR="00A222D4" w:rsidRPr="0026039D">
        <w:rPr>
          <w:snapToGrid/>
        </w:rPr>
        <w:t>quality of life</w:t>
      </w:r>
      <w:r w:rsidR="00A4745F" w:rsidRPr="0026039D">
        <w:rPr>
          <w:snapToGrid/>
        </w:rPr>
        <w:t>, reduced hospital visits</w:t>
      </w:r>
      <w:r w:rsidR="00142E36" w:rsidRPr="0026039D">
        <w:rPr>
          <w:snapToGrid/>
        </w:rPr>
        <w:t xml:space="preserve"> due to</w:t>
      </w:r>
      <w:r w:rsidR="00931309" w:rsidRPr="0026039D">
        <w:rPr>
          <w:snapToGrid/>
        </w:rPr>
        <w:t xml:space="preserve"> </w:t>
      </w:r>
      <w:r w:rsidR="00D72ED6" w:rsidRPr="0026039D">
        <w:rPr>
          <w:snapToGrid/>
        </w:rPr>
        <w:t>more tolerable side effects</w:t>
      </w:r>
      <w:r w:rsidR="00A4745F" w:rsidRPr="0026039D">
        <w:rPr>
          <w:snapToGrid/>
        </w:rPr>
        <w:t xml:space="preserve"> </w:t>
      </w:r>
      <w:r w:rsidR="007E03F0" w:rsidRPr="0026039D">
        <w:rPr>
          <w:snapToGrid/>
        </w:rPr>
        <w:t xml:space="preserve">compared to </w:t>
      </w:r>
      <w:r w:rsidR="00931309" w:rsidRPr="0026039D">
        <w:rPr>
          <w:snapToGrid/>
        </w:rPr>
        <w:t>chemotherapy</w:t>
      </w:r>
      <w:r w:rsidRPr="0026039D">
        <w:rPr>
          <w:snapToGrid/>
        </w:rPr>
        <w:t>,</w:t>
      </w:r>
      <w:r w:rsidR="009575CF" w:rsidRPr="0026039D">
        <w:rPr>
          <w:snapToGrid/>
        </w:rPr>
        <w:t xml:space="preserve"> </w:t>
      </w:r>
      <w:r w:rsidR="002404FE" w:rsidRPr="0026039D">
        <w:rPr>
          <w:snapToGrid/>
        </w:rPr>
        <w:t xml:space="preserve">and </w:t>
      </w:r>
      <w:r w:rsidR="00142E36" w:rsidRPr="0026039D">
        <w:rPr>
          <w:snapToGrid/>
        </w:rPr>
        <w:t>potential</w:t>
      </w:r>
      <w:r w:rsidR="007E03F0" w:rsidRPr="0026039D">
        <w:rPr>
          <w:snapToGrid/>
        </w:rPr>
        <w:t xml:space="preserve"> activity against</w:t>
      </w:r>
      <w:r w:rsidR="00A222D4" w:rsidRPr="0026039D">
        <w:rPr>
          <w:snapToGrid/>
        </w:rPr>
        <w:t xml:space="preserve"> CNS metast</w:t>
      </w:r>
      <w:r w:rsidR="0098234C" w:rsidRPr="0026039D">
        <w:rPr>
          <w:snapToGrid/>
        </w:rPr>
        <w:t>ases</w:t>
      </w:r>
      <w:r w:rsidR="007E03F0" w:rsidRPr="0026039D">
        <w:rPr>
          <w:snapToGrid/>
        </w:rPr>
        <w:t xml:space="preserve">. </w:t>
      </w:r>
    </w:p>
    <w:p w14:paraId="24EA8AD0" w14:textId="77777777" w:rsidR="007330A4" w:rsidRPr="0026039D" w:rsidRDefault="007330A4" w:rsidP="0092637C">
      <w:pPr>
        <w:pStyle w:val="ListParagraph"/>
        <w:numPr>
          <w:ilvl w:val="1"/>
          <w:numId w:val="1"/>
        </w:numPr>
        <w:spacing w:after="160"/>
        <w:rPr>
          <w:snapToGrid/>
        </w:rPr>
      </w:pPr>
      <w:r w:rsidRPr="0026039D">
        <w:rPr>
          <w:snapToGrid/>
        </w:rPr>
        <w:t xml:space="preserve">The PBAC noted the </w:t>
      </w:r>
      <w:r w:rsidR="0001409C" w:rsidRPr="0026039D">
        <w:rPr>
          <w:snapToGrid/>
        </w:rPr>
        <w:t xml:space="preserve">correspondence </w:t>
      </w:r>
      <w:r w:rsidRPr="0026039D">
        <w:rPr>
          <w:snapToGrid/>
        </w:rPr>
        <w:t xml:space="preserve">received from </w:t>
      </w:r>
      <w:r w:rsidR="00D40270" w:rsidRPr="0026039D">
        <w:rPr>
          <w:snapToGrid/>
        </w:rPr>
        <w:t>Peter MacCallum Cancer Centre</w:t>
      </w:r>
      <w:r w:rsidR="001D2063" w:rsidRPr="0026039D">
        <w:rPr>
          <w:snapToGrid/>
        </w:rPr>
        <w:t>, Rare Cancers Australia</w:t>
      </w:r>
      <w:r w:rsidR="00D40270" w:rsidRPr="0026039D">
        <w:rPr>
          <w:snapToGrid/>
        </w:rPr>
        <w:t xml:space="preserve"> and Lung Foundation Australia</w:t>
      </w:r>
      <w:r w:rsidR="00DA27DB" w:rsidRPr="0026039D">
        <w:rPr>
          <w:snapToGrid/>
        </w:rPr>
        <w:t xml:space="preserve"> were supportive for entrectinib to be</w:t>
      </w:r>
      <w:r w:rsidR="00833607" w:rsidRPr="0026039D">
        <w:rPr>
          <w:snapToGrid/>
        </w:rPr>
        <w:t xml:space="preserve"> </w:t>
      </w:r>
      <w:r w:rsidR="0026039D" w:rsidRPr="0026039D">
        <w:rPr>
          <w:snapToGrid/>
        </w:rPr>
        <w:t>included on</w:t>
      </w:r>
      <w:r w:rsidR="00DA27DB" w:rsidRPr="0026039D">
        <w:rPr>
          <w:snapToGrid/>
        </w:rPr>
        <w:t xml:space="preserve"> the PBS for patients with ROS1-</w:t>
      </w:r>
      <w:r w:rsidR="0026039D" w:rsidRPr="0026039D">
        <w:rPr>
          <w:snapToGrid/>
        </w:rPr>
        <w:t>positive</w:t>
      </w:r>
      <w:r w:rsidR="00DA27DB" w:rsidRPr="0026039D">
        <w:rPr>
          <w:snapToGrid/>
        </w:rPr>
        <w:t xml:space="preserve"> NSCLC.</w:t>
      </w:r>
      <w:r w:rsidR="00931309" w:rsidRPr="0026039D">
        <w:rPr>
          <w:snapToGrid/>
        </w:rPr>
        <w:t xml:space="preserve"> Th</w:t>
      </w:r>
      <w:r w:rsidR="00526894" w:rsidRPr="0026039D">
        <w:rPr>
          <w:snapToGrid/>
        </w:rPr>
        <w:t xml:space="preserve">e correspondence indicated that a </w:t>
      </w:r>
      <w:r w:rsidR="0026039D" w:rsidRPr="0026039D">
        <w:rPr>
          <w:snapToGrid/>
        </w:rPr>
        <w:t>treatment that can penetrate the CNS</w:t>
      </w:r>
      <w:r w:rsidR="00526894" w:rsidRPr="0026039D">
        <w:rPr>
          <w:snapToGrid/>
        </w:rPr>
        <w:t xml:space="preserve"> would be beneficial in this patient population noting that metastases often occur in the brain</w:t>
      </w:r>
      <w:r w:rsidR="003B60A4">
        <w:rPr>
          <w:snapToGrid/>
        </w:rPr>
        <w:t>.</w:t>
      </w:r>
      <w:r w:rsidR="00931309" w:rsidRPr="0026039D">
        <w:rPr>
          <w:snapToGrid/>
        </w:rPr>
        <w:t xml:space="preserve"> </w:t>
      </w:r>
    </w:p>
    <w:p w14:paraId="54DC0622" w14:textId="2F0BEEC3" w:rsidR="007330A4" w:rsidRPr="0026039D" w:rsidRDefault="0046270C" w:rsidP="00DA2A95">
      <w:pPr>
        <w:pStyle w:val="ListParagraph"/>
        <w:numPr>
          <w:ilvl w:val="1"/>
          <w:numId w:val="1"/>
        </w:numPr>
        <w:spacing w:after="160"/>
        <w:rPr>
          <w:snapToGrid/>
        </w:rPr>
      </w:pPr>
      <w:r w:rsidRPr="0026039D">
        <w:rPr>
          <w:snapToGrid/>
        </w:rPr>
        <w:t xml:space="preserve">The Medical Oncology Group of Australia (MOGA) also expressed its </w:t>
      </w:r>
      <w:r w:rsidR="008C39CC" w:rsidRPr="0026039D">
        <w:rPr>
          <w:snapToGrid/>
        </w:rPr>
        <w:t xml:space="preserve">strong </w:t>
      </w:r>
      <w:r w:rsidRPr="0026039D">
        <w:rPr>
          <w:snapToGrid/>
        </w:rPr>
        <w:t xml:space="preserve">support for the </w:t>
      </w:r>
      <w:r w:rsidR="0076701D" w:rsidRPr="0026039D">
        <w:rPr>
          <w:snapToGrid/>
        </w:rPr>
        <w:t>entrectinib</w:t>
      </w:r>
      <w:r w:rsidRPr="0026039D">
        <w:rPr>
          <w:snapToGrid/>
        </w:rPr>
        <w:t xml:space="preserve"> submission</w:t>
      </w:r>
      <w:r w:rsidR="005A6AD5">
        <w:rPr>
          <w:snapToGrid/>
        </w:rPr>
        <w:t>,</w:t>
      </w:r>
      <w:r w:rsidR="005A44DD" w:rsidRPr="0026039D">
        <w:rPr>
          <w:snapToGrid/>
        </w:rPr>
        <w:t xml:space="preserve"> </w:t>
      </w:r>
      <w:r w:rsidR="00833607" w:rsidRPr="0026039D">
        <w:rPr>
          <w:snapToGrid/>
        </w:rPr>
        <w:t xml:space="preserve">categorising </w:t>
      </w:r>
      <w:r w:rsidR="005A44DD" w:rsidRPr="0026039D">
        <w:rPr>
          <w:snapToGrid/>
        </w:rPr>
        <w:t xml:space="preserve">it as one of the therapies of “high priority for PBS listing” </w:t>
      </w:r>
      <w:r w:rsidR="005A6AD5" w:rsidRPr="0026039D">
        <w:rPr>
          <w:snapToGrid/>
        </w:rPr>
        <w:t>based on</w:t>
      </w:r>
      <w:r w:rsidR="005A44DD" w:rsidRPr="0026039D">
        <w:rPr>
          <w:snapToGrid/>
        </w:rPr>
        <w:t xml:space="preserve"> </w:t>
      </w:r>
      <w:r w:rsidR="00821777" w:rsidRPr="0026039D">
        <w:rPr>
          <w:snapToGrid/>
        </w:rPr>
        <w:t>a published</w:t>
      </w:r>
      <w:r w:rsidR="002005BC" w:rsidRPr="0026039D">
        <w:rPr>
          <w:snapToGrid/>
        </w:rPr>
        <w:t xml:space="preserve"> integrated analysis of</w:t>
      </w:r>
      <w:r w:rsidR="00821777" w:rsidRPr="0026039D">
        <w:rPr>
          <w:snapToGrid/>
        </w:rPr>
        <w:t xml:space="preserve"> the ALKA, STARTRK-1 and STARTRK-2 studies</w:t>
      </w:r>
      <w:r w:rsidR="00821777" w:rsidRPr="0026039D">
        <w:rPr>
          <w:rStyle w:val="FootnoteReference"/>
          <w:snapToGrid/>
        </w:rPr>
        <w:footnoteReference w:id="4"/>
      </w:r>
      <w:r w:rsidRPr="0026039D">
        <w:rPr>
          <w:snapToGrid/>
        </w:rPr>
        <w:t>. The PBAC noted that the MOGA presented a European Society for Medical Oncology Magnitude of Clinical Benefit Scale</w:t>
      </w:r>
      <w:r w:rsidR="005142FA" w:rsidRPr="0026039D">
        <w:rPr>
          <w:rStyle w:val="FootnoteReference"/>
          <w:snapToGrid/>
        </w:rPr>
        <w:footnoteReference w:id="5"/>
      </w:r>
      <w:r w:rsidRPr="0026039D">
        <w:rPr>
          <w:snapToGrid/>
        </w:rPr>
        <w:t xml:space="preserve"> (ESMO-MCBS) for </w:t>
      </w:r>
      <w:r w:rsidR="00E433F0" w:rsidRPr="0026039D">
        <w:rPr>
          <w:snapToGrid/>
        </w:rPr>
        <w:t>entrectinib</w:t>
      </w:r>
      <w:r w:rsidRPr="0026039D">
        <w:rPr>
          <w:snapToGrid/>
        </w:rPr>
        <w:t xml:space="preserve">, which was limited to </w:t>
      </w:r>
      <w:r w:rsidR="005142FA" w:rsidRPr="0026039D">
        <w:rPr>
          <w:rFonts w:cstheme="minorHAnsi"/>
          <w:snapToGrid/>
        </w:rPr>
        <w:t>3</w:t>
      </w:r>
      <w:bookmarkStart w:id="11" w:name="_GoBack"/>
      <w:bookmarkEnd w:id="11"/>
      <w:r w:rsidR="00BA4537" w:rsidRPr="0026039D">
        <w:rPr>
          <w:rStyle w:val="FootnoteReference"/>
          <w:rFonts w:cstheme="minorHAnsi"/>
          <w:snapToGrid/>
        </w:rPr>
        <w:footnoteReference w:id="6"/>
      </w:r>
      <w:r w:rsidR="00526894" w:rsidRPr="0026039D">
        <w:rPr>
          <w:snapToGrid/>
        </w:rPr>
        <w:t>(out of a maximum of 5, where 5 and 4 represent the grades with substantial improvement)</w:t>
      </w:r>
      <w:r w:rsidR="008D060F" w:rsidRPr="0026039D">
        <w:rPr>
          <w:snapToGrid/>
        </w:rPr>
        <w:t>.</w:t>
      </w:r>
    </w:p>
    <w:p w14:paraId="17E42583" w14:textId="77777777" w:rsidR="00B10F52" w:rsidRPr="0026039D" w:rsidRDefault="00B10F52" w:rsidP="00B10F52">
      <w:pPr>
        <w:pStyle w:val="4-SubsectionHeading"/>
      </w:pPr>
      <w:bookmarkStart w:id="12" w:name="_Toc30597571"/>
      <w:r w:rsidRPr="0026039D">
        <w:t>Clinical studies</w:t>
      </w:r>
      <w:bookmarkEnd w:id="10"/>
      <w:bookmarkEnd w:id="12"/>
    </w:p>
    <w:p w14:paraId="267FE04B" w14:textId="77777777" w:rsidR="00B10F52" w:rsidRPr="0026039D" w:rsidRDefault="00B10F52" w:rsidP="001973AD">
      <w:pPr>
        <w:pStyle w:val="ListParagraph"/>
        <w:numPr>
          <w:ilvl w:val="1"/>
          <w:numId w:val="1"/>
        </w:numPr>
        <w:spacing w:after="160"/>
        <w:rPr>
          <w:rFonts w:ascii="Calibri" w:hAnsi="Calibri"/>
          <w:szCs w:val="22"/>
          <w:lang w:eastAsia="en-US"/>
        </w:rPr>
      </w:pPr>
      <w:r w:rsidRPr="0026039D">
        <w:rPr>
          <w:rFonts w:ascii="Calibri" w:hAnsi="Calibri"/>
          <w:szCs w:val="22"/>
          <w:lang w:eastAsia="en-US"/>
        </w:rPr>
        <w:t xml:space="preserve">The submission was based on a naïve indirect comparison of pooled data from the relevant subgroup of patients from three </w:t>
      </w:r>
      <w:r w:rsidR="006D01D8" w:rsidRPr="0026039D">
        <w:rPr>
          <w:rFonts w:ascii="Calibri" w:hAnsi="Calibri"/>
          <w:szCs w:val="22"/>
          <w:lang w:eastAsia="en-US"/>
        </w:rPr>
        <w:t>single arm</w:t>
      </w:r>
      <w:r w:rsidRPr="0026039D">
        <w:rPr>
          <w:rFonts w:ascii="Calibri" w:hAnsi="Calibri"/>
          <w:szCs w:val="22"/>
          <w:lang w:eastAsia="en-US"/>
        </w:rPr>
        <w:t xml:space="preserve"> studies of entrectinib and four </w:t>
      </w:r>
      <w:r w:rsidR="006D01D8" w:rsidRPr="0026039D">
        <w:rPr>
          <w:rFonts w:ascii="Calibri" w:hAnsi="Calibri"/>
          <w:szCs w:val="22"/>
          <w:lang w:eastAsia="en-US"/>
        </w:rPr>
        <w:t>single arm</w:t>
      </w:r>
      <w:r w:rsidRPr="0026039D">
        <w:rPr>
          <w:rFonts w:ascii="Calibri" w:hAnsi="Calibri"/>
          <w:szCs w:val="22"/>
          <w:lang w:eastAsia="en-US"/>
        </w:rPr>
        <w:t xml:space="preserve"> studies of crizotinib. </w:t>
      </w:r>
    </w:p>
    <w:p w14:paraId="12CC5E96" w14:textId="77777777" w:rsidR="00B10F52" w:rsidRPr="0026039D" w:rsidRDefault="00B10F52" w:rsidP="001973AD">
      <w:pPr>
        <w:pStyle w:val="ListParagraph"/>
        <w:numPr>
          <w:ilvl w:val="1"/>
          <w:numId w:val="1"/>
        </w:numPr>
        <w:spacing w:after="160"/>
        <w:rPr>
          <w:rFonts w:ascii="Calibri" w:hAnsi="Calibri"/>
          <w:szCs w:val="22"/>
          <w:lang w:eastAsia="en-US"/>
        </w:rPr>
      </w:pPr>
      <w:r w:rsidRPr="0026039D">
        <w:rPr>
          <w:rFonts w:ascii="Calibri" w:hAnsi="Calibri"/>
          <w:szCs w:val="22"/>
          <w:lang w:eastAsia="en-US"/>
        </w:rPr>
        <w:t>The evidence for entrectinib was based on pooled data for the relevant subgroups of patients from the following three studies:</w:t>
      </w:r>
    </w:p>
    <w:p w14:paraId="455562F4" w14:textId="77777777" w:rsidR="00B10F52" w:rsidRPr="0026039D" w:rsidRDefault="00A6025C" w:rsidP="00617BCC">
      <w:pPr>
        <w:pStyle w:val="3-BodyText"/>
        <w:numPr>
          <w:ilvl w:val="0"/>
          <w:numId w:val="7"/>
        </w:numPr>
      </w:pPr>
      <w:r w:rsidRPr="0026039D">
        <w:t xml:space="preserve">ALKA: </w:t>
      </w:r>
      <w:r w:rsidR="00B10F52" w:rsidRPr="0026039D">
        <w:t xml:space="preserve">A phase 1, open-label, dose escalation study of entrectinib in patients with advanced/metastatic solid tumours with </w:t>
      </w:r>
      <w:r w:rsidR="007151A3" w:rsidRPr="0026039D">
        <w:t>tropomyosin receptor kinase (</w:t>
      </w:r>
      <w:r w:rsidR="00B10F52" w:rsidRPr="0026039D">
        <w:t>TRK</w:t>
      </w:r>
      <w:r w:rsidR="007151A3" w:rsidRPr="0026039D">
        <w:t xml:space="preserve">) </w:t>
      </w:r>
      <w:r w:rsidR="00B10F52" w:rsidRPr="0026039D">
        <w:t>A/B/C, ROS1 or ALK molecular alterations (N=58);</w:t>
      </w:r>
    </w:p>
    <w:p w14:paraId="77C208E6" w14:textId="77777777" w:rsidR="00B10F52" w:rsidRPr="0026039D" w:rsidRDefault="00B10F52" w:rsidP="00617BCC">
      <w:pPr>
        <w:pStyle w:val="3-BodyText"/>
        <w:numPr>
          <w:ilvl w:val="0"/>
          <w:numId w:val="7"/>
        </w:numPr>
      </w:pPr>
      <w:r w:rsidRPr="0026039D">
        <w:t xml:space="preserve">STARTRK-1: A phase 1, open-label study of entrectinib </w:t>
      </w:r>
      <w:r w:rsidR="0026039D" w:rsidRPr="0026039D">
        <w:t>in-patient</w:t>
      </w:r>
      <w:r w:rsidRPr="0026039D">
        <w:t xml:space="preserve"> with any locally advanced or metastatic solid tumour (N=76). This study included a dose escalation segment and a dose expansion segment; and </w:t>
      </w:r>
    </w:p>
    <w:p w14:paraId="69DC4CB9" w14:textId="77777777" w:rsidR="00473A6E" w:rsidRPr="0026039D" w:rsidRDefault="00B10F52" w:rsidP="00617BCC">
      <w:pPr>
        <w:pStyle w:val="3-BodyText"/>
        <w:numPr>
          <w:ilvl w:val="0"/>
          <w:numId w:val="7"/>
        </w:numPr>
        <w:rPr>
          <w:iCs/>
        </w:rPr>
      </w:pPr>
      <w:r w:rsidRPr="0026039D">
        <w:lastRenderedPageBreak/>
        <w:t xml:space="preserve">STARTRK-2: A phase 2, open-label study in patients with locally advanced or metastatic solid tumours harbouring a </w:t>
      </w:r>
      <w:r w:rsidR="007151A3" w:rsidRPr="0026039D">
        <w:t xml:space="preserve">neurotrophic </w:t>
      </w:r>
      <w:r w:rsidRPr="0026039D">
        <w:t>TRK1/2/3, ROS1, or ALK gene rearrangement (N=207).</w:t>
      </w:r>
    </w:p>
    <w:p w14:paraId="43784812" w14:textId="77777777" w:rsidR="00672EAB" w:rsidRPr="0026039D" w:rsidRDefault="00B10F52" w:rsidP="00473A6E">
      <w:pPr>
        <w:pStyle w:val="3-BodyText"/>
        <w:numPr>
          <w:ilvl w:val="0"/>
          <w:numId w:val="0"/>
        </w:numPr>
        <w:ind w:left="720"/>
        <w:rPr>
          <w:iCs/>
        </w:rPr>
      </w:pPr>
      <w:r w:rsidRPr="0026039D">
        <w:t>The primary assessment of the efficacy of entrectinib was based on the ROS1 NSCLC Efficacy Evaluable Analysis Set (N=53), which included patients from all three studies (9 from ALKA, 7 from STARTRK-1, and 37 from STARTRK-2). This analysis set was defined as</w:t>
      </w:r>
      <w:r w:rsidR="005A6AD5">
        <w:t>;</w:t>
      </w:r>
      <w:r w:rsidRPr="0026039D">
        <w:t xml:space="preserve"> R</w:t>
      </w:r>
      <w:r w:rsidR="004D3928" w:rsidRPr="0026039D">
        <w:t>OS</w:t>
      </w:r>
      <w:r w:rsidR="00EA08F1" w:rsidRPr="0026039D">
        <w:t>1-</w:t>
      </w:r>
      <w:r w:rsidRPr="0026039D">
        <w:t>positive</w:t>
      </w:r>
      <w:r w:rsidR="005A6AD5">
        <w:t xml:space="preserve"> patients</w:t>
      </w:r>
      <w:r w:rsidRPr="0026039D">
        <w:t>, ROS1 inhibitor-naïve NSCLC patients with measurable disease at baseline and who had ≥12 months of efficacy follow-up from onset of response, or</w:t>
      </w:r>
      <w:r w:rsidR="005A6AD5">
        <w:t xml:space="preserve"> patients who</w:t>
      </w:r>
      <w:r w:rsidRPr="0026039D">
        <w:t xml:space="preserve"> had discontinued treatment before the clinical cut-off date (CCOD)</w:t>
      </w:r>
      <w:r w:rsidRPr="0026039D">
        <w:rPr>
          <w:vertAlign w:val="superscript"/>
        </w:rPr>
        <w:footnoteReference w:id="7"/>
      </w:r>
      <w:r w:rsidRPr="0026039D">
        <w:t>.</w:t>
      </w:r>
      <w:r w:rsidRPr="0026039D">
        <w:rPr>
          <w:rFonts w:ascii="Calibri" w:hAnsi="Calibri"/>
          <w:snapToGrid/>
        </w:rPr>
        <w:t xml:space="preserve"> </w:t>
      </w:r>
      <w:r w:rsidRPr="0026039D">
        <w:rPr>
          <w:iCs/>
        </w:rPr>
        <w:t xml:space="preserve">The decision to use this analysis set was </w:t>
      </w:r>
      <w:r w:rsidR="00B0054A" w:rsidRPr="0026039D">
        <w:rPr>
          <w:iCs/>
        </w:rPr>
        <w:t xml:space="preserve">initially </w:t>
      </w:r>
      <w:r w:rsidRPr="0026039D">
        <w:rPr>
          <w:iCs/>
        </w:rPr>
        <w:t>made in consultation with the FDA</w:t>
      </w:r>
      <w:r w:rsidR="00B0054A" w:rsidRPr="0026039D">
        <w:rPr>
          <w:iCs/>
        </w:rPr>
        <w:t xml:space="preserve"> when applying for FDA approval</w:t>
      </w:r>
      <w:r w:rsidRPr="0026039D">
        <w:rPr>
          <w:iCs/>
        </w:rPr>
        <w:t xml:space="preserve">. This analysis set will </w:t>
      </w:r>
      <w:r w:rsidR="00835F46" w:rsidRPr="0026039D">
        <w:rPr>
          <w:iCs/>
        </w:rPr>
        <w:t xml:space="preserve">henceforth </w:t>
      </w:r>
      <w:r w:rsidRPr="0026039D">
        <w:rPr>
          <w:iCs/>
        </w:rPr>
        <w:t xml:space="preserve">be referred to as the </w:t>
      </w:r>
      <w:r w:rsidR="00AD3B90" w:rsidRPr="0026039D">
        <w:rPr>
          <w:iCs/>
        </w:rPr>
        <w:t xml:space="preserve">entrectinib </w:t>
      </w:r>
      <w:r w:rsidRPr="0026039D">
        <w:rPr>
          <w:iCs/>
        </w:rPr>
        <w:t>primary analysis set (PAS) throughout</w:t>
      </w:r>
      <w:r w:rsidR="00F0126F" w:rsidRPr="0026039D">
        <w:rPr>
          <w:iCs/>
        </w:rPr>
        <w:t xml:space="preserve">. </w:t>
      </w:r>
    </w:p>
    <w:p w14:paraId="7871C5D5" w14:textId="77777777" w:rsidR="00B10F52" w:rsidRPr="0026039D" w:rsidRDefault="00B10F52" w:rsidP="001973AD">
      <w:pPr>
        <w:pStyle w:val="ListParagraph"/>
        <w:numPr>
          <w:ilvl w:val="1"/>
          <w:numId w:val="1"/>
        </w:numPr>
        <w:spacing w:after="160"/>
        <w:rPr>
          <w:snapToGrid/>
        </w:rPr>
      </w:pPr>
      <w:r w:rsidRPr="0026039D">
        <w:rPr>
          <w:snapToGrid/>
        </w:rPr>
        <w:t xml:space="preserve">The evidence for crizotinib was based on four </w:t>
      </w:r>
      <w:r w:rsidR="005A28E0" w:rsidRPr="0026039D">
        <w:rPr>
          <w:snapToGrid/>
        </w:rPr>
        <w:t>single arm</w:t>
      </w:r>
      <w:r w:rsidRPr="0026039D">
        <w:rPr>
          <w:snapToGrid/>
        </w:rPr>
        <w:t xml:space="preserve"> studies:</w:t>
      </w:r>
    </w:p>
    <w:p w14:paraId="3FBF80C7" w14:textId="77777777" w:rsidR="00B10F52" w:rsidRPr="0026039D" w:rsidRDefault="00B10F52" w:rsidP="00617BCC">
      <w:pPr>
        <w:pStyle w:val="3-BodyText"/>
        <w:numPr>
          <w:ilvl w:val="0"/>
          <w:numId w:val="7"/>
        </w:numPr>
      </w:pPr>
      <w:r w:rsidRPr="0026039D">
        <w:t xml:space="preserve">PROFILE 1001: A phase 1, open label, dose escalation study in patients with malignancies with c-MET amplification, </w:t>
      </w:r>
      <w:r w:rsidR="00E31CA0" w:rsidRPr="0026039D">
        <w:t>c</w:t>
      </w:r>
      <w:r w:rsidRPr="0026039D">
        <w:t xml:space="preserve">-MET activating mutations, or ALK/ROS1 molecular alterations. </w:t>
      </w:r>
      <w:r w:rsidR="00821378" w:rsidRPr="0026039D">
        <w:rPr>
          <w:iCs/>
        </w:rPr>
        <w:t>The total number of patients in the study could not be located</w:t>
      </w:r>
      <w:r w:rsidR="00821378" w:rsidRPr="0026039D">
        <w:t xml:space="preserve">. </w:t>
      </w:r>
      <w:r w:rsidRPr="0026039D">
        <w:t>The submission presented results for the expansion cohort of patients with advanced ROS1-positive NSCLC (N=50</w:t>
      </w:r>
      <w:r w:rsidR="00DC01DB" w:rsidRPr="0026039D">
        <w:t>/53</w:t>
      </w:r>
      <w:r w:rsidRPr="0026039D">
        <w:t>)</w:t>
      </w:r>
      <w:r w:rsidR="00DC01DB" w:rsidRPr="0026039D">
        <w:rPr>
          <w:rStyle w:val="FootnoteReference"/>
        </w:rPr>
        <w:footnoteReference w:id="8"/>
      </w:r>
      <w:r w:rsidRPr="0026039D">
        <w:t>.</w:t>
      </w:r>
    </w:p>
    <w:p w14:paraId="30BC2AA2" w14:textId="77777777" w:rsidR="00B10F52" w:rsidRPr="0026039D" w:rsidRDefault="00512269" w:rsidP="00617BCC">
      <w:pPr>
        <w:pStyle w:val="3-BodyText"/>
        <w:numPr>
          <w:ilvl w:val="0"/>
          <w:numId w:val="7"/>
        </w:numPr>
      </w:pPr>
      <w:r w:rsidRPr="0026039D">
        <w:t>Wu 2018: A phase 2, open-label</w:t>
      </w:r>
      <w:r w:rsidR="00B10F52" w:rsidRPr="0026039D">
        <w:t xml:space="preserve"> study in East Asian patients with advanced ROS1-positive NSCLC (N=127).</w:t>
      </w:r>
    </w:p>
    <w:p w14:paraId="3DBC689C" w14:textId="77777777" w:rsidR="00B10F52" w:rsidRPr="0026039D" w:rsidRDefault="00B10F52" w:rsidP="00617BCC">
      <w:pPr>
        <w:pStyle w:val="3-BodyText"/>
        <w:numPr>
          <w:ilvl w:val="0"/>
          <w:numId w:val="7"/>
        </w:numPr>
      </w:pPr>
      <w:r w:rsidRPr="0026039D">
        <w:t>EUCROSS: A phase 2, open-label study in European patients with advanced</w:t>
      </w:r>
      <w:r w:rsidR="00E3228D" w:rsidRPr="0026039D">
        <w:t xml:space="preserve"> ROS1-positive</w:t>
      </w:r>
      <w:r w:rsidRPr="0026039D">
        <w:t xml:space="preserve"> NSCLC (N=34)</w:t>
      </w:r>
      <w:r w:rsidR="00672EAB" w:rsidRPr="0026039D">
        <w:t>.</w:t>
      </w:r>
    </w:p>
    <w:p w14:paraId="000607C3" w14:textId="77777777" w:rsidR="00B10F52" w:rsidRPr="0026039D" w:rsidRDefault="00B10F52" w:rsidP="00617BCC">
      <w:pPr>
        <w:pStyle w:val="3-BodyText"/>
        <w:numPr>
          <w:ilvl w:val="0"/>
          <w:numId w:val="7"/>
        </w:numPr>
      </w:pPr>
      <w:r w:rsidRPr="0026039D">
        <w:t>METROS: A phase 2, open-label study in Italian patients with advanced NSCLC harbouring ROS1 molecular alterations, MET amplification or MET exon 14 mutations</w:t>
      </w:r>
      <w:r w:rsidR="0099610E" w:rsidRPr="0026039D">
        <w:t xml:space="preserve"> (N=52)</w:t>
      </w:r>
      <w:r w:rsidRPr="0026039D">
        <w:t xml:space="preserve">. </w:t>
      </w:r>
      <w:r w:rsidR="00672EAB" w:rsidRPr="0026039D">
        <w:t>Only d</w:t>
      </w:r>
      <w:r w:rsidRPr="0026039D">
        <w:t xml:space="preserve">ata for the ROS1-positive subgroup of patients were presented </w:t>
      </w:r>
      <w:r w:rsidR="00672EAB" w:rsidRPr="0026039D">
        <w:t xml:space="preserve">in the submission </w:t>
      </w:r>
      <w:r w:rsidRPr="0026039D">
        <w:t>(N=26).</w:t>
      </w:r>
    </w:p>
    <w:p w14:paraId="02646437" w14:textId="77777777" w:rsidR="00B10F52" w:rsidRPr="0026039D" w:rsidRDefault="00B10F52" w:rsidP="00342ED2">
      <w:pPr>
        <w:pStyle w:val="3-BodyText"/>
        <w:numPr>
          <w:ilvl w:val="0"/>
          <w:numId w:val="0"/>
        </w:numPr>
        <w:ind w:left="720"/>
      </w:pPr>
      <w:r w:rsidRPr="0026039D">
        <w:t xml:space="preserve">PROFILE 1001 and Wu 2018 were presented as the primary evidence </w:t>
      </w:r>
      <w:r w:rsidR="00181241" w:rsidRPr="0026039D">
        <w:t xml:space="preserve">in the submission </w:t>
      </w:r>
      <w:r w:rsidRPr="0026039D">
        <w:t>for crizotinib for the treatment of advanced ROS1-positive NSCLC considered by the PBAC at the November 2017 and July 2018 PBAC meetings, while preliminary data from EUCROSS was presented as supportive evidence.</w:t>
      </w:r>
    </w:p>
    <w:p w14:paraId="60653113" w14:textId="77777777" w:rsidR="008D2EEE" w:rsidRPr="0026039D" w:rsidRDefault="00AF4362" w:rsidP="001973AD">
      <w:pPr>
        <w:pStyle w:val="ListParagraph"/>
        <w:numPr>
          <w:ilvl w:val="1"/>
          <w:numId w:val="1"/>
        </w:numPr>
        <w:spacing w:after="160"/>
        <w:rPr>
          <w:iCs/>
        </w:rPr>
      </w:pPr>
      <w:r w:rsidRPr="0026039D">
        <w:t xml:space="preserve">The submission excluded one crizotinib study (AcSé study) on the basis that no full publications were identified in the literature search, noting that the PBAC had previously considered the results of this study as part of its recommendation to list </w:t>
      </w:r>
      <w:r w:rsidRPr="0026039D">
        <w:lastRenderedPageBreak/>
        <w:t xml:space="preserve">crizotinib for this indication. </w:t>
      </w:r>
      <w:r w:rsidRPr="0026039D">
        <w:rPr>
          <w:iCs/>
        </w:rPr>
        <w:t>A full publication of this study was located during the evaluation (</w:t>
      </w:r>
      <w:r w:rsidR="00835F46" w:rsidRPr="0026039D">
        <w:rPr>
          <w:iCs/>
        </w:rPr>
        <w:t xml:space="preserve">which had been </w:t>
      </w:r>
      <w:r w:rsidRPr="0026039D">
        <w:rPr>
          <w:iCs/>
        </w:rPr>
        <w:t>published online subsequent to the date of the submission’s literature search). AcSé study was a phase 2, single arm, open-label study of crizotinib in patients with MET or ROS1-positive NSCLC. Data for the ROS1-translocation cohort (N=37) are presented below, where feasible.</w:t>
      </w:r>
      <w:r w:rsidR="006116D3" w:rsidRPr="0026039D">
        <w:rPr>
          <w:iCs/>
        </w:rPr>
        <w:t xml:space="preserve"> </w:t>
      </w:r>
    </w:p>
    <w:p w14:paraId="25189C03" w14:textId="77777777" w:rsidR="008A222D" w:rsidRPr="0026039D" w:rsidRDefault="008A222D" w:rsidP="001D6BDD">
      <w:pPr>
        <w:pStyle w:val="ListParagraph"/>
        <w:numPr>
          <w:ilvl w:val="1"/>
          <w:numId w:val="1"/>
        </w:numPr>
        <w:spacing w:after="160"/>
      </w:pPr>
      <w:r w:rsidRPr="0026039D">
        <w:t xml:space="preserve">The ESC noted that the majority of patients for the </w:t>
      </w:r>
      <w:r w:rsidR="008D2EEE" w:rsidRPr="0026039D">
        <w:t xml:space="preserve">entrectinib and </w:t>
      </w:r>
      <w:r w:rsidRPr="0026039D">
        <w:t>crizotinib trials were treatment experienced at baseline</w:t>
      </w:r>
      <w:r w:rsidR="005A6AD5">
        <w:t>,</w:t>
      </w:r>
      <w:r w:rsidRPr="0026039D">
        <w:t xml:space="preserve"> but </w:t>
      </w:r>
      <w:r w:rsidR="005C0933" w:rsidRPr="0026039D">
        <w:t xml:space="preserve">the evidence presented </w:t>
      </w:r>
      <w:r w:rsidRPr="0026039D">
        <w:t>in the submission</w:t>
      </w:r>
      <w:r w:rsidR="005C0933" w:rsidRPr="0026039D">
        <w:t xml:space="preserve"> </w:t>
      </w:r>
      <w:r w:rsidR="005A6AD5">
        <w:t>was</w:t>
      </w:r>
      <w:r w:rsidR="005C0933" w:rsidRPr="0026039D">
        <w:t xml:space="preserve"> based on data mainly from the </w:t>
      </w:r>
      <w:r w:rsidR="00D80F71" w:rsidRPr="0026039D">
        <w:t xml:space="preserve">ROS1 inhibitor-naïve </w:t>
      </w:r>
      <w:r w:rsidR="005C0933" w:rsidRPr="0026039D">
        <w:t xml:space="preserve">subgroup of </w:t>
      </w:r>
      <w:r w:rsidR="00D80F71" w:rsidRPr="0026039D">
        <w:t>patients</w:t>
      </w:r>
      <w:r w:rsidR="005C0933" w:rsidRPr="0026039D">
        <w:t xml:space="preserve"> across the studies.</w:t>
      </w:r>
    </w:p>
    <w:p w14:paraId="3C25D4E4" w14:textId="77777777" w:rsidR="00B10F52" w:rsidRPr="0026039D" w:rsidRDefault="00B10F52" w:rsidP="001973AD">
      <w:pPr>
        <w:pStyle w:val="ListParagraph"/>
        <w:numPr>
          <w:ilvl w:val="1"/>
          <w:numId w:val="1"/>
        </w:numPr>
        <w:spacing w:after="160"/>
      </w:pPr>
      <w:r w:rsidRPr="0026039D">
        <w:rPr>
          <w:snapToGrid/>
        </w:rPr>
        <w:t xml:space="preserve">Details of the studies presented in the submission are provided in the table below. </w:t>
      </w:r>
    </w:p>
    <w:p w14:paraId="1264F257" w14:textId="77777777" w:rsidR="00B10F52" w:rsidRPr="0026039D" w:rsidRDefault="00B10F52" w:rsidP="00B41A01">
      <w:pPr>
        <w:pStyle w:val="TableFigureHeading"/>
        <w:rPr>
          <w:rStyle w:val="CommentReference"/>
          <w:b/>
          <w:szCs w:val="24"/>
        </w:rPr>
      </w:pPr>
      <w:r w:rsidRPr="0026039D">
        <w:lastRenderedPageBreak/>
        <w:t xml:space="preserve">Table </w:t>
      </w:r>
      <w:r w:rsidR="00871462" w:rsidRPr="0026039D">
        <w:t>3</w:t>
      </w:r>
      <w:r w:rsidRPr="0026039D">
        <w:t>: S</w:t>
      </w:r>
      <w:r w:rsidRPr="0026039D">
        <w:rPr>
          <w:rStyle w:val="CommentReference"/>
          <w:b/>
          <w:szCs w:val="24"/>
        </w:rPr>
        <w:t>tudies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B10F52" w:rsidRPr="008348C0" w14:paraId="06F27B59" w14:textId="77777777" w:rsidTr="00B41A01">
        <w:trPr>
          <w:tblHeader/>
        </w:trPr>
        <w:tc>
          <w:tcPr>
            <w:tcW w:w="796" w:type="pct"/>
            <w:tcBorders>
              <w:bottom w:val="single" w:sz="4" w:space="0" w:color="auto"/>
            </w:tcBorders>
            <w:vAlign w:val="center"/>
          </w:tcPr>
          <w:p w14:paraId="45B1C055" w14:textId="77777777" w:rsidR="00B10F52" w:rsidRPr="008348C0" w:rsidRDefault="00065450" w:rsidP="006813C0">
            <w:pPr>
              <w:pStyle w:val="In-tableHeading"/>
              <w:keepLines/>
              <w:rPr>
                <w:szCs w:val="20"/>
                <w:lang w:val="en-AU"/>
              </w:rPr>
            </w:pPr>
            <w:r w:rsidRPr="008348C0">
              <w:rPr>
                <w:szCs w:val="20"/>
                <w:lang w:val="en-AU"/>
              </w:rPr>
              <w:t>Study</w:t>
            </w:r>
            <w:r w:rsidR="00B10F52" w:rsidRPr="008348C0">
              <w:rPr>
                <w:szCs w:val="20"/>
                <w:lang w:val="en-AU"/>
              </w:rPr>
              <w:t xml:space="preserve"> ID</w:t>
            </w:r>
          </w:p>
        </w:tc>
        <w:tc>
          <w:tcPr>
            <w:tcW w:w="3027" w:type="pct"/>
            <w:tcBorders>
              <w:bottom w:val="single" w:sz="4" w:space="0" w:color="auto"/>
            </w:tcBorders>
            <w:vAlign w:val="center"/>
          </w:tcPr>
          <w:p w14:paraId="4F2C56B8" w14:textId="77777777" w:rsidR="00B10F52" w:rsidRPr="008348C0" w:rsidRDefault="00B10F52" w:rsidP="00CA787E">
            <w:pPr>
              <w:pStyle w:val="In-tableHeading"/>
              <w:keepLines/>
              <w:jc w:val="center"/>
              <w:rPr>
                <w:szCs w:val="20"/>
                <w:lang w:val="en-AU"/>
              </w:rPr>
            </w:pPr>
            <w:r w:rsidRPr="008348C0">
              <w:rPr>
                <w:szCs w:val="20"/>
                <w:lang w:val="en-AU"/>
              </w:rPr>
              <w:t>Protocol title/ Publication title</w:t>
            </w:r>
          </w:p>
        </w:tc>
        <w:tc>
          <w:tcPr>
            <w:tcW w:w="1177" w:type="pct"/>
            <w:tcBorders>
              <w:bottom w:val="single" w:sz="4" w:space="0" w:color="auto"/>
            </w:tcBorders>
            <w:vAlign w:val="center"/>
          </w:tcPr>
          <w:p w14:paraId="7307A283" w14:textId="77777777" w:rsidR="00B10F52" w:rsidRPr="008348C0" w:rsidRDefault="00B10F52" w:rsidP="006813C0">
            <w:pPr>
              <w:pStyle w:val="In-tableHeading"/>
              <w:keepLines/>
              <w:rPr>
                <w:szCs w:val="20"/>
                <w:lang w:val="en-AU"/>
              </w:rPr>
            </w:pPr>
            <w:r w:rsidRPr="008348C0">
              <w:rPr>
                <w:szCs w:val="20"/>
                <w:lang w:val="en-AU"/>
              </w:rPr>
              <w:t>Publication citation</w:t>
            </w:r>
          </w:p>
        </w:tc>
      </w:tr>
      <w:tr w:rsidR="00B10F52" w:rsidRPr="008348C0" w14:paraId="1E81506B" w14:textId="77777777" w:rsidTr="00B41A01">
        <w:tc>
          <w:tcPr>
            <w:tcW w:w="796" w:type="pct"/>
            <w:tcBorders>
              <w:bottom w:val="single" w:sz="4" w:space="0" w:color="auto"/>
              <w:right w:val="nil"/>
            </w:tcBorders>
            <w:vAlign w:val="center"/>
          </w:tcPr>
          <w:p w14:paraId="1F72AD45" w14:textId="77777777" w:rsidR="00B10F52" w:rsidRPr="008348C0" w:rsidRDefault="00B10F52" w:rsidP="006813C0">
            <w:pPr>
              <w:pStyle w:val="TableText0"/>
              <w:keepLines/>
              <w:rPr>
                <w:b/>
                <w:szCs w:val="20"/>
              </w:rPr>
            </w:pPr>
            <w:r w:rsidRPr="008348C0">
              <w:rPr>
                <w:b/>
                <w:szCs w:val="20"/>
              </w:rPr>
              <w:t xml:space="preserve">Entrectinib </w:t>
            </w:r>
          </w:p>
        </w:tc>
        <w:tc>
          <w:tcPr>
            <w:tcW w:w="3027" w:type="pct"/>
            <w:tcBorders>
              <w:left w:val="nil"/>
              <w:bottom w:val="single" w:sz="4" w:space="0" w:color="auto"/>
              <w:right w:val="nil"/>
            </w:tcBorders>
            <w:vAlign w:val="center"/>
          </w:tcPr>
          <w:p w14:paraId="0D6E02CA" w14:textId="77777777" w:rsidR="00B10F52" w:rsidRPr="008348C0" w:rsidRDefault="00B10F52" w:rsidP="006813C0">
            <w:pPr>
              <w:pStyle w:val="TableText0"/>
              <w:keepLines/>
              <w:rPr>
                <w:szCs w:val="20"/>
              </w:rPr>
            </w:pPr>
          </w:p>
        </w:tc>
        <w:tc>
          <w:tcPr>
            <w:tcW w:w="1177" w:type="pct"/>
            <w:tcBorders>
              <w:left w:val="nil"/>
              <w:bottom w:val="single" w:sz="4" w:space="0" w:color="auto"/>
            </w:tcBorders>
            <w:vAlign w:val="center"/>
          </w:tcPr>
          <w:p w14:paraId="506DC73D" w14:textId="77777777" w:rsidR="00B10F52" w:rsidRPr="008348C0" w:rsidRDefault="00B10F52" w:rsidP="006813C0">
            <w:pPr>
              <w:pStyle w:val="TableText0"/>
              <w:keepLines/>
              <w:rPr>
                <w:szCs w:val="20"/>
              </w:rPr>
            </w:pPr>
          </w:p>
        </w:tc>
      </w:tr>
      <w:tr w:rsidR="00B10F52" w:rsidRPr="008348C0" w14:paraId="3C73313B" w14:textId="77777777" w:rsidTr="00B41A01">
        <w:tc>
          <w:tcPr>
            <w:tcW w:w="796" w:type="pct"/>
            <w:tcBorders>
              <w:bottom w:val="single" w:sz="4" w:space="0" w:color="auto"/>
            </w:tcBorders>
            <w:vAlign w:val="center"/>
          </w:tcPr>
          <w:p w14:paraId="61F6E9DE" w14:textId="77777777" w:rsidR="00B10F52" w:rsidRPr="008348C0" w:rsidRDefault="00B10F52" w:rsidP="006813C0">
            <w:pPr>
              <w:pStyle w:val="TableText0"/>
              <w:keepLines/>
              <w:rPr>
                <w:szCs w:val="20"/>
              </w:rPr>
            </w:pPr>
            <w:r w:rsidRPr="008348C0">
              <w:rPr>
                <w:szCs w:val="20"/>
              </w:rPr>
              <w:t>ALKA</w:t>
            </w:r>
          </w:p>
        </w:tc>
        <w:tc>
          <w:tcPr>
            <w:tcW w:w="3027" w:type="pct"/>
            <w:tcBorders>
              <w:bottom w:val="single" w:sz="4" w:space="0" w:color="auto"/>
            </w:tcBorders>
            <w:vAlign w:val="center"/>
          </w:tcPr>
          <w:p w14:paraId="5876D10C" w14:textId="77777777" w:rsidR="00B10F52" w:rsidRPr="008348C0" w:rsidRDefault="00B10F52" w:rsidP="006813C0">
            <w:pPr>
              <w:pStyle w:val="TableText0"/>
              <w:keepLines/>
              <w:rPr>
                <w:szCs w:val="20"/>
              </w:rPr>
            </w:pPr>
            <w:r w:rsidRPr="008348C0">
              <w:rPr>
                <w:szCs w:val="20"/>
              </w:rPr>
              <w:t>Clinical Study Report: A phase 1, dose escalation study of entrectinib (RXDX-101) in adult patients with a</w:t>
            </w:r>
            <w:r w:rsidR="00CA787E" w:rsidRPr="008348C0">
              <w:rPr>
                <w:szCs w:val="20"/>
              </w:rPr>
              <w:t>dvanced/metastatic solid tumors</w:t>
            </w:r>
          </w:p>
        </w:tc>
        <w:tc>
          <w:tcPr>
            <w:tcW w:w="1177" w:type="pct"/>
            <w:tcBorders>
              <w:bottom w:val="single" w:sz="4" w:space="0" w:color="auto"/>
            </w:tcBorders>
            <w:vAlign w:val="center"/>
          </w:tcPr>
          <w:p w14:paraId="613EACAC" w14:textId="77777777" w:rsidR="00B10F52" w:rsidRPr="008348C0" w:rsidRDefault="00B10F52" w:rsidP="006813C0">
            <w:pPr>
              <w:pStyle w:val="TableText0"/>
              <w:keepLines/>
              <w:rPr>
                <w:szCs w:val="20"/>
              </w:rPr>
            </w:pPr>
            <w:r w:rsidRPr="008348C0">
              <w:rPr>
                <w:szCs w:val="20"/>
              </w:rPr>
              <w:t>October 2018</w:t>
            </w:r>
          </w:p>
        </w:tc>
      </w:tr>
      <w:tr w:rsidR="00B10F52" w:rsidRPr="008348C0" w14:paraId="7FDE8B68" w14:textId="77777777" w:rsidTr="00B41A01">
        <w:tc>
          <w:tcPr>
            <w:tcW w:w="796" w:type="pct"/>
            <w:tcBorders>
              <w:top w:val="single" w:sz="4" w:space="0" w:color="auto"/>
              <w:bottom w:val="single" w:sz="4" w:space="0" w:color="auto"/>
            </w:tcBorders>
            <w:vAlign w:val="center"/>
          </w:tcPr>
          <w:p w14:paraId="2A3469BE" w14:textId="77777777" w:rsidR="00B10F52" w:rsidRPr="008348C0" w:rsidRDefault="00B10F52" w:rsidP="006813C0">
            <w:pPr>
              <w:pStyle w:val="TableText0"/>
              <w:keepLines/>
              <w:rPr>
                <w:szCs w:val="20"/>
              </w:rPr>
            </w:pPr>
            <w:r w:rsidRPr="008348C0">
              <w:rPr>
                <w:szCs w:val="20"/>
              </w:rPr>
              <w:t>STARTRK-1</w:t>
            </w:r>
          </w:p>
        </w:tc>
        <w:tc>
          <w:tcPr>
            <w:tcW w:w="3027" w:type="pct"/>
            <w:tcBorders>
              <w:top w:val="single" w:sz="4" w:space="0" w:color="auto"/>
              <w:bottom w:val="single" w:sz="4" w:space="0" w:color="auto"/>
            </w:tcBorders>
            <w:vAlign w:val="center"/>
          </w:tcPr>
          <w:p w14:paraId="37C9788A" w14:textId="77777777" w:rsidR="00B10F52" w:rsidRPr="008348C0" w:rsidRDefault="00B10F52" w:rsidP="006813C0">
            <w:pPr>
              <w:pStyle w:val="TableText0"/>
              <w:keepLines/>
              <w:rPr>
                <w:szCs w:val="20"/>
              </w:rPr>
            </w:pPr>
            <w:r w:rsidRPr="008348C0">
              <w:rPr>
                <w:szCs w:val="20"/>
              </w:rPr>
              <w:t>Clinical Study Report: a phase 1, multicentre, open-label study of oral entrectinib (RXDX-101) in adult patients with locally advanced or metastatic cancer confirmed to be positive for NTRK1, NTRK2, NTRK3, ROS</w:t>
            </w:r>
            <w:r w:rsidR="00CA787E" w:rsidRPr="008348C0">
              <w:rPr>
                <w:szCs w:val="20"/>
              </w:rPr>
              <w:t>1, or ALK molecular alterations</w:t>
            </w:r>
          </w:p>
        </w:tc>
        <w:tc>
          <w:tcPr>
            <w:tcW w:w="1177" w:type="pct"/>
            <w:tcBorders>
              <w:top w:val="single" w:sz="4" w:space="0" w:color="auto"/>
              <w:bottom w:val="single" w:sz="4" w:space="0" w:color="auto"/>
            </w:tcBorders>
            <w:vAlign w:val="center"/>
          </w:tcPr>
          <w:p w14:paraId="472209CB" w14:textId="77777777" w:rsidR="00B10F52" w:rsidRPr="008348C0" w:rsidRDefault="00B10F52" w:rsidP="006813C0">
            <w:pPr>
              <w:pStyle w:val="TableText0"/>
              <w:keepLines/>
              <w:rPr>
                <w:szCs w:val="20"/>
              </w:rPr>
            </w:pPr>
            <w:r w:rsidRPr="008348C0">
              <w:rPr>
                <w:szCs w:val="20"/>
              </w:rPr>
              <w:t>October 2018</w:t>
            </w:r>
          </w:p>
        </w:tc>
      </w:tr>
      <w:tr w:rsidR="00B10F52" w:rsidRPr="008348C0" w14:paraId="73B5781B" w14:textId="77777777" w:rsidTr="00B41A01">
        <w:tc>
          <w:tcPr>
            <w:tcW w:w="796" w:type="pct"/>
            <w:tcBorders>
              <w:top w:val="single" w:sz="4" w:space="0" w:color="auto"/>
              <w:bottom w:val="single" w:sz="4" w:space="0" w:color="auto"/>
            </w:tcBorders>
            <w:vAlign w:val="center"/>
          </w:tcPr>
          <w:p w14:paraId="17970CBF" w14:textId="77777777" w:rsidR="00B10F52" w:rsidRPr="008348C0" w:rsidRDefault="00B10F52" w:rsidP="006813C0">
            <w:pPr>
              <w:pStyle w:val="TableText0"/>
              <w:keepLines/>
              <w:rPr>
                <w:szCs w:val="20"/>
              </w:rPr>
            </w:pPr>
            <w:r w:rsidRPr="008348C0">
              <w:rPr>
                <w:szCs w:val="20"/>
              </w:rPr>
              <w:t>STARTRK-2</w:t>
            </w:r>
          </w:p>
        </w:tc>
        <w:tc>
          <w:tcPr>
            <w:tcW w:w="3027" w:type="pct"/>
            <w:tcBorders>
              <w:top w:val="single" w:sz="4" w:space="0" w:color="auto"/>
              <w:bottom w:val="single" w:sz="4" w:space="0" w:color="auto"/>
            </w:tcBorders>
            <w:vAlign w:val="center"/>
          </w:tcPr>
          <w:p w14:paraId="18D0A786" w14:textId="77777777" w:rsidR="00B10F52" w:rsidRPr="008348C0" w:rsidRDefault="00B10F52" w:rsidP="006813C0">
            <w:pPr>
              <w:pStyle w:val="TableText0"/>
              <w:keepLines/>
              <w:rPr>
                <w:szCs w:val="20"/>
              </w:rPr>
            </w:pPr>
            <w:r w:rsidRPr="008348C0">
              <w:rPr>
                <w:szCs w:val="20"/>
              </w:rPr>
              <w:t>Interim Clinical Study Report: An open-label, multicenter, global phase II basket study of entrectinib for the treatment of patients with locally advanced or metastatic solid tumors that harbor NTRK1/2/3, R</w:t>
            </w:r>
            <w:r w:rsidR="00CA787E" w:rsidRPr="008348C0">
              <w:rPr>
                <w:szCs w:val="20"/>
              </w:rPr>
              <w:t>SO1, or ALK gene rearrangements</w:t>
            </w:r>
          </w:p>
        </w:tc>
        <w:tc>
          <w:tcPr>
            <w:tcW w:w="1177" w:type="pct"/>
            <w:tcBorders>
              <w:top w:val="single" w:sz="4" w:space="0" w:color="auto"/>
              <w:bottom w:val="single" w:sz="4" w:space="0" w:color="auto"/>
            </w:tcBorders>
            <w:vAlign w:val="center"/>
          </w:tcPr>
          <w:p w14:paraId="17B772A2" w14:textId="77777777" w:rsidR="00B10F52" w:rsidRPr="008348C0" w:rsidRDefault="00B10F52" w:rsidP="006813C0">
            <w:pPr>
              <w:pStyle w:val="TableText0"/>
              <w:keepLines/>
              <w:rPr>
                <w:i/>
                <w:szCs w:val="20"/>
              </w:rPr>
            </w:pPr>
            <w:r w:rsidRPr="008348C0">
              <w:rPr>
                <w:szCs w:val="20"/>
              </w:rPr>
              <w:t>November 2018</w:t>
            </w:r>
          </w:p>
        </w:tc>
      </w:tr>
      <w:tr w:rsidR="00B10F52" w:rsidRPr="008348C0" w14:paraId="62F03830" w14:textId="77777777" w:rsidTr="00B41A01">
        <w:trPr>
          <w:trHeight w:val="1377"/>
        </w:trPr>
        <w:tc>
          <w:tcPr>
            <w:tcW w:w="796" w:type="pct"/>
            <w:tcBorders>
              <w:top w:val="single" w:sz="4" w:space="0" w:color="auto"/>
              <w:bottom w:val="nil"/>
            </w:tcBorders>
            <w:vAlign w:val="center"/>
          </w:tcPr>
          <w:p w14:paraId="13CD9A0C" w14:textId="77777777" w:rsidR="00B10F52" w:rsidRPr="008348C0" w:rsidRDefault="00B10F52" w:rsidP="006813C0">
            <w:pPr>
              <w:pStyle w:val="TableText0"/>
              <w:keepLines/>
              <w:rPr>
                <w:szCs w:val="20"/>
              </w:rPr>
            </w:pPr>
            <w:r w:rsidRPr="008348C0">
              <w:rPr>
                <w:szCs w:val="20"/>
              </w:rPr>
              <w:t>Integrated analysis of ALKA, STARTRK-1 and STARTRK-2</w:t>
            </w:r>
          </w:p>
        </w:tc>
        <w:tc>
          <w:tcPr>
            <w:tcW w:w="3027" w:type="pct"/>
            <w:tcBorders>
              <w:top w:val="single" w:sz="4" w:space="0" w:color="auto"/>
              <w:bottom w:val="nil"/>
            </w:tcBorders>
            <w:vAlign w:val="center"/>
          </w:tcPr>
          <w:p w14:paraId="519B8A1C" w14:textId="77777777" w:rsidR="00B10F52" w:rsidRPr="008348C0" w:rsidRDefault="00B10F52" w:rsidP="006813C0">
            <w:pPr>
              <w:pStyle w:val="TableText0"/>
              <w:keepLines/>
              <w:rPr>
                <w:szCs w:val="20"/>
              </w:rPr>
            </w:pPr>
            <w:r w:rsidRPr="008348C0">
              <w:rPr>
                <w:szCs w:val="20"/>
              </w:rPr>
              <w:t xml:space="preserve">TGA submission </w:t>
            </w:r>
          </w:p>
          <w:p w14:paraId="570E4683" w14:textId="77777777" w:rsidR="00B10F52" w:rsidRPr="008348C0" w:rsidRDefault="00B10F52" w:rsidP="006813C0">
            <w:pPr>
              <w:pStyle w:val="TableText0"/>
              <w:keepLines/>
              <w:rPr>
                <w:szCs w:val="20"/>
              </w:rPr>
            </w:pPr>
            <w:r w:rsidRPr="008348C0">
              <w:rPr>
                <w:szCs w:val="20"/>
              </w:rPr>
              <w:t>Section 2.7.3: Summary of clinical efficacy (CCOD 31 May 2018)</w:t>
            </w:r>
          </w:p>
          <w:p w14:paraId="59B3F079" w14:textId="77777777" w:rsidR="00B10F52" w:rsidRPr="008348C0" w:rsidRDefault="00B10F52" w:rsidP="006813C0">
            <w:pPr>
              <w:pStyle w:val="TableText0"/>
              <w:keepLines/>
              <w:rPr>
                <w:szCs w:val="20"/>
              </w:rPr>
            </w:pPr>
            <w:r w:rsidRPr="008348C0">
              <w:rPr>
                <w:szCs w:val="20"/>
              </w:rPr>
              <w:t>Section 2.7.4 Summary of clinical safety (CCOD 31 May 2018)</w:t>
            </w:r>
          </w:p>
          <w:p w14:paraId="671D2679" w14:textId="77777777" w:rsidR="00B10F52" w:rsidRPr="008348C0" w:rsidRDefault="00B10F52" w:rsidP="006813C0">
            <w:pPr>
              <w:pStyle w:val="TableText0"/>
              <w:keepLines/>
              <w:rPr>
                <w:szCs w:val="20"/>
              </w:rPr>
            </w:pPr>
            <w:r w:rsidRPr="008348C0">
              <w:rPr>
                <w:szCs w:val="20"/>
              </w:rPr>
              <w:t>Supplemental results report for entrectinib Section2.7.3 Summary of clinical efficacy (CCOD 31 October 2018)</w:t>
            </w:r>
          </w:p>
          <w:p w14:paraId="6459EBF6" w14:textId="77777777" w:rsidR="00B10F52" w:rsidRPr="008348C0" w:rsidRDefault="00B10F52" w:rsidP="006813C0">
            <w:pPr>
              <w:pStyle w:val="TableText0"/>
              <w:keepLines/>
              <w:rPr>
                <w:szCs w:val="20"/>
              </w:rPr>
            </w:pPr>
            <w:r w:rsidRPr="008348C0">
              <w:rPr>
                <w:szCs w:val="20"/>
              </w:rPr>
              <w:t>Safety update report for entrectinib (CCOD 31 October 2018)</w:t>
            </w:r>
          </w:p>
        </w:tc>
        <w:tc>
          <w:tcPr>
            <w:tcW w:w="1177" w:type="pct"/>
            <w:tcBorders>
              <w:top w:val="single" w:sz="4" w:space="0" w:color="auto"/>
              <w:bottom w:val="nil"/>
            </w:tcBorders>
            <w:vAlign w:val="center"/>
          </w:tcPr>
          <w:p w14:paraId="68BE2DCE" w14:textId="77777777" w:rsidR="00B10F52" w:rsidRPr="008348C0" w:rsidRDefault="00B10F52" w:rsidP="00CA787E">
            <w:pPr>
              <w:pStyle w:val="TableText0"/>
              <w:keepLines/>
              <w:rPr>
                <w:szCs w:val="20"/>
              </w:rPr>
            </w:pPr>
            <w:r w:rsidRPr="008348C0">
              <w:rPr>
                <w:szCs w:val="20"/>
              </w:rPr>
              <w:t xml:space="preserve">Date not provided </w:t>
            </w:r>
          </w:p>
        </w:tc>
      </w:tr>
      <w:tr w:rsidR="00B10F52" w:rsidRPr="008348C0" w14:paraId="107FC39A" w14:textId="77777777" w:rsidTr="00B41A01">
        <w:tc>
          <w:tcPr>
            <w:tcW w:w="796" w:type="pct"/>
            <w:tcBorders>
              <w:top w:val="nil"/>
              <w:bottom w:val="single" w:sz="4" w:space="0" w:color="auto"/>
            </w:tcBorders>
            <w:vAlign w:val="center"/>
          </w:tcPr>
          <w:p w14:paraId="34A8690C" w14:textId="77777777" w:rsidR="00B10F52" w:rsidRPr="008348C0" w:rsidRDefault="00B10F52" w:rsidP="006813C0">
            <w:pPr>
              <w:pStyle w:val="TableText0"/>
              <w:keepLines/>
              <w:rPr>
                <w:szCs w:val="20"/>
              </w:rPr>
            </w:pPr>
          </w:p>
        </w:tc>
        <w:tc>
          <w:tcPr>
            <w:tcW w:w="3027" w:type="pct"/>
            <w:tcBorders>
              <w:top w:val="nil"/>
              <w:bottom w:val="single" w:sz="4" w:space="0" w:color="auto"/>
            </w:tcBorders>
            <w:vAlign w:val="center"/>
          </w:tcPr>
          <w:p w14:paraId="3BD2C282" w14:textId="77777777" w:rsidR="00B10F52" w:rsidRPr="008348C0" w:rsidRDefault="00B10F52" w:rsidP="006813C0">
            <w:pPr>
              <w:pStyle w:val="TableText0"/>
              <w:keepLines/>
              <w:rPr>
                <w:szCs w:val="20"/>
              </w:rPr>
            </w:pPr>
            <w:r w:rsidRPr="008348C0">
              <w:rPr>
                <w:szCs w:val="20"/>
              </w:rPr>
              <w:t>Power point presentation: Entrectinib D75 Data summary (internal publication)</w:t>
            </w:r>
          </w:p>
        </w:tc>
        <w:tc>
          <w:tcPr>
            <w:tcW w:w="1177" w:type="pct"/>
            <w:tcBorders>
              <w:top w:val="nil"/>
              <w:bottom w:val="single" w:sz="4" w:space="0" w:color="auto"/>
            </w:tcBorders>
            <w:vAlign w:val="center"/>
          </w:tcPr>
          <w:p w14:paraId="1F7CC434" w14:textId="77777777" w:rsidR="00B10F52" w:rsidRPr="008348C0" w:rsidRDefault="00B10F52" w:rsidP="006813C0">
            <w:pPr>
              <w:pStyle w:val="TableText0"/>
              <w:keepLines/>
              <w:rPr>
                <w:szCs w:val="20"/>
              </w:rPr>
            </w:pPr>
            <w:r w:rsidRPr="008348C0">
              <w:rPr>
                <w:szCs w:val="20"/>
              </w:rPr>
              <w:t>February 2019</w:t>
            </w:r>
          </w:p>
        </w:tc>
      </w:tr>
      <w:tr w:rsidR="00B10F52" w:rsidRPr="008348C0" w14:paraId="389A3E4F" w14:textId="77777777" w:rsidTr="00B41A01">
        <w:tc>
          <w:tcPr>
            <w:tcW w:w="796" w:type="pct"/>
            <w:tcBorders>
              <w:top w:val="single" w:sz="4" w:space="0" w:color="auto"/>
              <w:bottom w:val="single" w:sz="4" w:space="0" w:color="auto"/>
              <w:right w:val="nil"/>
            </w:tcBorders>
            <w:vAlign w:val="center"/>
          </w:tcPr>
          <w:p w14:paraId="107FB414" w14:textId="77777777" w:rsidR="00B10F52" w:rsidRPr="008348C0" w:rsidRDefault="00B10F52" w:rsidP="006813C0">
            <w:pPr>
              <w:pStyle w:val="TableText0"/>
              <w:keepLines/>
              <w:rPr>
                <w:b/>
                <w:szCs w:val="20"/>
              </w:rPr>
            </w:pPr>
            <w:r w:rsidRPr="008348C0">
              <w:rPr>
                <w:b/>
                <w:szCs w:val="20"/>
              </w:rPr>
              <w:t>Crizotinib</w:t>
            </w:r>
          </w:p>
        </w:tc>
        <w:tc>
          <w:tcPr>
            <w:tcW w:w="3027" w:type="pct"/>
            <w:tcBorders>
              <w:top w:val="single" w:sz="4" w:space="0" w:color="auto"/>
              <w:left w:val="nil"/>
              <w:bottom w:val="single" w:sz="4" w:space="0" w:color="auto"/>
              <w:right w:val="nil"/>
            </w:tcBorders>
            <w:vAlign w:val="center"/>
          </w:tcPr>
          <w:p w14:paraId="0E2C2189" w14:textId="77777777" w:rsidR="00B10F52" w:rsidRPr="008348C0" w:rsidRDefault="00B10F52" w:rsidP="006813C0">
            <w:pPr>
              <w:pStyle w:val="TableText0"/>
              <w:keepLines/>
              <w:rPr>
                <w:szCs w:val="20"/>
              </w:rPr>
            </w:pPr>
          </w:p>
        </w:tc>
        <w:tc>
          <w:tcPr>
            <w:tcW w:w="1177" w:type="pct"/>
            <w:tcBorders>
              <w:top w:val="single" w:sz="4" w:space="0" w:color="auto"/>
              <w:left w:val="nil"/>
              <w:bottom w:val="single" w:sz="4" w:space="0" w:color="auto"/>
            </w:tcBorders>
            <w:vAlign w:val="center"/>
          </w:tcPr>
          <w:p w14:paraId="4E0F3612" w14:textId="77777777" w:rsidR="00B10F52" w:rsidRPr="008348C0" w:rsidRDefault="00B10F52" w:rsidP="006813C0">
            <w:pPr>
              <w:pStyle w:val="TableText0"/>
              <w:keepLines/>
              <w:rPr>
                <w:szCs w:val="20"/>
              </w:rPr>
            </w:pPr>
          </w:p>
        </w:tc>
      </w:tr>
      <w:tr w:rsidR="00B10F52" w:rsidRPr="008348C0" w14:paraId="54FDB70B" w14:textId="77777777" w:rsidTr="00B41A01">
        <w:tc>
          <w:tcPr>
            <w:tcW w:w="796" w:type="pct"/>
            <w:tcBorders>
              <w:top w:val="single" w:sz="4" w:space="0" w:color="auto"/>
              <w:bottom w:val="nil"/>
            </w:tcBorders>
            <w:vAlign w:val="center"/>
          </w:tcPr>
          <w:p w14:paraId="10553A83" w14:textId="77777777" w:rsidR="00B10F52" w:rsidRPr="008348C0" w:rsidRDefault="00B10F52" w:rsidP="006813C0">
            <w:pPr>
              <w:pStyle w:val="TableText0"/>
              <w:keepLines/>
              <w:rPr>
                <w:szCs w:val="20"/>
              </w:rPr>
            </w:pPr>
            <w:r w:rsidRPr="008348C0">
              <w:rPr>
                <w:szCs w:val="20"/>
              </w:rPr>
              <w:t>PROFILE 1001</w:t>
            </w:r>
          </w:p>
        </w:tc>
        <w:tc>
          <w:tcPr>
            <w:tcW w:w="3027" w:type="pct"/>
            <w:tcBorders>
              <w:top w:val="single" w:sz="4" w:space="0" w:color="auto"/>
              <w:bottom w:val="nil"/>
            </w:tcBorders>
            <w:vAlign w:val="center"/>
          </w:tcPr>
          <w:p w14:paraId="30B276F4" w14:textId="77777777" w:rsidR="00B10F52" w:rsidRPr="008348C0" w:rsidRDefault="00EE654C" w:rsidP="006813C0">
            <w:pPr>
              <w:pStyle w:val="TableText0"/>
              <w:keepLines/>
              <w:rPr>
                <w:szCs w:val="20"/>
              </w:rPr>
            </w:pPr>
            <w:r w:rsidRPr="008348C0">
              <w:rPr>
                <w:szCs w:val="20"/>
              </w:rPr>
              <w:t>Shaw AT, Ou SHI</w:t>
            </w:r>
            <w:r w:rsidR="00B10F52" w:rsidRPr="008348C0">
              <w:rPr>
                <w:szCs w:val="20"/>
              </w:rPr>
              <w:t>, Bang YJ, et al. Crizotinib in ROS1-rearra</w:t>
            </w:r>
            <w:r w:rsidR="00CA787E" w:rsidRPr="008348C0">
              <w:rPr>
                <w:szCs w:val="20"/>
              </w:rPr>
              <w:t>nged non-small-cell lung cancer</w:t>
            </w:r>
          </w:p>
        </w:tc>
        <w:tc>
          <w:tcPr>
            <w:tcW w:w="1177" w:type="pct"/>
            <w:tcBorders>
              <w:top w:val="single" w:sz="4" w:space="0" w:color="auto"/>
              <w:bottom w:val="nil"/>
            </w:tcBorders>
            <w:vAlign w:val="center"/>
          </w:tcPr>
          <w:p w14:paraId="498A2D6E" w14:textId="77777777" w:rsidR="00B10F52" w:rsidRPr="008348C0" w:rsidRDefault="00B10F52" w:rsidP="006813C0">
            <w:pPr>
              <w:pStyle w:val="TableText0"/>
              <w:keepLines/>
              <w:rPr>
                <w:szCs w:val="20"/>
              </w:rPr>
            </w:pPr>
            <w:r w:rsidRPr="008348C0">
              <w:rPr>
                <w:szCs w:val="20"/>
              </w:rPr>
              <w:t>New England Journal of Medicine 2014; 371(21): 1963-1971.</w:t>
            </w:r>
          </w:p>
        </w:tc>
      </w:tr>
      <w:tr w:rsidR="00B10F52" w:rsidRPr="008348C0" w14:paraId="660109A6" w14:textId="77777777" w:rsidTr="00B41A01">
        <w:tc>
          <w:tcPr>
            <w:tcW w:w="796" w:type="pct"/>
            <w:tcBorders>
              <w:top w:val="nil"/>
              <w:bottom w:val="single" w:sz="4" w:space="0" w:color="auto"/>
            </w:tcBorders>
            <w:vAlign w:val="center"/>
          </w:tcPr>
          <w:p w14:paraId="2463F1EC" w14:textId="77777777" w:rsidR="00B10F52" w:rsidRPr="008348C0" w:rsidRDefault="00B10F52" w:rsidP="006813C0">
            <w:pPr>
              <w:pStyle w:val="TableText0"/>
              <w:keepLines/>
              <w:rPr>
                <w:szCs w:val="20"/>
              </w:rPr>
            </w:pPr>
          </w:p>
        </w:tc>
        <w:tc>
          <w:tcPr>
            <w:tcW w:w="3027" w:type="pct"/>
            <w:tcBorders>
              <w:top w:val="nil"/>
              <w:bottom w:val="single" w:sz="4" w:space="0" w:color="auto"/>
            </w:tcBorders>
            <w:vAlign w:val="center"/>
          </w:tcPr>
          <w:p w14:paraId="2944A4CE" w14:textId="77777777" w:rsidR="00B10F52" w:rsidRPr="008348C0" w:rsidRDefault="00B10F52" w:rsidP="006813C0">
            <w:pPr>
              <w:pStyle w:val="TableText0"/>
              <w:keepLines/>
              <w:rPr>
                <w:szCs w:val="20"/>
              </w:rPr>
            </w:pPr>
            <w:r w:rsidRPr="008348C0">
              <w:rPr>
                <w:szCs w:val="20"/>
              </w:rPr>
              <w:t>Shaw AT, Riley GJ, Bang YJ, et al. Crizotinib in ROS1-rearranged advanced non-small-cell lung cancer (NSCLC): updated results, including over</w:t>
            </w:r>
            <w:r w:rsidR="00CA787E" w:rsidRPr="008348C0">
              <w:rPr>
                <w:szCs w:val="20"/>
              </w:rPr>
              <w:t>all survival, from PROFILE 1001</w:t>
            </w:r>
          </w:p>
        </w:tc>
        <w:tc>
          <w:tcPr>
            <w:tcW w:w="1177" w:type="pct"/>
            <w:tcBorders>
              <w:top w:val="nil"/>
              <w:bottom w:val="single" w:sz="4" w:space="0" w:color="auto"/>
            </w:tcBorders>
            <w:vAlign w:val="center"/>
          </w:tcPr>
          <w:p w14:paraId="497343E8" w14:textId="77777777" w:rsidR="00B10F52" w:rsidRPr="008348C0" w:rsidRDefault="00B10F52" w:rsidP="006813C0">
            <w:pPr>
              <w:pStyle w:val="TableText0"/>
              <w:keepLines/>
              <w:rPr>
                <w:szCs w:val="20"/>
              </w:rPr>
            </w:pPr>
            <w:r w:rsidRPr="008348C0">
              <w:rPr>
                <w:szCs w:val="20"/>
              </w:rPr>
              <w:t>Annals of Oncology 2019; 30: 1121-1126.</w:t>
            </w:r>
          </w:p>
        </w:tc>
      </w:tr>
      <w:tr w:rsidR="00B10F52" w:rsidRPr="008348C0" w14:paraId="7D42691C" w14:textId="77777777" w:rsidTr="00B41A01">
        <w:tc>
          <w:tcPr>
            <w:tcW w:w="796" w:type="pct"/>
            <w:tcBorders>
              <w:top w:val="single" w:sz="4" w:space="0" w:color="auto"/>
              <w:bottom w:val="nil"/>
            </w:tcBorders>
            <w:vAlign w:val="center"/>
          </w:tcPr>
          <w:p w14:paraId="50DC147F" w14:textId="77777777" w:rsidR="00B10F52" w:rsidRPr="008348C0" w:rsidRDefault="00B10F52" w:rsidP="006813C0">
            <w:pPr>
              <w:pStyle w:val="TableText0"/>
              <w:keepLines/>
              <w:rPr>
                <w:szCs w:val="20"/>
              </w:rPr>
            </w:pPr>
            <w:r w:rsidRPr="008348C0">
              <w:rPr>
                <w:szCs w:val="20"/>
              </w:rPr>
              <w:t>Wu 2018</w:t>
            </w:r>
          </w:p>
        </w:tc>
        <w:tc>
          <w:tcPr>
            <w:tcW w:w="3027" w:type="pct"/>
            <w:tcBorders>
              <w:top w:val="single" w:sz="4" w:space="0" w:color="auto"/>
              <w:bottom w:val="nil"/>
            </w:tcBorders>
            <w:vAlign w:val="center"/>
          </w:tcPr>
          <w:p w14:paraId="260B3B42" w14:textId="77777777" w:rsidR="00B10F52" w:rsidRPr="008348C0" w:rsidRDefault="00B10F52" w:rsidP="006813C0">
            <w:pPr>
              <w:pStyle w:val="TableText0"/>
              <w:keepLines/>
              <w:rPr>
                <w:szCs w:val="20"/>
              </w:rPr>
            </w:pPr>
            <w:r w:rsidRPr="008348C0">
              <w:rPr>
                <w:szCs w:val="20"/>
              </w:rPr>
              <w:t>Wu Yl, Yang JCH, Kim DW, et al. Phase II study of crizotinib in East Asian patients with ROS1-positive adva</w:t>
            </w:r>
            <w:r w:rsidR="00CA787E" w:rsidRPr="008348C0">
              <w:rPr>
                <w:szCs w:val="20"/>
              </w:rPr>
              <w:t>nced non-small-cell lung cancer</w:t>
            </w:r>
          </w:p>
        </w:tc>
        <w:tc>
          <w:tcPr>
            <w:tcW w:w="1177" w:type="pct"/>
            <w:tcBorders>
              <w:top w:val="single" w:sz="4" w:space="0" w:color="auto"/>
              <w:bottom w:val="nil"/>
            </w:tcBorders>
            <w:vAlign w:val="center"/>
          </w:tcPr>
          <w:p w14:paraId="17ED14C4" w14:textId="77777777" w:rsidR="00B10F52" w:rsidRPr="008348C0" w:rsidRDefault="00B10F52" w:rsidP="006813C0">
            <w:pPr>
              <w:pStyle w:val="TableText0"/>
              <w:keepLines/>
              <w:rPr>
                <w:szCs w:val="20"/>
              </w:rPr>
            </w:pPr>
            <w:r w:rsidRPr="008348C0">
              <w:rPr>
                <w:szCs w:val="20"/>
              </w:rPr>
              <w:t>Journal of Clinical Oncology 2018; 14(10): 1405-1411.</w:t>
            </w:r>
          </w:p>
        </w:tc>
      </w:tr>
      <w:tr w:rsidR="00B10F52" w:rsidRPr="008348C0" w14:paraId="6FAEE965" w14:textId="77777777" w:rsidTr="00B41A01">
        <w:tc>
          <w:tcPr>
            <w:tcW w:w="796" w:type="pct"/>
            <w:tcBorders>
              <w:top w:val="single" w:sz="4" w:space="0" w:color="auto"/>
              <w:bottom w:val="single" w:sz="4" w:space="0" w:color="auto"/>
            </w:tcBorders>
            <w:vAlign w:val="center"/>
          </w:tcPr>
          <w:p w14:paraId="77C74311" w14:textId="77777777" w:rsidR="00B10F52" w:rsidRPr="008348C0" w:rsidRDefault="00B10F52" w:rsidP="006813C0">
            <w:pPr>
              <w:pStyle w:val="TableText0"/>
              <w:keepLines/>
              <w:rPr>
                <w:szCs w:val="20"/>
              </w:rPr>
            </w:pPr>
            <w:r w:rsidRPr="008348C0">
              <w:rPr>
                <w:szCs w:val="20"/>
              </w:rPr>
              <w:t>EUCROSS</w:t>
            </w:r>
          </w:p>
        </w:tc>
        <w:tc>
          <w:tcPr>
            <w:tcW w:w="3027" w:type="pct"/>
            <w:tcBorders>
              <w:top w:val="single" w:sz="4" w:space="0" w:color="auto"/>
              <w:bottom w:val="single" w:sz="4" w:space="0" w:color="auto"/>
            </w:tcBorders>
            <w:vAlign w:val="center"/>
          </w:tcPr>
          <w:p w14:paraId="3264D298" w14:textId="77777777" w:rsidR="00B10F52" w:rsidRPr="008348C0" w:rsidRDefault="00B10F52" w:rsidP="006813C0">
            <w:pPr>
              <w:pStyle w:val="TableText0"/>
              <w:keepLines/>
              <w:rPr>
                <w:szCs w:val="20"/>
              </w:rPr>
            </w:pPr>
            <w:r w:rsidRPr="008348C0">
              <w:rPr>
                <w:szCs w:val="20"/>
              </w:rPr>
              <w:t>Michels S, Massuti B, Schildhaus HU, et al. Safety and efficacy of crizotinib in patients with advanced or metastatic ROS1-rearranged lung cancer (EUCROSS): a E</w:t>
            </w:r>
            <w:r w:rsidR="00CA787E" w:rsidRPr="008348C0">
              <w:rPr>
                <w:szCs w:val="20"/>
              </w:rPr>
              <w:t>uropean phase II clinical trial</w:t>
            </w:r>
          </w:p>
        </w:tc>
        <w:tc>
          <w:tcPr>
            <w:tcW w:w="1177" w:type="pct"/>
            <w:tcBorders>
              <w:top w:val="single" w:sz="4" w:space="0" w:color="auto"/>
              <w:bottom w:val="single" w:sz="4" w:space="0" w:color="auto"/>
            </w:tcBorders>
            <w:vAlign w:val="center"/>
          </w:tcPr>
          <w:p w14:paraId="60EFEEF4" w14:textId="77777777" w:rsidR="00B10F52" w:rsidRPr="008348C0" w:rsidRDefault="00B10F52" w:rsidP="006813C0">
            <w:pPr>
              <w:pStyle w:val="TableText0"/>
              <w:keepLines/>
              <w:rPr>
                <w:szCs w:val="20"/>
              </w:rPr>
            </w:pPr>
            <w:r w:rsidRPr="008348C0">
              <w:rPr>
                <w:szCs w:val="20"/>
              </w:rPr>
              <w:t>Journal of Thoracic Oncology 2019; 14(7): 1266-1276.</w:t>
            </w:r>
          </w:p>
        </w:tc>
      </w:tr>
      <w:tr w:rsidR="00B10F52" w:rsidRPr="008348C0" w14:paraId="025596EC" w14:textId="77777777" w:rsidTr="00B41A01">
        <w:tc>
          <w:tcPr>
            <w:tcW w:w="796" w:type="pct"/>
            <w:tcBorders>
              <w:top w:val="single" w:sz="4" w:space="0" w:color="auto"/>
              <w:bottom w:val="single" w:sz="4" w:space="0" w:color="auto"/>
            </w:tcBorders>
            <w:vAlign w:val="center"/>
          </w:tcPr>
          <w:p w14:paraId="243CB0F8" w14:textId="77777777" w:rsidR="00B10F52" w:rsidRPr="008348C0" w:rsidRDefault="00B10F52" w:rsidP="006813C0">
            <w:pPr>
              <w:pStyle w:val="TableText0"/>
              <w:keepLines/>
              <w:rPr>
                <w:szCs w:val="20"/>
              </w:rPr>
            </w:pPr>
            <w:r w:rsidRPr="008348C0">
              <w:rPr>
                <w:szCs w:val="20"/>
              </w:rPr>
              <w:t>METROS</w:t>
            </w:r>
          </w:p>
        </w:tc>
        <w:tc>
          <w:tcPr>
            <w:tcW w:w="3027" w:type="pct"/>
            <w:tcBorders>
              <w:top w:val="single" w:sz="4" w:space="0" w:color="auto"/>
              <w:bottom w:val="single" w:sz="4" w:space="0" w:color="auto"/>
            </w:tcBorders>
            <w:vAlign w:val="center"/>
          </w:tcPr>
          <w:p w14:paraId="475DD583" w14:textId="77777777" w:rsidR="00B10F52" w:rsidRPr="008348C0" w:rsidRDefault="00B10F52" w:rsidP="006813C0">
            <w:pPr>
              <w:pStyle w:val="TableText0"/>
              <w:keepLines/>
              <w:rPr>
                <w:szCs w:val="20"/>
              </w:rPr>
            </w:pPr>
            <w:r w:rsidRPr="008348C0">
              <w:rPr>
                <w:szCs w:val="20"/>
              </w:rPr>
              <w:t>Landi L, Chiari R, Tiseo M, et al. Crizotinib in MET-deregulated or ROS1-rearranged pretreated non-small cell lung cancer (METROS): a phase II, prospecti</w:t>
            </w:r>
            <w:r w:rsidR="00CA787E" w:rsidRPr="008348C0">
              <w:rPr>
                <w:szCs w:val="20"/>
              </w:rPr>
              <w:t>ve, multicentre, two-arms trial</w:t>
            </w:r>
          </w:p>
        </w:tc>
        <w:tc>
          <w:tcPr>
            <w:tcW w:w="1177" w:type="pct"/>
            <w:tcBorders>
              <w:top w:val="single" w:sz="4" w:space="0" w:color="auto"/>
              <w:bottom w:val="single" w:sz="4" w:space="0" w:color="auto"/>
            </w:tcBorders>
            <w:vAlign w:val="center"/>
          </w:tcPr>
          <w:p w14:paraId="75D4DE00" w14:textId="77777777" w:rsidR="00B10F52" w:rsidRPr="008348C0" w:rsidRDefault="00B10F52" w:rsidP="006813C0">
            <w:pPr>
              <w:pStyle w:val="TableText0"/>
              <w:keepLines/>
              <w:rPr>
                <w:szCs w:val="20"/>
              </w:rPr>
            </w:pPr>
            <w:r w:rsidRPr="008348C0">
              <w:rPr>
                <w:szCs w:val="20"/>
              </w:rPr>
              <w:t>Clinical Cancer Research 2019; 25(24): 7312-7319.</w:t>
            </w:r>
          </w:p>
        </w:tc>
      </w:tr>
      <w:tr w:rsidR="00AF4362" w:rsidRPr="008348C0" w14:paraId="7D33145F" w14:textId="77777777" w:rsidTr="00B41A01">
        <w:tc>
          <w:tcPr>
            <w:tcW w:w="796" w:type="pct"/>
            <w:tcBorders>
              <w:top w:val="single" w:sz="4" w:space="0" w:color="auto"/>
              <w:bottom w:val="single" w:sz="4" w:space="0" w:color="auto"/>
            </w:tcBorders>
            <w:vAlign w:val="center"/>
          </w:tcPr>
          <w:p w14:paraId="288B8506" w14:textId="77777777" w:rsidR="00AF4362" w:rsidRPr="008348C0" w:rsidRDefault="00AF4362" w:rsidP="006813C0">
            <w:pPr>
              <w:pStyle w:val="TableText0"/>
              <w:keepLines/>
              <w:rPr>
                <w:szCs w:val="20"/>
              </w:rPr>
            </w:pPr>
            <w:r w:rsidRPr="008348C0">
              <w:rPr>
                <w:szCs w:val="20"/>
              </w:rPr>
              <w:t>AcSé</w:t>
            </w:r>
            <w:r w:rsidRPr="008348C0">
              <w:rPr>
                <w:szCs w:val="20"/>
                <w:vertAlign w:val="superscript"/>
              </w:rPr>
              <w:t>a</w:t>
            </w:r>
          </w:p>
        </w:tc>
        <w:tc>
          <w:tcPr>
            <w:tcW w:w="3027" w:type="pct"/>
            <w:tcBorders>
              <w:top w:val="single" w:sz="4" w:space="0" w:color="auto"/>
              <w:bottom w:val="single" w:sz="4" w:space="0" w:color="auto"/>
            </w:tcBorders>
            <w:vAlign w:val="center"/>
          </w:tcPr>
          <w:p w14:paraId="0B7AEDE2" w14:textId="77777777" w:rsidR="00AF4362" w:rsidRPr="008348C0" w:rsidRDefault="00AF4362" w:rsidP="006813C0">
            <w:pPr>
              <w:pStyle w:val="TableText0"/>
              <w:keepLines/>
              <w:rPr>
                <w:szCs w:val="20"/>
              </w:rPr>
            </w:pPr>
            <w:r w:rsidRPr="008348C0">
              <w:rPr>
                <w:szCs w:val="20"/>
              </w:rPr>
              <w:t>Moro-Sibilot D, Cozic N, Perol M, et al. Crizotinib in c-MET- or ROS1-positive NSCLC: res</w:t>
            </w:r>
            <w:r w:rsidR="00CA787E" w:rsidRPr="008348C0">
              <w:rPr>
                <w:szCs w:val="20"/>
              </w:rPr>
              <w:t>ults of the AcSé phase II trial</w:t>
            </w:r>
          </w:p>
        </w:tc>
        <w:tc>
          <w:tcPr>
            <w:tcW w:w="1177" w:type="pct"/>
            <w:tcBorders>
              <w:top w:val="single" w:sz="4" w:space="0" w:color="auto"/>
              <w:bottom w:val="single" w:sz="4" w:space="0" w:color="auto"/>
            </w:tcBorders>
            <w:vAlign w:val="center"/>
          </w:tcPr>
          <w:p w14:paraId="0604B226" w14:textId="77777777" w:rsidR="00AF4362" w:rsidRPr="008348C0" w:rsidRDefault="00AF4362" w:rsidP="006813C0">
            <w:pPr>
              <w:pStyle w:val="TableText0"/>
              <w:keepLines/>
              <w:rPr>
                <w:szCs w:val="20"/>
              </w:rPr>
            </w:pPr>
            <w:r w:rsidRPr="008348C0">
              <w:rPr>
                <w:szCs w:val="20"/>
              </w:rPr>
              <w:t>Annals of Oncology: published online 4 October 2019.</w:t>
            </w:r>
          </w:p>
        </w:tc>
      </w:tr>
    </w:tbl>
    <w:p w14:paraId="2BA18609" w14:textId="77777777" w:rsidR="00911883" w:rsidRPr="0026039D" w:rsidRDefault="00B10F52" w:rsidP="006813C0">
      <w:pPr>
        <w:pStyle w:val="TableFigureFooter"/>
        <w:keepNext/>
        <w:keepLines/>
      </w:pPr>
      <w:r w:rsidRPr="0026039D">
        <w:t>Source: Table</w:t>
      </w:r>
      <w:r w:rsidR="006813C0" w:rsidRPr="0026039D">
        <w:t xml:space="preserve"> 2.2, pp40-41 of the submission</w:t>
      </w:r>
    </w:p>
    <w:p w14:paraId="6E9FD51E" w14:textId="77777777" w:rsidR="00B10F52" w:rsidRPr="0026039D" w:rsidRDefault="00B10F52" w:rsidP="006813C0">
      <w:pPr>
        <w:pStyle w:val="TableFigureFooter"/>
        <w:keepNext/>
        <w:keepLines/>
      </w:pPr>
      <w:r w:rsidRPr="0026039D">
        <w:t>CCOD = clinical cut-off date.</w:t>
      </w:r>
    </w:p>
    <w:p w14:paraId="04BFD58A" w14:textId="77777777" w:rsidR="00AF4362" w:rsidRPr="0026039D" w:rsidRDefault="00AF4362" w:rsidP="006813C0">
      <w:pPr>
        <w:pStyle w:val="TableFigureFooter"/>
        <w:keepNext/>
        <w:keepLines/>
        <w:ind w:left="142" w:hanging="142"/>
        <w:rPr>
          <w:iCs/>
          <w:sz w:val="20"/>
        </w:rPr>
      </w:pPr>
      <w:r w:rsidRPr="0026039D">
        <w:rPr>
          <w:vertAlign w:val="superscript"/>
        </w:rPr>
        <w:t>a</w:t>
      </w:r>
      <w:r w:rsidRPr="0026039D">
        <w:t xml:space="preserve"> The submission did not present data from the AcSé study as only conference abstracts were publicly available when the literature search was performed (September 2019). </w:t>
      </w:r>
      <w:r w:rsidRPr="0026039D">
        <w:rPr>
          <w:iCs/>
        </w:rPr>
        <w:t>A full publication of this study was located during the evaluation</w:t>
      </w:r>
      <w:r w:rsidR="004360EA" w:rsidRPr="0026039D">
        <w:rPr>
          <w:iCs/>
        </w:rPr>
        <w:t>. Data for the ROS1-positive cohort have been presented where feasible</w:t>
      </w:r>
      <w:r w:rsidRPr="0026039D">
        <w:rPr>
          <w:iCs/>
        </w:rPr>
        <w:t>.</w:t>
      </w:r>
    </w:p>
    <w:p w14:paraId="4E6FC980" w14:textId="77777777" w:rsidR="00B10F52" w:rsidRPr="0026039D" w:rsidRDefault="00B10F52" w:rsidP="001973AD">
      <w:pPr>
        <w:pStyle w:val="ListParagraph"/>
        <w:numPr>
          <w:ilvl w:val="1"/>
          <w:numId w:val="1"/>
        </w:numPr>
        <w:spacing w:after="160"/>
        <w:rPr>
          <w:color w:val="000000" w:themeColor="text1"/>
        </w:rPr>
      </w:pPr>
      <w:r w:rsidRPr="0026039D">
        <w:t xml:space="preserve">The key features of the included evidence are summarised in the table below. </w:t>
      </w:r>
    </w:p>
    <w:p w14:paraId="31922072" w14:textId="77777777" w:rsidR="00B10F52" w:rsidRPr="0026039D" w:rsidRDefault="00B10F52" w:rsidP="00B10F52">
      <w:pPr>
        <w:pStyle w:val="TableFigureHeading"/>
        <w:rPr>
          <w:rStyle w:val="CommentReference"/>
          <w:b/>
          <w:szCs w:val="24"/>
        </w:rPr>
      </w:pPr>
      <w:r w:rsidRPr="0026039D">
        <w:lastRenderedPageBreak/>
        <w:t xml:space="preserve">Table </w:t>
      </w:r>
      <w:r w:rsidR="00871462" w:rsidRPr="0026039D">
        <w:t>4</w:t>
      </w:r>
      <w:r w:rsidRPr="0026039D">
        <w:t xml:space="preserve">: </w:t>
      </w:r>
      <w:r w:rsidRPr="0026039D">
        <w:rPr>
          <w:rStyle w:val="CommentReference"/>
          <w:b/>
          <w:szCs w:val="24"/>
        </w:rPr>
        <w:t>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63"/>
        <w:gridCol w:w="990"/>
        <w:gridCol w:w="1407"/>
        <w:gridCol w:w="1115"/>
        <w:gridCol w:w="2754"/>
        <w:gridCol w:w="1488"/>
      </w:tblGrid>
      <w:tr w:rsidR="00B10F52" w:rsidRPr="008348C0" w14:paraId="5C293DCE" w14:textId="77777777" w:rsidTr="00B41A01">
        <w:trPr>
          <w:tblHeader/>
        </w:trPr>
        <w:tc>
          <w:tcPr>
            <w:tcW w:w="701" w:type="pct"/>
            <w:shd w:val="clear" w:color="auto" w:fill="auto"/>
            <w:vAlign w:val="center"/>
          </w:tcPr>
          <w:p w14:paraId="4DF3934C" w14:textId="77777777" w:rsidR="00B10F52" w:rsidRPr="008348C0" w:rsidRDefault="00065450" w:rsidP="009D63F1">
            <w:pPr>
              <w:pStyle w:val="In-tableHeading"/>
              <w:rPr>
                <w:szCs w:val="20"/>
                <w:lang w:val="en-AU"/>
              </w:rPr>
            </w:pPr>
            <w:r w:rsidRPr="008348C0">
              <w:rPr>
                <w:szCs w:val="20"/>
                <w:lang w:val="en-AU"/>
              </w:rPr>
              <w:t>Study</w:t>
            </w:r>
          </w:p>
        </w:tc>
        <w:tc>
          <w:tcPr>
            <w:tcW w:w="549" w:type="pct"/>
            <w:shd w:val="clear" w:color="auto" w:fill="auto"/>
            <w:vAlign w:val="center"/>
          </w:tcPr>
          <w:p w14:paraId="1466BB4E" w14:textId="77777777" w:rsidR="00B10F52" w:rsidRPr="008348C0" w:rsidRDefault="00B10F52" w:rsidP="009D63F1">
            <w:pPr>
              <w:pStyle w:val="In-tableHeading"/>
              <w:jc w:val="center"/>
              <w:rPr>
                <w:szCs w:val="20"/>
                <w:lang w:val="en-AU"/>
              </w:rPr>
            </w:pPr>
            <w:r w:rsidRPr="008348C0">
              <w:rPr>
                <w:szCs w:val="20"/>
                <w:lang w:val="en-AU"/>
              </w:rPr>
              <w:t>N</w:t>
            </w:r>
          </w:p>
        </w:tc>
        <w:tc>
          <w:tcPr>
            <w:tcW w:w="780" w:type="pct"/>
            <w:shd w:val="clear" w:color="auto" w:fill="auto"/>
            <w:vAlign w:val="center"/>
          </w:tcPr>
          <w:p w14:paraId="442C5A01" w14:textId="77777777" w:rsidR="00B10F52" w:rsidRPr="008348C0" w:rsidRDefault="00B10F52" w:rsidP="009D63F1">
            <w:pPr>
              <w:pStyle w:val="In-tableHeading"/>
              <w:jc w:val="center"/>
              <w:rPr>
                <w:szCs w:val="20"/>
                <w:lang w:val="en-AU"/>
              </w:rPr>
            </w:pPr>
            <w:r w:rsidRPr="008348C0">
              <w:rPr>
                <w:szCs w:val="20"/>
                <w:lang w:val="en-AU"/>
              </w:rPr>
              <w:t>Design/ duration</w:t>
            </w:r>
          </w:p>
        </w:tc>
        <w:tc>
          <w:tcPr>
            <w:tcW w:w="618" w:type="pct"/>
            <w:shd w:val="clear" w:color="auto" w:fill="auto"/>
            <w:vAlign w:val="center"/>
          </w:tcPr>
          <w:p w14:paraId="7485BAD1" w14:textId="77777777" w:rsidR="00B10F52" w:rsidRPr="008348C0" w:rsidRDefault="00B10F52" w:rsidP="009D63F1">
            <w:pPr>
              <w:pStyle w:val="In-tableHeading"/>
              <w:jc w:val="center"/>
              <w:rPr>
                <w:szCs w:val="20"/>
                <w:lang w:val="en-AU"/>
              </w:rPr>
            </w:pPr>
            <w:r w:rsidRPr="008348C0">
              <w:rPr>
                <w:szCs w:val="20"/>
                <w:lang w:val="en-AU"/>
              </w:rPr>
              <w:t>Risk of bias</w:t>
            </w:r>
          </w:p>
        </w:tc>
        <w:tc>
          <w:tcPr>
            <w:tcW w:w="1527" w:type="pct"/>
            <w:shd w:val="clear" w:color="auto" w:fill="auto"/>
            <w:vAlign w:val="center"/>
          </w:tcPr>
          <w:p w14:paraId="495CD7B1" w14:textId="77777777" w:rsidR="00B10F52" w:rsidRPr="008348C0" w:rsidRDefault="00B10F52" w:rsidP="009D63F1">
            <w:pPr>
              <w:pStyle w:val="In-tableHeading"/>
              <w:jc w:val="center"/>
              <w:rPr>
                <w:szCs w:val="20"/>
                <w:lang w:val="en-AU"/>
              </w:rPr>
            </w:pPr>
            <w:r w:rsidRPr="008348C0">
              <w:rPr>
                <w:szCs w:val="20"/>
                <w:lang w:val="en-AU"/>
              </w:rPr>
              <w:t>Patient population</w:t>
            </w:r>
          </w:p>
        </w:tc>
        <w:tc>
          <w:tcPr>
            <w:tcW w:w="824" w:type="pct"/>
            <w:shd w:val="clear" w:color="auto" w:fill="auto"/>
            <w:vAlign w:val="center"/>
          </w:tcPr>
          <w:p w14:paraId="09CB6D35" w14:textId="77777777" w:rsidR="00B10F52" w:rsidRPr="008348C0" w:rsidRDefault="00B10F52" w:rsidP="009D63F1">
            <w:pPr>
              <w:pStyle w:val="In-tableHeading"/>
              <w:jc w:val="center"/>
              <w:rPr>
                <w:szCs w:val="20"/>
                <w:lang w:val="en-AU"/>
              </w:rPr>
            </w:pPr>
            <w:r w:rsidRPr="008348C0">
              <w:rPr>
                <w:szCs w:val="20"/>
                <w:lang w:val="en-AU"/>
              </w:rPr>
              <w:t>Outcomes</w:t>
            </w:r>
          </w:p>
        </w:tc>
      </w:tr>
      <w:tr w:rsidR="00DF6A1B" w:rsidRPr="008348C0" w14:paraId="3EEE9FAB" w14:textId="77777777" w:rsidTr="00B41A01">
        <w:tc>
          <w:tcPr>
            <w:tcW w:w="701" w:type="pct"/>
            <w:tcBorders>
              <w:right w:val="nil"/>
            </w:tcBorders>
            <w:shd w:val="clear" w:color="auto" w:fill="auto"/>
            <w:vAlign w:val="center"/>
          </w:tcPr>
          <w:p w14:paraId="3534E07A" w14:textId="77777777" w:rsidR="00DF6A1B" w:rsidRPr="008348C0" w:rsidRDefault="00DF6A1B" w:rsidP="009D63F1">
            <w:pPr>
              <w:pStyle w:val="TableText0"/>
              <w:rPr>
                <w:b/>
                <w:szCs w:val="20"/>
              </w:rPr>
            </w:pPr>
            <w:r w:rsidRPr="008348C0">
              <w:rPr>
                <w:b/>
                <w:szCs w:val="20"/>
              </w:rPr>
              <w:t>Entrectinib</w:t>
            </w:r>
          </w:p>
        </w:tc>
        <w:tc>
          <w:tcPr>
            <w:tcW w:w="549" w:type="pct"/>
            <w:tcBorders>
              <w:left w:val="nil"/>
              <w:right w:val="nil"/>
            </w:tcBorders>
            <w:shd w:val="clear" w:color="auto" w:fill="auto"/>
            <w:vAlign w:val="center"/>
          </w:tcPr>
          <w:p w14:paraId="48947D97" w14:textId="77777777" w:rsidR="00DF6A1B" w:rsidRPr="008348C0" w:rsidRDefault="00DF6A1B" w:rsidP="009D63F1">
            <w:pPr>
              <w:pStyle w:val="TableText0"/>
              <w:jc w:val="center"/>
              <w:rPr>
                <w:szCs w:val="20"/>
              </w:rPr>
            </w:pPr>
          </w:p>
        </w:tc>
        <w:tc>
          <w:tcPr>
            <w:tcW w:w="780" w:type="pct"/>
            <w:tcBorders>
              <w:left w:val="nil"/>
              <w:right w:val="nil"/>
            </w:tcBorders>
            <w:shd w:val="clear" w:color="auto" w:fill="auto"/>
            <w:vAlign w:val="center"/>
          </w:tcPr>
          <w:p w14:paraId="03A2D876" w14:textId="77777777" w:rsidR="00DF6A1B" w:rsidRPr="008348C0" w:rsidRDefault="00DF6A1B" w:rsidP="004B1306">
            <w:pPr>
              <w:pStyle w:val="TableText0"/>
              <w:jc w:val="center"/>
              <w:rPr>
                <w:szCs w:val="20"/>
              </w:rPr>
            </w:pPr>
          </w:p>
        </w:tc>
        <w:tc>
          <w:tcPr>
            <w:tcW w:w="618" w:type="pct"/>
            <w:tcBorders>
              <w:left w:val="nil"/>
              <w:right w:val="nil"/>
            </w:tcBorders>
            <w:shd w:val="clear" w:color="auto" w:fill="auto"/>
            <w:vAlign w:val="center"/>
          </w:tcPr>
          <w:p w14:paraId="1956C8BD" w14:textId="77777777" w:rsidR="00DF6A1B" w:rsidRPr="008348C0" w:rsidRDefault="00DF6A1B" w:rsidP="009D63F1">
            <w:pPr>
              <w:pStyle w:val="TableText0"/>
              <w:jc w:val="center"/>
              <w:rPr>
                <w:szCs w:val="20"/>
              </w:rPr>
            </w:pPr>
          </w:p>
        </w:tc>
        <w:tc>
          <w:tcPr>
            <w:tcW w:w="1527" w:type="pct"/>
            <w:tcBorders>
              <w:left w:val="nil"/>
              <w:right w:val="nil"/>
            </w:tcBorders>
            <w:shd w:val="clear" w:color="auto" w:fill="auto"/>
            <w:vAlign w:val="center"/>
          </w:tcPr>
          <w:p w14:paraId="315FB209" w14:textId="77777777" w:rsidR="00DF6A1B" w:rsidRPr="008348C0" w:rsidRDefault="00DF6A1B" w:rsidP="009D63F1">
            <w:pPr>
              <w:pStyle w:val="TableText0"/>
              <w:rPr>
                <w:szCs w:val="20"/>
              </w:rPr>
            </w:pPr>
          </w:p>
        </w:tc>
        <w:tc>
          <w:tcPr>
            <w:tcW w:w="824" w:type="pct"/>
            <w:tcBorders>
              <w:left w:val="nil"/>
            </w:tcBorders>
            <w:shd w:val="clear" w:color="auto" w:fill="auto"/>
            <w:vAlign w:val="center"/>
          </w:tcPr>
          <w:p w14:paraId="3F3DBFAA" w14:textId="77777777" w:rsidR="00DF6A1B" w:rsidRPr="008348C0" w:rsidRDefault="00DF6A1B" w:rsidP="009D63F1">
            <w:pPr>
              <w:pStyle w:val="TableText0"/>
              <w:jc w:val="center"/>
              <w:rPr>
                <w:szCs w:val="20"/>
              </w:rPr>
            </w:pPr>
          </w:p>
        </w:tc>
      </w:tr>
      <w:tr w:rsidR="00B10F52" w:rsidRPr="008348C0" w14:paraId="4F6304A9" w14:textId="77777777" w:rsidTr="00B41A01">
        <w:tc>
          <w:tcPr>
            <w:tcW w:w="701" w:type="pct"/>
            <w:shd w:val="clear" w:color="auto" w:fill="auto"/>
            <w:vAlign w:val="center"/>
          </w:tcPr>
          <w:p w14:paraId="637044D3" w14:textId="77777777" w:rsidR="00B10F52" w:rsidRPr="008348C0" w:rsidRDefault="00B10F52" w:rsidP="009D63F1">
            <w:pPr>
              <w:pStyle w:val="TableText0"/>
              <w:rPr>
                <w:szCs w:val="20"/>
              </w:rPr>
            </w:pPr>
            <w:r w:rsidRPr="008348C0">
              <w:rPr>
                <w:szCs w:val="20"/>
              </w:rPr>
              <w:t>ALKA</w:t>
            </w:r>
          </w:p>
        </w:tc>
        <w:tc>
          <w:tcPr>
            <w:tcW w:w="549" w:type="pct"/>
            <w:shd w:val="clear" w:color="auto" w:fill="auto"/>
            <w:vAlign w:val="center"/>
          </w:tcPr>
          <w:p w14:paraId="650D4D75" w14:textId="77777777" w:rsidR="00B10F52" w:rsidRPr="008348C0" w:rsidRDefault="00B10F52" w:rsidP="009D63F1">
            <w:pPr>
              <w:pStyle w:val="TableText0"/>
              <w:jc w:val="center"/>
              <w:rPr>
                <w:szCs w:val="20"/>
              </w:rPr>
            </w:pPr>
            <w:r w:rsidRPr="008348C0">
              <w:rPr>
                <w:szCs w:val="20"/>
              </w:rPr>
              <w:t>58</w:t>
            </w:r>
          </w:p>
          <w:p w14:paraId="4A61768B" w14:textId="77777777" w:rsidR="004B1306" w:rsidRPr="008348C0" w:rsidRDefault="004B1306" w:rsidP="009D63F1">
            <w:pPr>
              <w:pStyle w:val="TableText0"/>
              <w:jc w:val="center"/>
              <w:rPr>
                <w:szCs w:val="20"/>
                <w:vertAlign w:val="superscript"/>
              </w:rPr>
            </w:pPr>
            <w:r w:rsidRPr="008348C0">
              <w:rPr>
                <w:szCs w:val="20"/>
              </w:rPr>
              <w:t>PAS: 9</w:t>
            </w:r>
            <w:r w:rsidRPr="008348C0">
              <w:rPr>
                <w:szCs w:val="20"/>
                <w:vertAlign w:val="superscript"/>
              </w:rPr>
              <w:t>a</w:t>
            </w:r>
          </w:p>
        </w:tc>
        <w:tc>
          <w:tcPr>
            <w:tcW w:w="780" w:type="pct"/>
            <w:shd w:val="clear" w:color="auto" w:fill="auto"/>
            <w:vAlign w:val="center"/>
          </w:tcPr>
          <w:p w14:paraId="180D81B3" w14:textId="77777777" w:rsidR="004B1306" w:rsidRPr="008348C0" w:rsidRDefault="00B10F52" w:rsidP="004B1306">
            <w:pPr>
              <w:pStyle w:val="TableText0"/>
              <w:jc w:val="center"/>
              <w:rPr>
                <w:szCs w:val="20"/>
                <w:vertAlign w:val="superscript"/>
              </w:rPr>
            </w:pPr>
            <w:r w:rsidRPr="008348C0">
              <w:rPr>
                <w:szCs w:val="20"/>
              </w:rPr>
              <w:t>Single arm, OL</w:t>
            </w:r>
            <w:r w:rsidR="004B1306" w:rsidRPr="008348C0">
              <w:rPr>
                <w:szCs w:val="20"/>
                <w:vertAlign w:val="superscript"/>
              </w:rPr>
              <w:t>b</w:t>
            </w:r>
          </w:p>
        </w:tc>
        <w:tc>
          <w:tcPr>
            <w:tcW w:w="618" w:type="pct"/>
            <w:shd w:val="clear" w:color="auto" w:fill="auto"/>
            <w:vAlign w:val="center"/>
          </w:tcPr>
          <w:p w14:paraId="59356347" w14:textId="77777777" w:rsidR="00B10F52" w:rsidRPr="008348C0" w:rsidRDefault="00B10F52" w:rsidP="009D63F1">
            <w:pPr>
              <w:pStyle w:val="TableText0"/>
              <w:jc w:val="center"/>
              <w:rPr>
                <w:szCs w:val="20"/>
              </w:rPr>
            </w:pPr>
            <w:r w:rsidRPr="008348C0">
              <w:rPr>
                <w:szCs w:val="20"/>
              </w:rPr>
              <w:t>High</w:t>
            </w:r>
          </w:p>
        </w:tc>
        <w:tc>
          <w:tcPr>
            <w:tcW w:w="1527" w:type="pct"/>
            <w:shd w:val="clear" w:color="auto" w:fill="auto"/>
            <w:vAlign w:val="center"/>
          </w:tcPr>
          <w:p w14:paraId="702E7DEC" w14:textId="77777777" w:rsidR="00B10F52" w:rsidRPr="008348C0" w:rsidRDefault="00D417D2" w:rsidP="009D63F1">
            <w:pPr>
              <w:pStyle w:val="TableText0"/>
              <w:rPr>
                <w:szCs w:val="20"/>
              </w:rPr>
            </w:pPr>
            <w:r w:rsidRPr="008348C0">
              <w:rPr>
                <w:szCs w:val="20"/>
              </w:rPr>
              <w:t>P</w:t>
            </w:r>
            <w:r w:rsidR="00B10F52" w:rsidRPr="008348C0">
              <w:rPr>
                <w:szCs w:val="20"/>
              </w:rPr>
              <w:t>atients with advanced/metastatic solid tumours with TRKA/B/C, ROS1 or ALK molecular alterations</w:t>
            </w:r>
            <w:r w:rsidR="007769FC" w:rsidRPr="008348C0">
              <w:rPr>
                <w:szCs w:val="20"/>
              </w:rPr>
              <w:t>.</w:t>
            </w:r>
          </w:p>
        </w:tc>
        <w:tc>
          <w:tcPr>
            <w:tcW w:w="824" w:type="pct"/>
            <w:shd w:val="clear" w:color="auto" w:fill="auto"/>
            <w:vAlign w:val="center"/>
          </w:tcPr>
          <w:p w14:paraId="42A1AC7D" w14:textId="77777777" w:rsidR="00B10F52" w:rsidRPr="008348C0" w:rsidRDefault="00B10F52" w:rsidP="009D63F1">
            <w:pPr>
              <w:pStyle w:val="TableText0"/>
              <w:jc w:val="center"/>
              <w:rPr>
                <w:szCs w:val="20"/>
              </w:rPr>
            </w:pPr>
            <w:r w:rsidRPr="008348C0">
              <w:rPr>
                <w:szCs w:val="20"/>
              </w:rPr>
              <w:t>ORR, PFS and OS</w:t>
            </w:r>
          </w:p>
        </w:tc>
      </w:tr>
      <w:tr w:rsidR="00B10F52" w:rsidRPr="008348C0" w14:paraId="342FCFA4" w14:textId="77777777" w:rsidTr="00B41A01">
        <w:tc>
          <w:tcPr>
            <w:tcW w:w="701" w:type="pct"/>
            <w:shd w:val="clear" w:color="auto" w:fill="auto"/>
            <w:vAlign w:val="center"/>
          </w:tcPr>
          <w:p w14:paraId="24B6ABA7" w14:textId="77777777" w:rsidR="00B10F52" w:rsidRPr="008348C0" w:rsidRDefault="00B10F52" w:rsidP="009D63F1">
            <w:pPr>
              <w:pStyle w:val="TableText0"/>
              <w:rPr>
                <w:szCs w:val="20"/>
              </w:rPr>
            </w:pPr>
            <w:r w:rsidRPr="008348C0">
              <w:rPr>
                <w:szCs w:val="20"/>
              </w:rPr>
              <w:t>STARTRK-1</w:t>
            </w:r>
          </w:p>
        </w:tc>
        <w:tc>
          <w:tcPr>
            <w:tcW w:w="549" w:type="pct"/>
            <w:shd w:val="clear" w:color="auto" w:fill="auto"/>
            <w:vAlign w:val="center"/>
          </w:tcPr>
          <w:p w14:paraId="0EE3DA7F" w14:textId="77777777" w:rsidR="00B10F52" w:rsidRPr="008348C0" w:rsidRDefault="00B10F52" w:rsidP="009D63F1">
            <w:pPr>
              <w:pStyle w:val="TableText0"/>
              <w:jc w:val="center"/>
              <w:rPr>
                <w:szCs w:val="20"/>
              </w:rPr>
            </w:pPr>
            <w:r w:rsidRPr="008348C0">
              <w:rPr>
                <w:szCs w:val="20"/>
              </w:rPr>
              <w:t>76</w:t>
            </w:r>
          </w:p>
          <w:p w14:paraId="5641EFC9" w14:textId="77777777" w:rsidR="004B1306" w:rsidRPr="008348C0" w:rsidRDefault="004B1306" w:rsidP="009D63F1">
            <w:pPr>
              <w:pStyle w:val="TableText0"/>
              <w:jc w:val="center"/>
              <w:rPr>
                <w:szCs w:val="20"/>
                <w:vertAlign w:val="superscript"/>
              </w:rPr>
            </w:pPr>
            <w:r w:rsidRPr="008348C0">
              <w:rPr>
                <w:szCs w:val="20"/>
              </w:rPr>
              <w:t>PAS: 7</w:t>
            </w:r>
            <w:r w:rsidRPr="008348C0">
              <w:rPr>
                <w:szCs w:val="20"/>
                <w:vertAlign w:val="superscript"/>
              </w:rPr>
              <w:t>a</w:t>
            </w:r>
          </w:p>
        </w:tc>
        <w:tc>
          <w:tcPr>
            <w:tcW w:w="780" w:type="pct"/>
            <w:shd w:val="clear" w:color="auto" w:fill="auto"/>
            <w:vAlign w:val="center"/>
          </w:tcPr>
          <w:p w14:paraId="3A98CDF5" w14:textId="77777777" w:rsidR="00B10F52" w:rsidRPr="008348C0" w:rsidRDefault="00B10F52" w:rsidP="009D63F1">
            <w:pPr>
              <w:pStyle w:val="TableText0"/>
              <w:jc w:val="center"/>
              <w:rPr>
                <w:szCs w:val="20"/>
                <w:vertAlign w:val="superscript"/>
              </w:rPr>
            </w:pPr>
            <w:r w:rsidRPr="008348C0">
              <w:rPr>
                <w:szCs w:val="20"/>
              </w:rPr>
              <w:t>Single arm, OL</w:t>
            </w:r>
            <w:r w:rsidR="004B1306" w:rsidRPr="008348C0">
              <w:rPr>
                <w:szCs w:val="20"/>
                <w:vertAlign w:val="superscript"/>
              </w:rPr>
              <w:t>b</w:t>
            </w:r>
          </w:p>
        </w:tc>
        <w:tc>
          <w:tcPr>
            <w:tcW w:w="618" w:type="pct"/>
            <w:shd w:val="clear" w:color="auto" w:fill="auto"/>
            <w:vAlign w:val="center"/>
          </w:tcPr>
          <w:p w14:paraId="132204FA" w14:textId="77777777" w:rsidR="00B10F52" w:rsidRPr="008348C0" w:rsidRDefault="00B10F52" w:rsidP="009D63F1">
            <w:pPr>
              <w:pStyle w:val="TableText0"/>
              <w:jc w:val="center"/>
              <w:rPr>
                <w:szCs w:val="20"/>
              </w:rPr>
            </w:pPr>
            <w:r w:rsidRPr="008348C0">
              <w:rPr>
                <w:szCs w:val="20"/>
              </w:rPr>
              <w:t>High</w:t>
            </w:r>
          </w:p>
        </w:tc>
        <w:tc>
          <w:tcPr>
            <w:tcW w:w="1527" w:type="pct"/>
            <w:shd w:val="clear" w:color="auto" w:fill="auto"/>
            <w:vAlign w:val="center"/>
          </w:tcPr>
          <w:p w14:paraId="1B259D8D" w14:textId="77777777" w:rsidR="00B10F52" w:rsidRPr="008348C0" w:rsidRDefault="00D417D2" w:rsidP="009D63F1">
            <w:pPr>
              <w:pStyle w:val="TableText0"/>
              <w:rPr>
                <w:szCs w:val="20"/>
              </w:rPr>
            </w:pPr>
            <w:r w:rsidRPr="008348C0">
              <w:rPr>
                <w:szCs w:val="20"/>
              </w:rPr>
              <w:t>P</w:t>
            </w:r>
            <w:r w:rsidR="00B10F52" w:rsidRPr="008348C0">
              <w:rPr>
                <w:szCs w:val="20"/>
              </w:rPr>
              <w:t>atient</w:t>
            </w:r>
            <w:r w:rsidR="00967170" w:rsidRPr="008348C0">
              <w:rPr>
                <w:szCs w:val="20"/>
              </w:rPr>
              <w:t>s</w:t>
            </w:r>
            <w:r w:rsidR="00B10F52" w:rsidRPr="008348C0">
              <w:rPr>
                <w:szCs w:val="20"/>
              </w:rPr>
              <w:t xml:space="preserve"> with any locally advanced or metastatic solid tumour</w:t>
            </w:r>
            <w:r w:rsidR="007769FC" w:rsidRPr="008348C0">
              <w:rPr>
                <w:szCs w:val="20"/>
              </w:rPr>
              <w:t xml:space="preserve"> preferably with NTRK1/2/3, ROS1, or ALK molecular alterations.</w:t>
            </w:r>
          </w:p>
        </w:tc>
        <w:tc>
          <w:tcPr>
            <w:tcW w:w="824" w:type="pct"/>
            <w:shd w:val="clear" w:color="auto" w:fill="auto"/>
            <w:vAlign w:val="center"/>
          </w:tcPr>
          <w:p w14:paraId="0D19DC94" w14:textId="77777777" w:rsidR="00B10F52" w:rsidRPr="008348C0" w:rsidRDefault="00B10F52" w:rsidP="009D63F1">
            <w:pPr>
              <w:pStyle w:val="TableText0"/>
              <w:jc w:val="center"/>
              <w:rPr>
                <w:szCs w:val="20"/>
              </w:rPr>
            </w:pPr>
            <w:r w:rsidRPr="008348C0">
              <w:rPr>
                <w:szCs w:val="20"/>
              </w:rPr>
              <w:t>ORR, PFS and OS</w:t>
            </w:r>
          </w:p>
        </w:tc>
      </w:tr>
      <w:tr w:rsidR="00B10F52" w:rsidRPr="008348C0" w14:paraId="7D71E1F2" w14:textId="77777777" w:rsidTr="00B41A01">
        <w:tc>
          <w:tcPr>
            <w:tcW w:w="701" w:type="pct"/>
            <w:shd w:val="clear" w:color="auto" w:fill="auto"/>
            <w:vAlign w:val="center"/>
          </w:tcPr>
          <w:p w14:paraId="293D910F" w14:textId="77777777" w:rsidR="00B10F52" w:rsidRPr="008348C0" w:rsidRDefault="00B10F52" w:rsidP="009D63F1">
            <w:pPr>
              <w:pStyle w:val="TableText0"/>
              <w:rPr>
                <w:szCs w:val="20"/>
              </w:rPr>
            </w:pPr>
            <w:r w:rsidRPr="008348C0">
              <w:rPr>
                <w:szCs w:val="20"/>
              </w:rPr>
              <w:t>STARTRK-2</w:t>
            </w:r>
          </w:p>
        </w:tc>
        <w:tc>
          <w:tcPr>
            <w:tcW w:w="549" w:type="pct"/>
            <w:shd w:val="clear" w:color="auto" w:fill="auto"/>
            <w:vAlign w:val="center"/>
          </w:tcPr>
          <w:p w14:paraId="39F2B50E" w14:textId="77777777" w:rsidR="00B10F52" w:rsidRPr="008348C0" w:rsidRDefault="00B10F52" w:rsidP="009D63F1">
            <w:pPr>
              <w:pStyle w:val="TableText0"/>
              <w:jc w:val="center"/>
              <w:rPr>
                <w:szCs w:val="20"/>
              </w:rPr>
            </w:pPr>
            <w:r w:rsidRPr="008348C0">
              <w:rPr>
                <w:szCs w:val="20"/>
              </w:rPr>
              <w:t>207</w:t>
            </w:r>
          </w:p>
          <w:p w14:paraId="2F18B44D" w14:textId="77777777" w:rsidR="004B1306" w:rsidRPr="008348C0" w:rsidRDefault="004B1306" w:rsidP="009D63F1">
            <w:pPr>
              <w:pStyle w:val="TableText0"/>
              <w:jc w:val="center"/>
              <w:rPr>
                <w:szCs w:val="20"/>
                <w:vertAlign w:val="superscript"/>
              </w:rPr>
            </w:pPr>
            <w:r w:rsidRPr="008348C0">
              <w:rPr>
                <w:szCs w:val="20"/>
              </w:rPr>
              <w:t>PAS: 37</w:t>
            </w:r>
            <w:r w:rsidRPr="008348C0">
              <w:rPr>
                <w:szCs w:val="20"/>
                <w:vertAlign w:val="superscript"/>
              </w:rPr>
              <w:t>a</w:t>
            </w:r>
          </w:p>
        </w:tc>
        <w:tc>
          <w:tcPr>
            <w:tcW w:w="780" w:type="pct"/>
            <w:shd w:val="clear" w:color="auto" w:fill="auto"/>
            <w:vAlign w:val="center"/>
          </w:tcPr>
          <w:p w14:paraId="61C9BC1F" w14:textId="77777777" w:rsidR="00B10F52" w:rsidRPr="008348C0" w:rsidRDefault="00B10F52" w:rsidP="009D63F1">
            <w:pPr>
              <w:pStyle w:val="TableText0"/>
              <w:jc w:val="center"/>
              <w:rPr>
                <w:szCs w:val="20"/>
                <w:vertAlign w:val="superscript"/>
              </w:rPr>
            </w:pPr>
            <w:r w:rsidRPr="008348C0">
              <w:rPr>
                <w:szCs w:val="20"/>
              </w:rPr>
              <w:t>Single arm, OL</w:t>
            </w:r>
            <w:r w:rsidR="004B1306" w:rsidRPr="008348C0">
              <w:rPr>
                <w:szCs w:val="20"/>
                <w:vertAlign w:val="superscript"/>
              </w:rPr>
              <w:t>b</w:t>
            </w:r>
          </w:p>
        </w:tc>
        <w:tc>
          <w:tcPr>
            <w:tcW w:w="618" w:type="pct"/>
            <w:shd w:val="clear" w:color="auto" w:fill="auto"/>
            <w:vAlign w:val="center"/>
          </w:tcPr>
          <w:p w14:paraId="1342DC6A" w14:textId="77777777" w:rsidR="00B10F52" w:rsidRPr="008348C0" w:rsidRDefault="00B10F52" w:rsidP="009D63F1">
            <w:pPr>
              <w:pStyle w:val="TableText0"/>
              <w:jc w:val="center"/>
              <w:rPr>
                <w:szCs w:val="20"/>
              </w:rPr>
            </w:pPr>
            <w:r w:rsidRPr="008348C0">
              <w:rPr>
                <w:szCs w:val="20"/>
              </w:rPr>
              <w:t>High</w:t>
            </w:r>
          </w:p>
        </w:tc>
        <w:tc>
          <w:tcPr>
            <w:tcW w:w="1527" w:type="pct"/>
            <w:shd w:val="clear" w:color="auto" w:fill="auto"/>
            <w:vAlign w:val="center"/>
          </w:tcPr>
          <w:p w14:paraId="070E783F" w14:textId="77777777" w:rsidR="00B10F52" w:rsidRPr="008348C0" w:rsidRDefault="00D417D2" w:rsidP="009D63F1">
            <w:pPr>
              <w:pStyle w:val="TableText0"/>
              <w:rPr>
                <w:szCs w:val="20"/>
              </w:rPr>
            </w:pPr>
            <w:r w:rsidRPr="008348C0">
              <w:rPr>
                <w:szCs w:val="20"/>
              </w:rPr>
              <w:t>P</w:t>
            </w:r>
            <w:r w:rsidR="00B10F52" w:rsidRPr="008348C0">
              <w:rPr>
                <w:szCs w:val="20"/>
              </w:rPr>
              <w:t>atients with locally advanced or metastatic solid tumours harbouring a NTRK1/2/3, ROS1, or ALK gene rearrangement</w:t>
            </w:r>
            <w:r w:rsidR="007769FC" w:rsidRPr="008348C0">
              <w:rPr>
                <w:szCs w:val="20"/>
              </w:rPr>
              <w:t>.</w:t>
            </w:r>
          </w:p>
        </w:tc>
        <w:tc>
          <w:tcPr>
            <w:tcW w:w="824" w:type="pct"/>
            <w:shd w:val="clear" w:color="auto" w:fill="auto"/>
            <w:vAlign w:val="center"/>
          </w:tcPr>
          <w:p w14:paraId="5127C308" w14:textId="77777777" w:rsidR="00B10F52" w:rsidRPr="008348C0" w:rsidRDefault="00B10F52" w:rsidP="009D63F1">
            <w:pPr>
              <w:pStyle w:val="TableText0"/>
              <w:jc w:val="center"/>
              <w:rPr>
                <w:szCs w:val="20"/>
              </w:rPr>
            </w:pPr>
            <w:r w:rsidRPr="008348C0">
              <w:rPr>
                <w:szCs w:val="20"/>
              </w:rPr>
              <w:t>ORR, PFS and OS</w:t>
            </w:r>
          </w:p>
        </w:tc>
      </w:tr>
      <w:tr w:rsidR="00B10F52" w:rsidRPr="008348C0" w14:paraId="59C9B98E" w14:textId="77777777" w:rsidTr="00B41A01">
        <w:tc>
          <w:tcPr>
            <w:tcW w:w="701" w:type="pct"/>
            <w:tcBorders>
              <w:bottom w:val="single" w:sz="4" w:space="0" w:color="auto"/>
            </w:tcBorders>
            <w:shd w:val="clear" w:color="auto" w:fill="auto"/>
            <w:vAlign w:val="center"/>
          </w:tcPr>
          <w:p w14:paraId="14F5EB2A" w14:textId="77777777" w:rsidR="00B10F52" w:rsidRPr="008348C0" w:rsidRDefault="00B10F52" w:rsidP="009D63F1">
            <w:pPr>
              <w:pStyle w:val="TableText0"/>
              <w:rPr>
                <w:szCs w:val="20"/>
              </w:rPr>
            </w:pPr>
            <w:r w:rsidRPr="008348C0">
              <w:rPr>
                <w:szCs w:val="20"/>
              </w:rPr>
              <w:t>Pooled data</w:t>
            </w:r>
          </w:p>
        </w:tc>
        <w:tc>
          <w:tcPr>
            <w:tcW w:w="549" w:type="pct"/>
            <w:tcBorders>
              <w:bottom w:val="single" w:sz="4" w:space="0" w:color="auto"/>
            </w:tcBorders>
            <w:shd w:val="clear" w:color="auto" w:fill="auto"/>
            <w:vAlign w:val="center"/>
          </w:tcPr>
          <w:p w14:paraId="394B739D" w14:textId="77777777" w:rsidR="00B10F52" w:rsidRPr="008348C0" w:rsidRDefault="00B10F52" w:rsidP="009D63F1">
            <w:pPr>
              <w:pStyle w:val="TableText0"/>
              <w:jc w:val="center"/>
              <w:rPr>
                <w:szCs w:val="20"/>
              </w:rPr>
            </w:pPr>
            <w:r w:rsidRPr="008348C0">
              <w:rPr>
                <w:szCs w:val="20"/>
              </w:rPr>
              <w:t>53</w:t>
            </w:r>
          </w:p>
        </w:tc>
        <w:tc>
          <w:tcPr>
            <w:tcW w:w="3750" w:type="pct"/>
            <w:gridSpan w:val="4"/>
            <w:tcBorders>
              <w:bottom w:val="single" w:sz="4" w:space="0" w:color="auto"/>
            </w:tcBorders>
            <w:shd w:val="clear" w:color="auto" w:fill="auto"/>
            <w:vAlign w:val="center"/>
          </w:tcPr>
          <w:p w14:paraId="1E9F2135" w14:textId="1BF1F747" w:rsidR="00B10F52" w:rsidRPr="008348C0" w:rsidRDefault="00B10F52" w:rsidP="007769FC">
            <w:pPr>
              <w:pStyle w:val="TableText0"/>
              <w:rPr>
                <w:szCs w:val="20"/>
              </w:rPr>
            </w:pPr>
            <w:r w:rsidRPr="008348C0">
              <w:rPr>
                <w:szCs w:val="20"/>
              </w:rPr>
              <w:t>ROS1 NSCLC Efficacy Evaluable Analysis Set</w:t>
            </w:r>
            <w:r w:rsidR="007769FC" w:rsidRPr="008348C0">
              <w:rPr>
                <w:szCs w:val="20"/>
                <w:vertAlign w:val="superscript"/>
              </w:rPr>
              <w:t xml:space="preserve">c </w:t>
            </w:r>
            <w:r w:rsidRPr="008348C0">
              <w:rPr>
                <w:szCs w:val="20"/>
              </w:rPr>
              <w:t>including relevant subgroups from the above three entrectinib studies. Median duration of follow-up 20.6 months (Oct 2018 data</w:t>
            </w:r>
            <w:r w:rsidR="0041158C">
              <w:rPr>
                <w:szCs w:val="20"/>
              </w:rPr>
              <w:t xml:space="preserve"> </w:t>
            </w:r>
            <w:r w:rsidRPr="008348C0">
              <w:rPr>
                <w:szCs w:val="20"/>
              </w:rPr>
              <w:t>cut-off)</w:t>
            </w:r>
          </w:p>
        </w:tc>
      </w:tr>
      <w:tr w:rsidR="00DF6A1B" w:rsidRPr="008348C0" w14:paraId="04F494B4" w14:textId="77777777" w:rsidTr="00B41A01">
        <w:tc>
          <w:tcPr>
            <w:tcW w:w="701" w:type="pct"/>
            <w:tcBorders>
              <w:right w:val="nil"/>
            </w:tcBorders>
            <w:shd w:val="clear" w:color="auto" w:fill="auto"/>
            <w:vAlign w:val="center"/>
          </w:tcPr>
          <w:p w14:paraId="2AE06B7B" w14:textId="77777777" w:rsidR="00DF6A1B" w:rsidRPr="008348C0" w:rsidRDefault="00DF6A1B" w:rsidP="009D63F1">
            <w:pPr>
              <w:pStyle w:val="TableText0"/>
              <w:rPr>
                <w:b/>
                <w:szCs w:val="20"/>
              </w:rPr>
            </w:pPr>
            <w:r w:rsidRPr="008348C0">
              <w:rPr>
                <w:b/>
                <w:szCs w:val="20"/>
              </w:rPr>
              <w:t>Crizotinib</w:t>
            </w:r>
          </w:p>
        </w:tc>
        <w:tc>
          <w:tcPr>
            <w:tcW w:w="549" w:type="pct"/>
            <w:tcBorders>
              <w:left w:val="nil"/>
              <w:right w:val="nil"/>
            </w:tcBorders>
            <w:shd w:val="clear" w:color="auto" w:fill="auto"/>
            <w:vAlign w:val="center"/>
          </w:tcPr>
          <w:p w14:paraId="7E8820ED" w14:textId="77777777" w:rsidR="00DF6A1B" w:rsidRPr="008348C0" w:rsidRDefault="00DF6A1B" w:rsidP="007769FC">
            <w:pPr>
              <w:pStyle w:val="TableText0"/>
              <w:jc w:val="center"/>
              <w:rPr>
                <w:szCs w:val="20"/>
              </w:rPr>
            </w:pPr>
          </w:p>
        </w:tc>
        <w:tc>
          <w:tcPr>
            <w:tcW w:w="780" w:type="pct"/>
            <w:tcBorders>
              <w:left w:val="nil"/>
              <w:right w:val="nil"/>
            </w:tcBorders>
            <w:shd w:val="clear" w:color="auto" w:fill="auto"/>
            <w:vAlign w:val="center"/>
          </w:tcPr>
          <w:p w14:paraId="47641CBB" w14:textId="77777777" w:rsidR="00DF6A1B" w:rsidRPr="008348C0" w:rsidRDefault="00DF6A1B" w:rsidP="009D63F1">
            <w:pPr>
              <w:pStyle w:val="TableText0"/>
              <w:jc w:val="center"/>
              <w:rPr>
                <w:szCs w:val="20"/>
              </w:rPr>
            </w:pPr>
          </w:p>
        </w:tc>
        <w:tc>
          <w:tcPr>
            <w:tcW w:w="618" w:type="pct"/>
            <w:tcBorders>
              <w:left w:val="nil"/>
              <w:right w:val="nil"/>
            </w:tcBorders>
            <w:shd w:val="clear" w:color="auto" w:fill="auto"/>
            <w:vAlign w:val="center"/>
          </w:tcPr>
          <w:p w14:paraId="66AF1CDB" w14:textId="77777777" w:rsidR="00DF6A1B" w:rsidRPr="008348C0" w:rsidRDefault="00DF6A1B" w:rsidP="009D63F1">
            <w:pPr>
              <w:pStyle w:val="TableText0"/>
              <w:jc w:val="center"/>
              <w:rPr>
                <w:szCs w:val="20"/>
              </w:rPr>
            </w:pPr>
          </w:p>
        </w:tc>
        <w:tc>
          <w:tcPr>
            <w:tcW w:w="1527" w:type="pct"/>
            <w:tcBorders>
              <w:left w:val="nil"/>
              <w:right w:val="nil"/>
            </w:tcBorders>
            <w:shd w:val="clear" w:color="auto" w:fill="auto"/>
            <w:vAlign w:val="center"/>
          </w:tcPr>
          <w:p w14:paraId="66F2DF1D" w14:textId="77777777" w:rsidR="00DF6A1B" w:rsidRPr="008348C0" w:rsidRDefault="00DF6A1B" w:rsidP="009D63F1">
            <w:pPr>
              <w:pStyle w:val="TableText0"/>
              <w:rPr>
                <w:szCs w:val="20"/>
              </w:rPr>
            </w:pPr>
          </w:p>
        </w:tc>
        <w:tc>
          <w:tcPr>
            <w:tcW w:w="824" w:type="pct"/>
            <w:tcBorders>
              <w:left w:val="nil"/>
            </w:tcBorders>
            <w:shd w:val="clear" w:color="auto" w:fill="auto"/>
            <w:vAlign w:val="center"/>
          </w:tcPr>
          <w:p w14:paraId="0E664869" w14:textId="77777777" w:rsidR="00DF6A1B" w:rsidRPr="008348C0" w:rsidRDefault="00DF6A1B" w:rsidP="009D63F1">
            <w:pPr>
              <w:pStyle w:val="TableText0"/>
              <w:rPr>
                <w:szCs w:val="20"/>
              </w:rPr>
            </w:pPr>
          </w:p>
        </w:tc>
      </w:tr>
      <w:tr w:rsidR="00B10F52" w:rsidRPr="008348C0" w14:paraId="2CF2050C" w14:textId="77777777" w:rsidTr="00B41A01">
        <w:tc>
          <w:tcPr>
            <w:tcW w:w="701" w:type="pct"/>
            <w:shd w:val="clear" w:color="auto" w:fill="auto"/>
            <w:vAlign w:val="center"/>
          </w:tcPr>
          <w:p w14:paraId="35F9657A" w14:textId="77777777" w:rsidR="00B10F52" w:rsidRPr="008348C0" w:rsidRDefault="00B10F52" w:rsidP="009D63F1">
            <w:pPr>
              <w:pStyle w:val="TableText0"/>
              <w:rPr>
                <w:szCs w:val="20"/>
              </w:rPr>
            </w:pPr>
            <w:r w:rsidRPr="008348C0">
              <w:rPr>
                <w:szCs w:val="20"/>
              </w:rPr>
              <w:t>PROFILE 1001</w:t>
            </w:r>
          </w:p>
        </w:tc>
        <w:tc>
          <w:tcPr>
            <w:tcW w:w="549" w:type="pct"/>
            <w:shd w:val="clear" w:color="auto" w:fill="auto"/>
            <w:vAlign w:val="center"/>
          </w:tcPr>
          <w:p w14:paraId="3BB6D9FA" w14:textId="77777777" w:rsidR="00B10F52" w:rsidRPr="008348C0" w:rsidRDefault="00B10F52" w:rsidP="005015A8">
            <w:pPr>
              <w:pStyle w:val="TableText0"/>
              <w:jc w:val="center"/>
              <w:rPr>
                <w:szCs w:val="20"/>
                <w:vertAlign w:val="superscript"/>
              </w:rPr>
            </w:pPr>
            <w:r w:rsidRPr="008348C0">
              <w:rPr>
                <w:szCs w:val="20"/>
              </w:rPr>
              <w:t>5</w:t>
            </w:r>
            <w:r w:rsidR="007632D0" w:rsidRPr="008348C0">
              <w:rPr>
                <w:szCs w:val="20"/>
              </w:rPr>
              <w:t>0/53</w:t>
            </w:r>
            <w:r w:rsidR="007769FC" w:rsidRPr="008348C0">
              <w:rPr>
                <w:szCs w:val="20"/>
                <w:vertAlign w:val="superscript"/>
              </w:rPr>
              <w:t>d</w:t>
            </w:r>
          </w:p>
        </w:tc>
        <w:tc>
          <w:tcPr>
            <w:tcW w:w="780" w:type="pct"/>
            <w:shd w:val="clear" w:color="auto" w:fill="auto"/>
            <w:vAlign w:val="center"/>
          </w:tcPr>
          <w:p w14:paraId="70D531CC" w14:textId="77777777" w:rsidR="00B10F52" w:rsidRPr="008348C0" w:rsidRDefault="00B10F52" w:rsidP="009D63F1">
            <w:pPr>
              <w:pStyle w:val="TableText0"/>
              <w:jc w:val="center"/>
              <w:rPr>
                <w:szCs w:val="20"/>
              </w:rPr>
            </w:pPr>
            <w:r w:rsidRPr="008348C0">
              <w:rPr>
                <w:szCs w:val="20"/>
              </w:rPr>
              <w:t>Single arm, OL,</w:t>
            </w:r>
          </w:p>
          <w:p w14:paraId="3DE4411E" w14:textId="77777777" w:rsidR="00B10F52" w:rsidRPr="008348C0" w:rsidRDefault="00B10F52" w:rsidP="009D63F1">
            <w:pPr>
              <w:pStyle w:val="TableText0"/>
              <w:jc w:val="center"/>
              <w:rPr>
                <w:szCs w:val="20"/>
              </w:rPr>
            </w:pPr>
            <w:r w:rsidRPr="008348C0">
              <w:rPr>
                <w:szCs w:val="20"/>
              </w:rPr>
              <w:t>62.6 mths</w:t>
            </w:r>
          </w:p>
        </w:tc>
        <w:tc>
          <w:tcPr>
            <w:tcW w:w="618" w:type="pct"/>
            <w:shd w:val="clear" w:color="auto" w:fill="auto"/>
            <w:vAlign w:val="center"/>
          </w:tcPr>
          <w:p w14:paraId="78A2E5D9" w14:textId="77777777" w:rsidR="00B10F52" w:rsidRPr="008348C0" w:rsidRDefault="00B10F52" w:rsidP="009D63F1">
            <w:pPr>
              <w:pStyle w:val="TableText0"/>
              <w:jc w:val="center"/>
              <w:rPr>
                <w:szCs w:val="20"/>
              </w:rPr>
            </w:pPr>
            <w:r w:rsidRPr="008348C0">
              <w:rPr>
                <w:szCs w:val="20"/>
              </w:rPr>
              <w:t>High</w:t>
            </w:r>
          </w:p>
        </w:tc>
        <w:tc>
          <w:tcPr>
            <w:tcW w:w="1527" w:type="pct"/>
            <w:shd w:val="clear" w:color="auto" w:fill="auto"/>
            <w:vAlign w:val="center"/>
          </w:tcPr>
          <w:p w14:paraId="1C58C0C0" w14:textId="77777777" w:rsidR="00B10F52" w:rsidRPr="008348C0" w:rsidRDefault="00D417D2" w:rsidP="009D63F1">
            <w:pPr>
              <w:pStyle w:val="TableText0"/>
              <w:rPr>
                <w:szCs w:val="20"/>
              </w:rPr>
            </w:pPr>
            <w:r w:rsidRPr="008348C0">
              <w:rPr>
                <w:szCs w:val="20"/>
              </w:rPr>
              <w:t>P</w:t>
            </w:r>
            <w:r w:rsidR="00B10F52" w:rsidRPr="008348C0">
              <w:rPr>
                <w:szCs w:val="20"/>
              </w:rPr>
              <w:t>atients with advanced ROS1-positive NSCLC</w:t>
            </w:r>
            <w:r w:rsidR="007769FC" w:rsidRPr="008348C0">
              <w:rPr>
                <w:szCs w:val="20"/>
              </w:rPr>
              <w:t>.</w:t>
            </w:r>
          </w:p>
        </w:tc>
        <w:tc>
          <w:tcPr>
            <w:tcW w:w="824" w:type="pct"/>
            <w:shd w:val="clear" w:color="auto" w:fill="auto"/>
            <w:vAlign w:val="center"/>
          </w:tcPr>
          <w:p w14:paraId="13E7569A" w14:textId="77777777" w:rsidR="00B10F52" w:rsidRPr="008348C0" w:rsidRDefault="00B10F52" w:rsidP="009D63F1">
            <w:pPr>
              <w:pStyle w:val="TableText0"/>
              <w:rPr>
                <w:szCs w:val="20"/>
              </w:rPr>
            </w:pPr>
            <w:r w:rsidRPr="008348C0">
              <w:rPr>
                <w:szCs w:val="20"/>
              </w:rPr>
              <w:t>ORR, PFS and OS</w:t>
            </w:r>
          </w:p>
        </w:tc>
      </w:tr>
      <w:tr w:rsidR="00B10F52" w:rsidRPr="008348C0" w14:paraId="638ED05B" w14:textId="77777777" w:rsidTr="00B41A01">
        <w:tc>
          <w:tcPr>
            <w:tcW w:w="701" w:type="pct"/>
            <w:shd w:val="clear" w:color="auto" w:fill="auto"/>
            <w:vAlign w:val="center"/>
          </w:tcPr>
          <w:p w14:paraId="5BB8728D" w14:textId="77777777" w:rsidR="00B10F52" w:rsidRPr="008348C0" w:rsidRDefault="00B10F52" w:rsidP="009D63F1">
            <w:pPr>
              <w:pStyle w:val="TableText0"/>
              <w:rPr>
                <w:szCs w:val="20"/>
              </w:rPr>
            </w:pPr>
            <w:r w:rsidRPr="008348C0">
              <w:rPr>
                <w:szCs w:val="20"/>
              </w:rPr>
              <w:t>Wu 2018</w:t>
            </w:r>
          </w:p>
        </w:tc>
        <w:tc>
          <w:tcPr>
            <w:tcW w:w="549" w:type="pct"/>
            <w:shd w:val="clear" w:color="auto" w:fill="auto"/>
            <w:vAlign w:val="center"/>
          </w:tcPr>
          <w:p w14:paraId="4E0F7938" w14:textId="77777777" w:rsidR="00B10F52" w:rsidRPr="008348C0" w:rsidRDefault="00B10F52" w:rsidP="009D63F1">
            <w:pPr>
              <w:pStyle w:val="TableText0"/>
              <w:jc w:val="center"/>
              <w:rPr>
                <w:szCs w:val="20"/>
              </w:rPr>
            </w:pPr>
            <w:r w:rsidRPr="008348C0">
              <w:rPr>
                <w:szCs w:val="20"/>
              </w:rPr>
              <w:t>127</w:t>
            </w:r>
          </w:p>
        </w:tc>
        <w:tc>
          <w:tcPr>
            <w:tcW w:w="780" w:type="pct"/>
            <w:shd w:val="clear" w:color="auto" w:fill="auto"/>
            <w:vAlign w:val="center"/>
          </w:tcPr>
          <w:p w14:paraId="42AA25B2" w14:textId="77777777" w:rsidR="00B10F52" w:rsidRPr="008348C0" w:rsidRDefault="00B10F52" w:rsidP="009D63F1">
            <w:pPr>
              <w:pStyle w:val="TableText0"/>
              <w:rPr>
                <w:szCs w:val="20"/>
              </w:rPr>
            </w:pPr>
            <w:r w:rsidRPr="008348C0">
              <w:rPr>
                <w:szCs w:val="20"/>
              </w:rPr>
              <w:t xml:space="preserve">Single arm, OL, </w:t>
            </w:r>
          </w:p>
          <w:p w14:paraId="1474FB07" w14:textId="77777777" w:rsidR="00B10F52" w:rsidRPr="008348C0" w:rsidRDefault="00B10F52" w:rsidP="009D63F1">
            <w:pPr>
              <w:pStyle w:val="TableText0"/>
              <w:jc w:val="center"/>
              <w:rPr>
                <w:szCs w:val="20"/>
              </w:rPr>
            </w:pPr>
            <w:r w:rsidRPr="008348C0">
              <w:rPr>
                <w:szCs w:val="20"/>
              </w:rPr>
              <w:t>21.4 mths</w:t>
            </w:r>
          </w:p>
        </w:tc>
        <w:tc>
          <w:tcPr>
            <w:tcW w:w="618" w:type="pct"/>
            <w:shd w:val="clear" w:color="auto" w:fill="auto"/>
            <w:vAlign w:val="center"/>
          </w:tcPr>
          <w:p w14:paraId="66CEFB74" w14:textId="77777777" w:rsidR="00B10F52" w:rsidRPr="008348C0" w:rsidRDefault="00B10F52" w:rsidP="009D63F1">
            <w:pPr>
              <w:pStyle w:val="TableText0"/>
              <w:jc w:val="center"/>
              <w:rPr>
                <w:szCs w:val="20"/>
              </w:rPr>
            </w:pPr>
            <w:r w:rsidRPr="008348C0">
              <w:rPr>
                <w:szCs w:val="20"/>
              </w:rPr>
              <w:t>High</w:t>
            </w:r>
          </w:p>
        </w:tc>
        <w:tc>
          <w:tcPr>
            <w:tcW w:w="1527" w:type="pct"/>
            <w:shd w:val="clear" w:color="auto" w:fill="auto"/>
            <w:vAlign w:val="center"/>
          </w:tcPr>
          <w:p w14:paraId="2D918F06" w14:textId="77777777" w:rsidR="00B10F52" w:rsidRPr="008348C0" w:rsidRDefault="00B10F52" w:rsidP="009D63F1">
            <w:pPr>
              <w:pStyle w:val="TableText0"/>
              <w:rPr>
                <w:szCs w:val="20"/>
              </w:rPr>
            </w:pPr>
            <w:r w:rsidRPr="008348C0">
              <w:rPr>
                <w:szCs w:val="20"/>
              </w:rPr>
              <w:t>East Asian patients with advanced ROS1-positive NSCLC</w:t>
            </w:r>
            <w:r w:rsidR="007769FC" w:rsidRPr="008348C0">
              <w:rPr>
                <w:szCs w:val="20"/>
              </w:rPr>
              <w:t>.</w:t>
            </w:r>
          </w:p>
        </w:tc>
        <w:tc>
          <w:tcPr>
            <w:tcW w:w="824" w:type="pct"/>
            <w:shd w:val="clear" w:color="auto" w:fill="auto"/>
            <w:vAlign w:val="center"/>
          </w:tcPr>
          <w:p w14:paraId="442892A6" w14:textId="77777777" w:rsidR="00B10F52" w:rsidRPr="008348C0" w:rsidRDefault="00B10F52" w:rsidP="009D63F1">
            <w:pPr>
              <w:pStyle w:val="TableText0"/>
              <w:rPr>
                <w:szCs w:val="20"/>
              </w:rPr>
            </w:pPr>
            <w:r w:rsidRPr="008348C0">
              <w:rPr>
                <w:szCs w:val="20"/>
              </w:rPr>
              <w:t>ORR, PFS and OS</w:t>
            </w:r>
          </w:p>
        </w:tc>
      </w:tr>
      <w:tr w:rsidR="00B10F52" w:rsidRPr="008348C0" w14:paraId="2F56A8BE" w14:textId="77777777" w:rsidTr="00B41A01">
        <w:tc>
          <w:tcPr>
            <w:tcW w:w="701" w:type="pct"/>
            <w:shd w:val="clear" w:color="auto" w:fill="auto"/>
            <w:vAlign w:val="center"/>
          </w:tcPr>
          <w:p w14:paraId="78DC1C08" w14:textId="77777777" w:rsidR="00B10F52" w:rsidRPr="008348C0" w:rsidRDefault="00B10F52" w:rsidP="009D63F1">
            <w:pPr>
              <w:pStyle w:val="TableText0"/>
              <w:rPr>
                <w:szCs w:val="20"/>
              </w:rPr>
            </w:pPr>
            <w:r w:rsidRPr="008348C0">
              <w:rPr>
                <w:szCs w:val="20"/>
              </w:rPr>
              <w:t>EUCROSS</w:t>
            </w:r>
          </w:p>
        </w:tc>
        <w:tc>
          <w:tcPr>
            <w:tcW w:w="549" w:type="pct"/>
            <w:shd w:val="clear" w:color="auto" w:fill="auto"/>
            <w:vAlign w:val="center"/>
          </w:tcPr>
          <w:p w14:paraId="2F2C4B1B" w14:textId="77777777" w:rsidR="00B10F52" w:rsidRPr="008348C0" w:rsidRDefault="00B10F52" w:rsidP="007769FC">
            <w:pPr>
              <w:pStyle w:val="TableText0"/>
              <w:jc w:val="center"/>
              <w:rPr>
                <w:szCs w:val="20"/>
                <w:vertAlign w:val="superscript"/>
              </w:rPr>
            </w:pPr>
            <w:r w:rsidRPr="008348C0">
              <w:rPr>
                <w:szCs w:val="20"/>
              </w:rPr>
              <w:t>34</w:t>
            </w:r>
            <w:r w:rsidR="007769FC" w:rsidRPr="008348C0">
              <w:rPr>
                <w:szCs w:val="20"/>
                <w:vertAlign w:val="superscript"/>
              </w:rPr>
              <w:t>e</w:t>
            </w:r>
          </w:p>
        </w:tc>
        <w:tc>
          <w:tcPr>
            <w:tcW w:w="780" w:type="pct"/>
            <w:shd w:val="clear" w:color="auto" w:fill="auto"/>
            <w:vAlign w:val="center"/>
          </w:tcPr>
          <w:p w14:paraId="514A095F" w14:textId="77777777" w:rsidR="00B10F52" w:rsidRPr="008348C0" w:rsidRDefault="00B10F52" w:rsidP="009D63F1">
            <w:pPr>
              <w:pStyle w:val="TableText0"/>
              <w:rPr>
                <w:szCs w:val="20"/>
              </w:rPr>
            </w:pPr>
            <w:r w:rsidRPr="008348C0">
              <w:rPr>
                <w:szCs w:val="20"/>
              </w:rPr>
              <w:t xml:space="preserve">Single arm, OL, </w:t>
            </w:r>
          </w:p>
          <w:p w14:paraId="2056750E" w14:textId="77777777" w:rsidR="00B10F52" w:rsidRPr="008348C0" w:rsidRDefault="00967170" w:rsidP="009D63F1">
            <w:pPr>
              <w:pStyle w:val="TableText0"/>
              <w:jc w:val="center"/>
              <w:rPr>
                <w:szCs w:val="20"/>
              </w:rPr>
            </w:pPr>
            <w:r w:rsidRPr="008348C0">
              <w:rPr>
                <w:szCs w:val="20"/>
              </w:rPr>
              <w:t>20.6</w:t>
            </w:r>
            <w:r w:rsidR="00B10F52" w:rsidRPr="008348C0">
              <w:rPr>
                <w:szCs w:val="20"/>
              </w:rPr>
              <w:t xml:space="preserve"> mths</w:t>
            </w:r>
          </w:p>
        </w:tc>
        <w:tc>
          <w:tcPr>
            <w:tcW w:w="618" w:type="pct"/>
            <w:shd w:val="clear" w:color="auto" w:fill="auto"/>
            <w:vAlign w:val="center"/>
          </w:tcPr>
          <w:p w14:paraId="2FD55102" w14:textId="77777777" w:rsidR="00B10F52" w:rsidRPr="008348C0" w:rsidRDefault="00B10F52" w:rsidP="009D63F1">
            <w:pPr>
              <w:pStyle w:val="TableText0"/>
              <w:jc w:val="center"/>
              <w:rPr>
                <w:szCs w:val="20"/>
              </w:rPr>
            </w:pPr>
            <w:r w:rsidRPr="008348C0">
              <w:rPr>
                <w:szCs w:val="20"/>
              </w:rPr>
              <w:t>High</w:t>
            </w:r>
          </w:p>
        </w:tc>
        <w:tc>
          <w:tcPr>
            <w:tcW w:w="1527" w:type="pct"/>
            <w:shd w:val="clear" w:color="auto" w:fill="auto"/>
            <w:vAlign w:val="center"/>
          </w:tcPr>
          <w:p w14:paraId="2591990A" w14:textId="77777777" w:rsidR="00B10F52" w:rsidRPr="008348C0" w:rsidRDefault="00B10F52" w:rsidP="009D63F1">
            <w:pPr>
              <w:pStyle w:val="TableText0"/>
              <w:rPr>
                <w:szCs w:val="20"/>
              </w:rPr>
            </w:pPr>
            <w:r w:rsidRPr="008348C0">
              <w:rPr>
                <w:szCs w:val="20"/>
              </w:rPr>
              <w:t xml:space="preserve">European patients with advanced </w:t>
            </w:r>
            <w:r w:rsidR="00E3228D" w:rsidRPr="008348C0">
              <w:rPr>
                <w:szCs w:val="20"/>
              </w:rPr>
              <w:t xml:space="preserve">ROS1-positive </w:t>
            </w:r>
            <w:r w:rsidRPr="008348C0">
              <w:rPr>
                <w:szCs w:val="20"/>
              </w:rPr>
              <w:t>NSCLC</w:t>
            </w:r>
            <w:r w:rsidR="007769FC" w:rsidRPr="008348C0">
              <w:rPr>
                <w:szCs w:val="20"/>
              </w:rPr>
              <w:t>.</w:t>
            </w:r>
          </w:p>
        </w:tc>
        <w:tc>
          <w:tcPr>
            <w:tcW w:w="824" w:type="pct"/>
            <w:shd w:val="clear" w:color="auto" w:fill="auto"/>
            <w:vAlign w:val="center"/>
          </w:tcPr>
          <w:p w14:paraId="5DA8C9E8" w14:textId="77777777" w:rsidR="00B10F52" w:rsidRPr="008348C0" w:rsidRDefault="00B10F52" w:rsidP="009D63F1">
            <w:pPr>
              <w:pStyle w:val="TableText0"/>
              <w:rPr>
                <w:szCs w:val="20"/>
              </w:rPr>
            </w:pPr>
            <w:r w:rsidRPr="008348C0">
              <w:rPr>
                <w:szCs w:val="20"/>
              </w:rPr>
              <w:t>ORR, PFS and OS</w:t>
            </w:r>
          </w:p>
        </w:tc>
      </w:tr>
      <w:tr w:rsidR="00B10F52" w:rsidRPr="008348C0" w14:paraId="018C9AC0" w14:textId="77777777" w:rsidTr="00B41A01">
        <w:tc>
          <w:tcPr>
            <w:tcW w:w="701" w:type="pct"/>
            <w:shd w:val="clear" w:color="auto" w:fill="auto"/>
            <w:vAlign w:val="center"/>
          </w:tcPr>
          <w:p w14:paraId="2A94443C" w14:textId="77777777" w:rsidR="00B10F52" w:rsidRPr="008348C0" w:rsidRDefault="00B10F52" w:rsidP="009D63F1">
            <w:pPr>
              <w:pStyle w:val="TableText0"/>
              <w:rPr>
                <w:szCs w:val="20"/>
              </w:rPr>
            </w:pPr>
            <w:r w:rsidRPr="008348C0">
              <w:rPr>
                <w:szCs w:val="20"/>
              </w:rPr>
              <w:t>METROS</w:t>
            </w:r>
          </w:p>
        </w:tc>
        <w:tc>
          <w:tcPr>
            <w:tcW w:w="549" w:type="pct"/>
            <w:shd w:val="clear" w:color="auto" w:fill="auto"/>
            <w:vAlign w:val="center"/>
          </w:tcPr>
          <w:p w14:paraId="150A8904" w14:textId="77777777" w:rsidR="00DF6A1B" w:rsidRPr="008348C0" w:rsidRDefault="00DF6A1B" w:rsidP="009D63F1">
            <w:pPr>
              <w:pStyle w:val="TableText0"/>
              <w:jc w:val="center"/>
              <w:rPr>
                <w:szCs w:val="20"/>
              </w:rPr>
            </w:pPr>
            <w:r w:rsidRPr="008348C0">
              <w:rPr>
                <w:szCs w:val="20"/>
              </w:rPr>
              <w:t>52</w:t>
            </w:r>
          </w:p>
          <w:p w14:paraId="5037226A" w14:textId="77777777" w:rsidR="00B10F52" w:rsidRPr="008348C0" w:rsidRDefault="00DF6A1B" w:rsidP="009D63F1">
            <w:pPr>
              <w:pStyle w:val="TableText0"/>
              <w:jc w:val="center"/>
              <w:rPr>
                <w:szCs w:val="20"/>
              </w:rPr>
            </w:pPr>
            <w:r w:rsidRPr="008348C0">
              <w:rPr>
                <w:szCs w:val="20"/>
              </w:rPr>
              <w:t xml:space="preserve">ROS1: </w:t>
            </w:r>
            <w:r w:rsidR="00B10F52" w:rsidRPr="008348C0">
              <w:rPr>
                <w:szCs w:val="20"/>
              </w:rPr>
              <w:t>26</w:t>
            </w:r>
          </w:p>
        </w:tc>
        <w:tc>
          <w:tcPr>
            <w:tcW w:w="780" w:type="pct"/>
            <w:shd w:val="clear" w:color="auto" w:fill="auto"/>
            <w:vAlign w:val="center"/>
          </w:tcPr>
          <w:p w14:paraId="6E300CAE" w14:textId="77777777" w:rsidR="00B10F52" w:rsidRPr="008348C0" w:rsidRDefault="00B10F52" w:rsidP="009D63F1">
            <w:pPr>
              <w:pStyle w:val="TableText0"/>
              <w:rPr>
                <w:szCs w:val="20"/>
              </w:rPr>
            </w:pPr>
            <w:r w:rsidRPr="008348C0">
              <w:rPr>
                <w:szCs w:val="20"/>
              </w:rPr>
              <w:t xml:space="preserve">Single arm, OL, </w:t>
            </w:r>
          </w:p>
          <w:p w14:paraId="446356B0" w14:textId="77777777" w:rsidR="00B10F52" w:rsidRPr="008348C0" w:rsidRDefault="00B10F52" w:rsidP="009D63F1">
            <w:pPr>
              <w:pStyle w:val="TableText0"/>
              <w:jc w:val="center"/>
              <w:rPr>
                <w:szCs w:val="20"/>
              </w:rPr>
            </w:pPr>
            <w:r w:rsidRPr="008348C0">
              <w:rPr>
                <w:szCs w:val="20"/>
              </w:rPr>
              <w:t>21.0 mths</w:t>
            </w:r>
          </w:p>
        </w:tc>
        <w:tc>
          <w:tcPr>
            <w:tcW w:w="618" w:type="pct"/>
            <w:shd w:val="clear" w:color="auto" w:fill="auto"/>
            <w:vAlign w:val="center"/>
          </w:tcPr>
          <w:p w14:paraId="320171EF" w14:textId="77777777" w:rsidR="00B10F52" w:rsidRPr="008348C0" w:rsidRDefault="00B10F52" w:rsidP="009D63F1">
            <w:pPr>
              <w:pStyle w:val="TableText0"/>
              <w:jc w:val="center"/>
              <w:rPr>
                <w:szCs w:val="20"/>
              </w:rPr>
            </w:pPr>
            <w:r w:rsidRPr="008348C0">
              <w:rPr>
                <w:szCs w:val="20"/>
              </w:rPr>
              <w:t>High</w:t>
            </w:r>
          </w:p>
        </w:tc>
        <w:tc>
          <w:tcPr>
            <w:tcW w:w="1527" w:type="pct"/>
            <w:shd w:val="clear" w:color="auto" w:fill="auto"/>
            <w:vAlign w:val="center"/>
          </w:tcPr>
          <w:p w14:paraId="7C7CA90D" w14:textId="77777777" w:rsidR="00B10F52" w:rsidRPr="008348C0" w:rsidRDefault="00B10F52" w:rsidP="009D63F1">
            <w:pPr>
              <w:pStyle w:val="TableText0"/>
              <w:rPr>
                <w:szCs w:val="20"/>
              </w:rPr>
            </w:pPr>
            <w:r w:rsidRPr="008348C0">
              <w:rPr>
                <w:szCs w:val="20"/>
              </w:rPr>
              <w:t>Italian patients with advanced NSCLC harbouring ROS1 molecular alterations, MET amplification or MET exon 14 mutations. Data for the ROS1-positive subgroup of patients were presented in the submission.</w:t>
            </w:r>
          </w:p>
        </w:tc>
        <w:tc>
          <w:tcPr>
            <w:tcW w:w="824" w:type="pct"/>
            <w:shd w:val="clear" w:color="auto" w:fill="auto"/>
            <w:vAlign w:val="center"/>
          </w:tcPr>
          <w:p w14:paraId="556E3FA6" w14:textId="77777777" w:rsidR="00B10F52" w:rsidRPr="008348C0" w:rsidRDefault="00B10F52" w:rsidP="009D63F1">
            <w:pPr>
              <w:pStyle w:val="TableText0"/>
              <w:rPr>
                <w:szCs w:val="20"/>
              </w:rPr>
            </w:pPr>
            <w:r w:rsidRPr="008348C0">
              <w:rPr>
                <w:szCs w:val="20"/>
              </w:rPr>
              <w:t>ORR, PFS and OS</w:t>
            </w:r>
          </w:p>
        </w:tc>
      </w:tr>
      <w:tr w:rsidR="00E3111C" w:rsidRPr="008348C0" w14:paraId="4F7F005B" w14:textId="77777777" w:rsidTr="00B41A01">
        <w:tc>
          <w:tcPr>
            <w:tcW w:w="701" w:type="pct"/>
            <w:shd w:val="clear" w:color="auto" w:fill="auto"/>
            <w:vAlign w:val="center"/>
          </w:tcPr>
          <w:p w14:paraId="0A196A41" w14:textId="77777777" w:rsidR="00E3111C" w:rsidRPr="008348C0" w:rsidRDefault="00E3111C" w:rsidP="009D63F1">
            <w:pPr>
              <w:pStyle w:val="TableText0"/>
              <w:rPr>
                <w:szCs w:val="20"/>
              </w:rPr>
            </w:pPr>
            <w:r w:rsidRPr="008348C0">
              <w:rPr>
                <w:szCs w:val="20"/>
              </w:rPr>
              <w:t>AcSé</w:t>
            </w:r>
          </w:p>
        </w:tc>
        <w:tc>
          <w:tcPr>
            <w:tcW w:w="549" w:type="pct"/>
            <w:shd w:val="clear" w:color="auto" w:fill="auto"/>
            <w:vAlign w:val="center"/>
          </w:tcPr>
          <w:p w14:paraId="0C0E036E" w14:textId="77777777" w:rsidR="00E3111C" w:rsidRPr="008348C0" w:rsidRDefault="00E3111C" w:rsidP="009D63F1">
            <w:pPr>
              <w:pStyle w:val="TableText0"/>
              <w:jc w:val="center"/>
              <w:rPr>
                <w:szCs w:val="20"/>
              </w:rPr>
            </w:pPr>
            <w:r w:rsidRPr="008348C0">
              <w:rPr>
                <w:szCs w:val="20"/>
              </w:rPr>
              <w:t>90</w:t>
            </w:r>
          </w:p>
          <w:p w14:paraId="10A63A57" w14:textId="77777777" w:rsidR="00E3111C" w:rsidRPr="008348C0" w:rsidRDefault="00E3111C" w:rsidP="009D63F1">
            <w:pPr>
              <w:pStyle w:val="TableText0"/>
              <w:jc w:val="center"/>
              <w:rPr>
                <w:szCs w:val="20"/>
              </w:rPr>
            </w:pPr>
            <w:r w:rsidRPr="008348C0">
              <w:rPr>
                <w:szCs w:val="20"/>
              </w:rPr>
              <w:t>ROS1: 37</w:t>
            </w:r>
          </w:p>
        </w:tc>
        <w:tc>
          <w:tcPr>
            <w:tcW w:w="780" w:type="pct"/>
            <w:shd w:val="clear" w:color="auto" w:fill="auto"/>
            <w:vAlign w:val="center"/>
          </w:tcPr>
          <w:p w14:paraId="5418CD3F" w14:textId="77777777" w:rsidR="00E3111C" w:rsidRPr="008348C0" w:rsidRDefault="00E3111C" w:rsidP="00E3111C">
            <w:pPr>
              <w:pStyle w:val="TableText0"/>
              <w:jc w:val="center"/>
              <w:rPr>
                <w:szCs w:val="20"/>
              </w:rPr>
            </w:pPr>
            <w:r w:rsidRPr="008348C0">
              <w:rPr>
                <w:szCs w:val="20"/>
              </w:rPr>
              <w:t>Single arm, OL,</w:t>
            </w:r>
            <w:r w:rsidRPr="008348C0">
              <w:rPr>
                <w:szCs w:val="20"/>
              </w:rPr>
              <w:br/>
              <w:t>NR</w:t>
            </w:r>
          </w:p>
        </w:tc>
        <w:tc>
          <w:tcPr>
            <w:tcW w:w="618" w:type="pct"/>
            <w:shd w:val="clear" w:color="auto" w:fill="auto"/>
            <w:vAlign w:val="center"/>
          </w:tcPr>
          <w:p w14:paraId="5686BD78" w14:textId="77777777" w:rsidR="00E3111C" w:rsidRPr="008348C0" w:rsidRDefault="00E3111C" w:rsidP="009D63F1">
            <w:pPr>
              <w:pStyle w:val="TableText0"/>
              <w:jc w:val="center"/>
              <w:rPr>
                <w:szCs w:val="20"/>
              </w:rPr>
            </w:pPr>
            <w:r w:rsidRPr="008348C0">
              <w:rPr>
                <w:szCs w:val="20"/>
              </w:rPr>
              <w:t>High</w:t>
            </w:r>
          </w:p>
        </w:tc>
        <w:tc>
          <w:tcPr>
            <w:tcW w:w="1527" w:type="pct"/>
            <w:shd w:val="clear" w:color="auto" w:fill="auto"/>
            <w:vAlign w:val="center"/>
          </w:tcPr>
          <w:p w14:paraId="0A1F8302" w14:textId="77777777" w:rsidR="00E3111C" w:rsidRPr="008348C0" w:rsidRDefault="00E3111C" w:rsidP="009D63F1">
            <w:pPr>
              <w:pStyle w:val="TableText0"/>
              <w:rPr>
                <w:szCs w:val="20"/>
              </w:rPr>
            </w:pPr>
            <w:r w:rsidRPr="008348C0">
              <w:rPr>
                <w:szCs w:val="20"/>
              </w:rPr>
              <w:t xml:space="preserve">Patients with advanced c-MET or ROS1-positive NSCLC </w:t>
            </w:r>
          </w:p>
        </w:tc>
        <w:tc>
          <w:tcPr>
            <w:tcW w:w="824" w:type="pct"/>
            <w:shd w:val="clear" w:color="auto" w:fill="auto"/>
            <w:vAlign w:val="center"/>
          </w:tcPr>
          <w:p w14:paraId="75F1921B" w14:textId="77777777" w:rsidR="00E3111C" w:rsidRPr="008348C0" w:rsidRDefault="00E3111C" w:rsidP="009D63F1">
            <w:pPr>
              <w:pStyle w:val="TableText0"/>
              <w:rPr>
                <w:szCs w:val="20"/>
              </w:rPr>
            </w:pPr>
            <w:r w:rsidRPr="008348C0">
              <w:rPr>
                <w:szCs w:val="20"/>
              </w:rPr>
              <w:t>ORR, PFS</w:t>
            </w:r>
            <w:r w:rsidR="00CE6A3B" w:rsidRPr="008348C0">
              <w:rPr>
                <w:szCs w:val="20"/>
              </w:rPr>
              <w:t xml:space="preserve"> and </w:t>
            </w:r>
            <w:r w:rsidRPr="008348C0">
              <w:rPr>
                <w:szCs w:val="20"/>
              </w:rPr>
              <w:t>OS</w:t>
            </w:r>
          </w:p>
        </w:tc>
      </w:tr>
    </w:tbl>
    <w:p w14:paraId="563D8849" w14:textId="77777777" w:rsidR="00B10F52" w:rsidRPr="0026039D" w:rsidRDefault="00B10F52" w:rsidP="00B10F52">
      <w:pPr>
        <w:pStyle w:val="TableFigureFooter"/>
      </w:pPr>
      <w:r w:rsidRPr="0026039D">
        <w:t>Source: Sections 2.3 and 2.4 of the submission.</w:t>
      </w:r>
    </w:p>
    <w:p w14:paraId="11A24192" w14:textId="77777777" w:rsidR="00B10F52" w:rsidRPr="0026039D" w:rsidRDefault="00E3111C" w:rsidP="00B10F52">
      <w:pPr>
        <w:pStyle w:val="TableFigureFooter"/>
      </w:pPr>
      <w:r w:rsidRPr="0026039D">
        <w:t xml:space="preserve">NR = not reported; </w:t>
      </w:r>
      <w:r w:rsidR="00B10F52" w:rsidRPr="0026039D">
        <w:t xml:space="preserve">OL = open label; OS = overall survival; </w:t>
      </w:r>
      <w:r w:rsidR="002D2ECD" w:rsidRPr="0026039D">
        <w:t xml:space="preserve">ORR = objective response rate; </w:t>
      </w:r>
      <w:r w:rsidR="00B10F52" w:rsidRPr="0026039D">
        <w:t xml:space="preserve">PFS = </w:t>
      </w:r>
      <w:r w:rsidR="00971CE8" w:rsidRPr="0026039D">
        <w:t>progression free</w:t>
      </w:r>
      <w:r w:rsidR="002D2ECD" w:rsidRPr="0026039D">
        <w:t xml:space="preserve"> survival</w:t>
      </w:r>
      <w:r w:rsidR="00B10F52" w:rsidRPr="0026039D">
        <w:t>.</w:t>
      </w:r>
    </w:p>
    <w:p w14:paraId="18BA4AD8" w14:textId="77777777" w:rsidR="004B1306" w:rsidRPr="0026039D" w:rsidRDefault="007632D0" w:rsidP="007632D0">
      <w:pPr>
        <w:pStyle w:val="TableFigureFooter"/>
        <w:ind w:left="142" w:hanging="142"/>
      </w:pPr>
      <w:r w:rsidRPr="0026039D">
        <w:rPr>
          <w:vertAlign w:val="superscript"/>
        </w:rPr>
        <w:t xml:space="preserve">a </w:t>
      </w:r>
      <w:r w:rsidR="004B1306" w:rsidRPr="0026039D">
        <w:t>Number of patients in each study that were included in the entrectinib primary analysis set (PAS).</w:t>
      </w:r>
    </w:p>
    <w:p w14:paraId="3DD5FAEA" w14:textId="77777777" w:rsidR="004B1306" w:rsidRPr="0026039D" w:rsidRDefault="004B1306" w:rsidP="007632D0">
      <w:pPr>
        <w:pStyle w:val="TableFigureFooter"/>
        <w:ind w:left="142" w:hanging="142"/>
      </w:pPr>
      <w:r w:rsidRPr="0026039D">
        <w:rPr>
          <w:vertAlign w:val="superscript"/>
        </w:rPr>
        <w:t>b</w:t>
      </w:r>
      <w:r w:rsidRPr="0026039D">
        <w:t xml:space="preserve"> The median duration of follow-up in the individual entrectinib studies has not been reported as </w:t>
      </w:r>
      <w:r w:rsidR="00BF37FF" w:rsidRPr="0026039D">
        <w:t>the</w:t>
      </w:r>
      <w:r w:rsidRPr="0026039D">
        <w:t xml:space="preserve"> submission</w:t>
      </w:r>
      <w:r w:rsidR="00BF37FF" w:rsidRPr="0026039D">
        <w:t xml:space="preserve"> did not report results for the total study populations</w:t>
      </w:r>
      <w:r w:rsidRPr="0026039D">
        <w:t>.</w:t>
      </w:r>
    </w:p>
    <w:p w14:paraId="5507B08F" w14:textId="77777777" w:rsidR="00B10F52" w:rsidRPr="0026039D" w:rsidRDefault="007769FC" w:rsidP="007632D0">
      <w:pPr>
        <w:pStyle w:val="TableFigureFooter"/>
        <w:ind w:left="142" w:hanging="142"/>
      </w:pPr>
      <w:r w:rsidRPr="0026039D">
        <w:rPr>
          <w:vertAlign w:val="superscript"/>
        </w:rPr>
        <w:t xml:space="preserve">c </w:t>
      </w:r>
      <w:r w:rsidR="00B10F52" w:rsidRPr="0026039D">
        <w:t>The submiss</w:t>
      </w:r>
      <w:r w:rsidRPr="0026039D">
        <w:t>ion defined this analysis set as</w:t>
      </w:r>
      <w:r w:rsidR="00B10F52" w:rsidRPr="0026039D">
        <w:t xml:space="preserve"> ROS1-positive</w:t>
      </w:r>
      <w:r w:rsidR="008C7EB5">
        <w:t xml:space="preserve"> patients</w:t>
      </w:r>
      <w:r w:rsidR="00B10F52" w:rsidRPr="0026039D">
        <w:t>,</w:t>
      </w:r>
      <w:r w:rsidR="008C7EB5">
        <w:t xml:space="preserve"> and</w:t>
      </w:r>
      <w:r w:rsidR="00B10F52" w:rsidRPr="0026039D">
        <w:t xml:space="preserve"> ROS1 inhibitor-naïve NSCLC patients with measurable disease at baseline and ≥12 months of follow-up from onset of response, but the TGA submission indicated that it included patients who had ≥12 months follow-up from onset of response, </w:t>
      </w:r>
      <w:r w:rsidR="00B10F52" w:rsidRPr="0026039D">
        <w:rPr>
          <w:u w:val="single"/>
        </w:rPr>
        <w:t>or had discontinued study treatment</w:t>
      </w:r>
      <w:r w:rsidR="00B10F52" w:rsidRPr="0026039D">
        <w:t xml:space="preserve"> at the CCOD (TGA Submission Section 2.7.3, Summary of clinical efficacy (CCOD 31 May 2018).</w:t>
      </w:r>
    </w:p>
    <w:p w14:paraId="230D37B7" w14:textId="77777777" w:rsidR="007632D0" w:rsidRPr="0026039D" w:rsidRDefault="007769FC" w:rsidP="007632D0">
      <w:pPr>
        <w:pStyle w:val="TableFigureFooter"/>
        <w:ind w:left="142" w:hanging="142"/>
      </w:pPr>
      <w:r w:rsidRPr="0026039D">
        <w:rPr>
          <w:vertAlign w:val="superscript"/>
        </w:rPr>
        <w:t>d</w:t>
      </w:r>
      <w:r w:rsidR="007632D0" w:rsidRPr="0026039D">
        <w:t xml:space="preserve"> </w:t>
      </w:r>
      <w:r w:rsidR="0018015C" w:rsidRPr="0026039D">
        <w:t xml:space="preserve">50 patients </w:t>
      </w:r>
      <w:r w:rsidR="00DF6A1B" w:rsidRPr="0026039D">
        <w:t xml:space="preserve">with ROS1-positive NSCLC </w:t>
      </w:r>
      <w:r w:rsidR="0018015C" w:rsidRPr="0026039D">
        <w:t>were included in the analysis set fo</w:t>
      </w:r>
      <w:r w:rsidR="003245EE" w:rsidRPr="0026039D">
        <w:t>r the May 2014 data cut-off (</w:t>
      </w:r>
      <w:r w:rsidR="003F70F0" w:rsidRPr="0026039D">
        <w:t>median follow-up 16.4 months)</w:t>
      </w:r>
      <w:r w:rsidR="0018015C" w:rsidRPr="0026039D">
        <w:t>. An additional 3 patients were included in the long-term follow-up data (data cut-off June 2018</w:t>
      </w:r>
      <w:r w:rsidR="003F70F0" w:rsidRPr="0026039D">
        <w:t>, median follow-up 62.6 months</w:t>
      </w:r>
      <w:r w:rsidR="0018015C" w:rsidRPr="0026039D">
        <w:t>).</w:t>
      </w:r>
    </w:p>
    <w:p w14:paraId="4D1F322F" w14:textId="77777777" w:rsidR="00613312" w:rsidRPr="0026039D" w:rsidRDefault="007769FC" w:rsidP="007632D0">
      <w:pPr>
        <w:pStyle w:val="TableFigureFooter"/>
        <w:ind w:left="142" w:hanging="142"/>
      </w:pPr>
      <w:r w:rsidRPr="0026039D">
        <w:rPr>
          <w:vertAlign w:val="superscript"/>
        </w:rPr>
        <w:t>e</w:t>
      </w:r>
      <w:r w:rsidR="00613312" w:rsidRPr="0026039D">
        <w:t xml:space="preserve"> Only 30/34 (86%) of patients who received at least one dose of study treatment were included in the efficacy analyses: 3 were excluded for violation of eligibility criteria, and 1 </w:t>
      </w:r>
      <w:r w:rsidR="006B716B" w:rsidRPr="0026039D">
        <w:t>was excluded due to inadequate baseline assessment.</w:t>
      </w:r>
    </w:p>
    <w:p w14:paraId="40D51296" w14:textId="77777777" w:rsidR="00B10F52" w:rsidRPr="0026039D" w:rsidRDefault="00B10F52" w:rsidP="001973AD">
      <w:pPr>
        <w:pStyle w:val="ListParagraph"/>
        <w:numPr>
          <w:ilvl w:val="1"/>
          <w:numId w:val="1"/>
        </w:numPr>
        <w:spacing w:after="160"/>
        <w:rPr>
          <w:snapToGrid/>
        </w:rPr>
      </w:pPr>
      <w:r w:rsidRPr="0026039D">
        <w:rPr>
          <w:snapToGrid/>
        </w:rPr>
        <w:t>The risk of bias in the included studies was high, given the single arm, open-label design of the studies.</w:t>
      </w:r>
    </w:p>
    <w:p w14:paraId="4936D258" w14:textId="77777777" w:rsidR="00B10F52" w:rsidRPr="0026039D" w:rsidRDefault="00B10F52" w:rsidP="001973AD">
      <w:pPr>
        <w:pStyle w:val="ListParagraph"/>
        <w:numPr>
          <w:ilvl w:val="1"/>
          <w:numId w:val="1"/>
        </w:numPr>
        <w:spacing w:after="160"/>
        <w:rPr>
          <w:snapToGrid/>
        </w:rPr>
      </w:pPr>
      <w:r w:rsidRPr="0026039D">
        <w:rPr>
          <w:snapToGrid/>
        </w:rPr>
        <w:t>As noted above, the evidence for entrectinib was based on an integrated efficacy analysis of pooled subgroups across the three clinical studies (ALKA, STARTRK-1 and STARTRK-2). Due to the inclusion of patients from ALKA and STARTRK-1, some patients in the PAS for entrectinib did not receive the dosing regimen outlined in the dr</w:t>
      </w:r>
      <w:r w:rsidR="00D06AC4" w:rsidRPr="0026039D">
        <w:rPr>
          <w:snapToGrid/>
        </w:rPr>
        <w:t>aft TGA Product information</w:t>
      </w:r>
      <w:r w:rsidRPr="0026039D">
        <w:rPr>
          <w:snapToGrid/>
        </w:rPr>
        <w:t xml:space="preserve"> (600 mg once daily). The submission claimed that, as the majority (</w:t>
      </w:r>
      <w:r w:rsidR="007077FF">
        <w:rPr>
          <w:noProof/>
          <w:snapToGrid/>
          <w:color w:val="000000"/>
          <w:highlight w:val="black"/>
        </w:rPr>
        <w:t>'''''</w:t>
      </w:r>
      <w:r w:rsidRPr="0026039D">
        <w:rPr>
          <w:snapToGrid/>
        </w:rPr>
        <w:t xml:space="preserve">%) of patients </w:t>
      </w:r>
      <w:r w:rsidR="00456A7C" w:rsidRPr="0026039D">
        <w:rPr>
          <w:snapToGrid/>
        </w:rPr>
        <w:t>(N=</w:t>
      </w:r>
      <w:r w:rsidR="007077FF">
        <w:rPr>
          <w:noProof/>
          <w:snapToGrid/>
          <w:color w:val="000000"/>
          <w:highlight w:val="black"/>
        </w:rPr>
        <w:t>'''''</w:t>
      </w:r>
      <w:r w:rsidR="00456A7C" w:rsidRPr="0026039D">
        <w:rPr>
          <w:snapToGrid/>
        </w:rPr>
        <w:t xml:space="preserve">) </w:t>
      </w:r>
      <w:r w:rsidRPr="0026039D">
        <w:rPr>
          <w:snapToGrid/>
        </w:rPr>
        <w:t xml:space="preserve">in the entrectinib </w:t>
      </w:r>
      <w:r w:rsidR="002C0D3D" w:rsidRPr="0026039D">
        <w:rPr>
          <w:snapToGrid/>
        </w:rPr>
        <w:t>PAS</w:t>
      </w:r>
      <w:r w:rsidRPr="0026039D">
        <w:rPr>
          <w:snapToGrid/>
        </w:rPr>
        <w:t xml:space="preserve"> received 600 mg once daily, the results </w:t>
      </w:r>
      <w:r w:rsidRPr="0026039D">
        <w:rPr>
          <w:snapToGrid/>
        </w:rPr>
        <w:lastRenderedPageBreak/>
        <w:t>were considered to be suitable for the assessment of the efficacy of entrectinib at the dosing rec</w:t>
      </w:r>
      <w:r w:rsidR="00F55224" w:rsidRPr="0026039D">
        <w:rPr>
          <w:snapToGrid/>
        </w:rPr>
        <w:t xml:space="preserve">ommended in clinical practice. </w:t>
      </w:r>
      <w:r w:rsidR="0065078F" w:rsidRPr="0026039D">
        <w:rPr>
          <w:snapToGrid/>
        </w:rPr>
        <w:t xml:space="preserve">The </w:t>
      </w:r>
      <w:r w:rsidR="00F8454E">
        <w:rPr>
          <w:snapToGrid/>
        </w:rPr>
        <w:t>Pre-Sub-Committee Response (</w:t>
      </w:r>
      <w:r w:rsidR="0065078F" w:rsidRPr="0026039D">
        <w:rPr>
          <w:snapToGrid/>
        </w:rPr>
        <w:t>PSCR) provided efficacy results for the subgroup of patients</w:t>
      </w:r>
      <w:r w:rsidR="008A17D2" w:rsidRPr="0026039D">
        <w:rPr>
          <w:snapToGrid/>
        </w:rPr>
        <w:t xml:space="preserve"> who did not receive the recommended dose of </w:t>
      </w:r>
      <w:r w:rsidR="00AD6CE6" w:rsidRPr="0026039D">
        <w:rPr>
          <w:snapToGrid/>
        </w:rPr>
        <w:t xml:space="preserve">600 mg daily. </w:t>
      </w:r>
      <w:r w:rsidR="0058134D" w:rsidRPr="0026039D">
        <w:rPr>
          <w:snapToGrid/>
        </w:rPr>
        <w:t>The ESC noted</w:t>
      </w:r>
      <w:r w:rsidR="00AD6CE6" w:rsidRPr="0026039D">
        <w:rPr>
          <w:snapToGrid/>
        </w:rPr>
        <w:t xml:space="preserve"> the results were based on</w:t>
      </w:r>
      <w:r w:rsidR="0058134D" w:rsidRPr="0026039D">
        <w:rPr>
          <w:snapToGrid/>
        </w:rPr>
        <w:t xml:space="preserve"> </w:t>
      </w:r>
      <w:r w:rsidR="00AD6CE6" w:rsidRPr="0026039D">
        <w:rPr>
          <w:snapToGrid/>
        </w:rPr>
        <w:t>small patient</w:t>
      </w:r>
      <w:r w:rsidR="0058134D" w:rsidRPr="0026039D">
        <w:rPr>
          <w:snapToGrid/>
        </w:rPr>
        <w:t xml:space="preserve"> numbers</w:t>
      </w:r>
      <w:r w:rsidR="00A15DBA" w:rsidRPr="0026039D">
        <w:rPr>
          <w:snapToGrid/>
        </w:rPr>
        <w:t xml:space="preserve"> (N=</w:t>
      </w:r>
      <w:r w:rsidR="007077FF">
        <w:rPr>
          <w:noProof/>
          <w:snapToGrid/>
          <w:color w:val="000000"/>
          <w:highlight w:val="black"/>
        </w:rPr>
        <w:t>''</w:t>
      </w:r>
      <w:r w:rsidR="00076AAB" w:rsidRPr="0026039D">
        <w:rPr>
          <w:snapToGrid/>
        </w:rPr>
        <w:t>, dose below 600 mg daily and</w:t>
      </w:r>
      <w:r w:rsidR="00A15DBA" w:rsidRPr="0026039D">
        <w:rPr>
          <w:snapToGrid/>
        </w:rPr>
        <w:t xml:space="preserve"> N=</w:t>
      </w:r>
      <w:r w:rsidR="007077FF">
        <w:rPr>
          <w:noProof/>
          <w:snapToGrid/>
          <w:color w:val="000000"/>
          <w:highlight w:val="black"/>
        </w:rPr>
        <w:t>'''</w:t>
      </w:r>
      <w:r w:rsidR="00076AAB" w:rsidRPr="0026039D">
        <w:rPr>
          <w:snapToGrid/>
        </w:rPr>
        <w:t xml:space="preserve">, </w:t>
      </w:r>
      <w:r w:rsidR="00A15DBA" w:rsidRPr="0026039D">
        <w:rPr>
          <w:snapToGrid/>
        </w:rPr>
        <w:t>above 600 mg daily</w:t>
      </w:r>
      <w:r w:rsidR="00076AAB" w:rsidRPr="0026039D">
        <w:rPr>
          <w:snapToGrid/>
        </w:rPr>
        <w:t xml:space="preserve"> respectively</w:t>
      </w:r>
      <w:r w:rsidR="00A15DBA" w:rsidRPr="0026039D">
        <w:rPr>
          <w:snapToGrid/>
        </w:rPr>
        <w:t>)</w:t>
      </w:r>
      <w:r w:rsidR="00AD6CE6" w:rsidRPr="0026039D">
        <w:rPr>
          <w:snapToGrid/>
        </w:rPr>
        <w:t>.</w:t>
      </w:r>
    </w:p>
    <w:p w14:paraId="5730493E" w14:textId="77777777" w:rsidR="005677AE" w:rsidRPr="0026039D" w:rsidRDefault="0099610E" w:rsidP="001973AD">
      <w:pPr>
        <w:pStyle w:val="ListParagraph"/>
        <w:numPr>
          <w:ilvl w:val="1"/>
          <w:numId w:val="1"/>
        </w:numPr>
        <w:spacing w:after="160"/>
        <w:rPr>
          <w:szCs w:val="18"/>
        </w:rPr>
      </w:pPr>
      <w:r w:rsidRPr="0026039D">
        <w:rPr>
          <w:snapToGrid/>
        </w:rPr>
        <w:t>There was considerable heterogeneity in terms of patient demographic</w:t>
      </w:r>
      <w:r w:rsidR="00530C5E">
        <w:rPr>
          <w:snapToGrid/>
        </w:rPr>
        <w:t>,</w:t>
      </w:r>
      <w:r w:rsidRPr="0026039D">
        <w:rPr>
          <w:snapToGrid/>
        </w:rPr>
        <w:t xml:space="preserve"> disease characteristics</w:t>
      </w:r>
      <w:r w:rsidR="00530C5E">
        <w:rPr>
          <w:snapToGrid/>
        </w:rPr>
        <w:t>,</w:t>
      </w:r>
      <w:r w:rsidRPr="0026039D">
        <w:rPr>
          <w:snapToGrid/>
        </w:rPr>
        <w:t xml:space="preserve"> and study follow-up durations, both between individual crizotinib studies, and between the crizotinib studies and the entrectinib PAS</w:t>
      </w:r>
      <w:r w:rsidR="00EB06CF" w:rsidRPr="0026039D">
        <w:rPr>
          <w:snapToGrid/>
        </w:rPr>
        <w:t>, making a</w:t>
      </w:r>
      <w:r w:rsidR="002C0D3D" w:rsidRPr="0026039D">
        <w:rPr>
          <w:snapToGrid/>
        </w:rPr>
        <w:t>n</w:t>
      </w:r>
      <w:r w:rsidR="00EB06CF" w:rsidRPr="0026039D">
        <w:rPr>
          <w:snapToGrid/>
        </w:rPr>
        <w:t xml:space="preserve"> assessment of comparative efficacy and safety</w:t>
      </w:r>
      <w:r w:rsidR="002C0D3D" w:rsidRPr="0026039D">
        <w:rPr>
          <w:snapToGrid/>
        </w:rPr>
        <w:t xml:space="preserve"> difficult</w:t>
      </w:r>
      <w:r w:rsidR="00EB06CF" w:rsidRPr="0026039D">
        <w:rPr>
          <w:snapToGrid/>
        </w:rPr>
        <w:t xml:space="preserve">. Differences in patient characteristics included (but were not restricted to) </w:t>
      </w:r>
      <w:r w:rsidR="00F647F4" w:rsidRPr="0026039D">
        <w:rPr>
          <w:snapToGrid/>
        </w:rPr>
        <w:t>the Eastern Cooperative Oncology Group (</w:t>
      </w:r>
      <w:r w:rsidR="00EB06CF" w:rsidRPr="0026039D">
        <w:rPr>
          <w:snapToGrid/>
        </w:rPr>
        <w:t>ECOG</w:t>
      </w:r>
      <w:r w:rsidR="00F647F4" w:rsidRPr="0026039D">
        <w:rPr>
          <w:snapToGrid/>
        </w:rPr>
        <w:t>)</w:t>
      </w:r>
      <w:r w:rsidR="00EB06CF" w:rsidRPr="0026039D">
        <w:rPr>
          <w:snapToGrid/>
        </w:rPr>
        <w:t xml:space="preserve"> performance status, </w:t>
      </w:r>
      <w:r w:rsidR="00F647F4" w:rsidRPr="0026039D">
        <w:rPr>
          <w:snapToGrid/>
        </w:rPr>
        <w:t xml:space="preserve">the </w:t>
      </w:r>
      <w:r w:rsidR="00EB06CF" w:rsidRPr="0026039D">
        <w:rPr>
          <w:snapToGrid/>
        </w:rPr>
        <w:t>number of prior lines of therapy, the proportion of patients with CNS metastases</w:t>
      </w:r>
      <w:r w:rsidR="003E5FA5" w:rsidRPr="0026039D">
        <w:rPr>
          <w:snapToGrid/>
        </w:rPr>
        <w:t>, and the proportion of Asian patients, all of which are prognostic factors for ROS1-positive NSCLC</w:t>
      </w:r>
      <w:r w:rsidR="003E5FA5" w:rsidRPr="0026039D">
        <w:rPr>
          <w:snapToGrid/>
          <w:vertAlign w:val="superscript"/>
        </w:rPr>
        <w:footnoteReference w:id="9"/>
      </w:r>
      <w:r w:rsidR="0012400E" w:rsidRPr="0026039D">
        <w:rPr>
          <w:snapToGrid/>
          <w:vertAlign w:val="superscript"/>
        </w:rPr>
        <w:t xml:space="preserve"> </w:t>
      </w:r>
      <w:r w:rsidR="0012400E" w:rsidRPr="0026039D">
        <w:rPr>
          <w:snapToGrid/>
        </w:rPr>
        <w:t>(</w:t>
      </w:r>
      <w:r w:rsidR="00871462" w:rsidRPr="0026039D">
        <w:rPr>
          <w:snapToGrid/>
        </w:rPr>
        <w:t>Table 5</w:t>
      </w:r>
      <w:r w:rsidR="0012400E" w:rsidRPr="0026039D">
        <w:rPr>
          <w:snapToGrid/>
        </w:rPr>
        <w:t>)</w:t>
      </w:r>
      <w:r w:rsidR="00EB06CF" w:rsidRPr="0026039D">
        <w:rPr>
          <w:snapToGrid/>
        </w:rPr>
        <w:t xml:space="preserve">. The net direction and magnitude of any bias or confounding from this heterogeneity </w:t>
      </w:r>
      <w:r w:rsidR="00181241" w:rsidRPr="0026039D">
        <w:rPr>
          <w:snapToGrid/>
        </w:rPr>
        <w:t>wa</w:t>
      </w:r>
      <w:r w:rsidR="00EB06CF" w:rsidRPr="0026039D">
        <w:rPr>
          <w:snapToGrid/>
        </w:rPr>
        <w:t xml:space="preserve">s </w:t>
      </w:r>
      <w:r w:rsidR="00905851" w:rsidRPr="0026039D">
        <w:rPr>
          <w:snapToGrid/>
        </w:rPr>
        <w:t xml:space="preserve">not </w:t>
      </w:r>
      <w:r w:rsidR="00835F46" w:rsidRPr="0026039D">
        <w:rPr>
          <w:snapToGrid/>
        </w:rPr>
        <w:t xml:space="preserve">possible </w:t>
      </w:r>
      <w:r w:rsidR="00EB06CF" w:rsidRPr="0026039D">
        <w:rPr>
          <w:snapToGrid/>
        </w:rPr>
        <w:t xml:space="preserve">to </w:t>
      </w:r>
      <w:r w:rsidR="00181241" w:rsidRPr="0026039D">
        <w:rPr>
          <w:snapToGrid/>
        </w:rPr>
        <w:t>determine</w:t>
      </w:r>
      <w:r w:rsidR="00EB06CF" w:rsidRPr="0026039D">
        <w:rPr>
          <w:snapToGrid/>
        </w:rPr>
        <w:t>.</w:t>
      </w:r>
      <w:r w:rsidR="00782292" w:rsidRPr="0026039D">
        <w:rPr>
          <w:snapToGrid/>
        </w:rPr>
        <w:t xml:space="preserve"> </w:t>
      </w:r>
      <w:r w:rsidR="00870A9A" w:rsidRPr="0026039D">
        <w:rPr>
          <w:snapToGrid/>
        </w:rPr>
        <w:t xml:space="preserve">The PSCR </w:t>
      </w:r>
      <w:r w:rsidR="00BB5AFD" w:rsidRPr="0026039D">
        <w:rPr>
          <w:snapToGrid/>
        </w:rPr>
        <w:t>acknowledged</w:t>
      </w:r>
      <w:r w:rsidR="0013728E" w:rsidRPr="0026039D">
        <w:rPr>
          <w:snapToGrid/>
        </w:rPr>
        <w:t xml:space="preserve"> the</w:t>
      </w:r>
      <w:r w:rsidR="00BB5AFD" w:rsidRPr="0026039D">
        <w:rPr>
          <w:snapToGrid/>
        </w:rPr>
        <w:t xml:space="preserve"> inherent transitivity issues of</w:t>
      </w:r>
      <w:r w:rsidR="002F46B6" w:rsidRPr="0026039D">
        <w:rPr>
          <w:snapToGrid/>
        </w:rPr>
        <w:t xml:space="preserve"> a </w:t>
      </w:r>
      <w:r w:rsidR="00BB5AFD" w:rsidRPr="0026039D">
        <w:rPr>
          <w:snapToGrid/>
        </w:rPr>
        <w:t xml:space="preserve">naïve indirect comparison but </w:t>
      </w:r>
      <w:r w:rsidR="00870A9A" w:rsidRPr="0026039D">
        <w:rPr>
          <w:snapToGrid/>
        </w:rPr>
        <w:t xml:space="preserve">argued that </w:t>
      </w:r>
      <w:r w:rsidR="00A41AF8" w:rsidRPr="0026039D">
        <w:rPr>
          <w:snapToGrid/>
        </w:rPr>
        <w:t xml:space="preserve">the heterogeneity between </w:t>
      </w:r>
      <w:r w:rsidR="00C3019C" w:rsidRPr="0026039D">
        <w:rPr>
          <w:snapToGrid/>
        </w:rPr>
        <w:t xml:space="preserve">the </w:t>
      </w:r>
      <w:r w:rsidR="00A41AF8" w:rsidRPr="0026039D">
        <w:rPr>
          <w:snapToGrid/>
        </w:rPr>
        <w:t>study populations</w:t>
      </w:r>
      <w:r w:rsidR="00DE468C" w:rsidRPr="0026039D">
        <w:rPr>
          <w:rFonts w:eastAsia="Calibri"/>
        </w:rPr>
        <w:t xml:space="preserve"> </w:t>
      </w:r>
      <w:r w:rsidR="00A41AF8" w:rsidRPr="0026039D">
        <w:rPr>
          <w:rFonts w:eastAsia="Calibri"/>
        </w:rPr>
        <w:t>was relatively less</w:t>
      </w:r>
      <w:r w:rsidR="009847DE" w:rsidRPr="0026039D">
        <w:rPr>
          <w:rFonts w:eastAsia="Calibri"/>
        </w:rPr>
        <w:t xml:space="preserve"> </w:t>
      </w:r>
      <w:r w:rsidR="00A41AF8" w:rsidRPr="0026039D">
        <w:rPr>
          <w:rFonts w:eastAsia="Calibri"/>
        </w:rPr>
        <w:t xml:space="preserve">than </w:t>
      </w:r>
      <w:r w:rsidR="002B00AB" w:rsidRPr="0026039D">
        <w:rPr>
          <w:rFonts w:eastAsia="Calibri"/>
        </w:rPr>
        <w:t>that of the study</w:t>
      </w:r>
      <w:r w:rsidR="00A41AF8" w:rsidRPr="0026039D">
        <w:rPr>
          <w:rFonts w:eastAsia="Calibri"/>
        </w:rPr>
        <w:t xml:space="preserve"> populations </w:t>
      </w:r>
      <w:r w:rsidR="00124203" w:rsidRPr="0026039D">
        <w:rPr>
          <w:rFonts w:eastAsia="Calibri"/>
        </w:rPr>
        <w:t xml:space="preserve">previously </w:t>
      </w:r>
      <w:r w:rsidR="00A41AF8" w:rsidRPr="0026039D">
        <w:t xml:space="preserve">considered for the PBS listing of crizotinib </w:t>
      </w:r>
      <w:r w:rsidR="001601D9" w:rsidRPr="0026039D">
        <w:t>in</w:t>
      </w:r>
      <w:r w:rsidR="00A41AF8" w:rsidRPr="0026039D">
        <w:t xml:space="preserve"> ROS1-positive NSCLC. </w:t>
      </w:r>
      <w:r w:rsidR="00CC6553" w:rsidRPr="0026039D">
        <w:rPr>
          <w:szCs w:val="18"/>
        </w:rPr>
        <w:t>T</w:t>
      </w:r>
      <w:r w:rsidR="00A41AF8" w:rsidRPr="0026039D">
        <w:rPr>
          <w:szCs w:val="18"/>
        </w:rPr>
        <w:t xml:space="preserve">he ESC </w:t>
      </w:r>
      <w:r w:rsidR="00C3019C" w:rsidRPr="0026039D">
        <w:rPr>
          <w:szCs w:val="18"/>
        </w:rPr>
        <w:t xml:space="preserve">considered </w:t>
      </w:r>
      <w:r w:rsidR="00A90569" w:rsidRPr="0026039D">
        <w:rPr>
          <w:szCs w:val="18"/>
        </w:rPr>
        <w:t>the heterogeneity</w:t>
      </w:r>
      <w:r w:rsidR="00C3019C" w:rsidRPr="0026039D">
        <w:t xml:space="preserve"> in patient populations across the </w:t>
      </w:r>
      <w:r w:rsidR="00DC1297" w:rsidRPr="0026039D">
        <w:t xml:space="preserve">entrectinib and crizotinib </w:t>
      </w:r>
      <w:r w:rsidR="00C3019C" w:rsidRPr="0026039D">
        <w:t>studies</w:t>
      </w:r>
      <w:r w:rsidR="00DB0EDA" w:rsidRPr="0026039D">
        <w:t xml:space="preserve"> sho</w:t>
      </w:r>
      <w:r w:rsidR="001C0A19" w:rsidRPr="0026039D">
        <w:t xml:space="preserve">uld be interpreted in the </w:t>
      </w:r>
      <w:r w:rsidR="007A5654" w:rsidRPr="0026039D">
        <w:t xml:space="preserve">light </w:t>
      </w:r>
      <w:r w:rsidR="00DB0EDA" w:rsidRPr="0026039D">
        <w:t>of the rarity of the patient population</w:t>
      </w:r>
      <w:r w:rsidR="00530C5E">
        <w:t>,</w:t>
      </w:r>
      <w:r w:rsidR="00074C9B" w:rsidRPr="0026039D">
        <w:t xml:space="preserve"> while</w:t>
      </w:r>
      <w:r w:rsidR="00DB0EDA" w:rsidRPr="0026039D">
        <w:t xml:space="preserve"> </w:t>
      </w:r>
      <w:r w:rsidR="00074C9B" w:rsidRPr="0026039D">
        <w:t>t</w:t>
      </w:r>
      <w:r w:rsidR="00835F46" w:rsidRPr="0026039D">
        <w:t>he ESC noted that this heterogeneity may have biased in favour o</w:t>
      </w:r>
      <w:r w:rsidR="00074C9B" w:rsidRPr="0026039D">
        <w:t>f</w:t>
      </w:r>
      <w:r w:rsidR="00835F46" w:rsidRPr="0026039D">
        <w:t xml:space="preserve"> entrectinib in some studies and crizotinib in others.</w:t>
      </w:r>
      <w:r w:rsidR="00074C9B" w:rsidRPr="0026039D">
        <w:t xml:space="preserve"> </w:t>
      </w:r>
      <w:r w:rsidR="00DB0EDA" w:rsidRPr="0026039D">
        <w:t xml:space="preserve">The ESC </w:t>
      </w:r>
      <w:r w:rsidR="00835F46" w:rsidRPr="0026039D">
        <w:t xml:space="preserve">also </w:t>
      </w:r>
      <w:r w:rsidR="00DB0EDA" w:rsidRPr="0026039D">
        <w:t xml:space="preserve">noted that direct </w:t>
      </w:r>
      <w:r w:rsidR="003B60A4">
        <w:t xml:space="preserve">comparative </w:t>
      </w:r>
      <w:r w:rsidR="00DB0EDA" w:rsidRPr="0026039D">
        <w:t>clinical evidence was unlikely to be available for this patient population in the near future.</w:t>
      </w:r>
    </w:p>
    <w:p w14:paraId="7276B01A" w14:textId="77777777" w:rsidR="0012400E" w:rsidRPr="0026039D" w:rsidRDefault="0012400E" w:rsidP="0012400E">
      <w:pPr>
        <w:pStyle w:val="TableFigureHeading"/>
        <w:rPr>
          <w:b w:val="0"/>
          <w:szCs w:val="18"/>
        </w:rPr>
      </w:pPr>
      <w:bookmarkStart w:id="13" w:name="_Ref29806293"/>
      <w:r w:rsidRPr="0026039D">
        <w:lastRenderedPageBreak/>
        <w:t xml:space="preserve">Table </w:t>
      </w:r>
      <w:r w:rsidR="00871462" w:rsidRPr="0026039D">
        <w:t>5</w:t>
      </w:r>
      <w:bookmarkEnd w:id="13"/>
      <w:r w:rsidRPr="0026039D">
        <w:t>: Heterogeneity across the entrectinib and crizotinib studies that may confound the naïve indirect comparison of efficacy and safety</w:t>
      </w:r>
    </w:p>
    <w:tbl>
      <w:tblPr>
        <w:tblStyle w:val="TableGrid"/>
        <w:tblW w:w="5000" w:type="pct"/>
        <w:tblLook w:val="04A0" w:firstRow="1" w:lastRow="0" w:firstColumn="1" w:lastColumn="0" w:noHBand="0" w:noVBand="1"/>
        <w:tblCaption w:val="Table 5: Heterogeneity across the entrectinib and crizotinib studies that may confound the naïve indirect comparison of efficacy and safety"/>
        <w:tblDescription w:val="Table 5: Heterogeneity across the entrectinib and crizotinib studies that may confound the naïve indirect comparison of efficacy and safety"/>
      </w:tblPr>
      <w:tblGrid>
        <w:gridCol w:w="1732"/>
        <w:gridCol w:w="2252"/>
        <w:gridCol w:w="3421"/>
        <w:gridCol w:w="1612"/>
      </w:tblGrid>
      <w:tr w:rsidR="0012400E" w:rsidRPr="008348C0" w14:paraId="27C091AF" w14:textId="77777777" w:rsidTr="0041158C">
        <w:trPr>
          <w:tblHeader/>
        </w:trPr>
        <w:tc>
          <w:tcPr>
            <w:tcW w:w="960" w:type="pct"/>
          </w:tcPr>
          <w:p w14:paraId="4E4EDAD1" w14:textId="77777777" w:rsidR="0012400E" w:rsidRPr="008348C0" w:rsidRDefault="0012400E" w:rsidP="002F18EB">
            <w:pPr>
              <w:pStyle w:val="In-tableHeading"/>
              <w:rPr>
                <w:szCs w:val="20"/>
                <w:lang w:val="en-AU"/>
              </w:rPr>
            </w:pPr>
          </w:p>
        </w:tc>
        <w:tc>
          <w:tcPr>
            <w:tcW w:w="1249" w:type="pct"/>
          </w:tcPr>
          <w:p w14:paraId="422D6A0E" w14:textId="77777777" w:rsidR="0012400E" w:rsidRPr="008348C0" w:rsidRDefault="0012400E" w:rsidP="002F18EB">
            <w:pPr>
              <w:pStyle w:val="In-tableHeading"/>
              <w:jc w:val="center"/>
              <w:rPr>
                <w:szCs w:val="20"/>
                <w:lang w:val="en-AU"/>
              </w:rPr>
            </w:pPr>
            <w:r w:rsidRPr="008348C0">
              <w:rPr>
                <w:szCs w:val="20"/>
                <w:lang w:val="en-AU"/>
              </w:rPr>
              <w:t>Entrectinib evidence base (PAS)</w:t>
            </w:r>
          </w:p>
        </w:tc>
        <w:tc>
          <w:tcPr>
            <w:tcW w:w="1897" w:type="pct"/>
          </w:tcPr>
          <w:p w14:paraId="634A64AA" w14:textId="77777777" w:rsidR="0012400E" w:rsidRPr="008348C0" w:rsidRDefault="0012400E" w:rsidP="002F18EB">
            <w:pPr>
              <w:pStyle w:val="In-tableHeading"/>
              <w:jc w:val="center"/>
              <w:rPr>
                <w:szCs w:val="20"/>
                <w:lang w:val="en-AU"/>
              </w:rPr>
            </w:pPr>
            <w:r w:rsidRPr="008348C0">
              <w:rPr>
                <w:szCs w:val="20"/>
                <w:lang w:val="en-AU"/>
              </w:rPr>
              <w:t>Crizotinib studies</w:t>
            </w:r>
          </w:p>
        </w:tc>
        <w:tc>
          <w:tcPr>
            <w:tcW w:w="894" w:type="pct"/>
          </w:tcPr>
          <w:p w14:paraId="3804B5D6" w14:textId="77777777" w:rsidR="0012400E" w:rsidRPr="008348C0" w:rsidRDefault="0012400E" w:rsidP="002F18EB">
            <w:pPr>
              <w:pStyle w:val="In-tableHeading"/>
              <w:jc w:val="center"/>
              <w:rPr>
                <w:szCs w:val="20"/>
                <w:lang w:val="en-AU"/>
              </w:rPr>
            </w:pPr>
            <w:r w:rsidRPr="008348C0">
              <w:rPr>
                <w:szCs w:val="20"/>
                <w:lang w:val="en-AU"/>
              </w:rPr>
              <w:t>Direction of bias</w:t>
            </w:r>
          </w:p>
        </w:tc>
      </w:tr>
      <w:tr w:rsidR="0012400E" w:rsidRPr="008348C0" w14:paraId="10F1B1C0" w14:textId="77777777" w:rsidTr="00B41A01">
        <w:tc>
          <w:tcPr>
            <w:tcW w:w="960" w:type="pct"/>
          </w:tcPr>
          <w:p w14:paraId="21A1B03B" w14:textId="77777777" w:rsidR="0012400E" w:rsidRPr="008348C0" w:rsidRDefault="0012400E" w:rsidP="002F18EB">
            <w:pPr>
              <w:pStyle w:val="TableText0"/>
              <w:rPr>
                <w:szCs w:val="20"/>
              </w:rPr>
            </w:pPr>
            <w:r w:rsidRPr="008348C0">
              <w:rPr>
                <w:szCs w:val="20"/>
              </w:rPr>
              <w:t>Duration of follow-up, median</w:t>
            </w:r>
          </w:p>
        </w:tc>
        <w:tc>
          <w:tcPr>
            <w:tcW w:w="1249" w:type="pct"/>
          </w:tcPr>
          <w:p w14:paraId="52F2901D" w14:textId="77777777" w:rsidR="0012400E" w:rsidRPr="008348C0" w:rsidRDefault="0012400E" w:rsidP="002F18EB">
            <w:pPr>
              <w:pStyle w:val="TableText0"/>
              <w:rPr>
                <w:szCs w:val="20"/>
              </w:rPr>
            </w:pPr>
            <w:r w:rsidRPr="008348C0">
              <w:rPr>
                <w:szCs w:val="20"/>
              </w:rPr>
              <w:t>May 2018 data cut-off: 15.5 months</w:t>
            </w:r>
          </w:p>
          <w:p w14:paraId="3E8F89B8" w14:textId="77777777" w:rsidR="0012400E" w:rsidRPr="008348C0" w:rsidRDefault="0012400E" w:rsidP="002F18EB">
            <w:pPr>
              <w:pStyle w:val="TableText0"/>
              <w:rPr>
                <w:szCs w:val="20"/>
              </w:rPr>
            </w:pPr>
            <w:r w:rsidRPr="008348C0">
              <w:rPr>
                <w:szCs w:val="20"/>
              </w:rPr>
              <w:t>Oct 2018 data cut-off: 20.6 months</w:t>
            </w:r>
          </w:p>
        </w:tc>
        <w:tc>
          <w:tcPr>
            <w:tcW w:w="1897" w:type="pct"/>
          </w:tcPr>
          <w:p w14:paraId="23A321E0" w14:textId="77777777" w:rsidR="0012400E" w:rsidRPr="008348C0" w:rsidRDefault="0012400E" w:rsidP="002F18EB">
            <w:pPr>
              <w:pStyle w:val="TableText0"/>
              <w:rPr>
                <w:szCs w:val="20"/>
              </w:rPr>
            </w:pPr>
            <w:r w:rsidRPr="008348C0">
              <w:rPr>
                <w:szCs w:val="20"/>
              </w:rPr>
              <w:t xml:space="preserve">PROFILE 1001: </w:t>
            </w:r>
            <w:r w:rsidRPr="008348C0">
              <w:rPr>
                <w:szCs w:val="20"/>
              </w:rPr>
              <w:tab/>
              <w:t>16.4 and 62.6 months</w:t>
            </w:r>
            <w:r w:rsidRPr="008348C0">
              <w:rPr>
                <w:szCs w:val="20"/>
                <w:vertAlign w:val="superscript"/>
              </w:rPr>
              <w:t>a</w:t>
            </w:r>
          </w:p>
          <w:p w14:paraId="44575389" w14:textId="77777777" w:rsidR="0012400E" w:rsidRPr="008348C0" w:rsidRDefault="0012400E" w:rsidP="002F18EB">
            <w:pPr>
              <w:pStyle w:val="TableText0"/>
              <w:rPr>
                <w:szCs w:val="20"/>
              </w:rPr>
            </w:pPr>
            <w:r w:rsidRPr="008348C0">
              <w:rPr>
                <w:szCs w:val="20"/>
              </w:rPr>
              <w:t xml:space="preserve">Wu 2018: </w:t>
            </w:r>
            <w:r w:rsidRPr="008348C0">
              <w:rPr>
                <w:szCs w:val="20"/>
              </w:rPr>
              <w:tab/>
              <w:t>21.4 months</w:t>
            </w:r>
          </w:p>
          <w:p w14:paraId="652C7B58" w14:textId="77777777" w:rsidR="0012400E" w:rsidRPr="008348C0" w:rsidRDefault="0012400E" w:rsidP="002F18EB">
            <w:pPr>
              <w:pStyle w:val="TableText0"/>
              <w:rPr>
                <w:szCs w:val="20"/>
              </w:rPr>
            </w:pPr>
            <w:r w:rsidRPr="008348C0">
              <w:rPr>
                <w:szCs w:val="20"/>
              </w:rPr>
              <w:t xml:space="preserve">EUCROSS: </w:t>
            </w:r>
            <w:r w:rsidRPr="008348C0">
              <w:rPr>
                <w:szCs w:val="20"/>
              </w:rPr>
              <w:tab/>
              <w:t>20.6 months</w:t>
            </w:r>
          </w:p>
          <w:p w14:paraId="7684D13B" w14:textId="77777777" w:rsidR="0012400E" w:rsidRPr="008348C0" w:rsidRDefault="0012400E" w:rsidP="002F18EB">
            <w:pPr>
              <w:pStyle w:val="TableText0"/>
              <w:rPr>
                <w:szCs w:val="20"/>
              </w:rPr>
            </w:pPr>
            <w:r w:rsidRPr="008348C0">
              <w:rPr>
                <w:szCs w:val="20"/>
              </w:rPr>
              <w:t>METROS</w:t>
            </w:r>
            <w:r w:rsidRPr="008348C0">
              <w:rPr>
                <w:szCs w:val="20"/>
              </w:rPr>
              <w:tab/>
            </w:r>
            <w:r w:rsidRPr="008348C0">
              <w:rPr>
                <w:szCs w:val="20"/>
              </w:rPr>
              <w:tab/>
              <w:t>21.0 months</w:t>
            </w:r>
          </w:p>
          <w:p w14:paraId="605BC4B6" w14:textId="77777777" w:rsidR="0012400E" w:rsidRPr="008348C0" w:rsidRDefault="0012400E" w:rsidP="002F18EB">
            <w:pPr>
              <w:pStyle w:val="TableText0"/>
              <w:rPr>
                <w:szCs w:val="20"/>
              </w:rPr>
            </w:pPr>
            <w:r w:rsidRPr="008348C0">
              <w:rPr>
                <w:szCs w:val="20"/>
              </w:rPr>
              <w:t>AcSé</w:t>
            </w:r>
            <w:r w:rsidRPr="008348C0">
              <w:rPr>
                <w:szCs w:val="20"/>
              </w:rPr>
              <w:tab/>
            </w:r>
            <w:r w:rsidRPr="008348C0">
              <w:rPr>
                <w:szCs w:val="20"/>
              </w:rPr>
              <w:tab/>
              <w:t>NR</w:t>
            </w:r>
          </w:p>
        </w:tc>
        <w:tc>
          <w:tcPr>
            <w:tcW w:w="894" w:type="pct"/>
          </w:tcPr>
          <w:p w14:paraId="3B9652C2" w14:textId="77777777" w:rsidR="0012400E" w:rsidRPr="008348C0" w:rsidRDefault="0012400E" w:rsidP="002F18EB">
            <w:pPr>
              <w:pStyle w:val="TableText0"/>
              <w:rPr>
                <w:szCs w:val="20"/>
              </w:rPr>
            </w:pPr>
            <w:r w:rsidRPr="008348C0">
              <w:rPr>
                <w:szCs w:val="20"/>
              </w:rPr>
              <w:t>Unclear</w:t>
            </w:r>
          </w:p>
        </w:tc>
      </w:tr>
      <w:tr w:rsidR="0012400E" w:rsidRPr="008348C0" w14:paraId="50A5FC22" w14:textId="77777777" w:rsidTr="00B41A01">
        <w:tc>
          <w:tcPr>
            <w:tcW w:w="960" w:type="pct"/>
          </w:tcPr>
          <w:p w14:paraId="233CBAFD" w14:textId="77777777" w:rsidR="0012400E" w:rsidRPr="008348C0" w:rsidRDefault="0012400E" w:rsidP="002F18EB">
            <w:pPr>
              <w:pStyle w:val="TableText0"/>
              <w:rPr>
                <w:szCs w:val="20"/>
              </w:rPr>
            </w:pPr>
            <w:r w:rsidRPr="008348C0">
              <w:rPr>
                <w:szCs w:val="20"/>
              </w:rPr>
              <w:t>Duration of treatment, median</w:t>
            </w:r>
          </w:p>
        </w:tc>
        <w:tc>
          <w:tcPr>
            <w:tcW w:w="1249" w:type="pct"/>
          </w:tcPr>
          <w:p w14:paraId="6BDE4424" w14:textId="77777777" w:rsidR="0012400E" w:rsidRPr="008348C0" w:rsidRDefault="0012400E" w:rsidP="002F18EB">
            <w:pPr>
              <w:pStyle w:val="TableText0"/>
              <w:rPr>
                <w:szCs w:val="20"/>
                <w:vertAlign w:val="superscript"/>
              </w:rPr>
            </w:pPr>
            <w:r w:rsidRPr="008348C0">
              <w:rPr>
                <w:szCs w:val="20"/>
              </w:rPr>
              <w:t>12.1 months in the entrectinib safety analysis set (N=134)</w:t>
            </w:r>
          </w:p>
        </w:tc>
        <w:tc>
          <w:tcPr>
            <w:tcW w:w="1897" w:type="pct"/>
          </w:tcPr>
          <w:p w14:paraId="48E8F6D0" w14:textId="77777777" w:rsidR="0012400E" w:rsidRPr="008348C0" w:rsidRDefault="0012400E" w:rsidP="002F18EB">
            <w:pPr>
              <w:pStyle w:val="TableText0"/>
              <w:rPr>
                <w:szCs w:val="20"/>
                <w:vertAlign w:val="superscript"/>
              </w:rPr>
            </w:pPr>
            <w:r w:rsidRPr="008348C0">
              <w:rPr>
                <w:szCs w:val="20"/>
              </w:rPr>
              <w:t xml:space="preserve">PROFILE 1001: </w:t>
            </w:r>
            <w:r w:rsidRPr="008348C0">
              <w:rPr>
                <w:szCs w:val="20"/>
              </w:rPr>
              <w:tab/>
              <w:t>14.8 and 22.4 months</w:t>
            </w:r>
            <w:r w:rsidRPr="008348C0">
              <w:rPr>
                <w:szCs w:val="20"/>
                <w:vertAlign w:val="superscript"/>
              </w:rPr>
              <w:t>a</w:t>
            </w:r>
          </w:p>
          <w:p w14:paraId="2C516C65" w14:textId="77777777" w:rsidR="0012400E" w:rsidRPr="008348C0" w:rsidRDefault="0012400E" w:rsidP="002F18EB">
            <w:pPr>
              <w:pStyle w:val="TableText0"/>
              <w:rPr>
                <w:szCs w:val="20"/>
              </w:rPr>
            </w:pPr>
            <w:r w:rsidRPr="008348C0">
              <w:rPr>
                <w:szCs w:val="20"/>
              </w:rPr>
              <w:t xml:space="preserve">Wu 2018: </w:t>
            </w:r>
            <w:r w:rsidRPr="008348C0">
              <w:rPr>
                <w:szCs w:val="20"/>
              </w:rPr>
              <w:tab/>
              <w:t>18.4 months</w:t>
            </w:r>
          </w:p>
          <w:p w14:paraId="4AB82892" w14:textId="77777777" w:rsidR="0012400E" w:rsidRPr="008348C0" w:rsidRDefault="0012400E" w:rsidP="002F18EB">
            <w:pPr>
              <w:pStyle w:val="TableText0"/>
              <w:rPr>
                <w:szCs w:val="20"/>
              </w:rPr>
            </w:pPr>
            <w:r w:rsidRPr="008348C0">
              <w:rPr>
                <w:szCs w:val="20"/>
              </w:rPr>
              <w:t xml:space="preserve">EUCROSS: </w:t>
            </w:r>
            <w:r w:rsidRPr="008348C0">
              <w:rPr>
                <w:szCs w:val="20"/>
              </w:rPr>
              <w:tab/>
              <w:t>NR</w:t>
            </w:r>
          </w:p>
          <w:p w14:paraId="15F946A1" w14:textId="77777777" w:rsidR="0012400E" w:rsidRPr="008348C0" w:rsidRDefault="0012400E" w:rsidP="002F18EB">
            <w:pPr>
              <w:pStyle w:val="TableText0"/>
              <w:rPr>
                <w:szCs w:val="20"/>
              </w:rPr>
            </w:pPr>
            <w:r w:rsidRPr="008348C0">
              <w:rPr>
                <w:szCs w:val="20"/>
              </w:rPr>
              <w:t>METROS</w:t>
            </w:r>
            <w:r w:rsidRPr="008348C0">
              <w:rPr>
                <w:szCs w:val="20"/>
              </w:rPr>
              <w:tab/>
            </w:r>
            <w:r w:rsidRPr="008348C0">
              <w:rPr>
                <w:szCs w:val="20"/>
              </w:rPr>
              <w:tab/>
              <w:t>15.2 months</w:t>
            </w:r>
          </w:p>
          <w:p w14:paraId="17173CF2" w14:textId="77777777" w:rsidR="0012400E" w:rsidRPr="008348C0" w:rsidRDefault="0012400E" w:rsidP="002F18EB">
            <w:pPr>
              <w:pStyle w:val="TableText0"/>
              <w:rPr>
                <w:szCs w:val="20"/>
              </w:rPr>
            </w:pPr>
            <w:r w:rsidRPr="008348C0">
              <w:rPr>
                <w:szCs w:val="20"/>
              </w:rPr>
              <w:t>AcSé</w:t>
            </w:r>
            <w:r w:rsidRPr="008348C0">
              <w:rPr>
                <w:szCs w:val="20"/>
              </w:rPr>
              <w:tab/>
            </w:r>
            <w:r w:rsidRPr="008348C0">
              <w:rPr>
                <w:szCs w:val="20"/>
              </w:rPr>
              <w:tab/>
              <w:t>11.1 months</w:t>
            </w:r>
          </w:p>
        </w:tc>
        <w:tc>
          <w:tcPr>
            <w:tcW w:w="894" w:type="pct"/>
          </w:tcPr>
          <w:p w14:paraId="7189DB10" w14:textId="77777777" w:rsidR="0012400E" w:rsidRPr="008348C0" w:rsidRDefault="0012400E" w:rsidP="002F18EB">
            <w:pPr>
              <w:pStyle w:val="TableText0"/>
              <w:rPr>
                <w:szCs w:val="20"/>
              </w:rPr>
            </w:pPr>
            <w:r w:rsidRPr="008348C0">
              <w:rPr>
                <w:szCs w:val="20"/>
              </w:rPr>
              <w:t xml:space="preserve">Potential bias in safety outcomes favouring entrectinib </w:t>
            </w:r>
          </w:p>
        </w:tc>
      </w:tr>
      <w:tr w:rsidR="0012400E" w:rsidRPr="008348C0" w14:paraId="4900BBB9" w14:textId="77777777" w:rsidTr="00B41A01">
        <w:tc>
          <w:tcPr>
            <w:tcW w:w="4106" w:type="pct"/>
            <w:gridSpan w:val="3"/>
            <w:tcBorders>
              <w:right w:val="nil"/>
            </w:tcBorders>
          </w:tcPr>
          <w:p w14:paraId="0AC67FFE" w14:textId="77777777" w:rsidR="0012400E" w:rsidRPr="008348C0" w:rsidRDefault="0012400E" w:rsidP="002F18EB">
            <w:pPr>
              <w:pStyle w:val="TableText0"/>
              <w:rPr>
                <w:szCs w:val="20"/>
              </w:rPr>
            </w:pPr>
            <w:r w:rsidRPr="008348C0">
              <w:rPr>
                <w:szCs w:val="20"/>
              </w:rPr>
              <w:t>Confounding factors in relation to study populations</w:t>
            </w:r>
          </w:p>
        </w:tc>
        <w:tc>
          <w:tcPr>
            <w:tcW w:w="894" w:type="pct"/>
            <w:tcBorders>
              <w:left w:val="nil"/>
            </w:tcBorders>
          </w:tcPr>
          <w:p w14:paraId="7C28EC5E" w14:textId="77777777" w:rsidR="0012400E" w:rsidRPr="008348C0" w:rsidRDefault="0012400E" w:rsidP="002F18EB">
            <w:pPr>
              <w:pStyle w:val="TableText0"/>
              <w:rPr>
                <w:szCs w:val="20"/>
              </w:rPr>
            </w:pPr>
          </w:p>
        </w:tc>
      </w:tr>
      <w:tr w:rsidR="0012400E" w:rsidRPr="008348C0" w14:paraId="7EC2B3F2" w14:textId="77777777" w:rsidTr="00B41A01">
        <w:tc>
          <w:tcPr>
            <w:tcW w:w="960" w:type="pct"/>
          </w:tcPr>
          <w:p w14:paraId="3C2E7F80" w14:textId="77777777" w:rsidR="0012400E" w:rsidRPr="008348C0" w:rsidRDefault="0012400E" w:rsidP="002F18EB">
            <w:pPr>
              <w:pStyle w:val="TableText0"/>
              <w:rPr>
                <w:szCs w:val="20"/>
              </w:rPr>
            </w:pPr>
            <w:r w:rsidRPr="008348C0">
              <w:rPr>
                <w:szCs w:val="20"/>
              </w:rPr>
              <w:t>Age, median</w:t>
            </w:r>
          </w:p>
        </w:tc>
        <w:tc>
          <w:tcPr>
            <w:tcW w:w="1249" w:type="pct"/>
          </w:tcPr>
          <w:p w14:paraId="5EDE1C6D" w14:textId="77777777" w:rsidR="0012400E" w:rsidRPr="008348C0" w:rsidRDefault="0012400E" w:rsidP="002F18EB">
            <w:pPr>
              <w:pStyle w:val="TableText0"/>
              <w:rPr>
                <w:szCs w:val="20"/>
              </w:rPr>
            </w:pPr>
            <w:r w:rsidRPr="008348C0">
              <w:rPr>
                <w:szCs w:val="20"/>
              </w:rPr>
              <w:t>53 years</w:t>
            </w:r>
          </w:p>
        </w:tc>
        <w:tc>
          <w:tcPr>
            <w:tcW w:w="1897" w:type="pct"/>
          </w:tcPr>
          <w:p w14:paraId="09F57404" w14:textId="77777777" w:rsidR="0012400E" w:rsidRPr="008348C0" w:rsidRDefault="0012400E" w:rsidP="002F18EB">
            <w:pPr>
              <w:pStyle w:val="TableText0"/>
              <w:rPr>
                <w:szCs w:val="20"/>
              </w:rPr>
            </w:pPr>
            <w:r w:rsidRPr="008348C0">
              <w:rPr>
                <w:szCs w:val="20"/>
              </w:rPr>
              <w:t>Ranged from 52-68 across the studies</w:t>
            </w:r>
          </w:p>
        </w:tc>
        <w:tc>
          <w:tcPr>
            <w:tcW w:w="894" w:type="pct"/>
          </w:tcPr>
          <w:p w14:paraId="28707EF1" w14:textId="77777777" w:rsidR="0012400E" w:rsidRPr="008348C0" w:rsidRDefault="0012400E" w:rsidP="002F18EB">
            <w:pPr>
              <w:pStyle w:val="TableText0"/>
              <w:rPr>
                <w:szCs w:val="20"/>
              </w:rPr>
            </w:pPr>
            <w:r w:rsidRPr="008348C0">
              <w:rPr>
                <w:szCs w:val="20"/>
              </w:rPr>
              <w:t>Unclear</w:t>
            </w:r>
          </w:p>
        </w:tc>
      </w:tr>
      <w:tr w:rsidR="0012400E" w:rsidRPr="008348C0" w14:paraId="6C5B25C9" w14:textId="77777777" w:rsidTr="00B41A01">
        <w:tc>
          <w:tcPr>
            <w:tcW w:w="960" w:type="pct"/>
          </w:tcPr>
          <w:p w14:paraId="0E7E474C" w14:textId="77777777" w:rsidR="0012400E" w:rsidRPr="008348C0" w:rsidRDefault="0012400E" w:rsidP="002F18EB">
            <w:pPr>
              <w:pStyle w:val="TableText0"/>
              <w:rPr>
                <w:szCs w:val="20"/>
              </w:rPr>
            </w:pPr>
            <w:r w:rsidRPr="008348C0">
              <w:rPr>
                <w:szCs w:val="20"/>
              </w:rPr>
              <w:t>Ethnicity, % Asian</w:t>
            </w:r>
          </w:p>
        </w:tc>
        <w:tc>
          <w:tcPr>
            <w:tcW w:w="1249" w:type="pct"/>
          </w:tcPr>
          <w:p w14:paraId="1D81F62B" w14:textId="77777777" w:rsidR="0012400E" w:rsidRPr="008348C0" w:rsidRDefault="0012400E" w:rsidP="002F18EB">
            <w:pPr>
              <w:pStyle w:val="TableText0"/>
              <w:rPr>
                <w:szCs w:val="20"/>
              </w:rPr>
            </w:pPr>
            <w:r w:rsidRPr="008348C0">
              <w:rPr>
                <w:szCs w:val="20"/>
              </w:rPr>
              <w:t>36%</w:t>
            </w:r>
          </w:p>
        </w:tc>
        <w:tc>
          <w:tcPr>
            <w:tcW w:w="1897" w:type="pct"/>
          </w:tcPr>
          <w:p w14:paraId="1DCD9502" w14:textId="77777777" w:rsidR="0012400E" w:rsidRPr="008348C0" w:rsidRDefault="0012400E" w:rsidP="002F18EB">
            <w:pPr>
              <w:pStyle w:val="TableText0"/>
              <w:rPr>
                <w:szCs w:val="20"/>
              </w:rPr>
            </w:pPr>
            <w:r w:rsidRPr="008348C0">
              <w:rPr>
                <w:szCs w:val="20"/>
              </w:rPr>
              <w:t xml:space="preserve">PROFILE 1001: </w:t>
            </w:r>
            <w:r w:rsidRPr="008348C0">
              <w:rPr>
                <w:szCs w:val="20"/>
              </w:rPr>
              <w:tab/>
              <w:t xml:space="preserve">42% </w:t>
            </w:r>
          </w:p>
          <w:p w14:paraId="72DA28D8" w14:textId="77777777" w:rsidR="0012400E" w:rsidRPr="008348C0" w:rsidRDefault="0012400E" w:rsidP="002F18EB">
            <w:pPr>
              <w:pStyle w:val="TableText0"/>
              <w:rPr>
                <w:szCs w:val="20"/>
              </w:rPr>
            </w:pPr>
            <w:r w:rsidRPr="008348C0">
              <w:rPr>
                <w:szCs w:val="20"/>
              </w:rPr>
              <w:t xml:space="preserve">Wu 2018: </w:t>
            </w:r>
            <w:r w:rsidRPr="008348C0">
              <w:rPr>
                <w:szCs w:val="20"/>
              </w:rPr>
              <w:tab/>
              <w:t>100%</w:t>
            </w:r>
          </w:p>
          <w:p w14:paraId="365DCC5F" w14:textId="77777777" w:rsidR="0012400E" w:rsidRPr="008348C0" w:rsidRDefault="0012400E" w:rsidP="002F18EB">
            <w:pPr>
              <w:pStyle w:val="TableText0"/>
              <w:rPr>
                <w:szCs w:val="20"/>
              </w:rPr>
            </w:pPr>
            <w:r w:rsidRPr="008348C0">
              <w:rPr>
                <w:szCs w:val="20"/>
              </w:rPr>
              <w:t xml:space="preserve">EUCROSS: </w:t>
            </w:r>
            <w:r w:rsidRPr="008348C0">
              <w:rPr>
                <w:szCs w:val="20"/>
              </w:rPr>
              <w:tab/>
              <w:t>6%</w:t>
            </w:r>
          </w:p>
          <w:p w14:paraId="4776338D" w14:textId="77777777" w:rsidR="0012400E" w:rsidRPr="008348C0" w:rsidRDefault="0012400E" w:rsidP="002F18EB">
            <w:pPr>
              <w:pStyle w:val="TableText0"/>
              <w:rPr>
                <w:szCs w:val="20"/>
              </w:rPr>
            </w:pPr>
            <w:r w:rsidRPr="008348C0">
              <w:rPr>
                <w:szCs w:val="20"/>
              </w:rPr>
              <w:t>METROS, AcSé</w:t>
            </w:r>
            <w:r w:rsidRPr="008348C0">
              <w:rPr>
                <w:szCs w:val="20"/>
              </w:rPr>
              <w:tab/>
              <w:t>NR</w:t>
            </w:r>
          </w:p>
        </w:tc>
        <w:tc>
          <w:tcPr>
            <w:tcW w:w="894" w:type="pct"/>
          </w:tcPr>
          <w:p w14:paraId="1CA4764D" w14:textId="77777777" w:rsidR="0012400E" w:rsidRPr="008348C0" w:rsidRDefault="0012400E" w:rsidP="002F18EB">
            <w:pPr>
              <w:pStyle w:val="TableText0"/>
              <w:rPr>
                <w:szCs w:val="20"/>
                <w:vertAlign w:val="superscript"/>
              </w:rPr>
            </w:pPr>
            <w:r w:rsidRPr="008348C0">
              <w:rPr>
                <w:szCs w:val="20"/>
              </w:rPr>
              <w:t>Potentially favours studies with greater % of Asians</w:t>
            </w:r>
            <w:r w:rsidR="00D3580B" w:rsidRPr="008348C0">
              <w:rPr>
                <w:szCs w:val="20"/>
                <w:vertAlign w:val="superscript"/>
              </w:rPr>
              <w:t>b</w:t>
            </w:r>
          </w:p>
        </w:tc>
      </w:tr>
      <w:tr w:rsidR="0012400E" w:rsidRPr="008348C0" w14:paraId="6AEAAC53" w14:textId="77777777" w:rsidTr="00B41A01">
        <w:tc>
          <w:tcPr>
            <w:tcW w:w="960" w:type="pct"/>
          </w:tcPr>
          <w:p w14:paraId="7FC58A99" w14:textId="77777777" w:rsidR="0012400E" w:rsidRPr="008348C0" w:rsidRDefault="0012400E" w:rsidP="002F18EB">
            <w:pPr>
              <w:pStyle w:val="TableText0"/>
              <w:rPr>
                <w:szCs w:val="20"/>
              </w:rPr>
            </w:pPr>
            <w:r w:rsidRPr="008348C0">
              <w:rPr>
                <w:szCs w:val="20"/>
              </w:rPr>
              <w:t>ECOG PS = 2</w:t>
            </w:r>
          </w:p>
        </w:tc>
        <w:tc>
          <w:tcPr>
            <w:tcW w:w="1249" w:type="pct"/>
          </w:tcPr>
          <w:p w14:paraId="58631614" w14:textId="77777777" w:rsidR="0012400E" w:rsidRPr="008348C0" w:rsidRDefault="0012400E" w:rsidP="002F18EB">
            <w:pPr>
              <w:pStyle w:val="TableText0"/>
              <w:rPr>
                <w:szCs w:val="20"/>
              </w:rPr>
            </w:pPr>
            <w:r w:rsidRPr="008348C0">
              <w:rPr>
                <w:szCs w:val="20"/>
              </w:rPr>
              <w:t>11%</w:t>
            </w:r>
          </w:p>
        </w:tc>
        <w:tc>
          <w:tcPr>
            <w:tcW w:w="1897" w:type="pct"/>
          </w:tcPr>
          <w:p w14:paraId="6C52D8E7" w14:textId="77777777" w:rsidR="0012400E" w:rsidRPr="008348C0" w:rsidRDefault="0012400E" w:rsidP="002F18EB">
            <w:pPr>
              <w:pStyle w:val="TableText0"/>
              <w:rPr>
                <w:szCs w:val="20"/>
              </w:rPr>
            </w:pPr>
            <w:r w:rsidRPr="008348C0">
              <w:rPr>
                <w:szCs w:val="20"/>
              </w:rPr>
              <w:t xml:space="preserve">PROFILE 1001: </w:t>
            </w:r>
            <w:r w:rsidRPr="008348C0">
              <w:rPr>
                <w:szCs w:val="20"/>
              </w:rPr>
              <w:tab/>
              <w:t>2%</w:t>
            </w:r>
          </w:p>
          <w:p w14:paraId="4157F560" w14:textId="77777777" w:rsidR="0012400E" w:rsidRPr="008348C0" w:rsidRDefault="0012400E" w:rsidP="002F18EB">
            <w:pPr>
              <w:pStyle w:val="TableText0"/>
              <w:rPr>
                <w:szCs w:val="20"/>
              </w:rPr>
            </w:pPr>
            <w:r w:rsidRPr="008348C0">
              <w:rPr>
                <w:szCs w:val="20"/>
              </w:rPr>
              <w:t xml:space="preserve">Wu 2018: </w:t>
            </w:r>
            <w:r w:rsidRPr="008348C0">
              <w:rPr>
                <w:szCs w:val="20"/>
              </w:rPr>
              <w:tab/>
              <w:t>0%</w:t>
            </w:r>
          </w:p>
          <w:p w14:paraId="666D4D99" w14:textId="77777777" w:rsidR="0012400E" w:rsidRPr="008348C0" w:rsidRDefault="0012400E" w:rsidP="002F18EB">
            <w:pPr>
              <w:pStyle w:val="TableText0"/>
              <w:rPr>
                <w:szCs w:val="20"/>
              </w:rPr>
            </w:pPr>
            <w:r w:rsidRPr="008348C0">
              <w:rPr>
                <w:szCs w:val="20"/>
              </w:rPr>
              <w:t xml:space="preserve">EUCROSS: </w:t>
            </w:r>
            <w:r w:rsidRPr="008348C0">
              <w:rPr>
                <w:szCs w:val="20"/>
              </w:rPr>
              <w:tab/>
              <w:t>6%</w:t>
            </w:r>
          </w:p>
          <w:p w14:paraId="0A46CBBD" w14:textId="77777777" w:rsidR="0012400E" w:rsidRPr="008348C0" w:rsidRDefault="0012400E" w:rsidP="002F18EB">
            <w:pPr>
              <w:pStyle w:val="TableText0"/>
              <w:rPr>
                <w:szCs w:val="20"/>
              </w:rPr>
            </w:pPr>
            <w:r w:rsidRPr="008348C0">
              <w:rPr>
                <w:szCs w:val="20"/>
              </w:rPr>
              <w:t>METROS</w:t>
            </w:r>
            <w:r w:rsidRPr="008348C0">
              <w:rPr>
                <w:szCs w:val="20"/>
              </w:rPr>
              <w:tab/>
            </w:r>
            <w:r w:rsidRPr="008348C0">
              <w:rPr>
                <w:szCs w:val="20"/>
              </w:rPr>
              <w:tab/>
              <w:t>4%</w:t>
            </w:r>
          </w:p>
          <w:p w14:paraId="5902CD60" w14:textId="77777777" w:rsidR="0012400E" w:rsidRPr="008348C0" w:rsidRDefault="0012400E" w:rsidP="002F18EB">
            <w:pPr>
              <w:pStyle w:val="TableText0"/>
              <w:rPr>
                <w:szCs w:val="20"/>
              </w:rPr>
            </w:pPr>
            <w:r w:rsidRPr="008348C0">
              <w:rPr>
                <w:szCs w:val="20"/>
              </w:rPr>
              <w:t>AcSé</w:t>
            </w:r>
            <w:r w:rsidRPr="008348C0">
              <w:rPr>
                <w:szCs w:val="20"/>
              </w:rPr>
              <w:tab/>
            </w:r>
            <w:r w:rsidRPr="008348C0">
              <w:rPr>
                <w:szCs w:val="20"/>
              </w:rPr>
              <w:tab/>
              <w:t>25%</w:t>
            </w:r>
          </w:p>
        </w:tc>
        <w:tc>
          <w:tcPr>
            <w:tcW w:w="894" w:type="pct"/>
          </w:tcPr>
          <w:p w14:paraId="5B8DD329" w14:textId="77777777" w:rsidR="0012400E" w:rsidRPr="008348C0" w:rsidRDefault="0012400E" w:rsidP="002F18EB">
            <w:pPr>
              <w:pStyle w:val="TableText0"/>
              <w:rPr>
                <w:szCs w:val="20"/>
              </w:rPr>
            </w:pPr>
            <w:r w:rsidRPr="008348C0">
              <w:rPr>
                <w:szCs w:val="20"/>
              </w:rPr>
              <w:t>Potentially favours crizotinib in all studies except AcSé</w:t>
            </w:r>
          </w:p>
        </w:tc>
      </w:tr>
      <w:tr w:rsidR="0012400E" w:rsidRPr="008348C0" w14:paraId="6B7F6D48" w14:textId="77777777" w:rsidTr="00B41A01">
        <w:tc>
          <w:tcPr>
            <w:tcW w:w="960" w:type="pct"/>
          </w:tcPr>
          <w:p w14:paraId="47E1E397" w14:textId="77777777" w:rsidR="0012400E" w:rsidRPr="008348C0" w:rsidRDefault="0012400E" w:rsidP="002F18EB">
            <w:pPr>
              <w:pStyle w:val="TableText0"/>
              <w:rPr>
                <w:szCs w:val="20"/>
              </w:rPr>
            </w:pPr>
            <w:r w:rsidRPr="008348C0">
              <w:rPr>
                <w:szCs w:val="20"/>
              </w:rPr>
              <w:t>Prior treatment,</w:t>
            </w:r>
          </w:p>
          <w:p w14:paraId="3FE4E003" w14:textId="77777777" w:rsidR="0012400E" w:rsidRPr="008348C0" w:rsidRDefault="0012400E" w:rsidP="002F18EB">
            <w:pPr>
              <w:pStyle w:val="TableText0"/>
              <w:rPr>
                <w:szCs w:val="20"/>
              </w:rPr>
            </w:pPr>
            <w:r w:rsidRPr="008348C0">
              <w:rPr>
                <w:bCs w:val="0"/>
                <w:szCs w:val="20"/>
              </w:rPr>
              <w:t>&gt;</w:t>
            </w:r>
            <w:r w:rsidRPr="008348C0">
              <w:rPr>
                <w:szCs w:val="20"/>
              </w:rPr>
              <w:t xml:space="preserve"> 1 prior regimen for advanced disease</w:t>
            </w:r>
          </w:p>
        </w:tc>
        <w:tc>
          <w:tcPr>
            <w:tcW w:w="1249" w:type="pct"/>
          </w:tcPr>
          <w:p w14:paraId="4A72A9DB" w14:textId="77777777" w:rsidR="0012400E" w:rsidRPr="008348C0" w:rsidRDefault="0012400E" w:rsidP="002F18EB">
            <w:pPr>
              <w:pStyle w:val="TableText0"/>
              <w:rPr>
                <w:szCs w:val="20"/>
              </w:rPr>
            </w:pPr>
            <w:r w:rsidRPr="008348C0">
              <w:rPr>
                <w:szCs w:val="20"/>
              </w:rPr>
              <w:t>25%</w:t>
            </w:r>
          </w:p>
        </w:tc>
        <w:tc>
          <w:tcPr>
            <w:tcW w:w="1897" w:type="pct"/>
          </w:tcPr>
          <w:p w14:paraId="2BEB1D70" w14:textId="77777777" w:rsidR="0012400E" w:rsidRPr="008348C0" w:rsidRDefault="0012400E" w:rsidP="002F18EB">
            <w:pPr>
              <w:pStyle w:val="TableText0"/>
              <w:rPr>
                <w:szCs w:val="20"/>
              </w:rPr>
            </w:pPr>
            <w:r w:rsidRPr="008348C0">
              <w:rPr>
                <w:szCs w:val="20"/>
              </w:rPr>
              <w:t xml:space="preserve">PROFILE 1001: </w:t>
            </w:r>
            <w:r w:rsidRPr="008348C0">
              <w:rPr>
                <w:szCs w:val="20"/>
              </w:rPr>
              <w:tab/>
              <w:t>44%</w:t>
            </w:r>
          </w:p>
          <w:p w14:paraId="75D51439" w14:textId="77777777" w:rsidR="0012400E" w:rsidRPr="008348C0" w:rsidRDefault="0012400E" w:rsidP="002F18EB">
            <w:pPr>
              <w:pStyle w:val="TableText0"/>
              <w:rPr>
                <w:szCs w:val="20"/>
              </w:rPr>
            </w:pPr>
            <w:r w:rsidRPr="008348C0">
              <w:rPr>
                <w:szCs w:val="20"/>
              </w:rPr>
              <w:t xml:space="preserve">Wu 2018: </w:t>
            </w:r>
            <w:r w:rsidRPr="008348C0">
              <w:rPr>
                <w:szCs w:val="20"/>
              </w:rPr>
              <w:tab/>
              <w:t>39%</w:t>
            </w:r>
          </w:p>
          <w:p w14:paraId="0A75B3F0" w14:textId="77777777" w:rsidR="0012400E" w:rsidRPr="008348C0" w:rsidRDefault="0012400E" w:rsidP="002F18EB">
            <w:pPr>
              <w:pStyle w:val="TableText0"/>
              <w:rPr>
                <w:szCs w:val="20"/>
              </w:rPr>
            </w:pPr>
            <w:r w:rsidRPr="008348C0">
              <w:rPr>
                <w:szCs w:val="20"/>
              </w:rPr>
              <w:t xml:space="preserve">EUCROSS: </w:t>
            </w:r>
            <w:r w:rsidRPr="008348C0">
              <w:rPr>
                <w:szCs w:val="20"/>
              </w:rPr>
              <w:tab/>
              <w:t>44%</w:t>
            </w:r>
          </w:p>
          <w:p w14:paraId="6084C0F2" w14:textId="77777777" w:rsidR="0012400E" w:rsidRPr="008348C0" w:rsidRDefault="0012400E" w:rsidP="002F18EB">
            <w:pPr>
              <w:pStyle w:val="TableText0"/>
              <w:rPr>
                <w:szCs w:val="20"/>
              </w:rPr>
            </w:pPr>
            <w:r w:rsidRPr="008348C0">
              <w:rPr>
                <w:szCs w:val="20"/>
              </w:rPr>
              <w:t>METROS</w:t>
            </w:r>
            <w:r w:rsidRPr="008348C0">
              <w:rPr>
                <w:szCs w:val="20"/>
              </w:rPr>
              <w:tab/>
            </w:r>
            <w:r w:rsidRPr="008348C0">
              <w:rPr>
                <w:szCs w:val="20"/>
              </w:rPr>
              <w:tab/>
              <w:t>23%</w:t>
            </w:r>
          </w:p>
          <w:p w14:paraId="5FEAFE0C" w14:textId="77777777" w:rsidR="0012400E" w:rsidRPr="008348C0" w:rsidRDefault="0012400E" w:rsidP="002F18EB">
            <w:pPr>
              <w:pStyle w:val="TableText0"/>
              <w:rPr>
                <w:szCs w:val="20"/>
              </w:rPr>
            </w:pPr>
            <w:r w:rsidRPr="008348C0">
              <w:rPr>
                <w:szCs w:val="20"/>
              </w:rPr>
              <w:t>AcSé</w:t>
            </w:r>
            <w:r w:rsidRPr="008348C0">
              <w:rPr>
                <w:szCs w:val="20"/>
              </w:rPr>
              <w:tab/>
            </w:r>
            <w:r w:rsidRPr="008348C0">
              <w:rPr>
                <w:szCs w:val="20"/>
              </w:rPr>
              <w:tab/>
              <w:t>NR</w:t>
            </w:r>
          </w:p>
        </w:tc>
        <w:tc>
          <w:tcPr>
            <w:tcW w:w="894" w:type="pct"/>
          </w:tcPr>
          <w:p w14:paraId="5520EF0B" w14:textId="77777777" w:rsidR="0012400E" w:rsidRPr="008348C0" w:rsidRDefault="0012400E" w:rsidP="002F18EB">
            <w:pPr>
              <w:pStyle w:val="TableText0"/>
              <w:rPr>
                <w:szCs w:val="20"/>
              </w:rPr>
            </w:pPr>
            <w:r w:rsidRPr="008348C0">
              <w:rPr>
                <w:szCs w:val="20"/>
              </w:rPr>
              <w:t>Potentially favours entrectinib</w:t>
            </w:r>
          </w:p>
        </w:tc>
      </w:tr>
      <w:tr w:rsidR="0012400E" w:rsidRPr="008348C0" w14:paraId="575537BA" w14:textId="77777777" w:rsidTr="00B41A01">
        <w:tc>
          <w:tcPr>
            <w:tcW w:w="960" w:type="pct"/>
            <w:tcBorders>
              <w:bottom w:val="single" w:sz="4" w:space="0" w:color="auto"/>
            </w:tcBorders>
          </w:tcPr>
          <w:p w14:paraId="12905FC4" w14:textId="77777777" w:rsidR="0012400E" w:rsidRPr="008348C0" w:rsidRDefault="0012400E" w:rsidP="002F18EB">
            <w:pPr>
              <w:pStyle w:val="TableText0"/>
              <w:rPr>
                <w:szCs w:val="20"/>
              </w:rPr>
            </w:pPr>
            <w:r w:rsidRPr="008348C0">
              <w:rPr>
                <w:szCs w:val="20"/>
              </w:rPr>
              <w:t>CNS metastases</w:t>
            </w:r>
          </w:p>
        </w:tc>
        <w:tc>
          <w:tcPr>
            <w:tcW w:w="1249" w:type="pct"/>
            <w:tcBorders>
              <w:bottom w:val="single" w:sz="4" w:space="0" w:color="auto"/>
            </w:tcBorders>
          </w:tcPr>
          <w:p w14:paraId="47B69860" w14:textId="77777777" w:rsidR="0012400E" w:rsidRPr="008348C0" w:rsidRDefault="0012400E" w:rsidP="002F18EB">
            <w:pPr>
              <w:pStyle w:val="TableText0"/>
              <w:rPr>
                <w:szCs w:val="20"/>
              </w:rPr>
            </w:pPr>
            <w:r w:rsidRPr="008348C0">
              <w:rPr>
                <w:szCs w:val="20"/>
              </w:rPr>
              <w:t>43%</w:t>
            </w:r>
          </w:p>
        </w:tc>
        <w:tc>
          <w:tcPr>
            <w:tcW w:w="1897" w:type="pct"/>
            <w:tcBorders>
              <w:bottom w:val="single" w:sz="4" w:space="0" w:color="auto"/>
            </w:tcBorders>
          </w:tcPr>
          <w:p w14:paraId="4300813A" w14:textId="77777777" w:rsidR="0012400E" w:rsidRPr="008348C0" w:rsidRDefault="0012400E" w:rsidP="002F18EB">
            <w:pPr>
              <w:pStyle w:val="TableText0"/>
              <w:rPr>
                <w:szCs w:val="20"/>
              </w:rPr>
            </w:pPr>
            <w:r w:rsidRPr="008348C0">
              <w:rPr>
                <w:szCs w:val="20"/>
              </w:rPr>
              <w:t xml:space="preserve">PROFILE 1001: </w:t>
            </w:r>
            <w:r w:rsidRPr="008348C0">
              <w:rPr>
                <w:szCs w:val="20"/>
              </w:rPr>
              <w:tab/>
              <w:t>NR</w:t>
            </w:r>
          </w:p>
          <w:p w14:paraId="056A6C8F" w14:textId="77777777" w:rsidR="0012400E" w:rsidRPr="008348C0" w:rsidRDefault="0012400E" w:rsidP="002F18EB">
            <w:pPr>
              <w:pStyle w:val="TableText0"/>
              <w:rPr>
                <w:szCs w:val="20"/>
              </w:rPr>
            </w:pPr>
            <w:r w:rsidRPr="008348C0">
              <w:rPr>
                <w:szCs w:val="20"/>
              </w:rPr>
              <w:t xml:space="preserve">Wu 2018: </w:t>
            </w:r>
            <w:r w:rsidRPr="008348C0">
              <w:rPr>
                <w:szCs w:val="20"/>
              </w:rPr>
              <w:tab/>
              <w:t>18%</w:t>
            </w:r>
          </w:p>
          <w:p w14:paraId="5ED35F4C" w14:textId="77777777" w:rsidR="0012400E" w:rsidRPr="008348C0" w:rsidRDefault="0012400E" w:rsidP="002F18EB">
            <w:pPr>
              <w:pStyle w:val="TableText0"/>
              <w:rPr>
                <w:szCs w:val="20"/>
              </w:rPr>
            </w:pPr>
            <w:r w:rsidRPr="008348C0">
              <w:rPr>
                <w:szCs w:val="20"/>
              </w:rPr>
              <w:t xml:space="preserve">EUCROSS: </w:t>
            </w:r>
            <w:r w:rsidRPr="008348C0">
              <w:rPr>
                <w:szCs w:val="20"/>
              </w:rPr>
              <w:tab/>
              <w:t>21%</w:t>
            </w:r>
          </w:p>
          <w:p w14:paraId="6DFBCD09" w14:textId="77777777" w:rsidR="0012400E" w:rsidRPr="008348C0" w:rsidRDefault="0012400E" w:rsidP="002F18EB">
            <w:pPr>
              <w:pStyle w:val="TableText0"/>
              <w:rPr>
                <w:szCs w:val="20"/>
              </w:rPr>
            </w:pPr>
            <w:r w:rsidRPr="008348C0">
              <w:rPr>
                <w:szCs w:val="20"/>
              </w:rPr>
              <w:t>METROS</w:t>
            </w:r>
            <w:r w:rsidRPr="008348C0">
              <w:rPr>
                <w:szCs w:val="20"/>
              </w:rPr>
              <w:tab/>
            </w:r>
            <w:r w:rsidRPr="008348C0">
              <w:rPr>
                <w:szCs w:val="20"/>
              </w:rPr>
              <w:tab/>
              <w:t>23%</w:t>
            </w:r>
          </w:p>
          <w:p w14:paraId="6FF5B7B8" w14:textId="77777777" w:rsidR="0012400E" w:rsidRPr="008348C0" w:rsidRDefault="0012400E" w:rsidP="002F18EB">
            <w:pPr>
              <w:pStyle w:val="TableText0"/>
              <w:rPr>
                <w:szCs w:val="20"/>
              </w:rPr>
            </w:pPr>
            <w:r w:rsidRPr="008348C0">
              <w:rPr>
                <w:szCs w:val="20"/>
              </w:rPr>
              <w:t>AcSé</w:t>
            </w:r>
            <w:r w:rsidRPr="008348C0">
              <w:rPr>
                <w:szCs w:val="20"/>
              </w:rPr>
              <w:tab/>
            </w:r>
            <w:r w:rsidRPr="008348C0">
              <w:rPr>
                <w:szCs w:val="20"/>
              </w:rPr>
              <w:tab/>
              <w:t>21%</w:t>
            </w:r>
          </w:p>
        </w:tc>
        <w:tc>
          <w:tcPr>
            <w:tcW w:w="894" w:type="pct"/>
            <w:tcBorders>
              <w:bottom w:val="single" w:sz="4" w:space="0" w:color="auto"/>
            </w:tcBorders>
          </w:tcPr>
          <w:p w14:paraId="40960BF3" w14:textId="77777777" w:rsidR="0012400E" w:rsidRPr="008348C0" w:rsidRDefault="0012400E" w:rsidP="002F18EB">
            <w:pPr>
              <w:pStyle w:val="TableText0"/>
              <w:rPr>
                <w:szCs w:val="20"/>
              </w:rPr>
            </w:pPr>
            <w:r w:rsidRPr="008348C0">
              <w:rPr>
                <w:szCs w:val="20"/>
              </w:rPr>
              <w:t>Potentially favours crizotinib</w:t>
            </w:r>
          </w:p>
        </w:tc>
      </w:tr>
      <w:tr w:rsidR="0012400E" w:rsidRPr="008348C0" w14:paraId="6BB15C70" w14:textId="77777777" w:rsidTr="00B41A01">
        <w:tc>
          <w:tcPr>
            <w:tcW w:w="4106" w:type="pct"/>
            <w:gridSpan w:val="3"/>
            <w:tcBorders>
              <w:right w:val="nil"/>
            </w:tcBorders>
          </w:tcPr>
          <w:p w14:paraId="7B47BB39" w14:textId="77777777" w:rsidR="0012400E" w:rsidRPr="008348C0" w:rsidRDefault="0012400E" w:rsidP="002F18EB">
            <w:pPr>
              <w:pStyle w:val="TableText0"/>
              <w:rPr>
                <w:szCs w:val="20"/>
              </w:rPr>
            </w:pPr>
            <w:r w:rsidRPr="008348C0">
              <w:rPr>
                <w:szCs w:val="20"/>
              </w:rPr>
              <w:t>Confounding factors in relation to treatment</w:t>
            </w:r>
          </w:p>
        </w:tc>
        <w:tc>
          <w:tcPr>
            <w:tcW w:w="894" w:type="pct"/>
            <w:tcBorders>
              <w:left w:val="nil"/>
            </w:tcBorders>
          </w:tcPr>
          <w:p w14:paraId="09E6860D" w14:textId="77777777" w:rsidR="0012400E" w:rsidRPr="008348C0" w:rsidRDefault="0012400E" w:rsidP="002F18EB">
            <w:pPr>
              <w:pStyle w:val="TableText0"/>
              <w:rPr>
                <w:szCs w:val="20"/>
              </w:rPr>
            </w:pPr>
          </w:p>
        </w:tc>
      </w:tr>
      <w:tr w:rsidR="0012400E" w:rsidRPr="008348C0" w14:paraId="13F732EF" w14:textId="77777777" w:rsidTr="00B41A01">
        <w:tc>
          <w:tcPr>
            <w:tcW w:w="960" w:type="pct"/>
            <w:tcBorders>
              <w:bottom w:val="single" w:sz="4" w:space="0" w:color="auto"/>
            </w:tcBorders>
          </w:tcPr>
          <w:p w14:paraId="0E342BFA" w14:textId="77777777" w:rsidR="0012400E" w:rsidRPr="008348C0" w:rsidRDefault="0012400E" w:rsidP="002F18EB">
            <w:pPr>
              <w:pStyle w:val="TableText0"/>
              <w:rPr>
                <w:szCs w:val="20"/>
              </w:rPr>
            </w:pPr>
            <w:r w:rsidRPr="008348C0">
              <w:rPr>
                <w:szCs w:val="20"/>
              </w:rPr>
              <w:t>Dose</w:t>
            </w:r>
          </w:p>
        </w:tc>
        <w:tc>
          <w:tcPr>
            <w:tcW w:w="1249" w:type="pct"/>
            <w:tcBorders>
              <w:bottom w:val="single" w:sz="4" w:space="0" w:color="auto"/>
            </w:tcBorders>
          </w:tcPr>
          <w:p w14:paraId="0287CFE5" w14:textId="77777777" w:rsidR="0012400E" w:rsidRPr="008348C0" w:rsidRDefault="007077FF" w:rsidP="00D3580B">
            <w:pPr>
              <w:pStyle w:val="TableText0"/>
              <w:rPr>
                <w:szCs w:val="20"/>
              </w:rPr>
            </w:pPr>
            <w:r>
              <w:rPr>
                <w:noProof/>
                <w:color w:val="000000"/>
                <w:szCs w:val="20"/>
                <w:highlight w:val="black"/>
              </w:rPr>
              <w:t>'''''''</w:t>
            </w:r>
            <w:r w:rsidR="0012400E" w:rsidRPr="008348C0">
              <w:rPr>
                <w:szCs w:val="20"/>
              </w:rPr>
              <w:t>% of patients in the PAS received the appropriate dose of entrectinib.</w:t>
            </w:r>
            <w:r w:rsidR="00D3580B" w:rsidRPr="008348C0">
              <w:rPr>
                <w:szCs w:val="20"/>
                <w:vertAlign w:val="superscript"/>
              </w:rPr>
              <w:t>c</w:t>
            </w:r>
            <w:r w:rsidR="0012400E" w:rsidRPr="008348C0">
              <w:rPr>
                <w:szCs w:val="20"/>
              </w:rPr>
              <w:t xml:space="preserve"> </w:t>
            </w:r>
          </w:p>
        </w:tc>
        <w:tc>
          <w:tcPr>
            <w:tcW w:w="1897" w:type="pct"/>
            <w:tcBorders>
              <w:bottom w:val="single" w:sz="4" w:space="0" w:color="auto"/>
            </w:tcBorders>
          </w:tcPr>
          <w:p w14:paraId="2F3F2EE7" w14:textId="77777777" w:rsidR="0012400E" w:rsidRPr="008348C0" w:rsidRDefault="0012400E" w:rsidP="002F18EB">
            <w:pPr>
              <w:pStyle w:val="TableText0"/>
              <w:rPr>
                <w:szCs w:val="20"/>
              </w:rPr>
            </w:pPr>
            <w:r w:rsidRPr="008348C0">
              <w:rPr>
                <w:szCs w:val="20"/>
              </w:rPr>
              <w:t>All patients received the TGA-recommended dose of crizotinib.</w:t>
            </w:r>
          </w:p>
        </w:tc>
        <w:tc>
          <w:tcPr>
            <w:tcW w:w="894" w:type="pct"/>
            <w:tcBorders>
              <w:bottom w:val="single" w:sz="4" w:space="0" w:color="auto"/>
            </w:tcBorders>
          </w:tcPr>
          <w:p w14:paraId="25F71BEE" w14:textId="77777777" w:rsidR="0012400E" w:rsidRPr="008348C0" w:rsidRDefault="0012400E" w:rsidP="002F18EB">
            <w:pPr>
              <w:pStyle w:val="TableText0"/>
              <w:rPr>
                <w:szCs w:val="20"/>
              </w:rPr>
            </w:pPr>
            <w:r w:rsidRPr="008348C0">
              <w:rPr>
                <w:szCs w:val="20"/>
              </w:rPr>
              <w:t>Unclear</w:t>
            </w:r>
          </w:p>
        </w:tc>
      </w:tr>
    </w:tbl>
    <w:p w14:paraId="0D69BA84" w14:textId="77777777" w:rsidR="0012400E" w:rsidRPr="0026039D" w:rsidRDefault="0012400E" w:rsidP="0012400E">
      <w:pPr>
        <w:pStyle w:val="TableFigureFooter"/>
      </w:pPr>
      <w:r w:rsidRPr="0026039D">
        <w:t>Source: Table 2.3 pp44-47, Table 2.4 pp49-52, Tables 2.5-2.8 pp54-56, and Table 2.11 p58 of the submission; PROFILE 1001 Protocol; AcSé Protocol.</w:t>
      </w:r>
    </w:p>
    <w:p w14:paraId="2C251C91" w14:textId="77777777" w:rsidR="0012400E" w:rsidRPr="0026039D" w:rsidRDefault="0012400E" w:rsidP="0012400E">
      <w:pPr>
        <w:pStyle w:val="TableFigureFooter"/>
      </w:pPr>
      <w:r w:rsidRPr="0026039D">
        <w:t>ECOG PS = Eastern Cooperative Oncology Group performance status; NR = not reported; PAS = primary analysis set.</w:t>
      </w:r>
    </w:p>
    <w:p w14:paraId="26C5AC83" w14:textId="77777777" w:rsidR="0012400E" w:rsidRPr="0026039D" w:rsidRDefault="0012400E" w:rsidP="0012400E">
      <w:pPr>
        <w:pStyle w:val="TableFigureFooter"/>
      </w:pPr>
      <w:r w:rsidRPr="0026039D">
        <w:rPr>
          <w:vertAlign w:val="superscript"/>
        </w:rPr>
        <w:t xml:space="preserve">a </w:t>
      </w:r>
      <w:r w:rsidRPr="0026039D">
        <w:t>For the May 2014 data cut-off and October 2018 data cut-off, respectively.</w:t>
      </w:r>
    </w:p>
    <w:p w14:paraId="0877DC29" w14:textId="77777777" w:rsidR="00D3580B" w:rsidRPr="0026039D" w:rsidRDefault="0012400E" w:rsidP="0012400E">
      <w:pPr>
        <w:pStyle w:val="TableFigureFooter"/>
        <w:rPr>
          <w:iCs/>
        </w:rPr>
      </w:pPr>
      <w:r w:rsidRPr="0026039D">
        <w:rPr>
          <w:vertAlign w:val="superscript"/>
        </w:rPr>
        <w:t>b</w:t>
      </w:r>
      <w:r w:rsidRPr="0026039D">
        <w:t xml:space="preserve"> </w:t>
      </w:r>
      <w:r w:rsidR="00D3580B" w:rsidRPr="0026039D">
        <w:rPr>
          <w:iCs/>
        </w:rPr>
        <w:t>Asian ethnicity is a favourable prognostic factor in patients with NSCLC.</w:t>
      </w:r>
      <w:r w:rsidR="00B15D57" w:rsidRPr="0026039D">
        <w:rPr>
          <w:rStyle w:val="FootnoteReference"/>
          <w:iCs/>
        </w:rPr>
        <w:footnoteReference w:id="10"/>
      </w:r>
    </w:p>
    <w:p w14:paraId="7945B7B4" w14:textId="77777777" w:rsidR="0012400E" w:rsidRPr="0026039D" w:rsidRDefault="00D3580B" w:rsidP="0012400E">
      <w:pPr>
        <w:pStyle w:val="TableFigureFooter"/>
      </w:pPr>
      <w:r w:rsidRPr="0026039D">
        <w:rPr>
          <w:vertAlign w:val="superscript"/>
        </w:rPr>
        <w:t xml:space="preserve">c </w:t>
      </w:r>
      <w:r w:rsidR="007077FF">
        <w:rPr>
          <w:noProof/>
          <w:color w:val="000000"/>
          <w:highlight w:val="black"/>
        </w:rPr>
        <w:t>'''</w:t>
      </w:r>
      <w:r w:rsidR="0012400E" w:rsidRPr="0026039D">
        <w:t xml:space="preserve">% of patients received a lower dose intensity, and </w:t>
      </w:r>
      <w:r w:rsidR="007077FF">
        <w:rPr>
          <w:noProof/>
          <w:color w:val="000000"/>
          <w:highlight w:val="black"/>
        </w:rPr>
        <w:t>'''</w:t>
      </w:r>
      <w:r w:rsidR="0012400E" w:rsidRPr="0026039D">
        <w:t>% received a higher dose intensity, than the recommended dose in the proposed PI.</w:t>
      </w:r>
    </w:p>
    <w:p w14:paraId="02A5780B" w14:textId="77777777" w:rsidR="00B10F52" w:rsidRPr="00E54758" w:rsidRDefault="00B10F52" w:rsidP="00E54758">
      <w:pPr>
        <w:pStyle w:val="ListParagraph"/>
        <w:numPr>
          <w:ilvl w:val="1"/>
          <w:numId w:val="1"/>
        </w:numPr>
        <w:spacing w:after="160"/>
        <w:rPr>
          <w:snapToGrid/>
        </w:rPr>
      </w:pPr>
      <w:r w:rsidRPr="0026039D">
        <w:rPr>
          <w:snapToGrid/>
        </w:rPr>
        <w:t>In addition, there is considerable potential for confounding</w:t>
      </w:r>
      <w:r w:rsidR="009B6949" w:rsidRPr="0026039D">
        <w:rPr>
          <w:snapToGrid/>
        </w:rPr>
        <w:t xml:space="preserve"> in any naïve indirect comparison</w:t>
      </w:r>
      <w:r w:rsidRPr="0026039D">
        <w:rPr>
          <w:snapToGrid/>
        </w:rPr>
        <w:t xml:space="preserve"> due to both observed and unobserved factors, and such an approach </w:t>
      </w:r>
      <w:r w:rsidR="00835F46" w:rsidRPr="0026039D">
        <w:rPr>
          <w:snapToGrid/>
        </w:rPr>
        <w:t>cannot</w:t>
      </w:r>
      <w:r w:rsidRPr="0026039D">
        <w:rPr>
          <w:snapToGrid/>
        </w:rPr>
        <w:t xml:space="preserve"> use the event rate in a common reference arm to assess and adjust for any </w:t>
      </w:r>
      <w:r w:rsidRPr="0026039D">
        <w:rPr>
          <w:snapToGrid/>
        </w:rPr>
        <w:lastRenderedPageBreak/>
        <w:t>imbalances that may exist, based on the assumption of a constant relative effect across baseline risks.</w:t>
      </w:r>
    </w:p>
    <w:p w14:paraId="20FAF705" w14:textId="77777777" w:rsidR="00B10F52" w:rsidRPr="0026039D" w:rsidRDefault="00B10F52" w:rsidP="00B10F52">
      <w:pPr>
        <w:pStyle w:val="4-SubsectionHeading"/>
      </w:pPr>
      <w:bookmarkStart w:id="14" w:name="_Toc22897641"/>
      <w:bookmarkStart w:id="15" w:name="_Toc30597572"/>
      <w:r w:rsidRPr="0026039D">
        <w:t>Comparative effectiveness</w:t>
      </w:r>
      <w:bookmarkEnd w:id="14"/>
      <w:bookmarkEnd w:id="15"/>
    </w:p>
    <w:p w14:paraId="56E3370F" w14:textId="77777777" w:rsidR="00B10F52" w:rsidRPr="0026039D" w:rsidRDefault="00B10F52" w:rsidP="00315F69">
      <w:pPr>
        <w:pStyle w:val="ListParagraph"/>
        <w:numPr>
          <w:ilvl w:val="1"/>
          <w:numId w:val="1"/>
        </w:numPr>
        <w:spacing w:after="160"/>
      </w:pPr>
      <w:r w:rsidRPr="0026039D">
        <w:t xml:space="preserve">The </w:t>
      </w:r>
      <w:r w:rsidR="001774CB" w:rsidRPr="0026039D">
        <w:t>overall survival and progression free survival results</w:t>
      </w:r>
      <w:r w:rsidRPr="0026039D">
        <w:t xml:space="preserve"> in the </w:t>
      </w:r>
      <w:r w:rsidR="009162AF" w:rsidRPr="0026039D">
        <w:t>single arm</w:t>
      </w:r>
      <w:r w:rsidRPr="0026039D">
        <w:t xml:space="preserve"> studies of entrectinib and crizotinib are summarised below.</w:t>
      </w:r>
    </w:p>
    <w:p w14:paraId="65C42CCA" w14:textId="77777777" w:rsidR="001774CB" w:rsidRPr="0026039D" w:rsidRDefault="001774CB" w:rsidP="007603E7">
      <w:pPr>
        <w:pStyle w:val="TableFigureHeading"/>
        <w:keepLines/>
      </w:pPr>
      <w:r w:rsidRPr="0026039D">
        <w:t xml:space="preserve">Table </w:t>
      </w:r>
      <w:r w:rsidR="00871462" w:rsidRPr="0026039D">
        <w:t>6</w:t>
      </w:r>
      <w:r w:rsidRPr="0026039D">
        <w:t xml:space="preserve">: Overall survival and progression free survival outcomes in the </w:t>
      </w:r>
      <w:r w:rsidR="009162AF" w:rsidRPr="0026039D">
        <w:t>single arm</w:t>
      </w:r>
      <w:r w:rsidRPr="0026039D">
        <w:t xml:space="preserve"> studies</w:t>
      </w:r>
    </w:p>
    <w:tbl>
      <w:tblPr>
        <w:tblStyle w:val="TableGrid"/>
        <w:tblW w:w="5000" w:type="pct"/>
        <w:tblLook w:val="04A0" w:firstRow="1" w:lastRow="0" w:firstColumn="1" w:lastColumn="0" w:noHBand="0" w:noVBand="1"/>
        <w:tblCaption w:val="Table 6: Overall survival and progression free survival outcomes in the single arm studies"/>
        <w:tblDescription w:val="Table 6: Overall survival and progression free survival outcomes in the single arm studies"/>
      </w:tblPr>
      <w:tblGrid>
        <w:gridCol w:w="1765"/>
        <w:gridCol w:w="1195"/>
        <w:gridCol w:w="1196"/>
        <w:gridCol w:w="1196"/>
        <w:gridCol w:w="1196"/>
        <w:gridCol w:w="1196"/>
        <w:gridCol w:w="1273"/>
      </w:tblGrid>
      <w:tr w:rsidR="001774CB" w:rsidRPr="008348C0" w14:paraId="2F45BEDA" w14:textId="77777777" w:rsidTr="0041158C">
        <w:trPr>
          <w:tblHeader/>
        </w:trPr>
        <w:tc>
          <w:tcPr>
            <w:tcW w:w="979" w:type="pct"/>
            <w:tcBorders>
              <w:bottom w:val="nil"/>
            </w:tcBorders>
          </w:tcPr>
          <w:p w14:paraId="31F72244" w14:textId="77777777" w:rsidR="001774CB" w:rsidRPr="008348C0" w:rsidRDefault="001774CB" w:rsidP="007603E7">
            <w:pPr>
              <w:pStyle w:val="In-tableHeading"/>
              <w:keepLines/>
              <w:jc w:val="center"/>
              <w:rPr>
                <w:szCs w:val="20"/>
                <w:lang w:val="en-AU"/>
              </w:rPr>
            </w:pPr>
          </w:p>
        </w:tc>
        <w:tc>
          <w:tcPr>
            <w:tcW w:w="663" w:type="pct"/>
            <w:vAlign w:val="center"/>
          </w:tcPr>
          <w:p w14:paraId="70EA5F38" w14:textId="77777777" w:rsidR="001774CB" w:rsidRPr="008348C0" w:rsidRDefault="001774CB" w:rsidP="007603E7">
            <w:pPr>
              <w:pStyle w:val="In-tableHeading"/>
              <w:keepLines/>
              <w:jc w:val="center"/>
              <w:rPr>
                <w:szCs w:val="20"/>
                <w:lang w:val="en-AU"/>
              </w:rPr>
            </w:pPr>
            <w:r w:rsidRPr="008348C0">
              <w:rPr>
                <w:szCs w:val="20"/>
                <w:lang w:val="en-AU"/>
              </w:rPr>
              <w:t>Entrectinib</w:t>
            </w:r>
          </w:p>
        </w:tc>
        <w:tc>
          <w:tcPr>
            <w:tcW w:w="3359" w:type="pct"/>
            <w:gridSpan w:val="5"/>
            <w:vAlign w:val="center"/>
          </w:tcPr>
          <w:p w14:paraId="6A53E359" w14:textId="77777777" w:rsidR="001774CB" w:rsidRPr="008348C0" w:rsidRDefault="001774CB" w:rsidP="007603E7">
            <w:pPr>
              <w:pStyle w:val="In-tableHeading"/>
              <w:keepLines/>
              <w:jc w:val="center"/>
              <w:rPr>
                <w:szCs w:val="20"/>
                <w:lang w:val="en-AU"/>
              </w:rPr>
            </w:pPr>
            <w:r w:rsidRPr="008348C0">
              <w:rPr>
                <w:szCs w:val="20"/>
                <w:lang w:val="en-AU"/>
              </w:rPr>
              <w:t>Crizotinib</w:t>
            </w:r>
          </w:p>
        </w:tc>
      </w:tr>
      <w:tr w:rsidR="001774CB" w:rsidRPr="008348C0" w14:paraId="6A09D4D8" w14:textId="77777777" w:rsidTr="00B41A01">
        <w:tc>
          <w:tcPr>
            <w:tcW w:w="979" w:type="pct"/>
            <w:tcBorders>
              <w:top w:val="nil"/>
            </w:tcBorders>
          </w:tcPr>
          <w:p w14:paraId="21B76BCB" w14:textId="77777777" w:rsidR="001774CB" w:rsidRPr="008348C0" w:rsidRDefault="001774CB" w:rsidP="007603E7">
            <w:pPr>
              <w:pStyle w:val="In-tableHeading"/>
              <w:keepLines/>
              <w:jc w:val="center"/>
              <w:rPr>
                <w:szCs w:val="20"/>
                <w:lang w:val="en-AU"/>
              </w:rPr>
            </w:pPr>
          </w:p>
        </w:tc>
        <w:tc>
          <w:tcPr>
            <w:tcW w:w="663" w:type="pct"/>
            <w:vAlign w:val="center"/>
          </w:tcPr>
          <w:p w14:paraId="14AEFFE0" w14:textId="77777777" w:rsidR="001774CB" w:rsidRPr="008348C0" w:rsidRDefault="001774CB" w:rsidP="007603E7">
            <w:pPr>
              <w:pStyle w:val="In-tableHeading"/>
              <w:keepLines/>
              <w:jc w:val="center"/>
              <w:rPr>
                <w:szCs w:val="20"/>
                <w:vertAlign w:val="superscript"/>
                <w:lang w:val="en-AU"/>
              </w:rPr>
            </w:pPr>
            <w:r w:rsidRPr="008348C0">
              <w:rPr>
                <w:szCs w:val="20"/>
                <w:lang w:val="en-AU"/>
              </w:rPr>
              <w:t>PAS</w:t>
            </w:r>
          </w:p>
          <w:p w14:paraId="189ADF89" w14:textId="77777777" w:rsidR="001774CB" w:rsidRPr="008348C0" w:rsidRDefault="001774CB" w:rsidP="007603E7">
            <w:pPr>
              <w:pStyle w:val="In-tableHeading"/>
              <w:keepLines/>
              <w:jc w:val="center"/>
              <w:rPr>
                <w:szCs w:val="20"/>
                <w:vertAlign w:val="superscript"/>
                <w:lang w:val="en-AU"/>
              </w:rPr>
            </w:pPr>
            <w:r w:rsidRPr="008348C0">
              <w:rPr>
                <w:szCs w:val="20"/>
                <w:lang w:val="en-AU"/>
              </w:rPr>
              <w:t>N=53</w:t>
            </w:r>
            <w:r w:rsidR="00492109" w:rsidRPr="008348C0">
              <w:rPr>
                <w:szCs w:val="20"/>
                <w:vertAlign w:val="superscript"/>
                <w:lang w:val="en-AU"/>
              </w:rPr>
              <w:t>a</w:t>
            </w:r>
          </w:p>
        </w:tc>
        <w:tc>
          <w:tcPr>
            <w:tcW w:w="663" w:type="pct"/>
            <w:vAlign w:val="center"/>
          </w:tcPr>
          <w:p w14:paraId="087E563A" w14:textId="77777777" w:rsidR="001774CB" w:rsidRPr="008348C0" w:rsidRDefault="001774CB" w:rsidP="007603E7">
            <w:pPr>
              <w:pStyle w:val="In-tableHeading"/>
              <w:keepLines/>
              <w:jc w:val="center"/>
              <w:rPr>
                <w:szCs w:val="20"/>
                <w:vertAlign w:val="superscript"/>
                <w:lang w:val="en-AU"/>
              </w:rPr>
            </w:pPr>
            <w:r w:rsidRPr="008348C0">
              <w:rPr>
                <w:szCs w:val="20"/>
                <w:lang w:val="en-AU"/>
              </w:rPr>
              <w:t>PROFILE 1001</w:t>
            </w:r>
          </w:p>
          <w:p w14:paraId="71BE9F2C" w14:textId="77777777" w:rsidR="001774CB" w:rsidRPr="008348C0" w:rsidRDefault="001774CB" w:rsidP="007603E7">
            <w:pPr>
              <w:pStyle w:val="In-tableHeading"/>
              <w:keepLines/>
              <w:jc w:val="center"/>
              <w:rPr>
                <w:szCs w:val="20"/>
                <w:vertAlign w:val="superscript"/>
                <w:lang w:val="en-AU"/>
              </w:rPr>
            </w:pPr>
            <w:r w:rsidRPr="008348C0">
              <w:rPr>
                <w:szCs w:val="20"/>
                <w:lang w:val="en-AU"/>
              </w:rPr>
              <w:t>N=53</w:t>
            </w:r>
            <w:r w:rsidR="00492109" w:rsidRPr="008348C0">
              <w:rPr>
                <w:szCs w:val="20"/>
                <w:vertAlign w:val="superscript"/>
                <w:lang w:val="en-AU"/>
              </w:rPr>
              <w:t>b</w:t>
            </w:r>
          </w:p>
        </w:tc>
        <w:tc>
          <w:tcPr>
            <w:tcW w:w="663" w:type="pct"/>
            <w:vAlign w:val="center"/>
          </w:tcPr>
          <w:p w14:paraId="38ED4C5A" w14:textId="77777777" w:rsidR="001774CB" w:rsidRPr="008348C0" w:rsidRDefault="001774CB" w:rsidP="007603E7">
            <w:pPr>
              <w:pStyle w:val="In-tableHeading"/>
              <w:keepLines/>
              <w:jc w:val="center"/>
              <w:rPr>
                <w:szCs w:val="20"/>
                <w:lang w:val="en-AU"/>
              </w:rPr>
            </w:pPr>
            <w:r w:rsidRPr="008348C0">
              <w:rPr>
                <w:szCs w:val="20"/>
                <w:lang w:val="en-AU"/>
              </w:rPr>
              <w:t>Wu 2018</w:t>
            </w:r>
          </w:p>
          <w:p w14:paraId="0296EBCB" w14:textId="77777777" w:rsidR="001774CB" w:rsidRPr="008348C0" w:rsidRDefault="001774CB" w:rsidP="007603E7">
            <w:pPr>
              <w:pStyle w:val="In-tableHeading"/>
              <w:keepLines/>
              <w:jc w:val="center"/>
              <w:rPr>
                <w:szCs w:val="20"/>
                <w:lang w:val="en-AU"/>
              </w:rPr>
            </w:pPr>
            <w:r w:rsidRPr="008348C0">
              <w:rPr>
                <w:szCs w:val="20"/>
                <w:lang w:val="en-AU"/>
              </w:rPr>
              <w:t>N=127</w:t>
            </w:r>
          </w:p>
        </w:tc>
        <w:tc>
          <w:tcPr>
            <w:tcW w:w="663" w:type="pct"/>
            <w:vAlign w:val="center"/>
          </w:tcPr>
          <w:p w14:paraId="72E08F14" w14:textId="77777777" w:rsidR="001774CB" w:rsidRPr="008348C0" w:rsidRDefault="001774CB" w:rsidP="007603E7">
            <w:pPr>
              <w:pStyle w:val="In-tableHeading"/>
              <w:keepLines/>
              <w:jc w:val="center"/>
              <w:rPr>
                <w:szCs w:val="20"/>
                <w:lang w:val="en-AU"/>
              </w:rPr>
            </w:pPr>
            <w:r w:rsidRPr="008348C0">
              <w:rPr>
                <w:szCs w:val="20"/>
                <w:lang w:val="en-AU"/>
              </w:rPr>
              <w:t>EUCROSS</w:t>
            </w:r>
          </w:p>
          <w:p w14:paraId="2BDDE549" w14:textId="77777777" w:rsidR="001774CB" w:rsidRPr="008348C0" w:rsidRDefault="001774CB" w:rsidP="007603E7">
            <w:pPr>
              <w:pStyle w:val="In-tableHeading"/>
              <w:keepLines/>
              <w:jc w:val="center"/>
              <w:rPr>
                <w:szCs w:val="20"/>
                <w:vertAlign w:val="superscript"/>
                <w:lang w:val="en-AU"/>
              </w:rPr>
            </w:pPr>
            <w:r w:rsidRPr="008348C0">
              <w:rPr>
                <w:szCs w:val="20"/>
                <w:lang w:val="en-AU"/>
              </w:rPr>
              <w:t>N=30</w:t>
            </w:r>
            <w:r w:rsidR="00AB1C23" w:rsidRPr="008348C0">
              <w:rPr>
                <w:szCs w:val="20"/>
                <w:vertAlign w:val="superscript"/>
                <w:lang w:val="en-AU"/>
              </w:rPr>
              <w:t>c</w:t>
            </w:r>
          </w:p>
        </w:tc>
        <w:tc>
          <w:tcPr>
            <w:tcW w:w="663" w:type="pct"/>
            <w:vAlign w:val="center"/>
          </w:tcPr>
          <w:p w14:paraId="7AB1E507" w14:textId="77777777" w:rsidR="001774CB" w:rsidRPr="008348C0" w:rsidRDefault="001774CB" w:rsidP="007603E7">
            <w:pPr>
              <w:pStyle w:val="In-tableHeading"/>
              <w:keepLines/>
              <w:jc w:val="center"/>
              <w:rPr>
                <w:szCs w:val="20"/>
                <w:lang w:val="en-AU"/>
              </w:rPr>
            </w:pPr>
            <w:r w:rsidRPr="008348C0">
              <w:rPr>
                <w:szCs w:val="20"/>
                <w:lang w:val="en-AU"/>
              </w:rPr>
              <w:t>METROS</w:t>
            </w:r>
          </w:p>
          <w:p w14:paraId="15AC30A3" w14:textId="77777777" w:rsidR="001774CB" w:rsidRPr="008348C0" w:rsidRDefault="001774CB" w:rsidP="007603E7">
            <w:pPr>
              <w:pStyle w:val="In-tableHeading"/>
              <w:keepLines/>
              <w:jc w:val="center"/>
              <w:rPr>
                <w:szCs w:val="20"/>
                <w:lang w:val="en-AU"/>
              </w:rPr>
            </w:pPr>
            <w:r w:rsidRPr="008348C0">
              <w:rPr>
                <w:szCs w:val="20"/>
                <w:lang w:val="en-AU"/>
              </w:rPr>
              <w:t>N=2</w:t>
            </w:r>
            <w:r w:rsidR="00B87564" w:rsidRPr="008348C0">
              <w:rPr>
                <w:szCs w:val="20"/>
                <w:lang w:val="en-AU"/>
              </w:rPr>
              <w:t>6</w:t>
            </w:r>
          </w:p>
        </w:tc>
        <w:tc>
          <w:tcPr>
            <w:tcW w:w="706" w:type="pct"/>
            <w:vAlign w:val="center"/>
          </w:tcPr>
          <w:p w14:paraId="09D290B2" w14:textId="77777777" w:rsidR="001774CB" w:rsidRPr="008348C0" w:rsidRDefault="001774CB" w:rsidP="007603E7">
            <w:pPr>
              <w:pStyle w:val="In-tableHeading"/>
              <w:keepLines/>
              <w:jc w:val="center"/>
              <w:rPr>
                <w:szCs w:val="20"/>
                <w:lang w:val="en-AU"/>
              </w:rPr>
            </w:pPr>
            <w:r w:rsidRPr="008348C0">
              <w:rPr>
                <w:szCs w:val="20"/>
                <w:lang w:val="en-AU"/>
              </w:rPr>
              <w:t>AcSé</w:t>
            </w:r>
          </w:p>
          <w:p w14:paraId="6E05A7F8" w14:textId="77777777" w:rsidR="001774CB" w:rsidRPr="008348C0" w:rsidRDefault="001774CB" w:rsidP="007603E7">
            <w:pPr>
              <w:pStyle w:val="In-tableHeading"/>
              <w:keepLines/>
              <w:jc w:val="center"/>
              <w:rPr>
                <w:szCs w:val="20"/>
                <w:lang w:val="en-AU"/>
              </w:rPr>
            </w:pPr>
            <w:r w:rsidRPr="008348C0">
              <w:rPr>
                <w:szCs w:val="20"/>
                <w:lang w:val="en-AU"/>
              </w:rPr>
              <w:t>N=36</w:t>
            </w:r>
          </w:p>
        </w:tc>
      </w:tr>
      <w:tr w:rsidR="001774CB" w:rsidRPr="008348C0" w14:paraId="6CC6BD3F" w14:textId="77777777" w:rsidTr="00B41A01">
        <w:tc>
          <w:tcPr>
            <w:tcW w:w="979" w:type="pct"/>
            <w:tcBorders>
              <w:bottom w:val="single" w:sz="4" w:space="0" w:color="auto"/>
            </w:tcBorders>
          </w:tcPr>
          <w:p w14:paraId="16375723" w14:textId="77777777" w:rsidR="001774CB" w:rsidRPr="008348C0" w:rsidRDefault="001774CB" w:rsidP="007603E7">
            <w:pPr>
              <w:pStyle w:val="TableText0"/>
              <w:keepLines/>
              <w:rPr>
                <w:szCs w:val="20"/>
              </w:rPr>
            </w:pPr>
            <w:r w:rsidRPr="008348C0">
              <w:rPr>
                <w:szCs w:val="20"/>
              </w:rPr>
              <w:t>Median FU (months)</w:t>
            </w:r>
          </w:p>
        </w:tc>
        <w:tc>
          <w:tcPr>
            <w:tcW w:w="663" w:type="pct"/>
            <w:tcBorders>
              <w:bottom w:val="single" w:sz="4" w:space="0" w:color="auto"/>
            </w:tcBorders>
            <w:vAlign w:val="center"/>
          </w:tcPr>
          <w:p w14:paraId="64168612" w14:textId="77777777" w:rsidR="001774CB" w:rsidRPr="008348C0" w:rsidRDefault="001774CB" w:rsidP="007603E7">
            <w:pPr>
              <w:pStyle w:val="TableText0"/>
              <w:keepLines/>
              <w:jc w:val="center"/>
              <w:rPr>
                <w:szCs w:val="20"/>
                <w:vertAlign w:val="superscript"/>
              </w:rPr>
            </w:pPr>
            <w:r w:rsidRPr="008348C0">
              <w:rPr>
                <w:szCs w:val="20"/>
              </w:rPr>
              <w:t>20.6</w:t>
            </w:r>
          </w:p>
        </w:tc>
        <w:tc>
          <w:tcPr>
            <w:tcW w:w="663" w:type="pct"/>
            <w:tcBorders>
              <w:bottom w:val="single" w:sz="4" w:space="0" w:color="auto"/>
            </w:tcBorders>
            <w:vAlign w:val="center"/>
          </w:tcPr>
          <w:p w14:paraId="4F224EC2" w14:textId="77777777" w:rsidR="001774CB" w:rsidRPr="008348C0" w:rsidRDefault="001774CB" w:rsidP="007603E7">
            <w:pPr>
              <w:pStyle w:val="TableText0"/>
              <w:keepLines/>
              <w:jc w:val="center"/>
              <w:rPr>
                <w:szCs w:val="20"/>
                <w:vertAlign w:val="superscript"/>
              </w:rPr>
            </w:pPr>
            <w:r w:rsidRPr="008348C0">
              <w:rPr>
                <w:szCs w:val="20"/>
              </w:rPr>
              <w:t>62.6</w:t>
            </w:r>
          </w:p>
        </w:tc>
        <w:tc>
          <w:tcPr>
            <w:tcW w:w="663" w:type="pct"/>
            <w:tcBorders>
              <w:bottom w:val="single" w:sz="4" w:space="0" w:color="auto"/>
            </w:tcBorders>
            <w:vAlign w:val="center"/>
          </w:tcPr>
          <w:p w14:paraId="723449BB" w14:textId="77777777" w:rsidR="001774CB" w:rsidRPr="008348C0" w:rsidRDefault="001774CB" w:rsidP="007603E7">
            <w:pPr>
              <w:pStyle w:val="TableText0"/>
              <w:keepLines/>
              <w:jc w:val="center"/>
              <w:rPr>
                <w:szCs w:val="20"/>
              </w:rPr>
            </w:pPr>
            <w:r w:rsidRPr="008348C0">
              <w:rPr>
                <w:szCs w:val="20"/>
              </w:rPr>
              <w:t>21.4</w:t>
            </w:r>
          </w:p>
        </w:tc>
        <w:tc>
          <w:tcPr>
            <w:tcW w:w="663" w:type="pct"/>
            <w:tcBorders>
              <w:bottom w:val="single" w:sz="4" w:space="0" w:color="auto"/>
            </w:tcBorders>
            <w:vAlign w:val="center"/>
          </w:tcPr>
          <w:p w14:paraId="5AFD824B" w14:textId="77777777" w:rsidR="001774CB" w:rsidRPr="008348C0" w:rsidRDefault="001774CB" w:rsidP="007603E7">
            <w:pPr>
              <w:pStyle w:val="TableText0"/>
              <w:keepLines/>
              <w:jc w:val="center"/>
              <w:rPr>
                <w:szCs w:val="20"/>
              </w:rPr>
            </w:pPr>
            <w:r w:rsidRPr="008348C0">
              <w:rPr>
                <w:szCs w:val="20"/>
              </w:rPr>
              <w:t>20.6</w:t>
            </w:r>
          </w:p>
        </w:tc>
        <w:tc>
          <w:tcPr>
            <w:tcW w:w="663" w:type="pct"/>
            <w:tcBorders>
              <w:bottom w:val="single" w:sz="4" w:space="0" w:color="auto"/>
            </w:tcBorders>
            <w:vAlign w:val="center"/>
          </w:tcPr>
          <w:p w14:paraId="4A7C5EB9" w14:textId="77777777" w:rsidR="001774CB" w:rsidRPr="008348C0" w:rsidRDefault="001774CB" w:rsidP="007603E7">
            <w:pPr>
              <w:pStyle w:val="TableText0"/>
              <w:keepLines/>
              <w:jc w:val="center"/>
              <w:rPr>
                <w:szCs w:val="20"/>
              </w:rPr>
            </w:pPr>
            <w:r w:rsidRPr="008348C0">
              <w:rPr>
                <w:szCs w:val="20"/>
              </w:rPr>
              <w:t>21.0</w:t>
            </w:r>
          </w:p>
        </w:tc>
        <w:tc>
          <w:tcPr>
            <w:tcW w:w="706" w:type="pct"/>
            <w:tcBorders>
              <w:bottom w:val="single" w:sz="4" w:space="0" w:color="auto"/>
            </w:tcBorders>
            <w:vAlign w:val="center"/>
          </w:tcPr>
          <w:p w14:paraId="204AB321" w14:textId="77777777" w:rsidR="001774CB" w:rsidRPr="008348C0" w:rsidRDefault="001774CB" w:rsidP="007603E7">
            <w:pPr>
              <w:pStyle w:val="TableText0"/>
              <w:keepLines/>
              <w:jc w:val="center"/>
              <w:rPr>
                <w:szCs w:val="20"/>
              </w:rPr>
            </w:pPr>
            <w:r w:rsidRPr="008348C0">
              <w:rPr>
                <w:szCs w:val="20"/>
              </w:rPr>
              <w:t>NR</w:t>
            </w:r>
          </w:p>
        </w:tc>
      </w:tr>
      <w:tr w:rsidR="001774CB" w:rsidRPr="008348C0" w14:paraId="1E53364A" w14:textId="77777777" w:rsidTr="00B41A01">
        <w:tc>
          <w:tcPr>
            <w:tcW w:w="979" w:type="pct"/>
            <w:tcBorders>
              <w:right w:val="nil"/>
            </w:tcBorders>
          </w:tcPr>
          <w:p w14:paraId="1F5705F0" w14:textId="77777777" w:rsidR="001774CB" w:rsidRPr="008348C0" w:rsidRDefault="001774CB" w:rsidP="007603E7">
            <w:pPr>
              <w:pStyle w:val="TableText0"/>
              <w:keepLines/>
              <w:rPr>
                <w:b/>
                <w:szCs w:val="20"/>
              </w:rPr>
            </w:pPr>
            <w:r w:rsidRPr="008348C0">
              <w:rPr>
                <w:b/>
                <w:szCs w:val="20"/>
              </w:rPr>
              <w:t>Overall survival</w:t>
            </w:r>
          </w:p>
        </w:tc>
        <w:tc>
          <w:tcPr>
            <w:tcW w:w="663" w:type="pct"/>
            <w:tcBorders>
              <w:left w:val="nil"/>
              <w:right w:val="nil"/>
            </w:tcBorders>
            <w:vAlign w:val="center"/>
          </w:tcPr>
          <w:p w14:paraId="688B78F7" w14:textId="77777777" w:rsidR="001774CB" w:rsidRPr="008348C0" w:rsidRDefault="001774CB" w:rsidP="007603E7">
            <w:pPr>
              <w:pStyle w:val="TableText0"/>
              <w:keepLines/>
              <w:jc w:val="center"/>
              <w:rPr>
                <w:szCs w:val="20"/>
              </w:rPr>
            </w:pPr>
          </w:p>
        </w:tc>
        <w:tc>
          <w:tcPr>
            <w:tcW w:w="663" w:type="pct"/>
            <w:tcBorders>
              <w:left w:val="nil"/>
              <w:right w:val="nil"/>
            </w:tcBorders>
            <w:vAlign w:val="center"/>
          </w:tcPr>
          <w:p w14:paraId="49AC7F16" w14:textId="77777777" w:rsidR="001774CB" w:rsidRPr="008348C0" w:rsidRDefault="001774CB" w:rsidP="007603E7">
            <w:pPr>
              <w:pStyle w:val="TableText0"/>
              <w:keepLines/>
              <w:jc w:val="center"/>
              <w:rPr>
                <w:szCs w:val="20"/>
              </w:rPr>
            </w:pPr>
          </w:p>
        </w:tc>
        <w:tc>
          <w:tcPr>
            <w:tcW w:w="663" w:type="pct"/>
            <w:tcBorders>
              <w:left w:val="nil"/>
              <w:right w:val="nil"/>
            </w:tcBorders>
            <w:vAlign w:val="center"/>
          </w:tcPr>
          <w:p w14:paraId="79944349" w14:textId="77777777" w:rsidR="001774CB" w:rsidRPr="008348C0" w:rsidRDefault="001774CB" w:rsidP="007603E7">
            <w:pPr>
              <w:pStyle w:val="TableText0"/>
              <w:keepLines/>
              <w:jc w:val="center"/>
              <w:rPr>
                <w:szCs w:val="20"/>
              </w:rPr>
            </w:pPr>
          </w:p>
        </w:tc>
        <w:tc>
          <w:tcPr>
            <w:tcW w:w="663" w:type="pct"/>
            <w:tcBorders>
              <w:left w:val="nil"/>
              <w:right w:val="nil"/>
            </w:tcBorders>
            <w:vAlign w:val="center"/>
          </w:tcPr>
          <w:p w14:paraId="47E62E9F" w14:textId="77777777" w:rsidR="001774CB" w:rsidRPr="008348C0" w:rsidRDefault="001774CB" w:rsidP="007603E7">
            <w:pPr>
              <w:pStyle w:val="TableText0"/>
              <w:keepLines/>
              <w:jc w:val="center"/>
              <w:rPr>
                <w:szCs w:val="20"/>
              </w:rPr>
            </w:pPr>
          </w:p>
        </w:tc>
        <w:tc>
          <w:tcPr>
            <w:tcW w:w="663" w:type="pct"/>
            <w:tcBorders>
              <w:left w:val="nil"/>
              <w:right w:val="nil"/>
            </w:tcBorders>
            <w:vAlign w:val="center"/>
          </w:tcPr>
          <w:p w14:paraId="64976133" w14:textId="77777777" w:rsidR="001774CB" w:rsidRPr="008348C0" w:rsidRDefault="001774CB" w:rsidP="007603E7">
            <w:pPr>
              <w:pStyle w:val="TableText0"/>
              <w:keepLines/>
              <w:jc w:val="center"/>
              <w:rPr>
                <w:szCs w:val="20"/>
              </w:rPr>
            </w:pPr>
          </w:p>
        </w:tc>
        <w:tc>
          <w:tcPr>
            <w:tcW w:w="706" w:type="pct"/>
            <w:tcBorders>
              <w:left w:val="nil"/>
            </w:tcBorders>
            <w:vAlign w:val="center"/>
          </w:tcPr>
          <w:p w14:paraId="1E78E0C2" w14:textId="77777777" w:rsidR="001774CB" w:rsidRPr="008348C0" w:rsidRDefault="001774CB" w:rsidP="007603E7">
            <w:pPr>
              <w:pStyle w:val="TableText0"/>
              <w:keepLines/>
              <w:jc w:val="center"/>
              <w:rPr>
                <w:szCs w:val="20"/>
              </w:rPr>
            </w:pPr>
          </w:p>
        </w:tc>
      </w:tr>
      <w:tr w:rsidR="001774CB" w:rsidRPr="008348C0" w14:paraId="6DB175B5" w14:textId="77777777" w:rsidTr="00B41A01">
        <w:tc>
          <w:tcPr>
            <w:tcW w:w="979" w:type="pct"/>
          </w:tcPr>
          <w:p w14:paraId="7956771E" w14:textId="77777777" w:rsidR="001774CB" w:rsidRPr="008348C0" w:rsidRDefault="001774CB" w:rsidP="007603E7">
            <w:pPr>
              <w:pStyle w:val="TableText0"/>
              <w:keepLines/>
              <w:ind w:left="164" w:hanging="164"/>
              <w:rPr>
                <w:szCs w:val="20"/>
              </w:rPr>
            </w:pPr>
            <w:r w:rsidRPr="008348C0">
              <w:rPr>
                <w:szCs w:val="20"/>
              </w:rPr>
              <w:t>Patients with event, n (%)</w:t>
            </w:r>
          </w:p>
        </w:tc>
        <w:tc>
          <w:tcPr>
            <w:tcW w:w="663" w:type="pct"/>
            <w:vAlign w:val="center"/>
          </w:tcPr>
          <w:p w14:paraId="0524A99F" w14:textId="77777777" w:rsidR="001774CB" w:rsidRPr="008348C0" w:rsidRDefault="007077FF" w:rsidP="007603E7">
            <w:pPr>
              <w:pStyle w:val="TableText0"/>
              <w:keepLines/>
              <w:jc w:val="center"/>
              <w:rPr>
                <w:szCs w:val="20"/>
              </w:rPr>
            </w:pPr>
            <w:r>
              <w:rPr>
                <w:noProof/>
                <w:color w:val="000000"/>
                <w:szCs w:val="20"/>
                <w:highlight w:val="black"/>
              </w:rPr>
              <w:t>'''''</w:t>
            </w:r>
            <w:r w:rsidR="001774CB" w:rsidRPr="008348C0">
              <w:rPr>
                <w:szCs w:val="20"/>
              </w:rPr>
              <w:t xml:space="preserve"> (</w:t>
            </w:r>
            <w:r>
              <w:rPr>
                <w:noProof/>
                <w:color w:val="000000"/>
                <w:szCs w:val="20"/>
                <w:highlight w:val="black"/>
              </w:rPr>
              <w:t>''''''</w:t>
            </w:r>
            <w:r w:rsidR="001774CB" w:rsidRPr="008348C0">
              <w:rPr>
                <w:szCs w:val="20"/>
              </w:rPr>
              <w:t>%)</w:t>
            </w:r>
          </w:p>
        </w:tc>
        <w:tc>
          <w:tcPr>
            <w:tcW w:w="663" w:type="pct"/>
            <w:vAlign w:val="center"/>
          </w:tcPr>
          <w:p w14:paraId="6A8BE5A4" w14:textId="77777777" w:rsidR="001774CB" w:rsidRPr="008348C0" w:rsidRDefault="001774CB" w:rsidP="007603E7">
            <w:pPr>
              <w:pStyle w:val="TableText0"/>
              <w:keepLines/>
              <w:jc w:val="center"/>
              <w:rPr>
                <w:szCs w:val="20"/>
              </w:rPr>
            </w:pPr>
            <w:r w:rsidRPr="008348C0">
              <w:rPr>
                <w:szCs w:val="20"/>
              </w:rPr>
              <w:t>26 (49%)</w:t>
            </w:r>
          </w:p>
        </w:tc>
        <w:tc>
          <w:tcPr>
            <w:tcW w:w="663" w:type="pct"/>
            <w:vAlign w:val="center"/>
          </w:tcPr>
          <w:p w14:paraId="13F5BD37" w14:textId="77777777" w:rsidR="001774CB" w:rsidRPr="008348C0" w:rsidRDefault="001774CB" w:rsidP="007603E7">
            <w:pPr>
              <w:pStyle w:val="TableText0"/>
              <w:keepLines/>
              <w:jc w:val="center"/>
              <w:rPr>
                <w:szCs w:val="20"/>
              </w:rPr>
            </w:pPr>
            <w:r w:rsidRPr="008348C0">
              <w:rPr>
                <w:szCs w:val="20"/>
              </w:rPr>
              <w:t>NR</w:t>
            </w:r>
          </w:p>
        </w:tc>
        <w:tc>
          <w:tcPr>
            <w:tcW w:w="663" w:type="pct"/>
            <w:vAlign w:val="center"/>
          </w:tcPr>
          <w:p w14:paraId="5568AB64" w14:textId="77777777" w:rsidR="001774CB" w:rsidRPr="008348C0" w:rsidRDefault="001774CB" w:rsidP="007603E7">
            <w:pPr>
              <w:pStyle w:val="TableText0"/>
              <w:keepLines/>
              <w:jc w:val="center"/>
              <w:rPr>
                <w:szCs w:val="20"/>
              </w:rPr>
            </w:pPr>
            <w:r w:rsidRPr="008348C0">
              <w:rPr>
                <w:szCs w:val="20"/>
              </w:rPr>
              <w:t>NR</w:t>
            </w:r>
          </w:p>
        </w:tc>
        <w:tc>
          <w:tcPr>
            <w:tcW w:w="663" w:type="pct"/>
            <w:vAlign w:val="center"/>
          </w:tcPr>
          <w:p w14:paraId="2B83EEF3" w14:textId="77777777" w:rsidR="001774CB" w:rsidRPr="008348C0" w:rsidRDefault="001774CB" w:rsidP="007603E7">
            <w:pPr>
              <w:pStyle w:val="TableText0"/>
              <w:keepLines/>
              <w:jc w:val="center"/>
              <w:rPr>
                <w:szCs w:val="20"/>
              </w:rPr>
            </w:pPr>
            <w:r w:rsidRPr="008348C0">
              <w:rPr>
                <w:szCs w:val="20"/>
              </w:rPr>
              <w:t>10 (39%)</w:t>
            </w:r>
          </w:p>
        </w:tc>
        <w:tc>
          <w:tcPr>
            <w:tcW w:w="706" w:type="pct"/>
            <w:vAlign w:val="center"/>
          </w:tcPr>
          <w:p w14:paraId="7F72AF06" w14:textId="77777777" w:rsidR="001774CB" w:rsidRPr="008348C0" w:rsidRDefault="001774CB" w:rsidP="007603E7">
            <w:pPr>
              <w:pStyle w:val="TableText0"/>
              <w:keepLines/>
              <w:jc w:val="center"/>
              <w:rPr>
                <w:szCs w:val="20"/>
              </w:rPr>
            </w:pPr>
            <w:r w:rsidRPr="008348C0">
              <w:rPr>
                <w:szCs w:val="20"/>
              </w:rPr>
              <w:t>26 (72%)</w:t>
            </w:r>
            <w:r w:rsidR="00AB1C23" w:rsidRPr="008348C0">
              <w:rPr>
                <w:szCs w:val="20"/>
                <w:vertAlign w:val="superscript"/>
              </w:rPr>
              <w:t>d</w:t>
            </w:r>
          </w:p>
        </w:tc>
      </w:tr>
      <w:tr w:rsidR="001774CB" w:rsidRPr="008348C0" w14:paraId="2D8BDB8D" w14:textId="77777777" w:rsidTr="00B41A01">
        <w:tc>
          <w:tcPr>
            <w:tcW w:w="979" w:type="pct"/>
          </w:tcPr>
          <w:p w14:paraId="4BFD9CC3" w14:textId="77777777" w:rsidR="001774CB" w:rsidRPr="008348C0" w:rsidRDefault="001774CB" w:rsidP="007603E7">
            <w:pPr>
              <w:pStyle w:val="TableText0"/>
              <w:keepLines/>
              <w:ind w:left="164" w:hanging="164"/>
              <w:rPr>
                <w:szCs w:val="20"/>
              </w:rPr>
            </w:pPr>
            <w:r w:rsidRPr="008348C0">
              <w:rPr>
                <w:szCs w:val="20"/>
              </w:rPr>
              <w:t>Median OS, months (95% CI)</w:t>
            </w:r>
          </w:p>
        </w:tc>
        <w:tc>
          <w:tcPr>
            <w:tcW w:w="663" w:type="pct"/>
            <w:vAlign w:val="center"/>
          </w:tcPr>
          <w:p w14:paraId="5B73AFFE" w14:textId="77777777" w:rsidR="001774CB" w:rsidRPr="008348C0" w:rsidRDefault="001774CB" w:rsidP="007603E7">
            <w:pPr>
              <w:pStyle w:val="TableText0"/>
              <w:keepLines/>
              <w:jc w:val="center"/>
              <w:rPr>
                <w:szCs w:val="20"/>
              </w:rPr>
            </w:pPr>
            <w:r w:rsidRPr="008348C0">
              <w:rPr>
                <w:szCs w:val="20"/>
              </w:rPr>
              <w:t>NE</w:t>
            </w:r>
          </w:p>
          <w:p w14:paraId="0033843C" w14:textId="77777777" w:rsidR="001774CB" w:rsidRPr="008348C0" w:rsidRDefault="001774CB" w:rsidP="007603E7">
            <w:pPr>
              <w:pStyle w:val="TableText0"/>
              <w:keepLines/>
              <w:jc w:val="center"/>
              <w:rPr>
                <w:szCs w:val="20"/>
              </w:rPr>
            </w:pPr>
            <w:r w:rsidRPr="008348C0">
              <w:rPr>
                <w:szCs w:val="20"/>
              </w:rPr>
              <w:t>(</w:t>
            </w:r>
            <w:r w:rsidR="007077FF">
              <w:rPr>
                <w:noProof/>
                <w:color w:val="000000"/>
                <w:szCs w:val="20"/>
                <w:highlight w:val="black"/>
              </w:rPr>
              <w:t>'''''''''''</w:t>
            </w:r>
            <w:r w:rsidRPr="008348C0">
              <w:rPr>
                <w:szCs w:val="20"/>
              </w:rPr>
              <w:t>, NE)</w:t>
            </w:r>
          </w:p>
        </w:tc>
        <w:tc>
          <w:tcPr>
            <w:tcW w:w="663" w:type="pct"/>
            <w:vAlign w:val="center"/>
          </w:tcPr>
          <w:p w14:paraId="5364A6EC" w14:textId="77777777" w:rsidR="001774CB" w:rsidRPr="008348C0" w:rsidRDefault="001774CB" w:rsidP="007603E7">
            <w:pPr>
              <w:pStyle w:val="TableText0"/>
              <w:keepLines/>
              <w:jc w:val="center"/>
              <w:rPr>
                <w:szCs w:val="20"/>
              </w:rPr>
            </w:pPr>
            <w:r w:rsidRPr="008348C0">
              <w:rPr>
                <w:szCs w:val="20"/>
              </w:rPr>
              <w:t>51.5</w:t>
            </w:r>
          </w:p>
          <w:p w14:paraId="57647D42" w14:textId="77777777" w:rsidR="001774CB" w:rsidRPr="008348C0" w:rsidRDefault="001774CB" w:rsidP="007603E7">
            <w:pPr>
              <w:pStyle w:val="TableText0"/>
              <w:keepLines/>
              <w:jc w:val="center"/>
              <w:rPr>
                <w:szCs w:val="20"/>
              </w:rPr>
            </w:pPr>
            <w:r w:rsidRPr="008348C0">
              <w:rPr>
                <w:szCs w:val="20"/>
              </w:rPr>
              <w:t>(29.3, NE)</w:t>
            </w:r>
          </w:p>
        </w:tc>
        <w:tc>
          <w:tcPr>
            <w:tcW w:w="663" w:type="pct"/>
            <w:vAlign w:val="center"/>
          </w:tcPr>
          <w:p w14:paraId="452626D1" w14:textId="77777777" w:rsidR="001774CB" w:rsidRPr="008348C0" w:rsidRDefault="001774CB" w:rsidP="007603E7">
            <w:pPr>
              <w:pStyle w:val="TableText0"/>
              <w:keepLines/>
              <w:jc w:val="center"/>
              <w:rPr>
                <w:szCs w:val="20"/>
              </w:rPr>
            </w:pPr>
            <w:r w:rsidRPr="008348C0">
              <w:rPr>
                <w:szCs w:val="20"/>
              </w:rPr>
              <w:t>32.5</w:t>
            </w:r>
          </w:p>
          <w:p w14:paraId="63ABF199" w14:textId="77777777" w:rsidR="001774CB" w:rsidRPr="008348C0" w:rsidRDefault="001774CB" w:rsidP="007603E7">
            <w:pPr>
              <w:pStyle w:val="TableText0"/>
              <w:keepLines/>
              <w:jc w:val="center"/>
              <w:rPr>
                <w:szCs w:val="20"/>
              </w:rPr>
            </w:pPr>
            <w:r w:rsidRPr="008348C0">
              <w:rPr>
                <w:szCs w:val="20"/>
              </w:rPr>
              <w:t>(32.5, NE)</w:t>
            </w:r>
          </w:p>
        </w:tc>
        <w:tc>
          <w:tcPr>
            <w:tcW w:w="663" w:type="pct"/>
            <w:vAlign w:val="center"/>
          </w:tcPr>
          <w:p w14:paraId="566053F8" w14:textId="77777777" w:rsidR="001774CB" w:rsidRPr="008348C0" w:rsidRDefault="001774CB" w:rsidP="007603E7">
            <w:pPr>
              <w:pStyle w:val="TableText0"/>
              <w:keepLines/>
              <w:jc w:val="center"/>
              <w:rPr>
                <w:szCs w:val="20"/>
              </w:rPr>
            </w:pPr>
            <w:r w:rsidRPr="008348C0">
              <w:rPr>
                <w:szCs w:val="20"/>
              </w:rPr>
              <w:t>NE</w:t>
            </w:r>
          </w:p>
          <w:p w14:paraId="488245AF" w14:textId="77777777" w:rsidR="001774CB" w:rsidRPr="008348C0" w:rsidRDefault="001774CB" w:rsidP="007603E7">
            <w:pPr>
              <w:pStyle w:val="TableText0"/>
              <w:keepLines/>
              <w:jc w:val="center"/>
              <w:rPr>
                <w:szCs w:val="20"/>
              </w:rPr>
            </w:pPr>
            <w:r w:rsidRPr="008348C0">
              <w:rPr>
                <w:szCs w:val="20"/>
              </w:rPr>
              <w:t>(17.1, NE)</w:t>
            </w:r>
          </w:p>
        </w:tc>
        <w:tc>
          <w:tcPr>
            <w:tcW w:w="663" w:type="pct"/>
            <w:vAlign w:val="center"/>
          </w:tcPr>
          <w:p w14:paraId="48B81654" w14:textId="77777777" w:rsidR="001774CB" w:rsidRPr="008348C0" w:rsidRDefault="001774CB" w:rsidP="007603E7">
            <w:pPr>
              <w:pStyle w:val="TableText0"/>
              <w:keepLines/>
              <w:jc w:val="center"/>
              <w:rPr>
                <w:szCs w:val="20"/>
              </w:rPr>
            </w:pPr>
            <w:r w:rsidRPr="008348C0">
              <w:rPr>
                <w:szCs w:val="20"/>
              </w:rPr>
              <w:t>NE</w:t>
            </w:r>
          </w:p>
        </w:tc>
        <w:tc>
          <w:tcPr>
            <w:tcW w:w="706" w:type="pct"/>
            <w:vAlign w:val="center"/>
          </w:tcPr>
          <w:p w14:paraId="593D607E" w14:textId="77777777" w:rsidR="001774CB" w:rsidRPr="008348C0" w:rsidRDefault="001774CB" w:rsidP="007603E7">
            <w:pPr>
              <w:pStyle w:val="TableText0"/>
              <w:keepLines/>
              <w:jc w:val="center"/>
              <w:rPr>
                <w:szCs w:val="20"/>
              </w:rPr>
            </w:pPr>
            <w:r w:rsidRPr="008348C0">
              <w:rPr>
                <w:szCs w:val="20"/>
              </w:rPr>
              <w:t>17.2</w:t>
            </w:r>
          </w:p>
          <w:p w14:paraId="22ABA2A8" w14:textId="77777777" w:rsidR="001774CB" w:rsidRPr="008348C0" w:rsidRDefault="001774CB" w:rsidP="007603E7">
            <w:pPr>
              <w:pStyle w:val="TableText0"/>
              <w:keepLines/>
              <w:jc w:val="center"/>
              <w:rPr>
                <w:szCs w:val="20"/>
              </w:rPr>
            </w:pPr>
            <w:r w:rsidRPr="008348C0">
              <w:rPr>
                <w:szCs w:val="20"/>
              </w:rPr>
              <w:t>(6.8, 32.8)</w:t>
            </w:r>
          </w:p>
        </w:tc>
      </w:tr>
      <w:tr w:rsidR="001774CB" w:rsidRPr="008348C0" w14:paraId="05829D07" w14:textId="77777777" w:rsidTr="00B41A01">
        <w:tc>
          <w:tcPr>
            <w:tcW w:w="979" w:type="pct"/>
          </w:tcPr>
          <w:p w14:paraId="697285DD" w14:textId="77777777" w:rsidR="001774CB" w:rsidRPr="008348C0" w:rsidRDefault="001774CB" w:rsidP="007603E7">
            <w:pPr>
              <w:pStyle w:val="TableText0"/>
              <w:keepLines/>
              <w:rPr>
                <w:szCs w:val="20"/>
              </w:rPr>
            </w:pPr>
            <w:r w:rsidRPr="008348C0">
              <w:rPr>
                <w:szCs w:val="20"/>
              </w:rPr>
              <w:t>OS rate, % (95% CI)</w:t>
            </w:r>
          </w:p>
        </w:tc>
        <w:tc>
          <w:tcPr>
            <w:tcW w:w="663" w:type="pct"/>
            <w:vAlign w:val="center"/>
          </w:tcPr>
          <w:p w14:paraId="698660B9" w14:textId="77777777" w:rsidR="001774CB" w:rsidRPr="008348C0" w:rsidRDefault="001774CB" w:rsidP="007603E7">
            <w:pPr>
              <w:pStyle w:val="TableText0"/>
              <w:keepLines/>
              <w:jc w:val="center"/>
              <w:rPr>
                <w:szCs w:val="20"/>
              </w:rPr>
            </w:pPr>
          </w:p>
        </w:tc>
        <w:tc>
          <w:tcPr>
            <w:tcW w:w="663" w:type="pct"/>
            <w:vAlign w:val="center"/>
          </w:tcPr>
          <w:p w14:paraId="6339998F" w14:textId="77777777" w:rsidR="001774CB" w:rsidRPr="008348C0" w:rsidRDefault="001774CB" w:rsidP="007603E7">
            <w:pPr>
              <w:pStyle w:val="TableText0"/>
              <w:keepLines/>
              <w:jc w:val="center"/>
              <w:rPr>
                <w:szCs w:val="20"/>
              </w:rPr>
            </w:pPr>
          </w:p>
        </w:tc>
        <w:tc>
          <w:tcPr>
            <w:tcW w:w="663" w:type="pct"/>
            <w:vAlign w:val="center"/>
          </w:tcPr>
          <w:p w14:paraId="33C4E28F" w14:textId="77777777" w:rsidR="001774CB" w:rsidRPr="008348C0" w:rsidRDefault="001774CB" w:rsidP="007603E7">
            <w:pPr>
              <w:pStyle w:val="TableText0"/>
              <w:keepLines/>
              <w:jc w:val="center"/>
              <w:rPr>
                <w:szCs w:val="20"/>
              </w:rPr>
            </w:pPr>
          </w:p>
        </w:tc>
        <w:tc>
          <w:tcPr>
            <w:tcW w:w="663" w:type="pct"/>
            <w:vAlign w:val="center"/>
          </w:tcPr>
          <w:p w14:paraId="23345919" w14:textId="77777777" w:rsidR="001774CB" w:rsidRPr="008348C0" w:rsidRDefault="001774CB" w:rsidP="007603E7">
            <w:pPr>
              <w:pStyle w:val="TableText0"/>
              <w:keepLines/>
              <w:jc w:val="center"/>
              <w:rPr>
                <w:szCs w:val="20"/>
              </w:rPr>
            </w:pPr>
          </w:p>
        </w:tc>
        <w:tc>
          <w:tcPr>
            <w:tcW w:w="663" w:type="pct"/>
            <w:vAlign w:val="center"/>
          </w:tcPr>
          <w:p w14:paraId="2A4AE30F" w14:textId="77777777" w:rsidR="001774CB" w:rsidRPr="008348C0" w:rsidRDefault="001774CB" w:rsidP="007603E7">
            <w:pPr>
              <w:pStyle w:val="TableText0"/>
              <w:keepLines/>
              <w:jc w:val="center"/>
              <w:rPr>
                <w:szCs w:val="20"/>
              </w:rPr>
            </w:pPr>
          </w:p>
        </w:tc>
        <w:tc>
          <w:tcPr>
            <w:tcW w:w="706" w:type="pct"/>
            <w:vAlign w:val="center"/>
          </w:tcPr>
          <w:p w14:paraId="15F57B29" w14:textId="77777777" w:rsidR="001774CB" w:rsidRPr="008348C0" w:rsidRDefault="001774CB" w:rsidP="007603E7">
            <w:pPr>
              <w:pStyle w:val="TableText0"/>
              <w:keepLines/>
              <w:jc w:val="center"/>
              <w:rPr>
                <w:szCs w:val="20"/>
              </w:rPr>
            </w:pPr>
          </w:p>
        </w:tc>
      </w:tr>
      <w:tr w:rsidR="001774CB" w:rsidRPr="008348C0" w14:paraId="2A0D008F" w14:textId="77777777" w:rsidTr="00B41A01">
        <w:tc>
          <w:tcPr>
            <w:tcW w:w="979" w:type="pct"/>
          </w:tcPr>
          <w:p w14:paraId="7ECED3CE" w14:textId="77777777" w:rsidR="001774CB" w:rsidRPr="008348C0" w:rsidRDefault="001774CB" w:rsidP="007603E7">
            <w:pPr>
              <w:pStyle w:val="TableText0"/>
              <w:keepLines/>
              <w:ind w:left="164"/>
              <w:rPr>
                <w:szCs w:val="20"/>
              </w:rPr>
            </w:pPr>
            <w:r w:rsidRPr="008348C0">
              <w:rPr>
                <w:szCs w:val="20"/>
              </w:rPr>
              <w:t>6 months</w:t>
            </w:r>
          </w:p>
        </w:tc>
        <w:tc>
          <w:tcPr>
            <w:tcW w:w="663" w:type="pct"/>
            <w:vAlign w:val="center"/>
          </w:tcPr>
          <w:p w14:paraId="5FA083DD" w14:textId="77777777" w:rsidR="001774CB" w:rsidRPr="008348C0" w:rsidRDefault="001774CB" w:rsidP="007603E7">
            <w:pPr>
              <w:pStyle w:val="TableText0"/>
              <w:keepLines/>
              <w:jc w:val="center"/>
              <w:rPr>
                <w:szCs w:val="20"/>
              </w:rPr>
            </w:pPr>
            <w:r w:rsidRPr="008348C0">
              <w:rPr>
                <w:szCs w:val="20"/>
              </w:rPr>
              <w:t xml:space="preserve">92% </w:t>
            </w:r>
            <w:r w:rsidRPr="008348C0">
              <w:rPr>
                <w:szCs w:val="20"/>
              </w:rPr>
              <w:br/>
              <w:t>(</w:t>
            </w:r>
            <w:r w:rsidR="007077FF">
              <w:rPr>
                <w:noProof/>
                <w:color w:val="000000"/>
                <w:szCs w:val="20"/>
                <w:highlight w:val="black"/>
              </w:rPr>
              <w:t>''''''</w:t>
            </w:r>
            <w:r w:rsidRPr="008348C0">
              <w:rPr>
                <w:szCs w:val="20"/>
              </w:rPr>
              <w:t xml:space="preserve">%, </w:t>
            </w:r>
            <w:r w:rsidR="007077FF">
              <w:rPr>
                <w:noProof/>
                <w:color w:val="000000"/>
                <w:szCs w:val="20"/>
                <w:highlight w:val="black"/>
              </w:rPr>
              <w:t>'''''''''</w:t>
            </w:r>
            <w:r w:rsidRPr="008348C0">
              <w:rPr>
                <w:szCs w:val="20"/>
              </w:rPr>
              <w:t>%)</w:t>
            </w:r>
          </w:p>
        </w:tc>
        <w:tc>
          <w:tcPr>
            <w:tcW w:w="663" w:type="pct"/>
            <w:vAlign w:val="center"/>
          </w:tcPr>
          <w:p w14:paraId="2BEFA335" w14:textId="77777777" w:rsidR="001774CB" w:rsidRPr="008348C0" w:rsidRDefault="001774CB" w:rsidP="007603E7">
            <w:pPr>
              <w:pStyle w:val="TableText0"/>
              <w:keepLines/>
              <w:jc w:val="center"/>
              <w:rPr>
                <w:szCs w:val="20"/>
              </w:rPr>
            </w:pPr>
            <w:r w:rsidRPr="008348C0">
              <w:rPr>
                <w:szCs w:val="20"/>
              </w:rPr>
              <w:t xml:space="preserve">91% </w:t>
            </w:r>
            <w:r w:rsidRPr="008348C0">
              <w:rPr>
                <w:szCs w:val="20"/>
              </w:rPr>
              <w:br/>
              <w:t>(79%, 96%)</w:t>
            </w:r>
          </w:p>
        </w:tc>
        <w:tc>
          <w:tcPr>
            <w:tcW w:w="663" w:type="pct"/>
            <w:vAlign w:val="center"/>
          </w:tcPr>
          <w:p w14:paraId="2354EDA4" w14:textId="77777777" w:rsidR="001774CB" w:rsidRPr="008348C0" w:rsidRDefault="001774CB" w:rsidP="007603E7">
            <w:pPr>
              <w:pStyle w:val="TableText0"/>
              <w:keepLines/>
              <w:jc w:val="center"/>
              <w:rPr>
                <w:szCs w:val="20"/>
              </w:rPr>
            </w:pPr>
            <w:r w:rsidRPr="008348C0">
              <w:rPr>
                <w:szCs w:val="20"/>
              </w:rPr>
              <w:t xml:space="preserve">92% </w:t>
            </w:r>
            <w:r w:rsidRPr="008348C0">
              <w:rPr>
                <w:szCs w:val="20"/>
              </w:rPr>
              <w:br/>
              <w:t>(86%, 96%)</w:t>
            </w:r>
          </w:p>
        </w:tc>
        <w:tc>
          <w:tcPr>
            <w:tcW w:w="663" w:type="pct"/>
            <w:vAlign w:val="center"/>
          </w:tcPr>
          <w:p w14:paraId="0C2D67B3" w14:textId="77777777" w:rsidR="001774CB" w:rsidRPr="008348C0" w:rsidRDefault="001774CB" w:rsidP="007603E7">
            <w:pPr>
              <w:pStyle w:val="TableText0"/>
              <w:keepLines/>
              <w:jc w:val="center"/>
              <w:rPr>
                <w:szCs w:val="20"/>
              </w:rPr>
            </w:pPr>
            <w:r w:rsidRPr="008348C0">
              <w:rPr>
                <w:szCs w:val="20"/>
              </w:rPr>
              <w:t>NR</w:t>
            </w:r>
          </w:p>
        </w:tc>
        <w:tc>
          <w:tcPr>
            <w:tcW w:w="663" w:type="pct"/>
            <w:vAlign w:val="center"/>
          </w:tcPr>
          <w:p w14:paraId="44EFFD91" w14:textId="77777777" w:rsidR="001774CB" w:rsidRPr="008348C0" w:rsidRDefault="001774CB" w:rsidP="007603E7">
            <w:pPr>
              <w:pStyle w:val="TableText0"/>
              <w:keepLines/>
              <w:jc w:val="center"/>
              <w:rPr>
                <w:szCs w:val="20"/>
              </w:rPr>
            </w:pPr>
            <w:r w:rsidRPr="008348C0">
              <w:rPr>
                <w:szCs w:val="20"/>
              </w:rPr>
              <w:t>96%</w:t>
            </w:r>
          </w:p>
        </w:tc>
        <w:tc>
          <w:tcPr>
            <w:tcW w:w="706" w:type="pct"/>
            <w:vAlign w:val="center"/>
          </w:tcPr>
          <w:p w14:paraId="45DF7EB7" w14:textId="77777777" w:rsidR="001774CB" w:rsidRPr="008348C0" w:rsidRDefault="001774CB" w:rsidP="007603E7">
            <w:pPr>
              <w:pStyle w:val="TableText0"/>
              <w:keepLines/>
              <w:jc w:val="center"/>
              <w:rPr>
                <w:szCs w:val="20"/>
              </w:rPr>
            </w:pPr>
            <w:r w:rsidRPr="008348C0">
              <w:rPr>
                <w:szCs w:val="20"/>
              </w:rPr>
              <w:t>NR</w:t>
            </w:r>
          </w:p>
        </w:tc>
      </w:tr>
      <w:tr w:rsidR="001774CB" w:rsidRPr="008348C0" w14:paraId="282DC5BD" w14:textId="77777777" w:rsidTr="00B41A01">
        <w:tc>
          <w:tcPr>
            <w:tcW w:w="979" w:type="pct"/>
            <w:tcBorders>
              <w:bottom w:val="single" w:sz="4" w:space="0" w:color="auto"/>
            </w:tcBorders>
          </w:tcPr>
          <w:p w14:paraId="4FDB2BC4" w14:textId="77777777" w:rsidR="001774CB" w:rsidRPr="008348C0" w:rsidRDefault="001774CB" w:rsidP="007603E7">
            <w:pPr>
              <w:pStyle w:val="TableText0"/>
              <w:keepLines/>
              <w:ind w:left="164"/>
              <w:rPr>
                <w:szCs w:val="20"/>
              </w:rPr>
            </w:pPr>
            <w:r w:rsidRPr="008348C0">
              <w:rPr>
                <w:szCs w:val="20"/>
              </w:rPr>
              <w:t>12 months</w:t>
            </w:r>
          </w:p>
        </w:tc>
        <w:tc>
          <w:tcPr>
            <w:tcW w:w="663" w:type="pct"/>
            <w:tcBorders>
              <w:bottom w:val="single" w:sz="4" w:space="0" w:color="auto"/>
            </w:tcBorders>
            <w:vAlign w:val="center"/>
          </w:tcPr>
          <w:p w14:paraId="262AD26D" w14:textId="77777777" w:rsidR="001774CB" w:rsidRPr="008348C0" w:rsidRDefault="001774CB" w:rsidP="007603E7">
            <w:pPr>
              <w:pStyle w:val="TableText0"/>
              <w:keepLines/>
              <w:jc w:val="center"/>
              <w:rPr>
                <w:szCs w:val="20"/>
              </w:rPr>
            </w:pPr>
            <w:r w:rsidRPr="008348C0">
              <w:rPr>
                <w:szCs w:val="20"/>
              </w:rPr>
              <w:t xml:space="preserve">85% </w:t>
            </w:r>
            <w:r w:rsidRPr="008348C0">
              <w:rPr>
                <w:szCs w:val="20"/>
              </w:rPr>
              <w:br/>
              <w:t>(</w:t>
            </w:r>
            <w:r w:rsidR="007077FF">
              <w:rPr>
                <w:noProof/>
                <w:color w:val="000000"/>
                <w:szCs w:val="20"/>
                <w:highlight w:val="black"/>
              </w:rPr>
              <w:t>''''''</w:t>
            </w:r>
            <w:r w:rsidRPr="008348C0">
              <w:rPr>
                <w:szCs w:val="20"/>
              </w:rPr>
              <w:t xml:space="preserve">%, </w:t>
            </w:r>
            <w:r w:rsidR="007077FF">
              <w:rPr>
                <w:noProof/>
                <w:color w:val="000000"/>
                <w:szCs w:val="20"/>
                <w:highlight w:val="black"/>
              </w:rPr>
              <w:t>''''''</w:t>
            </w:r>
            <w:r w:rsidRPr="008348C0">
              <w:rPr>
                <w:szCs w:val="20"/>
              </w:rPr>
              <w:t>%)</w:t>
            </w:r>
          </w:p>
        </w:tc>
        <w:tc>
          <w:tcPr>
            <w:tcW w:w="663" w:type="pct"/>
            <w:tcBorders>
              <w:bottom w:val="single" w:sz="4" w:space="0" w:color="auto"/>
            </w:tcBorders>
            <w:vAlign w:val="center"/>
          </w:tcPr>
          <w:p w14:paraId="53D7595E" w14:textId="77777777" w:rsidR="001774CB" w:rsidRPr="008348C0" w:rsidRDefault="001774CB" w:rsidP="007603E7">
            <w:pPr>
              <w:pStyle w:val="TableText0"/>
              <w:keepLines/>
              <w:jc w:val="center"/>
              <w:rPr>
                <w:szCs w:val="20"/>
              </w:rPr>
            </w:pPr>
            <w:r w:rsidRPr="008348C0">
              <w:rPr>
                <w:szCs w:val="20"/>
              </w:rPr>
              <w:t xml:space="preserve">79% </w:t>
            </w:r>
            <w:r w:rsidRPr="008348C0">
              <w:rPr>
                <w:szCs w:val="20"/>
              </w:rPr>
              <w:br/>
              <w:t>(65%, 88%)</w:t>
            </w:r>
          </w:p>
        </w:tc>
        <w:tc>
          <w:tcPr>
            <w:tcW w:w="663" w:type="pct"/>
            <w:tcBorders>
              <w:bottom w:val="single" w:sz="4" w:space="0" w:color="auto"/>
            </w:tcBorders>
            <w:vAlign w:val="center"/>
          </w:tcPr>
          <w:p w14:paraId="078C46B7" w14:textId="77777777" w:rsidR="001774CB" w:rsidRPr="008348C0" w:rsidRDefault="001774CB" w:rsidP="007603E7">
            <w:pPr>
              <w:pStyle w:val="TableText0"/>
              <w:keepLines/>
              <w:jc w:val="center"/>
              <w:rPr>
                <w:szCs w:val="20"/>
              </w:rPr>
            </w:pPr>
            <w:r w:rsidRPr="008348C0">
              <w:rPr>
                <w:szCs w:val="20"/>
              </w:rPr>
              <w:t xml:space="preserve">83% </w:t>
            </w:r>
            <w:r w:rsidRPr="008348C0">
              <w:rPr>
                <w:szCs w:val="20"/>
              </w:rPr>
              <w:br/>
              <w:t>(75%, 89%)</w:t>
            </w:r>
          </w:p>
        </w:tc>
        <w:tc>
          <w:tcPr>
            <w:tcW w:w="663" w:type="pct"/>
            <w:tcBorders>
              <w:bottom w:val="single" w:sz="4" w:space="0" w:color="auto"/>
            </w:tcBorders>
            <w:vAlign w:val="center"/>
          </w:tcPr>
          <w:p w14:paraId="2B818C9C" w14:textId="77777777" w:rsidR="001774CB" w:rsidRPr="008348C0" w:rsidRDefault="001774CB" w:rsidP="007603E7">
            <w:pPr>
              <w:pStyle w:val="TableText0"/>
              <w:keepLines/>
              <w:jc w:val="center"/>
              <w:rPr>
                <w:szCs w:val="20"/>
              </w:rPr>
            </w:pPr>
            <w:r w:rsidRPr="008348C0">
              <w:rPr>
                <w:szCs w:val="20"/>
              </w:rPr>
              <w:t xml:space="preserve">83% </w:t>
            </w:r>
            <w:r w:rsidRPr="008348C0">
              <w:rPr>
                <w:szCs w:val="20"/>
              </w:rPr>
              <w:br/>
              <w:t>(69%, 97%)</w:t>
            </w:r>
          </w:p>
        </w:tc>
        <w:tc>
          <w:tcPr>
            <w:tcW w:w="663" w:type="pct"/>
            <w:tcBorders>
              <w:bottom w:val="single" w:sz="4" w:space="0" w:color="auto"/>
            </w:tcBorders>
            <w:vAlign w:val="center"/>
          </w:tcPr>
          <w:p w14:paraId="23FC0401" w14:textId="77777777" w:rsidR="001774CB" w:rsidRPr="008348C0" w:rsidRDefault="001774CB" w:rsidP="007603E7">
            <w:pPr>
              <w:pStyle w:val="TableText0"/>
              <w:keepLines/>
              <w:jc w:val="center"/>
              <w:rPr>
                <w:szCs w:val="20"/>
              </w:rPr>
            </w:pPr>
            <w:r w:rsidRPr="008348C0">
              <w:rPr>
                <w:szCs w:val="20"/>
              </w:rPr>
              <w:t>79%</w:t>
            </w:r>
          </w:p>
        </w:tc>
        <w:tc>
          <w:tcPr>
            <w:tcW w:w="706" w:type="pct"/>
            <w:tcBorders>
              <w:bottom w:val="single" w:sz="4" w:space="0" w:color="auto"/>
            </w:tcBorders>
            <w:vAlign w:val="center"/>
          </w:tcPr>
          <w:p w14:paraId="16327135" w14:textId="77777777" w:rsidR="001774CB" w:rsidRPr="008348C0" w:rsidRDefault="001774CB" w:rsidP="007603E7">
            <w:pPr>
              <w:pStyle w:val="TableText0"/>
              <w:keepLines/>
              <w:jc w:val="center"/>
              <w:rPr>
                <w:szCs w:val="20"/>
              </w:rPr>
            </w:pPr>
            <w:r w:rsidRPr="008348C0">
              <w:rPr>
                <w:szCs w:val="20"/>
              </w:rPr>
              <w:t>Approximately 60%</w:t>
            </w:r>
            <w:r w:rsidR="00AB1C23" w:rsidRPr="008348C0">
              <w:rPr>
                <w:szCs w:val="20"/>
                <w:vertAlign w:val="superscript"/>
              </w:rPr>
              <w:t>e</w:t>
            </w:r>
          </w:p>
        </w:tc>
      </w:tr>
      <w:tr w:rsidR="001774CB" w:rsidRPr="008348C0" w14:paraId="5961D137" w14:textId="77777777" w:rsidTr="00B41A01">
        <w:tc>
          <w:tcPr>
            <w:tcW w:w="1641" w:type="pct"/>
            <w:gridSpan w:val="2"/>
            <w:tcBorders>
              <w:right w:val="nil"/>
            </w:tcBorders>
          </w:tcPr>
          <w:p w14:paraId="7F07A212" w14:textId="77777777" w:rsidR="001774CB" w:rsidRPr="008348C0" w:rsidRDefault="001774CB" w:rsidP="007603E7">
            <w:pPr>
              <w:pStyle w:val="TableText0"/>
              <w:keepLines/>
              <w:rPr>
                <w:szCs w:val="20"/>
              </w:rPr>
            </w:pPr>
            <w:r w:rsidRPr="008348C0">
              <w:rPr>
                <w:b/>
                <w:szCs w:val="20"/>
              </w:rPr>
              <w:t>Progression free survival</w:t>
            </w:r>
          </w:p>
        </w:tc>
        <w:tc>
          <w:tcPr>
            <w:tcW w:w="663" w:type="pct"/>
            <w:tcBorders>
              <w:left w:val="nil"/>
              <w:right w:val="nil"/>
            </w:tcBorders>
          </w:tcPr>
          <w:p w14:paraId="62E19881" w14:textId="77777777" w:rsidR="001774CB" w:rsidRPr="008348C0" w:rsidRDefault="001774CB" w:rsidP="007603E7">
            <w:pPr>
              <w:pStyle w:val="TableText0"/>
              <w:keepLines/>
              <w:jc w:val="center"/>
              <w:rPr>
                <w:szCs w:val="20"/>
              </w:rPr>
            </w:pPr>
          </w:p>
        </w:tc>
        <w:tc>
          <w:tcPr>
            <w:tcW w:w="663" w:type="pct"/>
            <w:tcBorders>
              <w:left w:val="nil"/>
              <w:right w:val="nil"/>
            </w:tcBorders>
          </w:tcPr>
          <w:p w14:paraId="03A47265" w14:textId="77777777" w:rsidR="001774CB" w:rsidRPr="008348C0" w:rsidRDefault="001774CB" w:rsidP="007603E7">
            <w:pPr>
              <w:pStyle w:val="TableText0"/>
              <w:keepLines/>
              <w:jc w:val="center"/>
              <w:rPr>
                <w:szCs w:val="20"/>
              </w:rPr>
            </w:pPr>
          </w:p>
        </w:tc>
        <w:tc>
          <w:tcPr>
            <w:tcW w:w="663" w:type="pct"/>
            <w:tcBorders>
              <w:left w:val="nil"/>
              <w:right w:val="nil"/>
            </w:tcBorders>
          </w:tcPr>
          <w:p w14:paraId="56C544E3" w14:textId="77777777" w:rsidR="001774CB" w:rsidRPr="008348C0" w:rsidRDefault="001774CB" w:rsidP="007603E7">
            <w:pPr>
              <w:pStyle w:val="TableText0"/>
              <w:keepLines/>
              <w:jc w:val="center"/>
              <w:rPr>
                <w:szCs w:val="20"/>
              </w:rPr>
            </w:pPr>
          </w:p>
        </w:tc>
        <w:tc>
          <w:tcPr>
            <w:tcW w:w="663" w:type="pct"/>
            <w:tcBorders>
              <w:left w:val="nil"/>
              <w:right w:val="nil"/>
            </w:tcBorders>
          </w:tcPr>
          <w:p w14:paraId="68F09B25" w14:textId="77777777" w:rsidR="001774CB" w:rsidRPr="008348C0" w:rsidRDefault="001774CB" w:rsidP="007603E7">
            <w:pPr>
              <w:pStyle w:val="TableText0"/>
              <w:keepLines/>
              <w:jc w:val="center"/>
              <w:rPr>
                <w:szCs w:val="20"/>
              </w:rPr>
            </w:pPr>
          </w:p>
        </w:tc>
        <w:tc>
          <w:tcPr>
            <w:tcW w:w="706" w:type="pct"/>
            <w:tcBorders>
              <w:left w:val="nil"/>
            </w:tcBorders>
          </w:tcPr>
          <w:p w14:paraId="717CBCBF" w14:textId="77777777" w:rsidR="001774CB" w:rsidRPr="008348C0" w:rsidRDefault="001774CB" w:rsidP="007603E7">
            <w:pPr>
              <w:pStyle w:val="TableText0"/>
              <w:keepLines/>
              <w:jc w:val="center"/>
              <w:rPr>
                <w:szCs w:val="20"/>
              </w:rPr>
            </w:pPr>
          </w:p>
        </w:tc>
      </w:tr>
      <w:tr w:rsidR="001774CB" w:rsidRPr="008348C0" w14:paraId="3F3FCA38" w14:textId="77777777" w:rsidTr="00B41A01">
        <w:tc>
          <w:tcPr>
            <w:tcW w:w="979" w:type="pct"/>
            <w:tcBorders>
              <w:bottom w:val="single" w:sz="4" w:space="0" w:color="auto"/>
            </w:tcBorders>
          </w:tcPr>
          <w:p w14:paraId="18A3FF21" w14:textId="77777777" w:rsidR="001774CB" w:rsidRPr="008348C0" w:rsidRDefault="001774CB" w:rsidP="007603E7">
            <w:pPr>
              <w:pStyle w:val="TableText0"/>
              <w:keepLines/>
              <w:ind w:left="164" w:hanging="164"/>
              <w:rPr>
                <w:szCs w:val="20"/>
              </w:rPr>
            </w:pPr>
            <w:r w:rsidRPr="008348C0">
              <w:rPr>
                <w:szCs w:val="20"/>
              </w:rPr>
              <w:t>Patients with event, n (%)</w:t>
            </w:r>
          </w:p>
        </w:tc>
        <w:tc>
          <w:tcPr>
            <w:tcW w:w="663" w:type="pct"/>
            <w:tcBorders>
              <w:bottom w:val="single" w:sz="4" w:space="0" w:color="auto"/>
            </w:tcBorders>
            <w:vAlign w:val="center"/>
          </w:tcPr>
          <w:p w14:paraId="667F47CA" w14:textId="77777777" w:rsidR="001774CB" w:rsidRPr="008348C0" w:rsidRDefault="007077FF" w:rsidP="007603E7">
            <w:pPr>
              <w:pStyle w:val="TableText0"/>
              <w:keepLines/>
              <w:jc w:val="center"/>
              <w:rPr>
                <w:szCs w:val="20"/>
              </w:rPr>
            </w:pPr>
            <w:r>
              <w:rPr>
                <w:noProof/>
                <w:color w:val="000000"/>
                <w:szCs w:val="20"/>
                <w:highlight w:val="black"/>
              </w:rPr>
              <w:t>'''''''</w:t>
            </w:r>
            <w:r w:rsidR="001774CB" w:rsidRPr="008348C0">
              <w:rPr>
                <w:szCs w:val="20"/>
              </w:rPr>
              <w:t xml:space="preserve"> (</w:t>
            </w:r>
            <w:r>
              <w:rPr>
                <w:noProof/>
                <w:color w:val="000000"/>
                <w:szCs w:val="20"/>
                <w:highlight w:val="black"/>
              </w:rPr>
              <w:t>'''''</w:t>
            </w:r>
            <w:r w:rsidR="001774CB" w:rsidRPr="008348C0">
              <w:rPr>
                <w:szCs w:val="20"/>
              </w:rPr>
              <w:t>%)</w:t>
            </w:r>
          </w:p>
        </w:tc>
        <w:tc>
          <w:tcPr>
            <w:tcW w:w="663" w:type="pct"/>
            <w:tcBorders>
              <w:bottom w:val="single" w:sz="4" w:space="0" w:color="auto"/>
            </w:tcBorders>
            <w:vAlign w:val="center"/>
          </w:tcPr>
          <w:p w14:paraId="3BF1F011" w14:textId="77777777" w:rsidR="001774CB" w:rsidRPr="008348C0" w:rsidRDefault="001774CB" w:rsidP="007603E7">
            <w:pPr>
              <w:pStyle w:val="TableText0"/>
              <w:keepLines/>
              <w:jc w:val="center"/>
              <w:rPr>
                <w:szCs w:val="20"/>
              </w:rPr>
            </w:pPr>
            <w:r w:rsidRPr="008348C0">
              <w:rPr>
                <w:szCs w:val="20"/>
              </w:rPr>
              <w:t>36 (68%)</w:t>
            </w:r>
          </w:p>
        </w:tc>
        <w:tc>
          <w:tcPr>
            <w:tcW w:w="663" w:type="pct"/>
            <w:tcBorders>
              <w:bottom w:val="single" w:sz="4" w:space="0" w:color="auto"/>
            </w:tcBorders>
            <w:vAlign w:val="center"/>
          </w:tcPr>
          <w:p w14:paraId="4B93944B" w14:textId="77777777" w:rsidR="001774CB" w:rsidRPr="008348C0" w:rsidRDefault="001774CB" w:rsidP="007603E7">
            <w:pPr>
              <w:pStyle w:val="TableText0"/>
              <w:keepLines/>
              <w:jc w:val="center"/>
              <w:rPr>
                <w:szCs w:val="20"/>
              </w:rPr>
            </w:pPr>
            <w:r w:rsidRPr="008348C0">
              <w:rPr>
                <w:szCs w:val="20"/>
              </w:rPr>
              <w:t>NR</w:t>
            </w:r>
          </w:p>
        </w:tc>
        <w:tc>
          <w:tcPr>
            <w:tcW w:w="663" w:type="pct"/>
            <w:tcBorders>
              <w:bottom w:val="single" w:sz="4" w:space="0" w:color="auto"/>
            </w:tcBorders>
            <w:vAlign w:val="center"/>
          </w:tcPr>
          <w:p w14:paraId="77ACCC19" w14:textId="77777777" w:rsidR="001774CB" w:rsidRPr="008348C0" w:rsidRDefault="001774CB" w:rsidP="007603E7">
            <w:pPr>
              <w:pStyle w:val="TableText0"/>
              <w:keepLines/>
              <w:jc w:val="center"/>
              <w:rPr>
                <w:szCs w:val="20"/>
              </w:rPr>
            </w:pPr>
            <w:r w:rsidRPr="008348C0">
              <w:rPr>
                <w:szCs w:val="20"/>
              </w:rPr>
              <w:t>16 (53%)</w:t>
            </w:r>
          </w:p>
        </w:tc>
        <w:tc>
          <w:tcPr>
            <w:tcW w:w="663" w:type="pct"/>
            <w:tcBorders>
              <w:bottom w:val="single" w:sz="4" w:space="0" w:color="auto"/>
            </w:tcBorders>
            <w:vAlign w:val="center"/>
          </w:tcPr>
          <w:p w14:paraId="3B1EC688" w14:textId="77777777" w:rsidR="001774CB" w:rsidRPr="008348C0" w:rsidRDefault="001774CB" w:rsidP="007603E7">
            <w:pPr>
              <w:pStyle w:val="TableText0"/>
              <w:keepLines/>
              <w:jc w:val="center"/>
              <w:rPr>
                <w:szCs w:val="20"/>
              </w:rPr>
            </w:pPr>
            <w:r w:rsidRPr="008348C0">
              <w:rPr>
                <w:szCs w:val="20"/>
              </w:rPr>
              <w:t>14 (54%)</w:t>
            </w:r>
          </w:p>
        </w:tc>
        <w:tc>
          <w:tcPr>
            <w:tcW w:w="706" w:type="pct"/>
            <w:tcBorders>
              <w:bottom w:val="single" w:sz="4" w:space="0" w:color="auto"/>
            </w:tcBorders>
            <w:vAlign w:val="center"/>
          </w:tcPr>
          <w:p w14:paraId="26B3152B" w14:textId="77777777" w:rsidR="001774CB" w:rsidRPr="008348C0" w:rsidRDefault="001774CB" w:rsidP="007603E7">
            <w:pPr>
              <w:pStyle w:val="TableText0"/>
              <w:keepLines/>
              <w:jc w:val="center"/>
              <w:rPr>
                <w:szCs w:val="20"/>
              </w:rPr>
            </w:pPr>
            <w:r w:rsidRPr="008348C0">
              <w:rPr>
                <w:szCs w:val="20"/>
              </w:rPr>
              <w:t>NR</w:t>
            </w:r>
          </w:p>
        </w:tc>
      </w:tr>
      <w:tr w:rsidR="001774CB" w:rsidRPr="008348C0" w14:paraId="2819B846" w14:textId="77777777" w:rsidTr="00B41A01">
        <w:tc>
          <w:tcPr>
            <w:tcW w:w="979" w:type="pct"/>
            <w:tcBorders>
              <w:bottom w:val="single" w:sz="4" w:space="0" w:color="auto"/>
            </w:tcBorders>
          </w:tcPr>
          <w:p w14:paraId="0D3D97A5" w14:textId="77777777" w:rsidR="001774CB" w:rsidRPr="008348C0" w:rsidRDefault="001774CB" w:rsidP="007603E7">
            <w:pPr>
              <w:pStyle w:val="TableText0"/>
              <w:keepLines/>
              <w:ind w:left="164" w:hanging="164"/>
              <w:rPr>
                <w:szCs w:val="20"/>
              </w:rPr>
            </w:pPr>
            <w:r w:rsidRPr="008348C0">
              <w:rPr>
                <w:szCs w:val="20"/>
              </w:rPr>
              <w:t>Median PFS, months (95% CI)</w:t>
            </w:r>
          </w:p>
        </w:tc>
        <w:tc>
          <w:tcPr>
            <w:tcW w:w="663" w:type="pct"/>
            <w:tcBorders>
              <w:bottom w:val="single" w:sz="4" w:space="0" w:color="auto"/>
            </w:tcBorders>
            <w:vAlign w:val="center"/>
          </w:tcPr>
          <w:p w14:paraId="0EEF4B7E" w14:textId="77777777" w:rsidR="001774CB" w:rsidRPr="008348C0" w:rsidRDefault="001774CB" w:rsidP="007603E7">
            <w:pPr>
              <w:pStyle w:val="TableText0"/>
              <w:keepLines/>
              <w:jc w:val="center"/>
              <w:rPr>
                <w:szCs w:val="20"/>
              </w:rPr>
            </w:pPr>
            <w:r w:rsidRPr="008348C0">
              <w:rPr>
                <w:szCs w:val="20"/>
              </w:rPr>
              <w:t xml:space="preserve">19.0 </w:t>
            </w:r>
            <w:r w:rsidRPr="008348C0">
              <w:rPr>
                <w:szCs w:val="20"/>
              </w:rPr>
              <w:br/>
              <w:t xml:space="preserve">(12.2, </w:t>
            </w:r>
            <w:r w:rsidR="007077FF">
              <w:rPr>
                <w:noProof/>
                <w:color w:val="000000"/>
                <w:szCs w:val="20"/>
                <w:highlight w:val="black"/>
              </w:rPr>
              <w:t>'''''''''''</w:t>
            </w:r>
            <w:r w:rsidRPr="008348C0">
              <w:rPr>
                <w:szCs w:val="20"/>
              </w:rPr>
              <w:t>)</w:t>
            </w:r>
          </w:p>
        </w:tc>
        <w:tc>
          <w:tcPr>
            <w:tcW w:w="663" w:type="pct"/>
            <w:tcBorders>
              <w:bottom w:val="single" w:sz="4" w:space="0" w:color="auto"/>
            </w:tcBorders>
            <w:vAlign w:val="center"/>
          </w:tcPr>
          <w:p w14:paraId="0D2FDD3E" w14:textId="77777777" w:rsidR="001774CB" w:rsidRPr="008348C0" w:rsidRDefault="001774CB" w:rsidP="007603E7">
            <w:pPr>
              <w:pStyle w:val="TableText0"/>
              <w:keepLines/>
              <w:jc w:val="center"/>
              <w:rPr>
                <w:szCs w:val="20"/>
              </w:rPr>
            </w:pPr>
            <w:r w:rsidRPr="008348C0">
              <w:rPr>
                <w:szCs w:val="20"/>
              </w:rPr>
              <w:t xml:space="preserve">19.3 </w:t>
            </w:r>
            <w:r w:rsidRPr="008348C0">
              <w:rPr>
                <w:szCs w:val="20"/>
              </w:rPr>
              <w:br/>
              <w:t>(15.2, 39.1)</w:t>
            </w:r>
          </w:p>
        </w:tc>
        <w:tc>
          <w:tcPr>
            <w:tcW w:w="663" w:type="pct"/>
            <w:tcBorders>
              <w:bottom w:val="single" w:sz="4" w:space="0" w:color="auto"/>
            </w:tcBorders>
            <w:vAlign w:val="center"/>
          </w:tcPr>
          <w:p w14:paraId="00475D68" w14:textId="77777777" w:rsidR="001774CB" w:rsidRPr="008348C0" w:rsidRDefault="001774CB" w:rsidP="007603E7">
            <w:pPr>
              <w:pStyle w:val="TableText0"/>
              <w:keepLines/>
              <w:jc w:val="center"/>
              <w:rPr>
                <w:szCs w:val="20"/>
              </w:rPr>
            </w:pPr>
            <w:r w:rsidRPr="008348C0">
              <w:rPr>
                <w:szCs w:val="20"/>
              </w:rPr>
              <w:t xml:space="preserve">15.9 </w:t>
            </w:r>
            <w:r w:rsidRPr="008348C0">
              <w:rPr>
                <w:szCs w:val="20"/>
              </w:rPr>
              <w:br/>
              <w:t>(12.9, 24.0)</w:t>
            </w:r>
          </w:p>
        </w:tc>
        <w:tc>
          <w:tcPr>
            <w:tcW w:w="663" w:type="pct"/>
            <w:tcBorders>
              <w:bottom w:val="single" w:sz="4" w:space="0" w:color="auto"/>
            </w:tcBorders>
            <w:vAlign w:val="center"/>
          </w:tcPr>
          <w:p w14:paraId="4CD71601" w14:textId="77777777" w:rsidR="001774CB" w:rsidRPr="008348C0" w:rsidRDefault="001774CB" w:rsidP="007603E7">
            <w:pPr>
              <w:pStyle w:val="TableText0"/>
              <w:keepLines/>
              <w:jc w:val="center"/>
              <w:rPr>
                <w:szCs w:val="20"/>
              </w:rPr>
            </w:pPr>
            <w:r w:rsidRPr="008348C0">
              <w:rPr>
                <w:szCs w:val="20"/>
              </w:rPr>
              <w:t xml:space="preserve">20.0 </w:t>
            </w:r>
            <w:r w:rsidRPr="008348C0">
              <w:rPr>
                <w:szCs w:val="20"/>
              </w:rPr>
              <w:br/>
              <w:t>(10.1, NE)</w:t>
            </w:r>
          </w:p>
        </w:tc>
        <w:tc>
          <w:tcPr>
            <w:tcW w:w="663" w:type="pct"/>
            <w:tcBorders>
              <w:bottom w:val="single" w:sz="4" w:space="0" w:color="auto"/>
            </w:tcBorders>
            <w:vAlign w:val="center"/>
          </w:tcPr>
          <w:p w14:paraId="7273F92E" w14:textId="77777777" w:rsidR="001774CB" w:rsidRPr="008348C0" w:rsidRDefault="001774CB" w:rsidP="007603E7">
            <w:pPr>
              <w:pStyle w:val="TableText0"/>
              <w:keepLines/>
              <w:jc w:val="center"/>
              <w:rPr>
                <w:szCs w:val="20"/>
              </w:rPr>
            </w:pPr>
            <w:r w:rsidRPr="008348C0">
              <w:rPr>
                <w:szCs w:val="20"/>
              </w:rPr>
              <w:t xml:space="preserve">22.8 </w:t>
            </w:r>
            <w:r w:rsidRPr="008348C0">
              <w:rPr>
                <w:szCs w:val="20"/>
              </w:rPr>
              <w:br/>
              <w:t>(15.2, 30.3)</w:t>
            </w:r>
          </w:p>
        </w:tc>
        <w:tc>
          <w:tcPr>
            <w:tcW w:w="706" w:type="pct"/>
            <w:tcBorders>
              <w:bottom w:val="single" w:sz="4" w:space="0" w:color="auto"/>
            </w:tcBorders>
            <w:vAlign w:val="center"/>
          </w:tcPr>
          <w:p w14:paraId="662B599D" w14:textId="77777777" w:rsidR="001774CB" w:rsidRPr="008348C0" w:rsidRDefault="001774CB" w:rsidP="007603E7">
            <w:pPr>
              <w:pStyle w:val="TableText0"/>
              <w:keepLines/>
              <w:jc w:val="center"/>
              <w:rPr>
                <w:szCs w:val="20"/>
              </w:rPr>
            </w:pPr>
            <w:r w:rsidRPr="008348C0">
              <w:rPr>
                <w:szCs w:val="20"/>
              </w:rPr>
              <w:t>5.5</w:t>
            </w:r>
            <w:r w:rsidRPr="008348C0">
              <w:rPr>
                <w:szCs w:val="20"/>
              </w:rPr>
              <w:br/>
              <w:t>(4.2, 9.1)</w:t>
            </w:r>
          </w:p>
        </w:tc>
      </w:tr>
    </w:tbl>
    <w:p w14:paraId="7DBF1FE8" w14:textId="77777777" w:rsidR="001774CB" w:rsidRPr="0026039D" w:rsidRDefault="001774CB" w:rsidP="007603E7">
      <w:pPr>
        <w:pStyle w:val="TableFigureFooter"/>
        <w:keepNext/>
        <w:keepLines/>
      </w:pPr>
      <w:r w:rsidRPr="0026039D">
        <w:t>Source: Table 2.21, p72, Table 2.24, p74, Table 2.26, p76 and Table 2.28, p78 of the submission, Moro-Sibilot 2019</w:t>
      </w:r>
    </w:p>
    <w:p w14:paraId="2837F640" w14:textId="77777777" w:rsidR="001774CB" w:rsidRPr="0026039D" w:rsidRDefault="001774CB" w:rsidP="007603E7">
      <w:pPr>
        <w:pStyle w:val="TableFigureFooter"/>
        <w:keepNext/>
        <w:keepLines/>
      </w:pPr>
      <w:r w:rsidRPr="0026039D">
        <w:t xml:space="preserve">CI = confidence interval; </w:t>
      </w:r>
      <w:r w:rsidR="00B14411" w:rsidRPr="0026039D">
        <w:t xml:space="preserve">FU = follow-up; </w:t>
      </w:r>
      <w:r w:rsidRPr="0026039D">
        <w:t>NE = not evaluable; NR = not reported; OS = overall survival; PFS = progression free survival</w:t>
      </w:r>
      <w:r w:rsidR="002D2ECD" w:rsidRPr="0026039D">
        <w:t>.</w:t>
      </w:r>
    </w:p>
    <w:p w14:paraId="05EECF8B" w14:textId="77777777" w:rsidR="001774CB" w:rsidRPr="0026039D" w:rsidRDefault="001774CB" w:rsidP="007603E7">
      <w:pPr>
        <w:pStyle w:val="TableFigureFooter"/>
        <w:keepNext/>
        <w:keepLines/>
      </w:pPr>
      <w:r w:rsidRPr="0026039D">
        <w:rPr>
          <w:vertAlign w:val="superscript"/>
        </w:rPr>
        <w:t>a</w:t>
      </w:r>
      <w:r w:rsidRPr="0026039D">
        <w:t xml:space="preserve"> October 2018 data cut-off</w:t>
      </w:r>
    </w:p>
    <w:p w14:paraId="359CB641" w14:textId="77777777" w:rsidR="001774CB" w:rsidRPr="0026039D" w:rsidRDefault="001774CB" w:rsidP="007603E7">
      <w:pPr>
        <w:pStyle w:val="TableFigureFooter"/>
        <w:keepNext/>
        <w:keepLines/>
      </w:pPr>
      <w:r w:rsidRPr="0026039D">
        <w:rPr>
          <w:vertAlign w:val="superscript"/>
        </w:rPr>
        <w:t>b</w:t>
      </w:r>
      <w:r w:rsidRPr="0026039D">
        <w:t xml:space="preserve"> June 2018 data cut-off</w:t>
      </w:r>
    </w:p>
    <w:p w14:paraId="58089C46" w14:textId="77777777" w:rsidR="00AB1C23" w:rsidRPr="0026039D" w:rsidRDefault="00AB1C23" w:rsidP="007603E7">
      <w:pPr>
        <w:pStyle w:val="TableFigureFooter"/>
        <w:keepNext/>
        <w:keepLines/>
        <w:ind w:left="142" w:hanging="142"/>
      </w:pPr>
      <w:r w:rsidRPr="0026039D">
        <w:rPr>
          <w:vertAlign w:val="superscript"/>
        </w:rPr>
        <w:t>c</w:t>
      </w:r>
      <w:r w:rsidRPr="0026039D">
        <w:t xml:space="preserve"> Only 30/34 (86%) of patients who received at least one dose of study treatment were included in the efficacy analyses: 3 were excluded for violation of eligibility criteria, and 1 was excluded due to inadequate baseline assessment.</w:t>
      </w:r>
    </w:p>
    <w:p w14:paraId="5D602044" w14:textId="77777777" w:rsidR="001774CB" w:rsidRPr="0026039D" w:rsidRDefault="00AB1C23" w:rsidP="007603E7">
      <w:pPr>
        <w:pStyle w:val="TableFigureFooter"/>
        <w:keepNext/>
        <w:keepLines/>
      </w:pPr>
      <w:r w:rsidRPr="0026039D">
        <w:rPr>
          <w:vertAlign w:val="superscript"/>
        </w:rPr>
        <w:t>d</w:t>
      </w:r>
      <w:r w:rsidR="001774CB" w:rsidRPr="0026039D">
        <w:t xml:space="preserve"> Source: Moro-Sibilot 2019, Supplement, Figure S1 C</w:t>
      </w:r>
    </w:p>
    <w:p w14:paraId="4BC2ADB0" w14:textId="77777777" w:rsidR="001774CB" w:rsidRPr="0026039D" w:rsidRDefault="00AB1C23" w:rsidP="007603E7">
      <w:pPr>
        <w:pStyle w:val="TableFigureFooter"/>
        <w:keepNext/>
        <w:keepLines/>
      </w:pPr>
      <w:r w:rsidRPr="0026039D">
        <w:rPr>
          <w:vertAlign w:val="superscript"/>
        </w:rPr>
        <w:t>e</w:t>
      </w:r>
      <w:r w:rsidR="001774CB" w:rsidRPr="0026039D">
        <w:t xml:space="preserve"> Estimated from the Kaplan-Meier curves, Figure 2C, p6 Moro-Sibilot 2019.</w:t>
      </w:r>
    </w:p>
    <w:p w14:paraId="068E22BD" w14:textId="77777777" w:rsidR="00B10F52" w:rsidRPr="0026039D" w:rsidRDefault="00B10F52" w:rsidP="00315F69">
      <w:pPr>
        <w:pStyle w:val="ListParagraph"/>
        <w:numPr>
          <w:ilvl w:val="1"/>
          <w:numId w:val="1"/>
        </w:numPr>
        <w:spacing w:after="160"/>
      </w:pPr>
      <w:r w:rsidRPr="0026039D">
        <w:t>The Kap</w:t>
      </w:r>
      <w:r w:rsidR="005311B8" w:rsidRPr="0026039D">
        <w:t>lan-Meier</w:t>
      </w:r>
      <w:r w:rsidR="00C33E95" w:rsidRPr="0026039D">
        <w:t xml:space="preserve"> (KM)</w:t>
      </w:r>
      <w:r w:rsidR="005311B8" w:rsidRPr="0026039D">
        <w:t xml:space="preserve"> plots for </w:t>
      </w:r>
      <w:r w:rsidRPr="0026039D">
        <w:t xml:space="preserve">overall survival </w:t>
      </w:r>
      <w:r w:rsidR="009162AF" w:rsidRPr="0026039D">
        <w:t xml:space="preserve">and progression free survival </w:t>
      </w:r>
      <w:r w:rsidR="00F00A80" w:rsidRPr="0026039D">
        <w:t>for the</w:t>
      </w:r>
      <w:r w:rsidRPr="0026039D">
        <w:t xml:space="preserve"> entrectinib </w:t>
      </w:r>
      <w:r w:rsidR="00F00A80" w:rsidRPr="0026039D">
        <w:t xml:space="preserve">PAS </w:t>
      </w:r>
      <w:r w:rsidRPr="0026039D">
        <w:t xml:space="preserve">and </w:t>
      </w:r>
      <w:r w:rsidR="00F00A80" w:rsidRPr="0026039D">
        <w:t xml:space="preserve">the </w:t>
      </w:r>
      <w:r w:rsidRPr="0026039D">
        <w:t xml:space="preserve">crizotinib </w:t>
      </w:r>
      <w:r w:rsidR="00F00A80" w:rsidRPr="0026039D">
        <w:t xml:space="preserve">studies, where provided, </w:t>
      </w:r>
      <w:r w:rsidRPr="0026039D">
        <w:t>are presented below.</w:t>
      </w:r>
    </w:p>
    <w:p w14:paraId="15D7726C" w14:textId="77777777" w:rsidR="009162AF" w:rsidRPr="0026039D" w:rsidRDefault="009162AF" w:rsidP="00B41A01">
      <w:pPr>
        <w:pStyle w:val="TableFigureHeading"/>
      </w:pPr>
      <w:r w:rsidRPr="0026039D">
        <w:lastRenderedPageBreak/>
        <w:t xml:space="preserve">Figure </w:t>
      </w:r>
      <w:r w:rsidR="00871462" w:rsidRPr="0026039D">
        <w:t>1</w:t>
      </w:r>
      <w:r w:rsidRPr="0026039D">
        <w:t>: Kaplan-Meier plots for overall survival: entrectinib and crizotinib</w:t>
      </w:r>
    </w:p>
    <w:p w14:paraId="054D50D6" w14:textId="77777777" w:rsidR="009162AF" w:rsidRPr="0026039D" w:rsidRDefault="007077FF" w:rsidP="00F42334">
      <w:pPr>
        <w:keepNext/>
        <w:keepLines/>
      </w:pPr>
      <w:r>
        <w:rPr>
          <w:noProof/>
        </w:rPr>
        <w:drawing>
          <wp:inline distT="0" distB="0" distL="0" distR="0" wp14:anchorId="46EE47F8" wp14:editId="66FE723B">
            <wp:extent cx="5438140" cy="3114675"/>
            <wp:effectExtent l="0" t="0" r="0" b="9525"/>
            <wp:docPr id="2" name="Picture 2" descr="Figure 1: Kaplan-Meier plots for overall survival: entrectinib and crizotinib" title="Figure 1: Kaplan-Meier plots for overall survival: entrectinib and crizotinib"/>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438140" cy="3114675"/>
                    </a:xfrm>
                    <a:prstGeom prst="rect">
                      <a:avLst/>
                    </a:prstGeom>
                  </pic:spPr>
                </pic:pic>
              </a:graphicData>
            </a:graphic>
          </wp:inline>
        </w:drawing>
      </w:r>
    </w:p>
    <w:p w14:paraId="0222CCAE" w14:textId="77777777" w:rsidR="009162AF" w:rsidRPr="0026039D" w:rsidRDefault="009162AF" w:rsidP="00F42334">
      <w:pPr>
        <w:pStyle w:val="TableFigureFooter"/>
        <w:keepNext/>
        <w:keepLines/>
      </w:pPr>
      <w:r w:rsidRPr="0026039D">
        <w:t>Source: Figure 2.8, p77 of the submission; Excel workbook ‘Attachment 2 ROS1 NSCLC Kaplan Meier Survival and HRQoL Plots’</w:t>
      </w:r>
    </w:p>
    <w:p w14:paraId="0C12E5C3" w14:textId="77777777" w:rsidR="009162AF" w:rsidRPr="0026039D" w:rsidRDefault="009162AF" w:rsidP="00F42334">
      <w:pPr>
        <w:pStyle w:val="TableFigureFooter"/>
        <w:keepNext/>
        <w:keepLines/>
      </w:pPr>
      <w:r w:rsidRPr="0026039D">
        <w:t>CCOD = clinical cut-off date; OS =overall survival.</w:t>
      </w:r>
    </w:p>
    <w:p w14:paraId="4C05264F" w14:textId="77777777" w:rsidR="009162AF" w:rsidRPr="0026039D" w:rsidRDefault="009162AF" w:rsidP="00F42334">
      <w:pPr>
        <w:pStyle w:val="TableFigureFooter"/>
        <w:keepNext/>
        <w:keepLines/>
      </w:pPr>
      <w:r w:rsidRPr="0026039D">
        <w:t>Median follow-up: entrectinib integrated analysis 20.6 months, PROFILE 1001 62.6 months, EUCROSS 20.6 months, and METROS 21.0 months.</w:t>
      </w:r>
    </w:p>
    <w:p w14:paraId="7C9B8592" w14:textId="77777777" w:rsidR="00B10F52" w:rsidRPr="0026039D" w:rsidRDefault="00B10F52" w:rsidP="00F42334">
      <w:pPr>
        <w:pStyle w:val="TableFigureHeading"/>
        <w:keepLines/>
      </w:pPr>
      <w:r w:rsidRPr="0026039D">
        <w:t xml:space="preserve">Figure </w:t>
      </w:r>
      <w:r w:rsidR="00871462" w:rsidRPr="0026039D">
        <w:t>2</w:t>
      </w:r>
      <w:r w:rsidRPr="0026039D">
        <w:t>: Kaplan-Meier plots for progression free survival: entrectinib and crizotinib</w:t>
      </w:r>
    </w:p>
    <w:p w14:paraId="75601DA2" w14:textId="77777777" w:rsidR="00B10F52" w:rsidRPr="0026039D" w:rsidRDefault="007077FF" w:rsidP="00F42334">
      <w:pPr>
        <w:keepNext/>
        <w:keepLines/>
      </w:pPr>
      <w:r>
        <w:rPr>
          <w:noProof/>
        </w:rPr>
        <w:drawing>
          <wp:inline distT="0" distB="0" distL="0" distR="0" wp14:anchorId="7F4581DC" wp14:editId="712C53EF">
            <wp:extent cx="5419725" cy="2981325"/>
            <wp:effectExtent l="0" t="0" r="9525" b="9525"/>
            <wp:docPr id="1" name="Picture 1" descr="Figure 2: Kaplan-Meier plots for progression free survival: entrectinib and crizotinib" title="Figure 2: Kaplan-Meier plots for progression free survival: entrectinib and crizotinib"/>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419725" cy="2981325"/>
                    </a:xfrm>
                    <a:prstGeom prst="rect">
                      <a:avLst/>
                    </a:prstGeom>
                  </pic:spPr>
                </pic:pic>
              </a:graphicData>
            </a:graphic>
          </wp:inline>
        </w:drawing>
      </w:r>
    </w:p>
    <w:p w14:paraId="035DC9C4" w14:textId="77777777" w:rsidR="00B10F52" w:rsidRPr="0026039D" w:rsidRDefault="00B10F52" w:rsidP="00F42334">
      <w:pPr>
        <w:pStyle w:val="TableFigureFooter"/>
        <w:keepNext/>
        <w:keepLines/>
      </w:pPr>
      <w:r w:rsidRPr="0026039D">
        <w:t>Source: Figure 2.7, p75 of the submission; Excel workbook ‘Attachment 2 ROS1 NSCLC Kaplan Meier Survival and HRQoL Plots’</w:t>
      </w:r>
    </w:p>
    <w:p w14:paraId="401205B2" w14:textId="77777777" w:rsidR="00805055" w:rsidRPr="0026039D" w:rsidRDefault="005311B8" w:rsidP="00F42334">
      <w:pPr>
        <w:pStyle w:val="TableFigureFooter"/>
        <w:keepNext/>
        <w:keepLines/>
      </w:pPr>
      <w:r w:rsidRPr="0026039D">
        <w:t>CCOD = clinical cut-off date; PF</w:t>
      </w:r>
      <w:r w:rsidR="00805055" w:rsidRPr="0026039D">
        <w:t xml:space="preserve">S = </w:t>
      </w:r>
      <w:r w:rsidRPr="0026039D">
        <w:t xml:space="preserve">progression free </w:t>
      </w:r>
      <w:r w:rsidR="00805055" w:rsidRPr="0026039D">
        <w:t>survival.</w:t>
      </w:r>
    </w:p>
    <w:p w14:paraId="0E715EED" w14:textId="77777777" w:rsidR="00B10F52" w:rsidRPr="0026039D" w:rsidRDefault="00B10F52" w:rsidP="00F42334">
      <w:pPr>
        <w:pStyle w:val="TableFigureFooter"/>
        <w:keepNext/>
        <w:keepLines/>
      </w:pPr>
      <w:r w:rsidRPr="0026039D">
        <w:t>Median follow-up: entrectinib integrated analysis 20.6 months, PROFILE 1001 16.4 months, Wu 2018 21.4 months, EUCROSS 20.6 months, and METROS 21.0 months.</w:t>
      </w:r>
    </w:p>
    <w:p w14:paraId="2E5354BC" w14:textId="77777777" w:rsidR="00B01B98" w:rsidRPr="0026039D" w:rsidRDefault="00F647F4" w:rsidP="003B60A4">
      <w:pPr>
        <w:pStyle w:val="ListParagraph"/>
        <w:numPr>
          <w:ilvl w:val="1"/>
          <w:numId w:val="1"/>
        </w:numPr>
        <w:spacing w:after="160"/>
        <w:rPr>
          <w:iCs/>
        </w:rPr>
      </w:pPr>
      <w:r w:rsidRPr="0026039D">
        <w:t>The m</w:t>
      </w:r>
      <w:r w:rsidR="00B10F52" w:rsidRPr="0026039D">
        <w:t xml:space="preserve">edian OS </w:t>
      </w:r>
      <w:r w:rsidRPr="0026039D">
        <w:t>had</w:t>
      </w:r>
      <w:r w:rsidR="00B10F52" w:rsidRPr="0026039D">
        <w:t xml:space="preserve"> not </w:t>
      </w:r>
      <w:r w:rsidRPr="0026039D">
        <w:t xml:space="preserve">been </w:t>
      </w:r>
      <w:r w:rsidR="00B10F52" w:rsidRPr="0026039D">
        <w:t xml:space="preserve">reached for the entrectinib PAS. While the 12 month OS rate was similar across the entrectinib PAS and </w:t>
      </w:r>
      <w:r w:rsidRPr="0026039D">
        <w:t xml:space="preserve">the </w:t>
      </w:r>
      <w:r w:rsidR="00B10F52" w:rsidRPr="0026039D">
        <w:t>crizotinib studies</w:t>
      </w:r>
      <w:r w:rsidR="0026039D">
        <w:t>;</w:t>
      </w:r>
      <w:r w:rsidR="00B10F52" w:rsidRPr="0026039D">
        <w:t xml:space="preserve"> PROFILE 1001, </w:t>
      </w:r>
      <w:r w:rsidR="00B10F52" w:rsidRPr="0026039D">
        <w:lastRenderedPageBreak/>
        <w:t xml:space="preserve">EUCROSS and METROS, the duration of follow up in </w:t>
      </w:r>
      <w:r w:rsidR="006078A0" w:rsidRPr="0026039D">
        <w:t xml:space="preserve">all </w:t>
      </w:r>
      <w:r w:rsidR="00B10F52" w:rsidRPr="0026039D">
        <w:t>studies</w:t>
      </w:r>
      <w:r w:rsidR="006078A0" w:rsidRPr="0026039D">
        <w:t xml:space="preserve"> other than PROFILE</w:t>
      </w:r>
      <w:r w:rsidR="008553CE" w:rsidRPr="0026039D">
        <w:t xml:space="preserve"> 1001,</w:t>
      </w:r>
      <w:r w:rsidR="00B10F52" w:rsidRPr="0026039D">
        <w:t xml:space="preserve"> was not sufficient to </w:t>
      </w:r>
      <w:r w:rsidR="00F00A80" w:rsidRPr="0026039D">
        <w:t xml:space="preserve">reliably </w:t>
      </w:r>
      <w:r w:rsidR="00B10F52" w:rsidRPr="0026039D">
        <w:t>inform the longer-term efficacy of these treatments in terms of OS</w:t>
      </w:r>
      <w:r w:rsidR="0026039D">
        <w:t>.</w:t>
      </w:r>
      <w:r w:rsidR="00B10F52" w:rsidRPr="0026039D">
        <w:t xml:space="preserve"> </w:t>
      </w:r>
      <w:r w:rsidR="003B60A4">
        <w:t>T</w:t>
      </w:r>
      <w:r w:rsidR="00B10F52" w:rsidRPr="0026039D">
        <w:t>he median survival in the entrectinib PAS, PROFILE 1001 and Wu 2018 was estimated to be greater than 30 months.</w:t>
      </w:r>
      <w:r w:rsidR="00B01B98" w:rsidRPr="0026039D">
        <w:t xml:space="preserve"> </w:t>
      </w:r>
      <w:r w:rsidR="00B7543A" w:rsidRPr="0026039D">
        <w:rPr>
          <w:iCs/>
        </w:rPr>
        <w:t xml:space="preserve">The PSCR </w:t>
      </w:r>
      <w:r w:rsidR="00060DB3" w:rsidRPr="0026039D">
        <w:rPr>
          <w:iCs/>
        </w:rPr>
        <w:t xml:space="preserve">argued </w:t>
      </w:r>
      <w:r w:rsidR="00EA588A" w:rsidRPr="0026039D">
        <w:rPr>
          <w:iCs/>
        </w:rPr>
        <w:t xml:space="preserve">that </w:t>
      </w:r>
      <w:r w:rsidR="00026A18" w:rsidRPr="0026039D">
        <w:rPr>
          <w:iCs/>
        </w:rPr>
        <w:t xml:space="preserve">the maturity of </w:t>
      </w:r>
      <w:r w:rsidR="00EA588A" w:rsidRPr="0026039D">
        <w:rPr>
          <w:iCs/>
        </w:rPr>
        <w:t xml:space="preserve">the </w:t>
      </w:r>
      <w:r w:rsidR="00026A18" w:rsidRPr="0026039D">
        <w:rPr>
          <w:iCs/>
        </w:rPr>
        <w:t xml:space="preserve">data for clinical efficacy of entrectinib was at least consistent </w:t>
      </w:r>
      <w:r w:rsidR="00527F71" w:rsidRPr="0026039D">
        <w:rPr>
          <w:iCs/>
        </w:rPr>
        <w:t xml:space="preserve">with </w:t>
      </w:r>
      <w:r w:rsidR="00026A18" w:rsidRPr="0026039D">
        <w:rPr>
          <w:iCs/>
        </w:rPr>
        <w:t>that</w:t>
      </w:r>
      <w:r w:rsidR="00EA588A" w:rsidRPr="0026039D">
        <w:rPr>
          <w:iCs/>
        </w:rPr>
        <w:t xml:space="preserve"> presented for </w:t>
      </w:r>
      <w:r w:rsidR="00026A18" w:rsidRPr="0026039D">
        <w:rPr>
          <w:iCs/>
        </w:rPr>
        <w:t>crizot</w:t>
      </w:r>
      <w:r w:rsidR="004C38CD" w:rsidRPr="0026039D">
        <w:rPr>
          <w:iCs/>
        </w:rPr>
        <w:t>i</w:t>
      </w:r>
      <w:r w:rsidR="00026A18" w:rsidRPr="0026039D">
        <w:rPr>
          <w:iCs/>
        </w:rPr>
        <w:t>nib</w:t>
      </w:r>
      <w:r w:rsidR="00EA588A" w:rsidRPr="0026039D">
        <w:rPr>
          <w:iCs/>
        </w:rPr>
        <w:t xml:space="preserve">, which </w:t>
      </w:r>
      <w:r w:rsidR="0026039D">
        <w:rPr>
          <w:iCs/>
        </w:rPr>
        <w:t xml:space="preserve">the PBAC had </w:t>
      </w:r>
      <w:r w:rsidR="00EA588A" w:rsidRPr="0026039D">
        <w:rPr>
          <w:iCs/>
        </w:rPr>
        <w:t>previously</w:t>
      </w:r>
      <w:r w:rsidR="00026A18" w:rsidRPr="0026039D">
        <w:rPr>
          <w:iCs/>
        </w:rPr>
        <w:t xml:space="preserve"> accepted and </w:t>
      </w:r>
      <w:r w:rsidR="00060DB3" w:rsidRPr="0026039D">
        <w:rPr>
          <w:iCs/>
        </w:rPr>
        <w:t xml:space="preserve">that </w:t>
      </w:r>
      <w:r w:rsidR="00740ED5" w:rsidRPr="0026039D">
        <w:rPr>
          <w:iCs/>
        </w:rPr>
        <w:t>the KM plots</w:t>
      </w:r>
      <w:r w:rsidR="00E67C0F" w:rsidRPr="0026039D">
        <w:rPr>
          <w:iCs/>
        </w:rPr>
        <w:t xml:space="preserve"> </w:t>
      </w:r>
      <w:r w:rsidR="00C33E95" w:rsidRPr="0026039D">
        <w:rPr>
          <w:iCs/>
        </w:rPr>
        <w:t xml:space="preserve">for </w:t>
      </w:r>
      <w:r w:rsidR="00BC3873" w:rsidRPr="0026039D">
        <w:rPr>
          <w:iCs/>
        </w:rPr>
        <w:t xml:space="preserve">OS and PFS </w:t>
      </w:r>
      <w:r w:rsidR="00060DB3" w:rsidRPr="0026039D">
        <w:rPr>
          <w:iCs/>
        </w:rPr>
        <w:t>show</w:t>
      </w:r>
      <w:r w:rsidR="00BC3873" w:rsidRPr="0026039D">
        <w:rPr>
          <w:iCs/>
        </w:rPr>
        <w:t>ed</w:t>
      </w:r>
      <w:r w:rsidR="00060DB3" w:rsidRPr="0026039D">
        <w:rPr>
          <w:iCs/>
        </w:rPr>
        <w:t xml:space="preserve"> a similar trend in </w:t>
      </w:r>
      <w:r w:rsidR="00BC3873" w:rsidRPr="0026039D">
        <w:rPr>
          <w:iCs/>
        </w:rPr>
        <w:t>survival probabilities</w:t>
      </w:r>
      <w:r w:rsidR="00E67C0F" w:rsidRPr="0026039D">
        <w:rPr>
          <w:iCs/>
        </w:rPr>
        <w:t xml:space="preserve"> </w:t>
      </w:r>
      <w:r w:rsidR="00C53A1B" w:rsidRPr="0026039D">
        <w:rPr>
          <w:iCs/>
        </w:rPr>
        <w:t>that supports the claim of non-inferior efficacy for entrectinib</w:t>
      </w:r>
      <w:r w:rsidR="00060DB3" w:rsidRPr="0026039D">
        <w:rPr>
          <w:iCs/>
        </w:rPr>
        <w:t>.</w:t>
      </w:r>
      <w:r w:rsidR="00EA588A" w:rsidRPr="0026039D">
        <w:rPr>
          <w:iCs/>
        </w:rPr>
        <w:t xml:space="preserve"> The ESC considered</w:t>
      </w:r>
      <w:r w:rsidR="0074203F" w:rsidRPr="0026039D">
        <w:rPr>
          <w:iCs/>
        </w:rPr>
        <w:t xml:space="preserve"> that based on the </w:t>
      </w:r>
      <w:r w:rsidR="004B2345" w:rsidRPr="0026039D">
        <w:rPr>
          <w:iCs/>
        </w:rPr>
        <w:t>available evidence,</w:t>
      </w:r>
      <w:r w:rsidR="005D5623" w:rsidRPr="0026039D">
        <w:rPr>
          <w:iCs/>
        </w:rPr>
        <w:t xml:space="preserve"> </w:t>
      </w:r>
      <w:r w:rsidR="003B60A4">
        <w:rPr>
          <w:iCs/>
        </w:rPr>
        <w:t xml:space="preserve">it was reasonable to conclude that </w:t>
      </w:r>
      <w:r w:rsidR="00701660" w:rsidRPr="0026039D">
        <w:rPr>
          <w:iCs/>
        </w:rPr>
        <w:t xml:space="preserve">PFS </w:t>
      </w:r>
      <w:r w:rsidR="009B188F" w:rsidRPr="0026039D">
        <w:rPr>
          <w:iCs/>
        </w:rPr>
        <w:t>between</w:t>
      </w:r>
      <w:r w:rsidR="00701660" w:rsidRPr="0026039D">
        <w:rPr>
          <w:iCs/>
        </w:rPr>
        <w:t xml:space="preserve"> </w:t>
      </w:r>
      <w:r w:rsidR="006F78E6" w:rsidRPr="0026039D">
        <w:rPr>
          <w:iCs/>
        </w:rPr>
        <w:t xml:space="preserve">entrectinib </w:t>
      </w:r>
      <w:r w:rsidR="00701660" w:rsidRPr="0026039D">
        <w:rPr>
          <w:iCs/>
        </w:rPr>
        <w:t>and crizotinib</w:t>
      </w:r>
      <w:r w:rsidR="005D5623" w:rsidRPr="0026039D">
        <w:rPr>
          <w:iCs/>
        </w:rPr>
        <w:t xml:space="preserve"> was comparable. The </w:t>
      </w:r>
      <w:r w:rsidR="009B188F" w:rsidRPr="0026039D">
        <w:rPr>
          <w:iCs/>
        </w:rPr>
        <w:t xml:space="preserve">ESC noted that although median OS was not reached in the entrectinib PAS, the data indicated a similar </w:t>
      </w:r>
      <w:r w:rsidR="006560A4" w:rsidRPr="0026039D">
        <w:rPr>
          <w:iCs/>
        </w:rPr>
        <w:t xml:space="preserve">trend in the </w:t>
      </w:r>
      <w:r w:rsidR="009B188F" w:rsidRPr="0026039D">
        <w:rPr>
          <w:iCs/>
        </w:rPr>
        <w:t xml:space="preserve">OS </w:t>
      </w:r>
      <w:r w:rsidR="006560A4" w:rsidRPr="0026039D">
        <w:rPr>
          <w:iCs/>
        </w:rPr>
        <w:t xml:space="preserve">KM curve </w:t>
      </w:r>
      <w:r w:rsidR="009B188F" w:rsidRPr="0026039D">
        <w:rPr>
          <w:iCs/>
        </w:rPr>
        <w:t xml:space="preserve">compared to the results for crizotinib. </w:t>
      </w:r>
    </w:p>
    <w:p w14:paraId="4DE67156" w14:textId="77777777" w:rsidR="00A3342C" w:rsidRPr="0026039D" w:rsidRDefault="00A3342C" w:rsidP="00315F69">
      <w:pPr>
        <w:pStyle w:val="ListParagraph"/>
        <w:numPr>
          <w:ilvl w:val="1"/>
          <w:numId w:val="1"/>
        </w:numPr>
        <w:spacing w:after="160"/>
      </w:pPr>
      <w:r w:rsidRPr="0026039D">
        <w:rPr>
          <w:iCs/>
        </w:rPr>
        <w:t>Quality of life (QoL) data were collected in the entrectinib study STARTRK-2 and the crizotinib studies Wu 2018 and EUCROSS, using the European Organisation for Research and Treatment of Cancer (EORTC) quality of life questionnaire (QLQ)-C30. In STARTRK-2 (N=37), the mean change from baseline in the global health status did not statistically differ from zero over the first 68 weeks; the results beyond this time-point were unreliable due to the small number of patients contributing to the data. In Wu 2018, while the mean change from baseline in the global health status for patients receiving crizotinib was above zero over the first 68 weeks, it was not clear whether this improvement was clinically meaningful. The change from baseline was not reported in EUCROSS. Any comparison of the QoL data across the studies should be interpreted with caution, given the considerable potential for attrition bias, the subjective nature of the outcome (and open label design of the studies), and the low number of patients contributing to the results in STARTRK-2 and EUCROSS, especially at the later time-points.</w:t>
      </w:r>
    </w:p>
    <w:p w14:paraId="1C96BD32" w14:textId="77777777" w:rsidR="00B10F52" w:rsidRPr="0026039D" w:rsidRDefault="00B10F52" w:rsidP="00B10F52">
      <w:pPr>
        <w:pStyle w:val="4-SubsectionHeading"/>
      </w:pPr>
      <w:bookmarkStart w:id="16" w:name="_Toc22897642"/>
      <w:bookmarkStart w:id="17" w:name="_Toc30597573"/>
      <w:r w:rsidRPr="0026039D">
        <w:t>Comparative harms</w:t>
      </w:r>
      <w:bookmarkEnd w:id="16"/>
      <w:bookmarkEnd w:id="17"/>
    </w:p>
    <w:p w14:paraId="5DE4EF8B" w14:textId="77777777" w:rsidR="00B10F52" w:rsidRPr="0026039D" w:rsidRDefault="00B10F52" w:rsidP="00A14D9D">
      <w:pPr>
        <w:pStyle w:val="ListParagraph"/>
        <w:numPr>
          <w:ilvl w:val="1"/>
          <w:numId w:val="1"/>
        </w:numPr>
        <w:spacing w:after="160"/>
        <w:rPr>
          <w:iCs/>
          <w:color w:val="000000" w:themeColor="text1"/>
        </w:rPr>
      </w:pPr>
      <w:r w:rsidRPr="0026039D">
        <w:t xml:space="preserve">The key adverse events (AEs) in the </w:t>
      </w:r>
      <w:r w:rsidR="005A28E0" w:rsidRPr="0026039D">
        <w:t>single arm</w:t>
      </w:r>
      <w:r w:rsidRPr="0026039D">
        <w:t xml:space="preserve"> studies are summarised below. </w:t>
      </w:r>
      <w:r w:rsidRPr="0026039D">
        <w:rPr>
          <w:iCs/>
        </w:rPr>
        <w:t>It should be noted that in</w:t>
      </w:r>
      <w:r w:rsidR="002D7112" w:rsidRPr="0026039D">
        <w:rPr>
          <w:iCs/>
        </w:rPr>
        <w:t xml:space="preserve"> </w:t>
      </w:r>
      <w:r w:rsidR="007F6CAB" w:rsidRPr="0026039D">
        <w:rPr>
          <w:iCs/>
        </w:rPr>
        <w:t xml:space="preserve">the tables of AEs </w:t>
      </w:r>
      <w:r w:rsidR="007A5E41" w:rsidRPr="0026039D">
        <w:rPr>
          <w:iCs/>
        </w:rPr>
        <w:t xml:space="preserve">in </w:t>
      </w:r>
      <w:r w:rsidR="009260DE" w:rsidRPr="0026039D">
        <w:rPr>
          <w:iCs/>
        </w:rPr>
        <w:t>the submission</w:t>
      </w:r>
      <w:r w:rsidRPr="0026039D">
        <w:rPr>
          <w:iCs/>
        </w:rPr>
        <w:t xml:space="preserve">, the </w:t>
      </w:r>
      <w:r w:rsidR="007F6CAB" w:rsidRPr="0026039D">
        <w:rPr>
          <w:iCs/>
        </w:rPr>
        <w:t>data for Wu 2018 and METROS were AEs considered to be related to study treatment (treatment related AEs, TRAEs), while the d</w:t>
      </w:r>
      <w:r w:rsidRPr="0026039D">
        <w:rPr>
          <w:iCs/>
        </w:rPr>
        <w:t xml:space="preserve">ata reported for </w:t>
      </w:r>
      <w:r w:rsidR="007F6CAB" w:rsidRPr="0026039D">
        <w:rPr>
          <w:iCs/>
        </w:rPr>
        <w:t>the remaining</w:t>
      </w:r>
      <w:r w:rsidRPr="0026039D">
        <w:rPr>
          <w:iCs/>
        </w:rPr>
        <w:t xml:space="preserve"> studies were AE</w:t>
      </w:r>
      <w:r w:rsidR="007F6CAB" w:rsidRPr="0026039D">
        <w:rPr>
          <w:iCs/>
        </w:rPr>
        <w:t>s regard</w:t>
      </w:r>
      <w:r w:rsidR="002A752C" w:rsidRPr="0026039D">
        <w:rPr>
          <w:iCs/>
        </w:rPr>
        <w:t xml:space="preserve">less of </w:t>
      </w:r>
      <w:r w:rsidR="00EB27E7" w:rsidRPr="0026039D">
        <w:rPr>
          <w:iCs/>
        </w:rPr>
        <w:t>causality</w:t>
      </w:r>
      <w:r w:rsidR="007F6CAB" w:rsidRPr="0026039D">
        <w:rPr>
          <w:iCs/>
        </w:rPr>
        <w:t>.</w:t>
      </w:r>
      <w:r w:rsidRPr="0026039D">
        <w:rPr>
          <w:iCs/>
        </w:rPr>
        <w:t xml:space="preserve"> </w:t>
      </w:r>
      <w:r w:rsidR="00360A04" w:rsidRPr="0026039D">
        <w:rPr>
          <w:iCs/>
        </w:rPr>
        <w:t>As Wu 2018 and METROS did not</w:t>
      </w:r>
      <w:r w:rsidR="00580D43" w:rsidRPr="0026039D">
        <w:rPr>
          <w:iCs/>
        </w:rPr>
        <w:t xml:space="preserve"> report AEs due to any cause</w:t>
      </w:r>
      <w:r w:rsidR="00360A04" w:rsidRPr="0026039D">
        <w:rPr>
          <w:iCs/>
        </w:rPr>
        <w:t xml:space="preserve"> to allow a comparison across the studies, </w:t>
      </w:r>
      <w:r w:rsidRPr="0026039D">
        <w:rPr>
          <w:iCs/>
        </w:rPr>
        <w:t>AEs considered to be treatment-related have been reported below.</w:t>
      </w:r>
      <w:r w:rsidR="00F15476" w:rsidRPr="0026039D">
        <w:rPr>
          <w:iCs/>
        </w:rPr>
        <w:t xml:space="preserve"> </w:t>
      </w:r>
    </w:p>
    <w:p w14:paraId="32C6932B" w14:textId="77777777" w:rsidR="00B10F52" w:rsidRPr="0026039D" w:rsidRDefault="00B10F52" w:rsidP="00B10F52">
      <w:pPr>
        <w:pStyle w:val="TableFigureHeading"/>
      </w:pPr>
      <w:r w:rsidRPr="0026039D">
        <w:lastRenderedPageBreak/>
        <w:t xml:space="preserve">Table </w:t>
      </w:r>
      <w:r w:rsidR="00871462" w:rsidRPr="0026039D">
        <w:t>7</w:t>
      </w:r>
      <w:r w:rsidRPr="0026039D">
        <w:t xml:space="preserve">: Summary of key treatment-related adverse events in the </w:t>
      </w:r>
      <w:r w:rsidR="005A28E0" w:rsidRPr="0026039D">
        <w:t>single arm</w:t>
      </w:r>
      <w:r w:rsidRPr="0026039D">
        <w:t xml:space="preserve"> studies</w:t>
      </w:r>
    </w:p>
    <w:tbl>
      <w:tblPr>
        <w:tblStyle w:val="TableGrid"/>
        <w:tblW w:w="5000" w:type="pct"/>
        <w:tblLook w:val="04A0" w:firstRow="1" w:lastRow="0" w:firstColumn="1" w:lastColumn="0" w:noHBand="0" w:noVBand="1"/>
        <w:tblCaption w:val="Table 7: Summary of key treatment-related adverse events in the single arm studies"/>
        <w:tblDescription w:val="Table 7: Summary of key treatment-related adverse events in the single arm studies"/>
      </w:tblPr>
      <w:tblGrid>
        <w:gridCol w:w="2376"/>
        <w:gridCol w:w="1324"/>
        <w:gridCol w:w="1362"/>
        <w:gridCol w:w="1324"/>
        <w:gridCol w:w="1325"/>
        <w:gridCol w:w="1306"/>
      </w:tblGrid>
      <w:tr w:rsidR="00B10F52" w:rsidRPr="008348C0" w14:paraId="01B5B9E2" w14:textId="77777777" w:rsidTr="0041158C">
        <w:trPr>
          <w:tblHeader/>
        </w:trPr>
        <w:tc>
          <w:tcPr>
            <w:tcW w:w="1318" w:type="pct"/>
            <w:tcBorders>
              <w:bottom w:val="nil"/>
            </w:tcBorders>
          </w:tcPr>
          <w:p w14:paraId="0708B323" w14:textId="77777777" w:rsidR="00B10F52" w:rsidRPr="008348C0" w:rsidRDefault="00B10F52" w:rsidP="009D63F1">
            <w:pPr>
              <w:pStyle w:val="In-tableHeading"/>
              <w:rPr>
                <w:szCs w:val="20"/>
                <w:lang w:val="en-AU"/>
              </w:rPr>
            </w:pPr>
          </w:p>
        </w:tc>
        <w:tc>
          <w:tcPr>
            <w:tcW w:w="734" w:type="pct"/>
            <w:vAlign w:val="center"/>
          </w:tcPr>
          <w:p w14:paraId="73CD095F" w14:textId="77777777" w:rsidR="00B10F52" w:rsidRPr="008348C0" w:rsidRDefault="00B10F52" w:rsidP="009D63F1">
            <w:pPr>
              <w:pStyle w:val="In-tableHeading"/>
              <w:jc w:val="center"/>
              <w:rPr>
                <w:szCs w:val="20"/>
                <w:lang w:val="en-AU"/>
              </w:rPr>
            </w:pPr>
            <w:r w:rsidRPr="008348C0">
              <w:rPr>
                <w:szCs w:val="20"/>
                <w:lang w:val="en-AU"/>
              </w:rPr>
              <w:t>Entrectinib</w:t>
            </w:r>
          </w:p>
        </w:tc>
        <w:tc>
          <w:tcPr>
            <w:tcW w:w="2948" w:type="pct"/>
            <w:gridSpan w:val="4"/>
            <w:vAlign w:val="center"/>
          </w:tcPr>
          <w:p w14:paraId="1BED828A" w14:textId="77777777" w:rsidR="00B10F52" w:rsidRPr="008348C0" w:rsidRDefault="00B10F52" w:rsidP="009D63F1">
            <w:pPr>
              <w:pStyle w:val="In-tableHeading"/>
              <w:jc w:val="center"/>
              <w:rPr>
                <w:szCs w:val="20"/>
                <w:lang w:val="en-AU"/>
              </w:rPr>
            </w:pPr>
            <w:r w:rsidRPr="008348C0">
              <w:rPr>
                <w:szCs w:val="20"/>
                <w:lang w:val="en-AU"/>
              </w:rPr>
              <w:t>Crizotinib</w:t>
            </w:r>
          </w:p>
        </w:tc>
      </w:tr>
      <w:tr w:rsidR="00B10F52" w:rsidRPr="008348C0" w14:paraId="1A872146" w14:textId="77777777" w:rsidTr="00B41A01">
        <w:tc>
          <w:tcPr>
            <w:tcW w:w="1318" w:type="pct"/>
            <w:tcBorders>
              <w:top w:val="nil"/>
            </w:tcBorders>
          </w:tcPr>
          <w:p w14:paraId="33A8CD19" w14:textId="77777777" w:rsidR="00B10F52" w:rsidRPr="008348C0" w:rsidRDefault="00B10F52" w:rsidP="009D63F1">
            <w:pPr>
              <w:pStyle w:val="In-tableHeading"/>
              <w:rPr>
                <w:szCs w:val="20"/>
                <w:lang w:val="en-AU"/>
              </w:rPr>
            </w:pPr>
          </w:p>
        </w:tc>
        <w:tc>
          <w:tcPr>
            <w:tcW w:w="734" w:type="pct"/>
            <w:vAlign w:val="center"/>
          </w:tcPr>
          <w:p w14:paraId="6DD10230" w14:textId="77777777" w:rsidR="00B10F52" w:rsidRPr="008348C0" w:rsidRDefault="00B10F52" w:rsidP="009D63F1">
            <w:pPr>
              <w:pStyle w:val="In-tableHeading"/>
              <w:jc w:val="center"/>
              <w:rPr>
                <w:szCs w:val="20"/>
                <w:vertAlign w:val="superscript"/>
                <w:lang w:val="en-AU"/>
              </w:rPr>
            </w:pPr>
            <w:r w:rsidRPr="008348C0">
              <w:rPr>
                <w:szCs w:val="20"/>
                <w:lang w:val="en-AU"/>
              </w:rPr>
              <w:t>SAS</w:t>
            </w:r>
            <w:r w:rsidR="00CD584B" w:rsidRPr="008348C0">
              <w:rPr>
                <w:szCs w:val="20"/>
                <w:vertAlign w:val="superscript"/>
                <w:lang w:val="en-AU"/>
              </w:rPr>
              <w:t>a</w:t>
            </w:r>
          </w:p>
          <w:p w14:paraId="064DCE92" w14:textId="77777777" w:rsidR="00B10F52" w:rsidRPr="008348C0" w:rsidRDefault="00404EC4" w:rsidP="00404EC4">
            <w:pPr>
              <w:pStyle w:val="In-tableHeading"/>
              <w:jc w:val="center"/>
              <w:rPr>
                <w:szCs w:val="20"/>
                <w:lang w:val="en-AU"/>
              </w:rPr>
            </w:pPr>
            <w:r w:rsidRPr="008348C0">
              <w:rPr>
                <w:szCs w:val="20"/>
                <w:lang w:val="en-AU"/>
              </w:rPr>
              <w:t>N=134</w:t>
            </w:r>
          </w:p>
        </w:tc>
        <w:tc>
          <w:tcPr>
            <w:tcW w:w="755" w:type="pct"/>
            <w:vAlign w:val="center"/>
          </w:tcPr>
          <w:p w14:paraId="71FA7680" w14:textId="77777777" w:rsidR="00B10F52" w:rsidRPr="008348C0" w:rsidRDefault="00B10F52" w:rsidP="009D63F1">
            <w:pPr>
              <w:pStyle w:val="In-tableHeading"/>
              <w:jc w:val="center"/>
              <w:rPr>
                <w:szCs w:val="20"/>
                <w:lang w:val="en-AU"/>
              </w:rPr>
            </w:pPr>
            <w:r w:rsidRPr="008348C0">
              <w:rPr>
                <w:szCs w:val="20"/>
                <w:lang w:val="en-AU"/>
              </w:rPr>
              <w:t>PROFILE 1001</w:t>
            </w:r>
          </w:p>
          <w:p w14:paraId="30A106EF" w14:textId="77777777" w:rsidR="00B10F52" w:rsidRPr="008348C0" w:rsidRDefault="00B10F52" w:rsidP="00404EC4">
            <w:pPr>
              <w:pStyle w:val="In-tableHeading"/>
              <w:jc w:val="center"/>
              <w:rPr>
                <w:szCs w:val="20"/>
                <w:vertAlign w:val="superscript"/>
                <w:lang w:val="en-AU"/>
              </w:rPr>
            </w:pPr>
            <w:r w:rsidRPr="008348C0">
              <w:rPr>
                <w:szCs w:val="20"/>
                <w:lang w:val="en-AU"/>
              </w:rPr>
              <w:t>N=53</w:t>
            </w:r>
            <w:r w:rsidR="00CD584B" w:rsidRPr="008348C0">
              <w:rPr>
                <w:szCs w:val="20"/>
                <w:vertAlign w:val="superscript"/>
                <w:lang w:val="en-AU"/>
              </w:rPr>
              <w:t>b</w:t>
            </w:r>
          </w:p>
        </w:tc>
        <w:tc>
          <w:tcPr>
            <w:tcW w:w="734" w:type="pct"/>
            <w:vAlign w:val="center"/>
          </w:tcPr>
          <w:p w14:paraId="2C93D12C" w14:textId="77777777" w:rsidR="00B10F52" w:rsidRPr="008348C0" w:rsidRDefault="00B10F52" w:rsidP="009D63F1">
            <w:pPr>
              <w:pStyle w:val="In-tableHeading"/>
              <w:jc w:val="center"/>
              <w:rPr>
                <w:szCs w:val="20"/>
                <w:lang w:val="en-AU"/>
              </w:rPr>
            </w:pPr>
            <w:r w:rsidRPr="008348C0">
              <w:rPr>
                <w:szCs w:val="20"/>
                <w:lang w:val="en-AU"/>
              </w:rPr>
              <w:t>Wu 2018</w:t>
            </w:r>
          </w:p>
          <w:p w14:paraId="3DCC505D" w14:textId="77777777" w:rsidR="00B10F52" w:rsidRPr="008348C0" w:rsidRDefault="00404EC4" w:rsidP="00404EC4">
            <w:pPr>
              <w:pStyle w:val="In-tableHeading"/>
              <w:jc w:val="center"/>
              <w:rPr>
                <w:szCs w:val="20"/>
                <w:lang w:val="en-AU"/>
              </w:rPr>
            </w:pPr>
            <w:r w:rsidRPr="008348C0">
              <w:rPr>
                <w:szCs w:val="20"/>
                <w:lang w:val="en-AU"/>
              </w:rPr>
              <w:t xml:space="preserve">N=127 </w:t>
            </w:r>
          </w:p>
        </w:tc>
        <w:tc>
          <w:tcPr>
            <w:tcW w:w="735" w:type="pct"/>
            <w:vAlign w:val="center"/>
          </w:tcPr>
          <w:p w14:paraId="6233CF48" w14:textId="77777777" w:rsidR="00B10F52" w:rsidRPr="008348C0" w:rsidRDefault="00B10F52" w:rsidP="009D63F1">
            <w:pPr>
              <w:pStyle w:val="In-tableHeading"/>
              <w:jc w:val="center"/>
              <w:rPr>
                <w:szCs w:val="20"/>
                <w:lang w:val="en-AU"/>
              </w:rPr>
            </w:pPr>
            <w:r w:rsidRPr="008348C0">
              <w:rPr>
                <w:szCs w:val="20"/>
                <w:lang w:val="en-AU"/>
              </w:rPr>
              <w:t>EUCROSS</w:t>
            </w:r>
          </w:p>
          <w:p w14:paraId="78A3F2A4" w14:textId="77777777" w:rsidR="00B10F52" w:rsidRPr="008348C0" w:rsidRDefault="00404EC4" w:rsidP="00404EC4">
            <w:pPr>
              <w:pStyle w:val="In-tableHeading"/>
              <w:jc w:val="center"/>
              <w:rPr>
                <w:szCs w:val="20"/>
                <w:lang w:val="en-AU"/>
              </w:rPr>
            </w:pPr>
            <w:r w:rsidRPr="008348C0">
              <w:rPr>
                <w:szCs w:val="20"/>
                <w:lang w:val="en-AU"/>
              </w:rPr>
              <w:t>N=34</w:t>
            </w:r>
          </w:p>
        </w:tc>
        <w:tc>
          <w:tcPr>
            <w:tcW w:w="724" w:type="pct"/>
            <w:vAlign w:val="center"/>
          </w:tcPr>
          <w:p w14:paraId="44A07696" w14:textId="77777777" w:rsidR="00B10F52" w:rsidRPr="008348C0" w:rsidRDefault="00B10F52" w:rsidP="009D63F1">
            <w:pPr>
              <w:pStyle w:val="In-tableHeading"/>
              <w:jc w:val="center"/>
              <w:rPr>
                <w:szCs w:val="20"/>
                <w:lang w:val="en-AU"/>
              </w:rPr>
            </w:pPr>
            <w:r w:rsidRPr="008348C0">
              <w:rPr>
                <w:szCs w:val="20"/>
                <w:lang w:val="en-AU"/>
              </w:rPr>
              <w:t>METROS</w:t>
            </w:r>
          </w:p>
          <w:p w14:paraId="5AF23FD1" w14:textId="77777777" w:rsidR="00B10F52" w:rsidRPr="008348C0" w:rsidRDefault="00404EC4" w:rsidP="00404EC4">
            <w:pPr>
              <w:pStyle w:val="In-tableHeading"/>
              <w:jc w:val="center"/>
              <w:rPr>
                <w:szCs w:val="20"/>
                <w:lang w:val="en-AU"/>
              </w:rPr>
            </w:pPr>
            <w:r w:rsidRPr="008348C0">
              <w:rPr>
                <w:szCs w:val="20"/>
                <w:lang w:val="en-AU"/>
              </w:rPr>
              <w:t xml:space="preserve">N=26 </w:t>
            </w:r>
          </w:p>
        </w:tc>
      </w:tr>
      <w:tr w:rsidR="00B10F52" w:rsidRPr="008348C0" w14:paraId="23F745D2" w14:textId="77777777" w:rsidTr="00B41A01">
        <w:tc>
          <w:tcPr>
            <w:tcW w:w="1318" w:type="pct"/>
          </w:tcPr>
          <w:p w14:paraId="4D1446EE" w14:textId="77777777" w:rsidR="00B10F52" w:rsidRPr="008348C0" w:rsidRDefault="00B10F52" w:rsidP="009D63F1">
            <w:pPr>
              <w:pStyle w:val="TableText0"/>
              <w:rPr>
                <w:szCs w:val="20"/>
              </w:rPr>
            </w:pPr>
            <w:r w:rsidRPr="008348C0">
              <w:rPr>
                <w:szCs w:val="20"/>
              </w:rPr>
              <w:t>Median duration of treatment,</w:t>
            </w:r>
            <w:r w:rsidRPr="008348C0">
              <w:rPr>
                <w:szCs w:val="20"/>
              </w:rPr>
              <w:br/>
              <w:t>months (range)</w:t>
            </w:r>
          </w:p>
        </w:tc>
        <w:tc>
          <w:tcPr>
            <w:tcW w:w="734" w:type="pct"/>
            <w:vAlign w:val="center"/>
          </w:tcPr>
          <w:p w14:paraId="1DF203C3" w14:textId="77777777" w:rsidR="00B10F52" w:rsidRPr="007077FF" w:rsidRDefault="007077FF" w:rsidP="009D63F1">
            <w:pPr>
              <w:pStyle w:val="TableText0"/>
              <w:jc w:val="center"/>
              <w:rPr>
                <w:szCs w:val="20"/>
                <w:highlight w:val="black"/>
              </w:rPr>
            </w:pPr>
            <w:r>
              <w:rPr>
                <w:noProof/>
                <w:color w:val="000000"/>
                <w:szCs w:val="20"/>
                <w:highlight w:val="black"/>
              </w:rPr>
              <w:t>'''''''''''</w:t>
            </w:r>
          </w:p>
          <w:p w14:paraId="68870782" w14:textId="77777777" w:rsidR="00B10F52" w:rsidRPr="008348C0" w:rsidRDefault="00B10F52" w:rsidP="009D63F1">
            <w:pPr>
              <w:pStyle w:val="TableText0"/>
              <w:jc w:val="center"/>
              <w:rPr>
                <w:szCs w:val="20"/>
              </w:rPr>
            </w:pPr>
            <w:r w:rsidRPr="008348C0">
              <w:rPr>
                <w:szCs w:val="20"/>
              </w:rPr>
              <w:t>(</w:t>
            </w:r>
            <w:r w:rsidR="007077FF">
              <w:rPr>
                <w:noProof/>
                <w:color w:val="000000"/>
                <w:szCs w:val="20"/>
                <w:highlight w:val="black"/>
              </w:rPr>
              <w:t>''''''''</w:t>
            </w:r>
            <w:r w:rsidRPr="008348C0">
              <w:rPr>
                <w:szCs w:val="20"/>
              </w:rPr>
              <w:t xml:space="preserve">, </w:t>
            </w:r>
            <w:r w:rsidR="007077FF">
              <w:rPr>
                <w:noProof/>
                <w:color w:val="000000"/>
                <w:szCs w:val="20"/>
                <w:highlight w:val="black"/>
              </w:rPr>
              <w:t>''''''''''</w:t>
            </w:r>
            <w:r w:rsidRPr="008348C0">
              <w:rPr>
                <w:szCs w:val="20"/>
              </w:rPr>
              <w:t>)</w:t>
            </w:r>
          </w:p>
        </w:tc>
        <w:tc>
          <w:tcPr>
            <w:tcW w:w="755" w:type="pct"/>
            <w:vAlign w:val="center"/>
          </w:tcPr>
          <w:p w14:paraId="1F3804DC" w14:textId="77777777" w:rsidR="00B10F52" w:rsidRPr="008348C0" w:rsidRDefault="00C01514" w:rsidP="009D63F1">
            <w:pPr>
              <w:pStyle w:val="TableText0"/>
              <w:jc w:val="center"/>
              <w:rPr>
                <w:szCs w:val="20"/>
                <w:vertAlign w:val="superscript"/>
              </w:rPr>
            </w:pPr>
            <w:r w:rsidRPr="008348C0">
              <w:rPr>
                <w:szCs w:val="20"/>
              </w:rPr>
              <w:t>22.4</w:t>
            </w:r>
            <w:r w:rsidR="00CD584B" w:rsidRPr="008348C0">
              <w:rPr>
                <w:szCs w:val="20"/>
                <w:vertAlign w:val="superscript"/>
              </w:rPr>
              <w:t>c</w:t>
            </w:r>
          </w:p>
          <w:p w14:paraId="431F1E59" w14:textId="77777777" w:rsidR="00B10F52" w:rsidRPr="008348C0" w:rsidRDefault="00B10F52" w:rsidP="001E6DA0">
            <w:pPr>
              <w:pStyle w:val="TableText0"/>
              <w:jc w:val="center"/>
              <w:rPr>
                <w:szCs w:val="20"/>
              </w:rPr>
            </w:pPr>
            <w:r w:rsidRPr="008348C0">
              <w:rPr>
                <w:szCs w:val="20"/>
              </w:rPr>
              <w:t>(</w:t>
            </w:r>
            <w:r w:rsidR="001E6DA0" w:rsidRPr="008348C0">
              <w:rPr>
                <w:szCs w:val="20"/>
              </w:rPr>
              <w:t>NR</w:t>
            </w:r>
            <w:r w:rsidRPr="008348C0">
              <w:rPr>
                <w:szCs w:val="20"/>
              </w:rPr>
              <w:t>)</w:t>
            </w:r>
          </w:p>
        </w:tc>
        <w:tc>
          <w:tcPr>
            <w:tcW w:w="734" w:type="pct"/>
            <w:vAlign w:val="center"/>
          </w:tcPr>
          <w:p w14:paraId="1BDC1F8A" w14:textId="77777777" w:rsidR="00B10F52" w:rsidRPr="008348C0" w:rsidRDefault="00B10F52" w:rsidP="009D63F1">
            <w:pPr>
              <w:pStyle w:val="TableText0"/>
              <w:jc w:val="center"/>
              <w:rPr>
                <w:szCs w:val="20"/>
              </w:rPr>
            </w:pPr>
            <w:r w:rsidRPr="008348C0">
              <w:rPr>
                <w:szCs w:val="20"/>
              </w:rPr>
              <w:t>18.4</w:t>
            </w:r>
          </w:p>
          <w:p w14:paraId="66B2B77D" w14:textId="77777777" w:rsidR="00B10F52" w:rsidRPr="008348C0" w:rsidRDefault="00B10F52" w:rsidP="009D63F1">
            <w:pPr>
              <w:pStyle w:val="TableText0"/>
              <w:jc w:val="center"/>
              <w:rPr>
                <w:szCs w:val="20"/>
              </w:rPr>
            </w:pPr>
            <w:r w:rsidRPr="008348C0">
              <w:rPr>
                <w:szCs w:val="20"/>
              </w:rPr>
              <w:t>(0.1, 34.1)</w:t>
            </w:r>
          </w:p>
        </w:tc>
        <w:tc>
          <w:tcPr>
            <w:tcW w:w="735" w:type="pct"/>
            <w:vAlign w:val="center"/>
          </w:tcPr>
          <w:p w14:paraId="713625C0" w14:textId="77777777" w:rsidR="00B10F52" w:rsidRPr="008348C0" w:rsidRDefault="00B10F52" w:rsidP="009D63F1">
            <w:pPr>
              <w:pStyle w:val="TableText0"/>
              <w:jc w:val="center"/>
              <w:rPr>
                <w:szCs w:val="20"/>
              </w:rPr>
            </w:pPr>
            <w:r w:rsidRPr="008348C0">
              <w:rPr>
                <w:szCs w:val="20"/>
              </w:rPr>
              <w:t>NR</w:t>
            </w:r>
          </w:p>
        </w:tc>
        <w:tc>
          <w:tcPr>
            <w:tcW w:w="724" w:type="pct"/>
            <w:vAlign w:val="center"/>
          </w:tcPr>
          <w:p w14:paraId="455333CE" w14:textId="77777777" w:rsidR="00B10F52" w:rsidRPr="008348C0" w:rsidRDefault="00B10F52" w:rsidP="009D63F1">
            <w:pPr>
              <w:pStyle w:val="TableText0"/>
              <w:jc w:val="center"/>
              <w:rPr>
                <w:szCs w:val="20"/>
              </w:rPr>
            </w:pPr>
            <w:r w:rsidRPr="008348C0">
              <w:rPr>
                <w:szCs w:val="20"/>
              </w:rPr>
              <w:t xml:space="preserve">15.2 </w:t>
            </w:r>
            <w:r w:rsidRPr="008348C0">
              <w:rPr>
                <w:szCs w:val="20"/>
              </w:rPr>
              <w:br/>
              <w:t>(NR)</w:t>
            </w:r>
          </w:p>
        </w:tc>
      </w:tr>
      <w:tr w:rsidR="00B10F52" w:rsidRPr="008348C0" w14:paraId="30642D4B" w14:textId="77777777" w:rsidTr="00B41A01">
        <w:tc>
          <w:tcPr>
            <w:tcW w:w="1318" w:type="pct"/>
          </w:tcPr>
          <w:p w14:paraId="603E56EA" w14:textId="77777777" w:rsidR="00B10F52" w:rsidRPr="008348C0" w:rsidRDefault="00B10F52" w:rsidP="009D63F1">
            <w:pPr>
              <w:pStyle w:val="TableText0"/>
              <w:rPr>
                <w:szCs w:val="20"/>
              </w:rPr>
            </w:pPr>
            <w:r w:rsidRPr="008348C0">
              <w:rPr>
                <w:szCs w:val="20"/>
              </w:rPr>
              <w:t>Any TRAE, n (%)</w:t>
            </w:r>
          </w:p>
        </w:tc>
        <w:tc>
          <w:tcPr>
            <w:tcW w:w="734" w:type="pct"/>
            <w:vAlign w:val="center"/>
          </w:tcPr>
          <w:p w14:paraId="52992FBD" w14:textId="77777777" w:rsidR="00B10F52" w:rsidRPr="008348C0" w:rsidRDefault="007077FF" w:rsidP="009D63F1">
            <w:pPr>
              <w:pStyle w:val="TableText0"/>
              <w:jc w:val="center"/>
              <w:rPr>
                <w:szCs w:val="20"/>
              </w:rPr>
            </w:pPr>
            <w:r>
              <w:rPr>
                <w:noProof/>
                <w:color w:val="000000"/>
                <w:szCs w:val="20"/>
                <w:highlight w:val="black"/>
              </w:rPr>
              <w:t>''''''''''</w:t>
            </w:r>
            <w:r w:rsidR="00B10F52" w:rsidRPr="008348C0">
              <w:rPr>
                <w:szCs w:val="20"/>
              </w:rPr>
              <w:t xml:space="preserve"> (</w:t>
            </w:r>
            <w:r>
              <w:rPr>
                <w:noProof/>
                <w:color w:val="000000"/>
                <w:szCs w:val="20"/>
                <w:highlight w:val="black"/>
              </w:rPr>
              <w:t>''''''''''''</w:t>
            </w:r>
            <w:r w:rsidR="00B10F52" w:rsidRPr="008348C0">
              <w:rPr>
                <w:szCs w:val="20"/>
              </w:rPr>
              <w:t>%)</w:t>
            </w:r>
          </w:p>
        </w:tc>
        <w:tc>
          <w:tcPr>
            <w:tcW w:w="755" w:type="pct"/>
            <w:vAlign w:val="center"/>
          </w:tcPr>
          <w:p w14:paraId="59C9529B" w14:textId="77777777" w:rsidR="00B10F52" w:rsidRPr="008348C0" w:rsidRDefault="00B10F52" w:rsidP="009D63F1">
            <w:pPr>
              <w:pStyle w:val="TableText0"/>
              <w:jc w:val="center"/>
              <w:rPr>
                <w:szCs w:val="20"/>
              </w:rPr>
            </w:pPr>
            <w:r w:rsidRPr="008348C0">
              <w:rPr>
                <w:szCs w:val="20"/>
              </w:rPr>
              <w:t>52 (98.1%)</w:t>
            </w:r>
          </w:p>
        </w:tc>
        <w:tc>
          <w:tcPr>
            <w:tcW w:w="734" w:type="pct"/>
            <w:vAlign w:val="center"/>
          </w:tcPr>
          <w:p w14:paraId="1B72E232" w14:textId="77777777" w:rsidR="00B10F52" w:rsidRPr="008348C0" w:rsidRDefault="00B10F52" w:rsidP="009D63F1">
            <w:pPr>
              <w:pStyle w:val="TableText0"/>
              <w:jc w:val="center"/>
              <w:rPr>
                <w:szCs w:val="20"/>
              </w:rPr>
            </w:pPr>
            <w:r w:rsidRPr="008348C0">
              <w:rPr>
                <w:szCs w:val="20"/>
              </w:rPr>
              <w:t>122 (96.1%)</w:t>
            </w:r>
          </w:p>
        </w:tc>
        <w:tc>
          <w:tcPr>
            <w:tcW w:w="735" w:type="pct"/>
            <w:vAlign w:val="center"/>
          </w:tcPr>
          <w:p w14:paraId="215C627F" w14:textId="77777777" w:rsidR="00B10F52" w:rsidRPr="008348C0" w:rsidRDefault="00B10F52" w:rsidP="009D63F1">
            <w:pPr>
              <w:pStyle w:val="TableText0"/>
              <w:jc w:val="center"/>
              <w:rPr>
                <w:szCs w:val="20"/>
              </w:rPr>
            </w:pPr>
            <w:r w:rsidRPr="008348C0">
              <w:rPr>
                <w:szCs w:val="20"/>
              </w:rPr>
              <w:t>33 (97.0%)</w:t>
            </w:r>
          </w:p>
        </w:tc>
        <w:tc>
          <w:tcPr>
            <w:tcW w:w="724" w:type="pct"/>
            <w:vAlign w:val="center"/>
          </w:tcPr>
          <w:p w14:paraId="703B5CCE" w14:textId="77777777" w:rsidR="00B10F52" w:rsidRPr="008348C0" w:rsidRDefault="00B10F52" w:rsidP="009D63F1">
            <w:pPr>
              <w:pStyle w:val="TableText0"/>
              <w:jc w:val="center"/>
              <w:rPr>
                <w:szCs w:val="20"/>
              </w:rPr>
            </w:pPr>
            <w:r w:rsidRPr="008348C0">
              <w:rPr>
                <w:szCs w:val="20"/>
              </w:rPr>
              <w:t>26 (100%)</w:t>
            </w:r>
          </w:p>
        </w:tc>
      </w:tr>
      <w:tr w:rsidR="00B10F52" w:rsidRPr="008348C0" w14:paraId="732CC10F" w14:textId="77777777" w:rsidTr="00B41A01">
        <w:tc>
          <w:tcPr>
            <w:tcW w:w="1318" w:type="pct"/>
          </w:tcPr>
          <w:p w14:paraId="0E2A63CD" w14:textId="77777777" w:rsidR="00B10F52" w:rsidRPr="008348C0" w:rsidRDefault="00B10F52" w:rsidP="009D63F1">
            <w:pPr>
              <w:pStyle w:val="TableText0"/>
              <w:rPr>
                <w:szCs w:val="20"/>
              </w:rPr>
            </w:pPr>
            <w:r w:rsidRPr="008348C0">
              <w:rPr>
                <w:szCs w:val="20"/>
              </w:rPr>
              <w:t>Grade 3-4 TRAE</w:t>
            </w:r>
            <w:r w:rsidR="00404EC4" w:rsidRPr="008348C0">
              <w:rPr>
                <w:szCs w:val="20"/>
              </w:rPr>
              <w:t>, n (%)</w:t>
            </w:r>
          </w:p>
        </w:tc>
        <w:tc>
          <w:tcPr>
            <w:tcW w:w="734" w:type="pct"/>
            <w:vAlign w:val="center"/>
          </w:tcPr>
          <w:p w14:paraId="0B4362E1" w14:textId="77777777" w:rsidR="00B10F52" w:rsidRPr="008348C0" w:rsidRDefault="007077FF" w:rsidP="009D63F1">
            <w:pPr>
              <w:pStyle w:val="TableText0"/>
              <w:jc w:val="center"/>
              <w:rPr>
                <w:szCs w:val="20"/>
              </w:rPr>
            </w:pPr>
            <w:r>
              <w:rPr>
                <w:noProof/>
                <w:color w:val="000000"/>
                <w:szCs w:val="20"/>
                <w:highlight w:val="black"/>
              </w:rPr>
              <w:t>''''''</w:t>
            </w:r>
            <w:r w:rsidR="00B10F52" w:rsidRPr="008348C0">
              <w:rPr>
                <w:szCs w:val="20"/>
              </w:rPr>
              <w:t xml:space="preserve"> (</w:t>
            </w:r>
            <w:r>
              <w:rPr>
                <w:noProof/>
                <w:color w:val="000000"/>
                <w:szCs w:val="20"/>
                <w:highlight w:val="black"/>
              </w:rPr>
              <w:t>'''''''''''</w:t>
            </w:r>
            <w:r w:rsidR="00B10F52" w:rsidRPr="008348C0">
              <w:rPr>
                <w:szCs w:val="20"/>
              </w:rPr>
              <w:t>%)</w:t>
            </w:r>
          </w:p>
        </w:tc>
        <w:tc>
          <w:tcPr>
            <w:tcW w:w="755" w:type="pct"/>
            <w:vAlign w:val="center"/>
          </w:tcPr>
          <w:p w14:paraId="3334F614" w14:textId="77777777" w:rsidR="00B10F52" w:rsidRPr="008348C0" w:rsidRDefault="00B10F52" w:rsidP="009D63F1">
            <w:pPr>
              <w:pStyle w:val="TableText0"/>
              <w:jc w:val="center"/>
              <w:rPr>
                <w:szCs w:val="20"/>
                <w:vertAlign w:val="superscript"/>
              </w:rPr>
            </w:pPr>
            <w:r w:rsidRPr="008348C0">
              <w:rPr>
                <w:szCs w:val="20"/>
              </w:rPr>
              <w:t>16 (30.2%)</w:t>
            </w:r>
          </w:p>
        </w:tc>
        <w:tc>
          <w:tcPr>
            <w:tcW w:w="734" w:type="pct"/>
            <w:vAlign w:val="center"/>
          </w:tcPr>
          <w:p w14:paraId="11D13AC7" w14:textId="77777777" w:rsidR="00B10F52" w:rsidRPr="008348C0" w:rsidRDefault="00B10F52" w:rsidP="009D63F1">
            <w:pPr>
              <w:pStyle w:val="TableText0"/>
              <w:jc w:val="center"/>
              <w:rPr>
                <w:szCs w:val="20"/>
              </w:rPr>
            </w:pPr>
            <w:r w:rsidRPr="008348C0">
              <w:rPr>
                <w:szCs w:val="20"/>
              </w:rPr>
              <w:t>32 (25.2%)</w:t>
            </w:r>
          </w:p>
        </w:tc>
        <w:tc>
          <w:tcPr>
            <w:tcW w:w="735" w:type="pct"/>
            <w:vAlign w:val="center"/>
          </w:tcPr>
          <w:p w14:paraId="22C8B225" w14:textId="77777777" w:rsidR="00B10F52" w:rsidRPr="008348C0" w:rsidRDefault="00B10F52" w:rsidP="009D63F1">
            <w:pPr>
              <w:pStyle w:val="TableText0"/>
              <w:jc w:val="center"/>
              <w:rPr>
                <w:szCs w:val="20"/>
                <w:vertAlign w:val="superscript"/>
              </w:rPr>
            </w:pPr>
            <w:r w:rsidRPr="008348C0">
              <w:rPr>
                <w:szCs w:val="20"/>
              </w:rPr>
              <w:t>8 (23.5%)</w:t>
            </w:r>
          </w:p>
        </w:tc>
        <w:tc>
          <w:tcPr>
            <w:tcW w:w="724" w:type="pct"/>
            <w:vAlign w:val="center"/>
          </w:tcPr>
          <w:p w14:paraId="086704B8" w14:textId="77777777" w:rsidR="00B10F52" w:rsidRPr="008348C0" w:rsidRDefault="00B10F52" w:rsidP="009D63F1">
            <w:pPr>
              <w:pStyle w:val="TableText0"/>
              <w:jc w:val="center"/>
              <w:rPr>
                <w:szCs w:val="20"/>
              </w:rPr>
            </w:pPr>
            <w:r w:rsidRPr="008348C0">
              <w:rPr>
                <w:szCs w:val="20"/>
              </w:rPr>
              <w:t>8 (30.8%)</w:t>
            </w:r>
          </w:p>
        </w:tc>
      </w:tr>
      <w:tr w:rsidR="00B10F52" w:rsidRPr="008348C0" w14:paraId="489D8F36" w14:textId="77777777" w:rsidTr="00B41A01">
        <w:tc>
          <w:tcPr>
            <w:tcW w:w="1318" w:type="pct"/>
          </w:tcPr>
          <w:p w14:paraId="16F761D3" w14:textId="77777777" w:rsidR="00B10F52" w:rsidRPr="008348C0" w:rsidRDefault="00B10F52" w:rsidP="009D63F1">
            <w:pPr>
              <w:pStyle w:val="TableText0"/>
              <w:rPr>
                <w:szCs w:val="20"/>
              </w:rPr>
            </w:pPr>
            <w:r w:rsidRPr="008348C0">
              <w:rPr>
                <w:szCs w:val="20"/>
              </w:rPr>
              <w:t>Serious TRAE, n (%)</w:t>
            </w:r>
          </w:p>
        </w:tc>
        <w:tc>
          <w:tcPr>
            <w:tcW w:w="734" w:type="pct"/>
            <w:vAlign w:val="center"/>
          </w:tcPr>
          <w:p w14:paraId="2B709B6B" w14:textId="77777777" w:rsidR="00B10F52" w:rsidRPr="008348C0" w:rsidRDefault="007077FF" w:rsidP="009D63F1">
            <w:pPr>
              <w:pStyle w:val="TableText0"/>
              <w:jc w:val="center"/>
              <w:rPr>
                <w:szCs w:val="20"/>
              </w:rPr>
            </w:pPr>
            <w:r>
              <w:rPr>
                <w:noProof/>
                <w:color w:val="000000"/>
                <w:szCs w:val="20"/>
                <w:highlight w:val="black"/>
              </w:rPr>
              <w:t>'''''</w:t>
            </w:r>
            <w:r w:rsidR="00B10F52" w:rsidRPr="008348C0">
              <w:rPr>
                <w:szCs w:val="20"/>
              </w:rPr>
              <w:t xml:space="preserve"> (</w:t>
            </w:r>
            <w:r>
              <w:rPr>
                <w:noProof/>
                <w:color w:val="000000"/>
                <w:szCs w:val="20"/>
                <w:highlight w:val="black"/>
              </w:rPr>
              <w:t>''''''''''</w:t>
            </w:r>
            <w:r w:rsidR="00B10F52" w:rsidRPr="008348C0">
              <w:rPr>
                <w:szCs w:val="20"/>
              </w:rPr>
              <w:t>%)</w:t>
            </w:r>
          </w:p>
        </w:tc>
        <w:tc>
          <w:tcPr>
            <w:tcW w:w="755" w:type="pct"/>
            <w:vAlign w:val="center"/>
          </w:tcPr>
          <w:p w14:paraId="1A072174" w14:textId="77777777" w:rsidR="00B10F52" w:rsidRPr="008348C0" w:rsidRDefault="00B10F52" w:rsidP="009D63F1">
            <w:pPr>
              <w:pStyle w:val="TableText0"/>
              <w:jc w:val="center"/>
              <w:rPr>
                <w:szCs w:val="20"/>
                <w:vertAlign w:val="superscript"/>
              </w:rPr>
            </w:pPr>
            <w:r w:rsidRPr="008348C0">
              <w:rPr>
                <w:szCs w:val="20"/>
              </w:rPr>
              <w:t>2 (3.8%)</w:t>
            </w:r>
          </w:p>
        </w:tc>
        <w:tc>
          <w:tcPr>
            <w:tcW w:w="734" w:type="pct"/>
            <w:vAlign w:val="center"/>
          </w:tcPr>
          <w:p w14:paraId="1E9B20DB" w14:textId="77777777" w:rsidR="00B10F52" w:rsidRPr="008348C0" w:rsidRDefault="00B10F52" w:rsidP="009D63F1">
            <w:pPr>
              <w:pStyle w:val="TableText0"/>
              <w:jc w:val="center"/>
              <w:rPr>
                <w:szCs w:val="20"/>
              </w:rPr>
            </w:pPr>
            <w:r w:rsidRPr="008348C0">
              <w:rPr>
                <w:szCs w:val="20"/>
              </w:rPr>
              <w:t>NR</w:t>
            </w:r>
          </w:p>
        </w:tc>
        <w:tc>
          <w:tcPr>
            <w:tcW w:w="735" w:type="pct"/>
            <w:vAlign w:val="center"/>
          </w:tcPr>
          <w:p w14:paraId="40483080" w14:textId="77777777" w:rsidR="00B10F52" w:rsidRPr="008348C0" w:rsidRDefault="00B10F52" w:rsidP="009D63F1">
            <w:pPr>
              <w:pStyle w:val="TableText0"/>
              <w:jc w:val="center"/>
              <w:rPr>
                <w:szCs w:val="20"/>
                <w:vertAlign w:val="superscript"/>
              </w:rPr>
            </w:pPr>
            <w:r w:rsidRPr="008348C0">
              <w:rPr>
                <w:szCs w:val="20"/>
              </w:rPr>
              <w:t>5 (14.7%)</w:t>
            </w:r>
          </w:p>
        </w:tc>
        <w:tc>
          <w:tcPr>
            <w:tcW w:w="724" w:type="pct"/>
            <w:vAlign w:val="center"/>
          </w:tcPr>
          <w:p w14:paraId="2C796828" w14:textId="77777777" w:rsidR="00B10F52" w:rsidRPr="008348C0" w:rsidRDefault="00B10F52" w:rsidP="009D63F1">
            <w:pPr>
              <w:pStyle w:val="TableText0"/>
              <w:jc w:val="center"/>
              <w:rPr>
                <w:szCs w:val="20"/>
              </w:rPr>
            </w:pPr>
            <w:r w:rsidRPr="008348C0">
              <w:rPr>
                <w:szCs w:val="20"/>
              </w:rPr>
              <w:t>0</w:t>
            </w:r>
          </w:p>
        </w:tc>
      </w:tr>
      <w:tr w:rsidR="00B10F52" w:rsidRPr="008348C0" w14:paraId="34D5F6CF" w14:textId="77777777" w:rsidTr="00B41A01">
        <w:tc>
          <w:tcPr>
            <w:tcW w:w="1318" w:type="pct"/>
          </w:tcPr>
          <w:p w14:paraId="5F8BEBCC" w14:textId="77777777" w:rsidR="00B10F52" w:rsidRPr="008348C0" w:rsidRDefault="00B10F52" w:rsidP="009D63F1">
            <w:pPr>
              <w:pStyle w:val="TableText0"/>
              <w:rPr>
                <w:szCs w:val="20"/>
              </w:rPr>
            </w:pPr>
            <w:r w:rsidRPr="008348C0">
              <w:rPr>
                <w:szCs w:val="20"/>
              </w:rPr>
              <w:t>TRAE leading to treatment discontinuation, n (%)</w:t>
            </w:r>
          </w:p>
        </w:tc>
        <w:tc>
          <w:tcPr>
            <w:tcW w:w="734" w:type="pct"/>
            <w:vAlign w:val="center"/>
          </w:tcPr>
          <w:p w14:paraId="15E1E181" w14:textId="77777777" w:rsidR="00B10F52" w:rsidRPr="008348C0" w:rsidRDefault="007077FF" w:rsidP="009D63F1">
            <w:pPr>
              <w:pStyle w:val="TableText0"/>
              <w:jc w:val="center"/>
              <w:rPr>
                <w:szCs w:val="20"/>
              </w:rPr>
            </w:pPr>
            <w:r>
              <w:rPr>
                <w:noProof/>
                <w:color w:val="000000"/>
                <w:szCs w:val="20"/>
                <w:highlight w:val="black"/>
              </w:rPr>
              <w:t>''''</w:t>
            </w:r>
            <w:r w:rsidR="00B10F52" w:rsidRPr="008348C0">
              <w:rPr>
                <w:szCs w:val="20"/>
              </w:rPr>
              <w:t xml:space="preserve"> (</w:t>
            </w:r>
            <w:r>
              <w:rPr>
                <w:noProof/>
                <w:color w:val="000000"/>
                <w:szCs w:val="20"/>
                <w:highlight w:val="black"/>
              </w:rPr>
              <w:t>''''''''</w:t>
            </w:r>
            <w:r w:rsidR="00B10F52" w:rsidRPr="008348C0">
              <w:rPr>
                <w:szCs w:val="20"/>
              </w:rPr>
              <w:t>%)</w:t>
            </w:r>
          </w:p>
        </w:tc>
        <w:tc>
          <w:tcPr>
            <w:tcW w:w="755" w:type="pct"/>
            <w:vAlign w:val="center"/>
          </w:tcPr>
          <w:p w14:paraId="1594D706" w14:textId="77777777" w:rsidR="00B10F52" w:rsidRPr="008348C0" w:rsidRDefault="00B10F52" w:rsidP="009D63F1">
            <w:pPr>
              <w:pStyle w:val="TableText0"/>
              <w:jc w:val="center"/>
              <w:rPr>
                <w:szCs w:val="20"/>
              </w:rPr>
            </w:pPr>
            <w:r w:rsidRPr="008348C0">
              <w:rPr>
                <w:szCs w:val="20"/>
              </w:rPr>
              <w:t>1 (1.9%)</w:t>
            </w:r>
          </w:p>
        </w:tc>
        <w:tc>
          <w:tcPr>
            <w:tcW w:w="734" w:type="pct"/>
            <w:vAlign w:val="center"/>
          </w:tcPr>
          <w:p w14:paraId="0A09CDC3" w14:textId="77777777" w:rsidR="00B10F52" w:rsidRPr="008348C0" w:rsidRDefault="00B10F52" w:rsidP="009D63F1">
            <w:pPr>
              <w:pStyle w:val="TableText0"/>
              <w:jc w:val="center"/>
              <w:rPr>
                <w:szCs w:val="20"/>
                <w:vertAlign w:val="superscript"/>
              </w:rPr>
            </w:pPr>
            <w:r w:rsidRPr="008348C0">
              <w:rPr>
                <w:szCs w:val="20"/>
              </w:rPr>
              <w:t>1 (0.8%)</w:t>
            </w:r>
          </w:p>
        </w:tc>
        <w:tc>
          <w:tcPr>
            <w:tcW w:w="735" w:type="pct"/>
            <w:vAlign w:val="center"/>
          </w:tcPr>
          <w:p w14:paraId="35275761" w14:textId="77777777" w:rsidR="00B10F52" w:rsidRPr="008348C0" w:rsidRDefault="00B10F52" w:rsidP="009D63F1">
            <w:pPr>
              <w:pStyle w:val="TableText0"/>
              <w:jc w:val="center"/>
              <w:rPr>
                <w:szCs w:val="20"/>
                <w:vertAlign w:val="superscript"/>
              </w:rPr>
            </w:pPr>
            <w:r w:rsidRPr="008348C0">
              <w:rPr>
                <w:szCs w:val="20"/>
              </w:rPr>
              <w:t>NR</w:t>
            </w:r>
          </w:p>
        </w:tc>
        <w:tc>
          <w:tcPr>
            <w:tcW w:w="724" w:type="pct"/>
            <w:vAlign w:val="center"/>
          </w:tcPr>
          <w:p w14:paraId="414FFE27" w14:textId="77777777" w:rsidR="00B10F52" w:rsidRPr="008348C0" w:rsidRDefault="00B10F52" w:rsidP="00CD584B">
            <w:pPr>
              <w:pStyle w:val="TableText0"/>
              <w:jc w:val="center"/>
              <w:rPr>
                <w:szCs w:val="20"/>
                <w:vertAlign w:val="superscript"/>
              </w:rPr>
            </w:pPr>
            <w:r w:rsidRPr="008348C0">
              <w:rPr>
                <w:szCs w:val="20"/>
              </w:rPr>
              <w:t>3/52 (6%)</w:t>
            </w:r>
            <w:r w:rsidR="00CD584B" w:rsidRPr="008348C0">
              <w:rPr>
                <w:szCs w:val="20"/>
                <w:vertAlign w:val="superscript"/>
              </w:rPr>
              <w:t>d</w:t>
            </w:r>
          </w:p>
        </w:tc>
      </w:tr>
      <w:tr w:rsidR="00B10F52" w:rsidRPr="008348C0" w14:paraId="590B54E0" w14:textId="77777777" w:rsidTr="00B41A01">
        <w:tc>
          <w:tcPr>
            <w:tcW w:w="1318" w:type="pct"/>
          </w:tcPr>
          <w:p w14:paraId="0F6A3879" w14:textId="77777777" w:rsidR="00B10F52" w:rsidRPr="008348C0" w:rsidRDefault="00B10F52" w:rsidP="009D63F1">
            <w:pPr>
              <w:pStyle w:val="TableText0"/>
              <w:rPr>
                <w:szCs w:val="20"/>
              </w:rPr>
            </w:pPr>
            <w:r w:rsidRPr="008348C0">
              <w:rPr>
                <w:szCs w:val="20"/>
              </w:rPr>
              <w:t>TRAE leading to death, n (%)</w:t>
            </w:r>
          </w:p>
        </w:tc>
        <w:tc>
          <w:tcPr>
            <w:tcW w:w="734" w:type="pct"/>
            <w:vAlign w:val="center"/>
          </w:tcPr>
          <w:p w14:paraId="79052231" w14:textId="77777777" w:rsidR="00B10F52" w:rsidRPr="007077FF" w:rsidRDefault="007077FF" w:rsidP="009D63F1">
            <w:pPr>
              <w:pStyle w:val="TableText0"/>
              <w:jc w:val="center"/>
              <w:rPr>
                <w:szCs w:val="20"/>
                <w:highlight w:val="black"/>
              </w:rPr>
            </w:pPr>
            <w:r>
              <w:rPr>
                <w:noProof/>
                <w:color w:val="000000"/>
                <w:szCs w:val="20"/>
                <w:highlight w:val="black"/>
              </w:rPr>
              <w:t xml:space="preserve">''' </w:t>
            </w:r>
          </w:p>
        </w:tc>
        <w:tc>
          <w:tcPr>
            <w:tcW w:w="755" w:type="pct"/>
            <w:vAlign w:val="center"/>
          </w:tcPr>
          <w:p w14:paraId="54FDA065" w14:textId="77777777" w:rsidR="00B10F52" w:rsidRPr="008348C0" w:rsidRDefault="00B10F52" w:rsidP="009D63F1">
            <w:pPr>
              <w:pStyle w:val="TableText0"/>
              <w:jc w:val="center"/>
              <w:rPr>
                <w:szCs w:val="20"/>
                <w:vertAlign w:val="superscript"/>
              </w:rPr>
            </w:pPr>
            <w:r w:rsidRPr="008348C0">
              <w:rPr>
                <w:szCs w:val="20"/>
              </w:rPr>
              <w:t xml:space="preserve">0 </w:t>
            </w:r>
          </w:p>
        </w:tc>
        <w:tc>
          <w:tcPr>
            <w:tcW w:w="734" w:type="pct"/>
            <w:vAlign w:val="center"/>
          </w:tcPr>
          <w:p w14:paraId="20FF206E" w14:textId="77777777" w:rsidR="00B10F52" w:rsidRPr="008348C0" w:rsidRDefault="00B10F52" w:rsidP="009D63F1">
            <w:pPr>
              <w:pStyle w:val="TableText0"/>
              <w:jc w:val="center"/>
              <w:rPr>
                <w:szCs w:val="20"/>
              </w:rPr>
            </w:pPr>
            <w:r w:rsidRPr="008348C0">
              <w:rPr>
                <w:szCs w:val="20"/>
              </w:rPr>
              <w:t>0</w:t>
            </w:r>
          </w:p>
        </w:tc>
        <w:tc>
          <w:tcPr>
            <w:tcW w:w="735" w:type="pct"/>
            <w:vAlign w:val="center"/>
          </w:tcPr>
          <w:p w14:paraId="768BD85A" w14:textId="77777777" w:rsidR="00B10F52" w:rsidRPr="008348C0" w:rsidRDefault="00B10F52" w:rsidP="009D63F1">
            <w:pPr>
              <w:pStyle w:val="TableText0"/>
              <w:jc w:val="center"/>
              <w:rPr>
                <w:szCs w:val="20"/>
              </w:rPr>
            </w:pPr>
            <w:r w:rsidRPr="008348C0">
              <w:rPr>
                <w:szCs w:val="20"/>
              </w:rPr>
              <w:t>1 (2.9%)</w:t>
            </w:r>
          </w:p>
        </w:tc>
        <w:tc>
          <w:tcPr>
            <w:tcW w:w="724" w:type="pct"/>
            <w:vAlign w:val="center"/>
          </w:tcPr>
          <w:p w14:paraId="6DF7DDF8" w14:textId="77777777" w:rsidR="00B10F52" w:rsidRPr="008348C0" w:rsidRDefault="00B10F52" w:rsidP="009D63F1">
            <w:pPr>
              <w:pStyle w:val="TableText0"/>
              <w:jc w:val="center"/>
              <w:rPr>
                <w:szCs w:val="20"/>
              </w:rPr>
            </w:pPr>
            <w:r w:rsidRPr="008348C0">
              <w:rPr>
                <w:szCs w:val="20"/>
              </w:rPr>
              <w:t>0</w:t>
            </w:r>
          </w:p>
        </w:tc>
      </w:tr>
    </w:tbl>
    <w:p w14:paraId="22C3F0DD" w14:textId="77777777" w:rsidR="00B10F52" w:rsidRPr="0026039D" w:rsidRDefault="00B10F52" w:rsidP="00B10F52">
      <w:pPr>
        <w:pStyle w:val="TableFigureFooter"/>
      </w:pPr>
      <w:r w:rsidRPr="0026039D">
        <w:t>Source: Table 2.32, p84 of the submission; Table 4, p21 Safety update report for entrectinib (CCOD 31 October 2018); Michels 2019; Table S5 and S6 Landi 2019 Supplement; European Public Assessment Report (EPAR) for crizotinib</w:t>
      </w:r>
      <w:r w:rsidRPr="0026039D">
        <w:rPr>
          <w:rStyle w:val="FootnoteReference"/>
        </w:rPr>
        <w:footnoteReference w:id="11"/>
      </w:r>
      <w:r w:rsidRPr="0026039D">
        <w:t xml:space="preserve">. </w:t>
      </w:r>
    </w:p>
    <w:p w14:paraId="51FC1FCE" w14:textId="77777777" w:rsidR="00B10F52" w:rsidRPr="0026039D" w:rsidRDefault="00B10F52" w:rsidP="00B10F52">
      <w:pPr>
        <w:pStyle w:val="TableFigureFooter"/>
      </w:pPr>
      <w:r w:rsidRPr="0026039D">
        <w:t>NR = not reported; SAS = safety analysis set; TRAE = treatment-related adverse events</w:t>
      </w:r>
    </w:p>
    <w:p w14:paraId="505D13A7" w14:textId="77777777" w:rsidR="00CD584B" w:rsidRPr="0026039D" w:rsidRDefault="00CD584B" w:rsidP="00CD584B">
      <w:pPr>
        <w:pStyle w:val="TableFigureFooter"/>
        <w:ind w:left="142" w:hanging="142"/>
      </w:pPr>
      <w:r w:rsidRPr="0026039D">
        <w:rPr>
          <w:vertAlign w:val="superscript"/>
        </w:rPr>
        <w:t>a</w:t>
      </w:r>
      <w:r w:rsidRPr="0026039D">
        <w:t xml:space="preserve"> The safety results for entrectinib were based on the ROS1-positive NSCLC analysis set (SAS), which included all patients from ALKA, STARTRK-1 and STARTRK-2 with ROS1-positive NSCLC (N=134).</w:t>
      </w:r>
    </w:p>
    <w:p w14:paraId="1DC7C423" w14:textId="77777777" w:rsidR="00B10F52" w:rsidRPr="0026039D" w:rsidRDefault="00CD584B" w:rsidP="00B10F52">
      <w:pPr>
        <w:pStyle w:val="TableFigureFooter"/>
      </w:pPr>
      <w:r w:rsidRPr="0026039D">
        <w:rPr>
          <w:vertAlign w:val="superscript"/>
        </w:rPr>
        <w:t>b</w:t>
      </w:r>
      <w:r w:rsidR="00B10F52" w:rsidRPr="0026039D">
        <w:t xml:space="preserve"> Source: Table 28, p45 EPAR for crizotinib (July 2016)</w:t>
      </w:r>
    </w:p>
    <w:p w14:paraId="13BC3DB9" w14:textId="77777777" w:rsidR="00C01514" w:rsidRPr="0026039D" w:rsidRDefault="00CD584B" w:rsidP="00B10F52">
      <w:pPr>
        <w:pStyle w:val="TableFigureFooter"/>
      </w:pPr>
      <w:r w:rsidRPr="0026039D">
        <w:rPr>
          <w:vertAlign w:val="superscript"/>
        </w:rPr>
        <w:t>c</w:t>
      </w:r>
      <w:r w:rsidR="00C01514" w:rsidRPr="0026039D">
        <w:t xml:space="preserve"> Source: Shaw 2019</w:t>
      </w:r>
    </w:p>
    <w:p w14:paraId="37988EDD" w14:textId="77777777" w:rsidR="00B10F52" w:rsidRPr="0026039D" w:rsidRDefault="00CD584B" w:rsidP="00B10F52">
      <w:pPr>
        <w:pStyle w:val="TableFigureFooter"/>
      </w:pPr>
      <w:r w:rsidRPr="0026039D">
        <w:rPr>
          <w:vertAlign w:val="superscript"/>
        </w:rPr>
        <w:t xml:space="preserve">d </w:t>
      </w:r>
      <w:r w:rsidR="00B10F52" w:rsidRPr="0026039D">
        <w:t>Combined ROS1 and MET-positive cohorts (N=52)</w:t>
      </w:r>
    </w:p>
    <w:p w14:paraId="72AD9803" w14:textId="77777777" w:rsidR="009C79AB" w:rsidRPr="0026039D" w:rsidRDefault="009C79AB" w:rsidP="00B10F52">
      <w:pPr>
        <w:pStyle w:val="TableFigureFooter"/>
      </w:pPr>
      <w:r w:rsidRPr="0026039D">
        <w:t xml:space="preserve">Note: </w:t>
      </w:r>
      <w:r w:rsidR="002D2ECD" w:rsidRPr="0026039D">
        <w:t>As only limited safety data were reported for AcSé (in graphical form) they have not been included in the Table</w:t>
      </w:r>
      <w:r w:rsidRPr="0026039D">
        <w:t>.</w:t>
      </w:r>
    </w:p>
    <w:p w14:paraId="08ADA23B" w14:textId="77777777" w:rsidR="00B10F52" w:rsidRPr="0026039D" w:rsidRDefault="00B10F52" w:rsidP="005C1B1C">
      <w:pPr>
        <w:pStyle w:val="ListParagraph"/>
        <w:numPr>
          <w:ilvl w:val="1"/>
          <w:numId w:val="1"/>
        </w:numPr>
        <w:spacing w:after="160"/>
        <w:rPr>
          <w:iCs/>
        </w:rPr>
      </w:pPr>
      <w:r w:rsidRPr="0026039D">
        <w:rPr>
          <w:iCs/>
        </w:rPr>
        <w:t xml:space="preserve">The comparison of safety outcomes </w:t>
      </w:r>
      <w:r w:rsidR="005C1B1C">
        <w:rPr>
          <w:iCs/>
        </w:rPr>
        <w:t xml:space="preserve">across the studies </w:t>
      </w:r>
      <w:r w:rsidRPr="0026039D">
        <w:rPr>
          <w:iCs/>
        </w:rPr>
        <w:t xml:space="preserve">was confounded by the </w:t>
      </w:r>
      <w:r w:rsidR="003B60A4">
        <w:rPr>
          <w:iCs/>
        </w:rPr>
        <w:t xml:space="preserve">heterogeneity </w:t>
      </w:r>
      <w:r w:rsidR="005C1B1C" w:rsidRPr="005C1B1C">
        <w:rPr>
          <w:iCs/>
        </w:rPr>
        <w:t>in the patient populations</w:t>
      </w:r>
      <w:r w:rsidR="005C1B1C">
        <w:rPr>
          <w:i/>
        </w:rPr>
        <w:t xml:space="preserve"> </w:t>
      </w:r>
      <w:r w:rsidR="00887A41">
        <w:rPr>
          <w:iCs/>
        </w:rPr>
        <w:t xml:space="preserve">and </w:t>
      </w:r>
      <w:r w:rsidRPr="0026039D">
        <w:rPr>
          <w:iCs/>
        </w:rPr>
        <w:t>difference</w:t>
      </w:r>
      <w:r w:rsidR="00887A41">
        <w:rPr>
          <w:iCs/>
        </w:rPr>
        <w:t>s</w:t>
      </w:r>
      <w:r w:rsidRPr="0026039D">
        <w:rPr>
          <w:iCs/>
        </w:rPr>
        <w:t xml:space="preserve"> in the duration of treatment. In addition, attribution of causality of AEs (i.e. treatment-related or otherwise) may be unreliable in single arm studies.</w:t>
      </w:r>
      <w:r w:rsidR="001F2BEF" w:rsidRPr="0026039D">
        <w:rPr>
          <w:iCs/>
        </w:rPr>
        <w:t xml:space="preserve"> </w:t>
      </w:r>
      <w:r w:rsidR="005D5585" w:rsidRPr="0026039D">
        <w:rPr>
          <w:iCs/>
        </w:rPr>
        <w:t xml:space="preserve">Given these considerations, it was not possible to make any reliable conclusion regarding the </w:t>
      </w:r>
      <w:r w:rsidR="005677AE" w:rsidRPr="0026039D">
        <w:rPr>
          <w:iCs/>
        </w:rPr>
        <w:t>comparative</w:t>
      </w:r>
      <w:r w:rsidR="005D5585" w:rsidRPr="0026039D">
        <w:rPr>
          <w:iCs/>
        </w:rPr>
        <w:t xml:space="preserve"> safety of entrectinib and crizotinib.</w:t>
      </w:r>
      <w:r w:rsidR="001F2BEF" w:rsidRPr="0026039D">
        <w:rPr>
          <w:iCs/>
        </w:rPr>
        <w:t xml:space="preserve"> </w:t>
      </w:r>
      <w:r w:rsidR="002F1C82" w:rsidRPr="0026039D">
        <w:rPr>
          <w:iCs/>
        </w:rPr>
        <w:t xml:space="preserve">However, the safety results </w:t>
      </w:r>
      <w:r w:rsidR="007D4670" w:rsidRPr="0026039D">
        <w:rPr>
          <w:iCs/>
        </w:rPr>
        <w:t>suggest a numerically higher number of Grade 3-4 TRAE’s for entrect</w:t>
      </w:r>
      <w:r w:rsidR="0036660C" w:rsidRPr="0026039D">
        <w:rPr>
          <w:iCs/>
        </w:rPr>
        <w:t>i</w:t>
      </w:r>
      <w:r w:rsidR="007D4670" w:rsidRPr="0026039D">
        <w:rPr>
          <w:iCs/>
        </w:rPr>
        <w:t xml:space="preserve">nib and hence </w:t>
      </w:r>
      <w:r w:rsidR="002F1C82" w:rsidRPr="0026039D">
        <w:rPr>
          <w:iCs/>
        </w:rPr>
        <w:t xml:space="preserve">do not preclude the possibility that entrectinib may be associated with </w:t>
      </w:r>
      <w:r w:rsidR="007D4670" w:rsidRPr="0026039D">
        <w:rPr>
          <w:iCs/>
        </w:rPr>
        <w:t xml:space="preserve">significantly </w:t>
      </w:r>
      <w:r w:rsidR="002F1C82" w:rsidRPr="0026039D">
        <w:rPr>
          <w:iCs/>
        </w:rPr>
        <w:t xml:space="preserve">more Grade 3-4 </w:t>
      </w:r>
      <w:r w:rsidR="009C79AB" w:rsidRPr="0026039D">
        <w:rPr>
          <w:iCs/>
        </w:rPr>
        <w:t>TR</w:t>
      </w:r>
      <w:r w:rsidR="002F1C82" w:rsidRPr="0026039D">
        <w:rPr>
          <w:iCs/>
        </w:rPr>
        <w:t>AEs compared with crizotinib.</w:t>
      </w:r>
    </w:p>
    <w:p w14:paraId="08355DB8" w14:textId="77777777" w:rsidR="00B10F52" w:rsidRPr="0026039D" w:rsidRDefault="00B10F52" w:rsidP="00315F69">
      <w:pPr>
        <w:pStyle w:val="ListParagraph"/>
        <w:numPr>
          <w:ilvl w:val="1"/>
          <w:numId w:val="1"/>
        </w:numPr>
        <w:spacing w:after="160"/>
      </w:pPr>
      <w:r w:rsidRPr="0026039D">
        <w:t xml:space="preserve">In the ROS1-positive NSCLC </w:t>
      </w:r>
      <w:r w:rsidR="009C79AB" w:rsidRPr="0026039D">
        <w:t>safety analysis set (</w:t>
      </w:r>
      <w:r w:rsidRPr="0026039D">
        <w:t>SAS</w:t>
      </w:r>
      <w:r w:rsidR="009C79AB" w:rsidRPr="0026039D">
        <w:t>)</w:t>
      </w:r>
      <w:r w:rsidRPr="0026039D">
        <w:t xml:space="preserve"> for entrectinib, </w:t>
      </w:r>
      <w:r w:rsidR="00C077B3" w:rsidRPr="0026039D">
        <w:t>t</w:t>
      </w:r>
      <w:r w:rsidRPr="0026039D">
        <w:t>he</w:t>
      </w:r>
      <w:r w:rsidR="009C79AB" w:rsidRPr="0026039D">
        <w:t xml:space="preserve"> most frequent serious </w:t>
      </w:r>
      <w:r w:rsidR="00BD7014" w:rsidRPr="0026039D">
        <w:t>TR</w:t>
      </w:r>
      <w:r w:rsidRPr="0026039D">
        <w:t>AE</w:t>
      </w:r>
      <w:r w:rsidR="002A752C" w:rsidRPr="0026039D">
        <w:t>s</w:t>
      </w:r>
      <w:r w:rsidR="00B67D3E" w:rsidRPr="0026039D">
        <w:t xml:space="preserve"> (by system organ class)</w:t>
      </w:r>
      <w:r w:rsidR="00397488" w:rsidRPr="0026039D">
        <w:t xml:space="preserve"> were</w:t>
      </w:r>
      <w:r w:rsidR="002A752C" w:rsidRPr="0026039D">
        <w:t>:</w:t>
      </w:r>
      <w:r w:rsidRPr="0026039D">
        <w:t xml:space="preserve"> nervous system disorders (</w:t>
      </w:r>
      <w:r w:rsidR="007077FF">
        <w:rPr>
          <w:noProof/>
          <w:color w:val="000000"/>
          <w:highlight w:val="black"/>
        </w:rPr>
        <w:t>'''''''</w:t>
      </w:r>
      <w:r w:rsidRPr="0026039D">
        <w:t xml:space="preserve">%), </w:t>
      </w:r>
      <w:r w:rsidR="00F04ECA" w:rsidRPr="0026039D">
        <w:t>c</w:t>
      </w:r>
      <w:r w:rsidRPr="0026039D">
        <w:t>ardiac disorders (</w:t>
      </w:r>
      <w:r w:rsidR="007077FF">
        <w:rPr>
          <w:noProof/>
          <w:color w:val="000000"/>
          <w:highlight w:val="black"/>
        </w:rPr>
        <w:t>''''''</w:t>
      </w:r>
      <w:r w:rsidRPr="0026039D">
        <w:t>%), general disorders (</w:t>
      </w:r>
      <w:r w:rsidR="007077FF">
        <w:rPr>
          <w:noProof/>
          <w:color w:val="000000"/>
          <w:highlight w:val="black"/>
        </w:rPr>
        <w:t>'''''''</w:t>
      </w:r>
      <w:r w:rsidRPr="0026039D">
        <w:t>%) and vascular disorders (</w:t>
      </w:r>
      <w:r w:rsidR="007077FF">
        <w:rPr>
          <w:noProof/>
          <w:color w:val="000000"/>
          <w:highlight w:val="black"/>
        </w:rPr>
        <w:t>''''''</w:t>
      </w:r>
      <w:r w:rsidRPr="0026039D">
        <w:t>%). The only serious TRAE that occurred in more than one patient in the ROS1 NSCLC SAS was pyrexia (n=</w:t>
      </w:r>
      <w:r w:rsidR="007077FF">
        <w:rPr>
          <w:noProof/>
          <w:color w:val="000000"/>
          <w:highlight w:val="black"/>
        </w:rPr>
        <w:t>'''</w:t>
      </w:r>
      <w:r w:rsidRPr="0026039D">
        <w:t xml:space="preserve">, </w:t>
      </w:r>
      <w:r w:rsidR="007077FF">
        <w:rPr>
          <w:noProof/>
          <w:color w:val="000000"/>
          <w:highlight w:val="black"/>
        </w:rPr>
        <w:t>'''''''</w:t>
      </w:r>
      <w:r w:rsidRPr="0026039D">
        <w:t>%).</w:t>
      </w:r>
      <w:r w:rsidR="008E1F1F" w:rsidRPr="0026039D">
        <w:rPr>
          <w:rStyle w:val="FootnoteReference"/>
        </w:rPr>
        <w:footnoteReference w:id="12"/>
      </w:r>
      <w:r w:rsidRPr="0026039D">
        <w:t xml:space="preserve"> </w:t>
      </w:r>
      <w:r w:rsidR="0091799A" w:rsidRPr="0026039D">
        <w:rPr>
          <w:iCs/>
        </w:rPr>
        <w:t>The majority of deaths in the entrectinib studies were judged by the FDA reviewers as unlikely to be related to entrectinib, although the possibility of a causal relationship for entrectinib in some of the deaths could not be excluded given the single arm nature of the studies.</w:t>
      </w:r>
      <w:r w:rsidR="008E1F1F" w:rsidRPr="0026039D">
        <w:rPr>
          <w:rStyle w:val="FootnoteReference"/>
          <w:iCs/>
        </w:rPr>
        <w:t xml:space="preserve"> </w:t>
      </w:r>
      <w:r w:rsidR="008E1F1F" w:rsidRPr="0026039D">
        <w:rPr>
          <w:rStyle w:val="FootnoteReference"/>
          <w:iCs/>
        </w:rPr>
        <w:footnoteReference w:id="13"/>
      </w:r>
      <w:r w:rsidR="0091799A" w:rsidRPr="0026039D">
        <w:rPr>
          <w:iCs/>
        </w:rPr>
        <w:t xml:space="preserve"> </w:t>
      </w:r>
      <w:r w:rsidR="00C81C9E" w:rsidRPr="0026039D">
        <w:rPr>
          <w:iCs/>
        </w:rPr>
        <w:t xml:space="preserve">In the crizotinib studies, one death due to an AE in EUCROSS was considered by the investigator to be treatment-related (pulmonary embolism). Treatment-related serious AEs included bradycardia and gastrointestinal amyloidosis (each reported in one patient in PROFILE 1001), and eight events in 5 subjects in EUCROSS, including visual disturbance, diarrhoea (2 events), vomiting, pulmonary embolism, deep vein thrombosis, pneumonitis and complicated renal cyst. </w:t>
      </w:r>
      <w:r w:rsidR="00BF2D31" w:rsidRPr="0026039D">
        <w:t>The ESC considered that</w:t>
      </w:r>
      <w:r w:rsidR="00B27332" w:rsidRPr="0026039D">
        <w:t xml:space="preserve"> while it was difficult to </w:t>
      </w:r>
      <w:r w:rsidR="008B2423" w:rsidRPr="0026039D">
        <w:t>assess</w:t>
      </w:r>
      <w:r w:rsidR="00B27332" w:rsidRPr="0026039D">
        <w:t xml:space="preserve"> the </w:t>
      </w:r>
      <w:r w:rsidR="008B2423" w:rsidRPr="0026039D">
        <w:t xml:space="preserve">comparative </w:t>
      </w:r>
      <w:r w:rsidR="00B27332" w:rsidRPr="0026039D">
        <w:lastRenderedPageBreak/>
        <w:t xml:space="preserve">safety </w:t>
      </w:r>
      <w:r w:rsidR="008B2423" w:rsidRPr="0026039D">
        <w:t xml:space="preserve">between </w:t>
      </w:r>
      <w:r w:rsidR="00BF2D31" w:rsidRPr="0026039D">
        <w:t>entrectinib</w:t>
      </w:r>
      <w:r w:rsidR="00B27332" w:rsidRPr="0026039D">
        <w:t xml:space="preserve"> and crizotinib</w:t>
      </w:r>
      <w:r w:rsidR="008B2423" w:rsidRPr="0026039D">
        <w:t xml:space="preserve"> </w:t>
      </w:r>
      <w:r w:rsidR="00C11801" w:rsidRPr="0026039D">
        <w:t>due to</w:t>
      </w:r>
      <w:r w:rsidR="008B2423" w:rsidRPr="0026039D">
        <w:t xml:space="preserve"> the issues noted </w:t>
      </w:r>
      <w:r w:rsidR="008B2423" w:rsidRPr="00200903">
        <w:t xml:space="preserve">in paragraph </w:t>
      </w:r>
      <w:r w:rsidR="00200903" w:rsidRPr="00200903">
        <w:t>6.21</w:t>
      </w:r>
      <w:r w:rsidR="008B2423" w:rsidRPr="0026039D">
        <w:t xml:space="preserve"> above,</w:t>
      </w:r>
      <w:r w:rsidR="00620E99" w:rsidRPr="0026039D">
        <w:t xml:space="preserve"> it was reasonable to conclude that</w:t>
      </w:r>
      <w:r w:rsidR="00AD2126" w:rsidRPr="0026039D">
        <w:t xml:space="preserve"> </w:t>
      </w:r>
      <w:r w:rsidR="003B35FD" w:rsidRPr="0026039D">
        <w:t>entrectinib</w:t>
      </w:r>
      <w:r w:rsidR="007D4670" w:rsidRPr="0026039D">
        <w:t xml:space="preserve"> has a different safe</w:t>
      </w:r>
      <w:r w:rsidR="0036660C" w:rsidRPr="0026039D">
        <w:t>t</w:t>
      </w:r>
      <w:r w:rsidR="007D4670" w:rsidRPr="0026039D">
        <w:t xml:space="preserve">y profile to </w:t>
      </w:r>
      <w:r w:rsidR="0036660C" w:rsidRPr="0026039D">
        <w:t>crizotinib</w:t>
      </w:r>
      <w:r w:rsidR="007D4670" w:rsidRPr="0026039D">
        <w:t xml:space="preserve"> and overall</w:t>
      </w:r>
      <w:r w:rsidR="00064064" w:rsidRPr="0026039D">
        <w:t>,</w:t>
      </w:r>
      <w:r w:rsidR="003B35FD" w:rsidRPr="0026039D">
        <w:t xml:space="preserve"> is</w:t>
      </w:r>
      <w:r w:rsidR="00AD2126" w:rsidRPr="0026039D">
        <w:t xml:space="preserve"> </w:t>
      </w:r>
      <w:r w:rsidR="0036660C" w:rsidRPr="0026039D">
        <w:t>likely to be similar</w:t>
      </w:r>
      <w:r w:rsidR="00620E99" w:rsidRPr="0026039D">
        <w:t xml:space="preserve"> </w:t>
      </w:r>
      <w:r w:rsidR="00BF2D31" w:rsidRPr="0026039D">
        <w:t>to crizotinib in terms of safety</w:t>
      </w:r>
      <w:r w:rsidR="003B35FD" w:rsidRPr="0026039D">
        <w:t xml:space="preserve">. </w:t>
      </w:r>
    </w:p>
    <w:p w14:paraId="02591CBC" w14:textId="77777777" w:rsidR="00B10F52" w:rsidRPr="0026039D" w:rsidRDefault="00B10F52" w:rsidP="00B10F52">
      <w:pPr>
        <w:pStyle w:val="4-SubsectionHeading"/>
      </w:pPr>
      <w:bookmarkStart w:id="18" w:name="_Toc22897644"/>
      <w:bookmarkStart w:id="19" w:name="_Toc30597574"/>
      <w:r w:rsidRPr="0026039D">
        <w:t>Clinical claim</w:t>
      </w:r>
      <w:bookmarkEnd w:id="18"/>
      <w:bookmarkEnd w:id="19"/>
    </w:p>
    <w:p w14:paraId="2FB01750" w14:textId="77777777" w:rsidR="00D811ED" w:rsidRPr="0026039D" w:rsidRDefault="00B10F52" w:rsidP="00315F69">
      <w:pPr>
        <w:pStyle w:val="ListParagraph"/>
        <w:numPr>
          <w:ilvl w:val="1"/>
          <w:numId w:val="1"/>
        </w:numPr>
        <w:spacing w:after="160"/>
        <w:rPr>
          <w:iCs/>
        </w:rPr>
      </w:pPr>
      <w:r w:rsidRPr="0026039D">
        <w:t>The submission described entrectinib as non-inferior in terms of both effectiveness and safety to crizotinib. Th</w:t>
      </w:r>
      <w:r w:rsidR="00EE3C27" w:rsidRPr="0026039D">
        <w:t>e</w:t>
      </w:r>
      <w:r w:rsidRPr="0026039D">
        <w:t xml:space="preserve"> </w:t>
      </w:r>
      <w:r w:rsidR="00EE3C27" w:rsidRPr="0026039D">
        <w:rPr>
          <w:iCs/>
        </w:rPr>
        <w:t>evaluation considered the</w:t>
      </w:r>
      <w:r w:rsidR="00EE3C27" w:rsidRPr="0026039D">
        <w:t xml:space="preserve"> </w:t>
      </w:r>
      <w:r w:rsidRPr="0026039D">
        <w:t xml:space="preserve">claim was not adequately supported by the evidence presented in the submission, given the naïve indirect </w:t>
      </w:r>
      <w:r w:rsidR="00D2611D" w:rsidRPr="0026039D">
        <w:t>nature of the comparison</w:t>
      </w:r>
      <w:r w:rsidR="002A752C" w:rsidRPr="0026039D">
        <w:t xml:space="preserve"> provided</w:t>
      </w:r>
      <w:r w:rsidRPr="0026039D">
        <w:t xml:space="preserve">, </w:t>
      </w:r>
      <w:r w:rsidR="00D2611D" w:rsidRPr="0026039D">
        <w:t xml:space="preserve">the </w:t>
      </w:r>
      <w:r w:rsidRPr="0026039D">
        <w:t xml:space="preserve">considerable heterogeneity in the baseline characteristics </w:t>
      </w:r>
      <w:r w:rsidR="00236B3F" w:rsidRPr="0026039D">
        <w:t>between</w:t>
      </w:r>
      <w:r w:rsidRPr="0026039D">
        <w:t xml:space="preserve"> study populations, and differences in the duration of treatment and follow-up across the studies.</w:t>
      </w:r>
      <w:r w:rsidR="003611E1" w:rsidRPr="0026039D">
        <w:t xml:space="preserve"> </w:t>
      </w:r>
      <w:r w:rsidR="003611E1" w:rsidRPr="0026039D">
        <w:rPr>
          <w:iCs/>
        </w:rPr>
        <w:t xml:space="preserve">The PSCR </w:t>
      </w:r>
      <w:r w:rsidR="00B610EE" w:rsidRPr="0026039D">
        <w:rPr>
          <w:iCs/>
        </w:rPr>
        <w:t>noted</w:t>
      </w:r>
      <w:r w:rsidR="00A563DF" w:rsidRPr="0026039D">
        <w:rPr>
          <w:iCs/>
        </w:rPr>
        <w:t xml:space="preserve"> that </w:t>
      </w:r>
      <w:r w:rsidR="00527F71" w:rsidRPr="0026039D">
        <w:rPr>
          <w:rFonts w:eastAsia="Calibri" w:cs="Calibri"/>
        </w:rPr>
        <w:t>the PBAC previously recommended the listing</w:t>
      </w:r>
      <w:r w:rsidR="00312F4F" w:rsidRPr="0026039D">
        <w:rPr>
          <w:rFonts w:eastAsia="Calibri" w:cs="Calibri"/>
        </w:rPr>
        <w:t xml:space="preserve"> of crizotinib </w:t>
      </w:r>
      <w:r w:rsidR="007771AD" w:rsidRPr="0026039D">
        <w:rPr>
          <w:rFonts w:eastAsia="Calibri" w:cs="Calibri"/>
        </w:rPr>
        <w:t>based on</w:t>
      </w:r>
      <w:r w:rsidR="00312F4F" w:rsidRPr="0026039D">
        <w:rPr>
          <w:rFonts w:eastAsia="Calibri" w:cs="Calibri"/>
        </w:rPr>
        <w:t xml:space="preserve"> </w:t>
      </w:r>
      <w:r w:rsidR="00DD404F" w:rsidRPr="0026039D">
        <w:rPr>
          <w:rFonts w:eastAsia="Calibri" w:cs="Calibri"/>
        </w:rPr>
        <w:t>a</w:t>
      </w:r>
      <w:r w:rsidR="00527F71" w:rsidRPr="0026039D">
        <w:rPr>
          <w:rFonts w:eastAsia="Calibri" w:cs="Calibri"/>
        </w:rPr>
        <w:t xml:space="preserve"> naïve indirect comparison</w:t>
      </w:r>
      <w:r w:rsidR="009B3272" w:rsidRPr="0026039D">
        <w:rPr>
          <w:rFonts w:eastAsia="Calibri" w:cs="Calibri"/>
        </w:rPr>
        <w:t xml:space="preserve"> (paragraph 7.9</w:t>
      </w:r>
      <w:r w:rsidR="001F13B5" w:rsidRPr="0026039D">
        <w:rPr>
          <w:rFonts w:eastAsia="Calibri" w:cs="Calibri"/>
        </w:rPr>
        <w:t xml:space="preserve">, crizotinib, </w:t>
      </w:r>
      <w:r w:rsidR="003D2939" w:rsidRPr="0026039D">
        <w:rPr>
          <w:rFonts w:eastAsia="Calibri" w:cs="Calibri"/>
        </w:rPr>
        <w:t>Public Summary Document (</w:t>
      </w:r>
      <w:r w:rsidR="009B3272" w:rsidRPr="0026039D">
        <w:rPr>
          <w:rFonts w:eastAsia="Calibri" w:cs="Calibri"/>
        </w:rPr>
        <w:t>PSD</w:t>
      </w:r>
      <w:r w:rsidR="003D2939" w:rsidRPr="0026039D">
        <w:rPr>
          <w:rFonts w:eastAsia="Calibri" w:cs="Calibri"/>
        </w:rPr>
        <w:t>)</w:t>
      </w:r>
      <w:r w:rsidR="009B3272" w:rsidRPr="0026039D">
        <w:rPr>
          <w:rFonts w:eastAsia="Calibri" w:cs="Calibri"/>
        </w:rPr>
        <w:t>, November 2017</w:t>
      </w:r>
      <w:r w:rsidR="001F13B5" w:rsidRPr="0026039D">
        <w:rPr>
          <w:rFonts w:eastAsia="Calibri" w:cs="Calibri"/>
        </w:rPr>
        <w:t xml:space="preserve"> PBAC meeting</w:t>
      </w:r>
      <w:r w:rsidR="009B3272" w:rsidRPr="0026039D">
        <w:rPr>
          <w:rFonts w:eastAsia="Calibri" w:cs="Calibri"/>
        </w:rPr>
        <w:t>)</w:t>
      </w:r>
      <w:r w:rsidR="0065094A" w:rsidRPr="0026039D">
        <w:rPr>
          <w:rFonts w:eastAsia="Calibri" w:cs="Calibri"/>
        </w:rPr>
        <w:t>.</w:t>
      </w:r>
      <w:r w:rsidR="00D85813" w:rsidRPr="0026039D">
        <w:rPr>
          <w:rFonts w:eastAsia="Calibri" w:cs="Calibri"/>
        </w:rPr>
        <w:t xml:space="preserve"> As such</w:t>
      </w:r>
      <w:r w:rsidR="0065094A" w:rsidRPr="0026039D">
        <w:rPr>
          <w:rFonts w:eastAsia="Calibri" w:cs="Calibri"/>
        </w:rPr>
        <w:t xml:space="preserve">, the PSCR </w:t>
      </w:r>
      <w:r w:rsidR="003611E1" w:rsidRPr="0026039D">
        <w:rPr>
          <w:iCs/>
        </w:rPr>
        <w:t>argued that the claim of non-inferiority for efficacy and safety between entrectinib and crizot</w:t>
      </w:r>
      <w:r w:rsidR="00464CBD" w:rsidRPr="0026039D">
        <w:rPr>
          <w:iCs/>
        </w:rPr>
        <w:t>i</w:t>
      </w:r>
      <w:r w:rsidR="003611E1" w:rsidRPr="0026039D">
        <w:rPr>
          <w:iCs/>
        </w:rPr>
        <w:t xml:space="preserve">nib </w:t>
      </w:r>
      <w:r w:rsidR="004F6846" w:rsidRPr="0026039D">
        <w:rPr>
          <w:iCs/>
        </w:rPr>
        <w:t>was</w:t>
      </w:r>
      <w:r w:rsidR="00F97E3A" w:rsidRPr="0026039D">
        <w:rPr>
          <w:iCs/>
        </w:rPr>
        <w:t xml:space="preserve"> adequately supported by the</w:t>
      </w:r>
      <w:r w:rsidR="003611E1" w:rsidRPr="0026039D">
        <w:rPr>
          <w:iCs/>
        </w:rPr>
        <w:t xml:space="preserve"> naïve side-by-side comparison of the clinical studies presented in the submission</w:t>
      </w:r>
      <w:r w:rsidR="00B610EE" w:rsidRPr="0026039D">
        <w:rPr>
          <w:iCs/>
        </w:rPr>
        <w:t>,</w:t>
      </w:r>
      <w:r w:rsidR="003611E1" w:rsidRPr="0026039D">
        <w:rPr>
          <w:iCs/>
        </w:rPr>
        <w:t xml:space="preserve"> given </w:t>
      </w:r>
      <w:r w:rsidR="00C16558" w:rsidRPr="0026039D">
        <w:rPr>
          <w:iCs/>
        </w:rPr>
        <w:t xml:space="preserve">the </w:t>
      </w:r>
      <w:r w:rsidR="003611E1" w:rsidRPr="0026039D">
        <w:rPr>
          <w:iCs/>
        </w:rPr>
        <w:t>limited capacity to conduct adequately powered head-to-head clinical trials in the context of this rare cancer</w:t>
      </w:r>
      <w:r w:rsidR="00D811ED" w:rsidRPr="0026039D">
        <w:rPr>
          <w:iCs/>
        </w:rPr>
        <w:t xml:space="preserve">. </w:t>
      </w:r>
    </w:p>
    <w:p w14:paraId="117B28B1" w14:textId="77777777" w:rsidR="00F97E3A" w:rsidRPr="0026039D" w:rsidRDefault="00D811ED" w:rsidP="00315F69">
      <w:pPr>
        <w:pStyle w:val="ListParagraph"/>
        <w:numPr>
          <w:ilvl w:val="1"/>
          <w:numId w:val="1"/>
        </w:numPr>
        <w:spacing w:after="160"/>
        <w:rPr>
          <w:iCs/>
        </w:rPr>
      </w:pPr>
      <w:r w:rsidRPr="0026039D">
        <w:t>The results for the main patient-relevant outcome, overall survival, were immature in a number of studies, including the entrectinib ROS1-positive NSCLC PAS from the pooled entrectinib studies.</w:t>
      </w:r>
      <w:r w:rsidR="00290F67" w:rsidRPr="0026039D">
        <w:t xml:space="preserve"> </w:t>
      </w:r>
    </w:p>
    <w:p w14:paraId="3CD4C380" w14:textId="77777777" w:rsidR="00617BCC" w:rsidRPr="0026039D" w:rsidRDefault="00617BCC" w:rsidP="00657A88">
      <w:pPr>
        <w:pStyle w:val="ListParagraph"/>
        <w:numPr>
          <w:ilvl w:val="1"/>
          <w:numId w:val="1"/>
        </w:numPr>
        <w:spacing w:after="160"/>
      </w:pPr>
      <w:r w:rsidRPr="0026039D">
        <w:t xml:space="preserve">The PBAC </w:t>
      </w:r>
      <w:r w:rsidR="00FB0F5F" w:rsidRPr="0026039D">
        <w:t xml:space="preserve">noted </w:t>
      </w:r>
      <w:r w:rsidR="00434720" w:rsidRPr="0026039D">
        <w:t xml:space="preserve">it was </w:t>
      </w:r>
      <w:r w:rsidR="00523A7D" w:rsidRPr="0026039D">
        <w:t xml:space="preserve">difficult </w:t>
      </w:r>
      <w:r w:rsidR="005874CC" w:rsidRPr="0026039D">
        <w:t xml:space="preserve">to </w:t>
      </w:r>
      <w:r w:rsidR="003258EE" w:rsidRPr="0026039D">
        <w:t>draw</w:t>
      </w:r>
      <w:r w:rsidR="005874CC" w:rsidRPr="0026039D">
        <w:t xml:space="preserve"> definitive</w:t>
      </w:r>
      <w:r w:rsidR="00434720" w:rsidRPr="0026039D">
        <w:t xml:space="preserve"> conclusion</w:t>
      </w:r>
      <w:r w:rsidR="003258EE" w:rsidRPr="0026039D">
        <w:t>s</w:t>
      </w:r>
      <w:r w:rsidR="00434720" w:rsidRPr="0026039D">
        <w:t xml:space="preserve"> regarding the comparative effectiveness of entrectinib and crizotinib</w:t>
      </w:r>
      <w:r w:rsidR="003258EE" w:rsidRPr="0026039D">
        <w:t xml:space="preserve"> from the available data</w:t>
      </w:r>
      <w:r w:rsidR="00434720" w:rsidRPr="0026039D">
        <w:t xml:space="preserve"> </w:t>
      </w:r>
      <w:r w:rsidR="00CB7749" w:rsidRPr="0026039D">
        <w:t xml:space="preserve">due to the issues </w:t>
      </w:r>
      <w:r w:rsidR="003258EE" w:rsidRPr="0026039D">
        <w:t>outlined</w:t>
      </w:r>
      <w:r w:rsidR="00CB7749" w:rsidRPr="0026039D">
        <w:t xml:space="preserve"> </w:t>
      </w:r>
      <w:r w:rsidR="00CB7749" w:rsidRPr="00D075D2">
        <w:t xml:space="preserve">in paragraph </w:t>
      </w:r>
      <w:r w:rsidR="00D075D2" w:rsidRPr="00D075D2">
        <w:t>6.23</w:t>
      </w:r>
      <w:r w:rsidR="00FB0F5F" w:rsidRPr="00D075D2">
        <w:t>. However</w:t>
      </w:r>
      <w:r w:rsidR="00FB0F5F" w:rsidRPr="0026039D">
        <w:t>, the PBAC considered that, on balance,</w:t>
      </w:r>
      <w:r w:rsidR="00657A88" w:rsidRPr="0026039D">
        <w:t xml:space="preserve"> entrectinib and crizotinib would likely have similar efficacy</w:t>
      </w:r>
      <w:r w:rsidR="003258EE" w:rsidRPr="0026039D">
        <w:t xml:space="preserve"> overall</w:t>
      </w:r>
      <w:r w:rsidR="004A5EE9" w:rsidRPr="0026039D">
        <w:t xml:space="preserve">. </w:t>
      </w:r>
    </w:p>
    <w:p w14:paraId="495CDDFD" w14:textId="033ED998" w:rsidR="00CD11F1" w:rsidRPr="0026039D" w:rsidRDefault="00CD11F1" w:rsidP="00CD11F1">
      <w:pPr>
        <w:pStyle w:val="ListParagraph"/>
        <w:numPr>
          <w:ilvl w:val="1"/>
          <w:numId w:val="1"/>
        </w:numPr>
        <w:spacing w:after="160"/>
      </w:pPr>
      <w:r w:rsidRPr="0026039D">
        <w:t xml:space="preserve">The PBAC noted that entrectinib was associated with a numerically higher number of serious </w:t>
      </w:r>
      <w:r w:rsidR="00D71E9C" w:rsidRPr="0026039D">
        <w:t>TRAE</w:t>
      </w:r>
      <w:r w:rsidRPr="0026039D">
        <w:t xml:space="preserve">s compared with crizotinib </w:t>
      </w:r>
      <w:r w:rsidR="006F7636" w:rsidRPr="0026039D">
        <w:t>however, considered the safety profile of</w:t>
      </w:r>
      <w:r w:rsidR="0041158C">
        <w:t xml:space="preserve"> </w:t>
      </w:r>
      <w:r w:rsidRPr="0026039D">
        <w:t xml:space="preserve">entrectinib </w:t>
      </w:r>
      <w:r w:rsidR="006F7636" w:rsidRPr="0026039D">
        <w:t xml:space="preserve">to be different to </w:t>
      </w:r>
      <w:r w:rsidRPr="0026039D">
        <w:t xml:space="preserve">crizotinib </w:t>
      </w:r>
      <w:r w:rsidR="006F7636" w:rsidRPr="0026039D">
        <w:t>which makes</w:t>
      </w:r>
      <w:r w:rsidRPr="0026039D">
        <w:t xml:space="preserve"> comparisons difficult. </w:t>
      </w:r>
      <w:r w:rsidR="006F7636" w:rsidRPr="0026039D">
        <w:t>Overall</w:t>
      </w:r>
      <w:r w:rsidRPr="0026039D">
        <w:t xml:space="preserve">, the PBAC considered that there are likely no </w:t>
      </w:r>
      <w:r w:rsidRPr="0026039D">
        <w:rPr>
          <w:bCs/>
        </w:rPr>
        <w:t xml:space="preserve">substantive differences in safety </w:t>
      </w:r>
      <w:r w:rsidR="006F7636" w:rsidRPr="0026039D">
        <w:rPr>
          <w:bCs/>
        </w:rPr>
        <w:t>between entrectinib and crizotinib.</w:t>
      </w:r>
    </w:p>
    <w:p w14:paraId="0ABD209C" w14:textId="77777777" w:rsidR="00733F61" w:rsidRPr="0026039D" w:rsidRDefault="00733F61" w:rsidP="00632A1E">
      <w:pPr>
        <w:pStyle w:val="4-SubsectionHeading"/>
      </w:pPr>
      <w:bookmarkStart w:id="20" w:name="_Toc22897645"/>
      <w:bookmarkStart w:id="21" w:name="_Toc29370581"/>
      <w:bookmarkStart w:id="22" w:name="_Toc29387577"/>
      <w:bookmarkStart w:id="23" w:name="_Toc30597575"/>
      <w:bookmarkStart w:id="24" w:name="_Toc22897648"/>
      <w:r w:rsidRPr="0026039D">
        <w:t>Economic analysis</w:t>
      </w:r>
      <w:bookmarkEnd w:id="20"/>
      <w:bookmarkEnd w:id="21"/>
      <w:bookmarkEnd w:id="22"/>
      <w:bookmarkEnd w:id="23"/>
    </w:p>
    <w:p w14:paraId="1498B127" w14:textId="77777777" w:rsidR="00733F61" w:rsidRPr="0026039D" w:rsidRDefault="00733F61" w:rsidP="00315F69">
      <w:pPr>
        <w:pStyle w:val="ListParagraph"/>
        <w:numPr>
          <w:ilvl w:val="1"/>
          <w:numId w:val="1"/>
        </w:numPr>
        <w:spacing w:after="160"/>
        <w:rPr>
          <w:b/>
          <w:bCs/>
        </w:rPr>
      </w:pPr>
      <w:r w:rsidRPr="0026039D">
        <w:t xml:space="preserve">The submission presented a cost-minimisation analysis of entrectinib compared to crizotinib. </w:t>
      </w:r>
    </w:p>
    <w:p w14:paraId="40D0ECA6" w14:textId="77777777" w:rsidR="00733F61" w:rsidRPr="0026039D" w:rsidRDefault="00733F61" w:rsidP="00DF3E60">
      <w:pPr>
        <w:pStyle w:val="ListParagraph"/>
        <w:numPr>
          <w:ilvl w:val="1"/>
          <w:numId w:val="1"/>
        </w:numPr>
        <w:spacing w:after="160"/>
      </w:pPr>
      <w:r w:rsidRPr="0026039D">
        <w:t xml:space="preserve">The submission assumed the duration of entrectinib treatment was the same as that of crizotinib and the equi-effective doses were estimated as entrectinib 600mg daily and crizotinib 250mg twice daily. </w:t>
      </w:r>
      <w:r w:rsidR="00D91070" w:rsidRPr="0026039D">
        <w:t xml:space="preserve">The assumption of </w:t>
      </w:r>
      <w:r w:rsidR="00BD1422" w:rsidRPr="0026039D">
        <w:t xml:space="preserve">the same </w:t>
      </w:r>
      <w:r w:rsidR="00D91070" w:rsidRPr="0026039D">
        <w:t xml:space="preserve">duration of treatment </w:t>
      </w:r>
      <w:r w:rsidRPr="0026039D">
        <w:t xml:space="preserve">was based on the claim of non-inferiority in terms of PFS between entrectinib and crizotinib. </w:t>
      </w:r>
    </w:p>
    <w:p w14:paraId="2A138116" w14:textId="77777777" w:rsidR="00733F61" w:rsidRPr="0026039D" w:rsidRDefault="00733F61" w:rsidP="00657A88">
      <w:pPr>
        <w:pStyle w:val="ListParagraph"/>
        <w:numPr>
          <w:ilvl w:val="1"/>
          <w:numId w:val="1"/>
        </w:numPr>
        <w:spacing w:after="160"/>
      </w:pPr>
      <w:r w:rsidRPr="0026039D">
        <w:lastRenderedPageBreak/>
        <w:t xml:space="preserve">The assumed same treatment duration of entrectinib and crizotinib was uncertain because: </w:t>
      </w:r>
    </w:p>
    <w:p w14:paraId="494BE83B" w14:textId="77777777" w:rsidR="00733F61" w:rsidRPr="0026039D" w:rsidRDefault="00733F61" w:rsidP="00617BCC">
      <w:pPr>
        <w:pStyle w:val="3-BodyText"/>
        <w:numPr>
          <w:ilvl w:val="0"/>
          <w:numId w:val="8"/>
        </w:numPr>
        <w:ind w:left="1134"/>
        <w:rPr>
          <w:iCs/>
        </w:rPr>
      </w:pPr>
      <w:r w:rsidRPr="0026039D">
        <w:rPr>
          <w:iCs/>
        </w:rPr>
        <w:t xml:space="preserve">There were a number of transitivity issues between the included studies, making any comparisons between them difficult to interpret; </w:t>
      </w:r>
    </w:p>
    <w:p w14:paraId="001904F7" w14:textId="77777777" w:rsidR="00733F61" w:rsidRPr="0026039D" w:rsidRDefault="00733F61" w:rsidP="00617BCC">
      <w:pPr>
        <w:pStyle w:val="3-BodyText"/>
        <w:numPr>
          <w:ilvl w:val="0"/>
          <w:numId w:val="8"/>
        </w:numPr>
        <w:ind w:left="1134"/>
        <w:rPr>
          <w:iCs/>
        </w:rPr>
      </w:pPr>
      <w:r w:rsidRPr="0026039D">
        <w:rPr>
          <w:iCs/>
        </w:rPr>
        <w:t>The duration of follow-up differed between the cut-off points in the single arm studies, which may impact both the mean and median duration of therapy. For</w:t>
      </w:r>
      <w:r w:rsidRPr="0026039D">
        <w:t xml:space="preserve"> </w:t>
      </w:r>
      <w:r w:rsidRPr="0026039D">
        <w:rPr>
          <w:iCs/>
        </w:rPr>
        <w:t xml:space="preserve">example, </w:t>
      </w:r>
      <w:r w:rsidR="007077FF">
        <w:rPr>
          <w:iCs/>
          <w:noProof/>
          <w:color w:val="000000"/>
          <w:highlight w:val="black"/>
        </w:rPr>
        <w:t>''''''</w:t>
      </w:r>
      <w:r w:rsidRPr="0026039D">
        <w:rPr>
          <w:iCs/>
        </w:rPr>
        <w:t>% of patients remained on treatment at the end of follow-up in the entrectinib PAS (median follow up of 20.6 months), and 60% in the crizotinib study (PROFILE 1001 at the 16 May 2014 cut-off; median follow up of 16.4 months); and</w:t>
      </w:r>
    </w:p>
    <w:p w14:paraId="5AE02FED" w14:textId="77777777" w:rsidR="00343563" w:rsidRPr="0026039D" w:rsidRDefault="00733F61" w:rsidP="00617BCC">
      <w:pPr>
        <w:pStyle w:val="3-BodyText"/>
        <w:numPr>
          <w:ilvl w:val="0"/>
          <w:numId w:val="8"/>
        </w:numPr>
        <w:ind w:left="1134"/>
        <w:rPr>
          <w:iCs/>
        </w:rPr>
      </w:pPr>
      <w:r w:rsidRPr="0026039D">
        <w:rPr>
          <w:iCs/>
        </w:rPr>
        <w:t>The submission compared the median duration of therapy</w:t>
      </w:r>
      <w:r w:rsidR="00BD1422" w:rsidRPr="0026039D">
        <w:rPr>
          <w:iCs/>
        </w:rPr>
        <w:t>; however, it would be more appropriate to use the mean duration of therapy</w:t>
      </w:r>
      <w:r w:rsidR="0026039D">
        <w:rPr>
          <w:iCs/>
        </w:rPr>
        <w:t>.</w:t>
      </w:r>
      <w:r w:rsidR="00BD1422" w:rsidRPr="0026039D">
        <w:rPr>
          <w:iCs/>
        </w:rPr>
        <w:t xml:space="preserve"> </w:t>
      </w:r>
      <w:r w:rsidRPr="0026039D">
        <w:rPr>
          <w:iCs/>
        </w:rPr>
        <w:t xml:space="preserve">Given that there were differing durations of follow-up between the studies, </w:t>
      </w:r>
      <w:r w:rsidR="00BD1422" w:rsidRPr="0026039D">
        <w:rPr>
          <w:iCs/>
        </w:rPr>
        <w:t xml:space="preserve">the evaluation considered </w:t>
      </w:r>
      <w:r w:rsidRPr="0026039D">
        <w:rPr>
          <w:iCs/>
        </w:rPr>
        <w:t>a restricted mean analysis would be more reasonable.</w:t>
      </w:r>
      <w:r w:rsidR="00563711" w:rsidRPr="0026039D">
        <w:rPr>
          <w:iCs/>
        </w:rPr>
        <w:t xml:space="preserve"> </w:t>
      </w:r>
    </w:p>
    <w:p w14:paraId="659B79C7" w14:textId="77777777" w:rsidR="00343563" w:rsidRPr="0026039D" w:rsidRDefault="007B12EC" w:rsidP="005157A5">
      <w:pPr>
        <w:pStyle w:val="ListParagraph"/>
        <w:numPr>
          <w:ilvl w:val="1"/>
          <w:numId w:val="1"/>
        </w:numPr>
        <w:spacing w:after="160"/>
        <w:rPr>
          <w:iCs/>
        </w:rPr>
      </w:pPr>
      <w:r w:rsidRPr="0026039D">
        <w:t xml:space="preserve">The PSCR </w:t>
      </w:r>
      <w:r w:rsidR="0040308D" w:rsidRPr="0026039D">
        <w:t>noted</w:t>
      </w:r>
      <w:r w:rsidRPr="0026039D">
        <w:t xml:space="preserve"> that data for the mean duration of treatment were not available for any of the crizotinib studies </w:t>
      </w:r>
      <w:r w:rsidR="0040308D" w:rsidRPr="0026039D">
        <w:t xml:space="preserve">and </w:t>
      </w:r>
      <w:r w:rsidRPr="0026039D">
        <w:t xml:space="preserve">therefore it was not possible to present a study-based CMA using the mean duration of treatment for entrectinib and crizotinib. </w:t>
      </w:r>
    </w:p>
    <w:p w14:paraId="189BB73D" w14:textId="77777777" w:rsidR="00733F61" w:rsidRPr="0026039D" w:rsidRDefault="00733F61" w:rsidP="00315F69">
      <w:pPr>
        <w:pStyle w:val="ListParagraph"/>
        <w:numPr>
          <w:ilvl w:val="1"/>
          <w:numId w:val="1"/>
        </w:numPr>
        <w:spacing w:after="160"/>
      </w:pPr>
      <w:r w:rsidRPr="0026039D">
        <w:t xml:space="preserve">The submission did not include any additional costs or cost-offsets in the cost-minimisation analysis. </w:t>
      </w:r>
    </w:p>
    <w:p w14:paraId="28D160E0" w14:textId="77777777" w:rsidR="00733F61" w:rsidRPr="0026039D" w:rsidRDefault="00733F61" w:rsidP="00315F69">
      <w:pPr>
        <w:pStyle w:val="ListParagraph"/>
        <w:numPr>
          <w:ilvl w:val="1"/>
          <w:numId w:val="1"/>
        </w:numPr>
        <w:spacing w:after="160"/>
      </w:pPr>
      <w:r w:rsidRPr="0026039D">
        <w:t>The submission presented a cost-minimisation analysis using the published price of crizotinib based on an in-principle agreement that there is no difference in the effective ex-manufacturer prices of entrectinib and crizotinib. The results of cost-minimisation analysis are summarised below.</w:t>
      </w:r>
    </w:p>
    <w:p w14:paraId="037E3052" w14:textId="77777777" w:rsidR="00733F61" w:rsidRPr="0026039D" w:rsidRDefault="00733F61" w:rsidP="00632A1E">
      <w:pPr>
        <w:pStyle w:val="TableFigureHeading"/>
      </w:pPr>
      <w:r w:rsidRPr="0026039D">
        <w:t>Table 8: Results of the cost-minimisation analysis for entrectinib versus crizotinib</w:t>
      </w:r>
    </w:p>
    <w:tbl>
      <w:tblPr>
        <w:tblStyle w:val="TableGrid"/>
        <w:tblW w:w="5000" w:type="pct"/>
        <w:tblLook w:val="04A0" w:firstRow="1" w:lastRow="0" w:firstColumn="1" w:lastColumn="0" w:noHBand="0" w:noVBand="1"/>
        <w:tblCaption w:val="Table 8: Results of the cost-minimisation analysis for entrectinib versus crizotinib"/>
        <w:tblDescription w:val="Table 8: Results of the cost-minimisation analysis for entrectinib versus crizotinib"/>
      </w:tblPr>
      <w:tblGrid>
        <w:gridCol w:w="1253"/>
        <w:gridCol w:w="947"/>
        <w:gridCol w:w="965"/>
        <w:gridCol w:w="765"/>
        <w:gridCol w:w="907"/>
        <w:gridCol w:w="1288"/>
        <w:gridCol w:w="777"/>
        <w:gridCol w:w="1089"/>
        <w:gridCol w:w="1026"/>
      </w:tblGrid>
      <w:tr w:rsidR="00733F61" w:rsidRPr="0026039D" w14:paraId="1BC1F215" w14:textId="77777777" w:rsidTr="0041158C">
        <w:trPr>
          <w:tblHeader/>
        </w:trPr>
        <w:tc>
          <w:tcPr>
            <w:tcW w:w="695" w:type="pct"/>
          </w:tcPr>
          <w:p w14:paraId="1B105D15" w14:textId="77777777" w:rsidR="00733F61" w:rsidRPr="0026039D" w:rsidRDefault="00733F61" w:rsidP="00733F61">
            <w:pPr>
              <w:pStyle w:val="TableText0"/>
              <w:rPr>
                <w:b/>
              </w:rPr>
            </w:pPr>
            <w:r w:rsidRPr="0026039D">
              <w:rPr>
                <w:b/>
              </w:rPr>
              <w:t>Drug</w:t>
            </w:r>
          </w:p>
        </w:tc>
        <w:tc>
          <w:tcPr>
            <w:tcW w:w="525" w:type="pct"/>
          </w:tcPr>
          <w:p w14:paraId="5DCFB74F" w14:textId="77777777" w:rsidR="00733F61" w:rsidRPr="0026039D" w:rsidRDefault="00733F61" w:rsidP="00733F61">
            <w:pPr>
              <w:pStyle w:val="TableText0"/>
              <w:rPr>
                <w:b/>
              </w:rPr>
            </w:pPr>
            <w:r w:rsidRPr="0026039D">
              <w:rPr>
                <w:b/>
              </w:rPr>
              <w:t>Strength (mg)</w:t>
            </w:r>
          </w:p>
        </w:tc>
        <w:tc>
          <w:tcPr>
            <w:tcW w:w="535" w:type="pct"/>
          </w:tcPr>
          <w:p w14:paraId="04B832E3" w14:textId="77777777" w:rsidR="00733F61" w:rsidRPr="0026039D" w:rsidRDefault="00733F61" w:rsidP="00733F61">
            <w:pPr>
              <w:pStyle w:val="TableText0"/>
              <w:rPr>
                <w:b/>
              </w:rPr>
            </w:pPr>
            <w:r w:rsidRPr="0026039D">
              <w:rPr>
                <w:b/>
              </w:rPr>
              <w:t>Pack Quantity</w:t>
            </w:r>
          </w:p>
        </w:tc>
        <w:tc>
          <w:tcPr>
            <w:tcW w:w="424" w:type="pct"/>
          </w:tcPr>
          <w:p w14:paraId="2984D222" w14:textId="77777777" w:rsidR="00733F61" w:rsidRPr="0026039D" w:rsidRDefault="00733F61" w:rsidP="00733F61">
            <w:pPr>
              <w:pStyle w:val="TableText0"/>
              <w:rPr>
                <w:b/>
              </w:rPr>
            </w:pPr>
            <w:r w:rsidRPr="0026039D">
              <w:rPr>
                <w:b/>
              </w:rPr>
              <w:t>Daily dose (mg)</w:t>
            </w:r>
          </w:p>
        </w:tc>
        <w:tc>
          <w:tcPr>
            <w:tcW w:w="503" w:type="pct"/>
          </w:tcPr>
          <w:p w14:paraId="677E2782" w14:textId="77777777" w:rsidR="00733F61" w:rsidRPr="0026039D" w:rsidRDefault="00733F61" w:rsidP="00733F61">
            <w:pPr>
              <w:pStyle w:val="TableText0"/>
              <w:rPr>
                <w:b/>
              </w:rPr>
            </w:pPr>
            <w:r w:rsidRPr="0026039D">
              <w:rPr>
                <w:b/>
              </w:rPr>
              <w:t>Total mg per pack</w:t>
            </w:r>
          </w:p>
        </w:tc>
        <w:tc>
          <w:tcPr>
            <w:tcW w:w="714" w:type="pct"/>
          </w:tcPr>
          <w:p w14:paraId="6DBE992A" w14:textId="77777777" w:rsidR="00733F61" w:rsidRPr="0026039D" w:rsidRDefault="00733F61" w:rsidP="00733F61">
            <w:pPr>
              <w:pStyle w:val="TableText0"/>
              <w:rPr>
                <w:b/>
              </w:rPr>
            </w:pPr>
            <w:r w:rsidRPr="0026039D">
              <w:rPr>
                <w:b/>
              </w:rPr>
              <w:t>Days of treatment per pack</w:t>
            </w:r>
          </w:p>
        </w:tc>
        <w:tc>
          <w:tcPr>
            <w:tcW w:w="431" w:type="pct"/>
          </w:tcPr>
          <w:p w14:paraId="4406D286" w14:textId="77777777" w:rsidR="00733F61" w:rsidRPr="0026039D" w:rsidRDefault="00733F61" w:rsidP="00733F61">
            <w:pPr>
              <w:pStyle w:val="TableText0"/>
              <w:rPr>
                <w:b/>
              </w:rPr>
            </w:pPr>
            <w:r w:rsidRPr="0026039D">
              <w:rPr>
                <w:b/>
              </w:rPr>
              <w:t>Max qty packs</w:t>
            </w:r>
          </w:p>
        </w:tc>
        <w:tc>
          <w:tcPr>
            <w:tcW w:w="604" w:type="pct"/>
          </w:tcPr>
          <w:p w14:paraId="54C738AB" w14:textId="77777777" w:rsidR="00733F61" w:rsidRPr="0026039D" w:rsidRDefault="00733F61" w:rsidP="00733F61">
            <w:pPr>
              <w:pStyle w:val="TableText0"/>
              <w:rPr>
                <w:b/>
              </w:rPr>
            </w:pPr>
            <w:r w:rsidRPr="0026039D">
              <w:rPr>
                <w:b/>
              </w:rPr>
              <w:t>AEMP</w:t>
            </w:r>
          </w:p>
        </w:tc>
        <w:tc>
          <w:tcPr>
            <w:tcW w:w="569" w:type="pct"/>
          </w:tcPr>
          <w:p w14:paraId="79D5D7BA" w14:textId="77777777" w:rsidR="00733F61" w:rsidRPr="0026039D" w:rsidRDefault="00733F61" w:rsidP="00733F61">
            <w:pPr>
              <w:pStyle w:val="TableText0"/>
              <w:rPr>
                <w:b/>
              </w:rPr>
            </w:pPr>
            <w:r w:rsidRPr="0026039D">
              <w:rPr>
                <w:b/>
              </w:rPr>
              <w:t>DPMQ</w:t>
            </w:r>
          </w:p>
        </w:tc>
      </w:tr>
      <w:tr w:rsidR="00733F61" w:rsidRPr="0026039D" w14:paraId="4683E9A8" w14:textId="77777777" w:rsidTr="00B41A01">
        <w:tc>
          <w:tcPr>
            <w:tcW w:w="695" w:type="pct"/>
            <w:vAlign w:val="center"/>
          </w:tcPr>
          <w:p w14:paraId="7A70DEAD" w14:textId="77777777" w:rsidR="00733F61" w:rsidRPr="0026039D" w:rsidRDefault="00733F61" w:rsidP="00733F61">
            <w:pPr>
              <w:pStyle w:val="TableText0"/>
            </w:pPr>
            <w:r w:rsidRPr="0026039D">
              <w:t>Crizotinib</w:t>
            </w:r>
          </w:p>
        </w:tc>
        <w:tc>
          <w:tcPr>
            <w:tcW w:w="525" w:type="pct"/>
          </w:tcPr>
          <w:p w14:paraId="571B84E3" w14:textId="77777777" w:rsidR="00733F61" w:rsidRPr="0026039D" w:rsidRDefault="00733F61" w:rsidP="00733F61">
            <w:pPr>
              <w:pStyle w:val="TableText0"/>
            </w:pPr>
            <w:r w:rsidRPr="0026039D">
              <w:t>250</w:t>
            </w:r>
          </w:p>
        </w:tc>
        <w:tc>
          <w:tcPr>
            <w:tcW w:w="535" w:type="pct"/>
          </w:tcPr>
          <w:p w14:paraId="55C5E3FC" w14:textId="77777777" w:rsidR="00733F61" w:rsidRPr="0026039D" w:rsidRDefault="00733F61" w:rsidP="00733F61">
            <w:pPr>
              <w:pStyle w:val="TableText0"/>
            </w:pPr>
            <w:r w:rsidRPr="0026039D">
              <w:t>60</w:t>
            </w:r>
          </w:p>
        </w:tc>
        <w:tc>
          <w:tcPr>
            <w:tcW w:w="424" w:type="pct"/>
          </w:tcPr>
          <w:p w14:paraId="23C82D7D" w14:textId="77777777" w:rsidR="00733F61" w:rsidRPr="0026039D" w:rsidRDefault="00733F61" w:rsidP="00733F61">
            <w:pPr>
              <w:pStyle w:val="TableText0"/>
            </w:pPr>
            <w:r w:rsidRPr="0026039D">
              <w:t>500</w:t>
            </w:r>
          </w:p>
        </w:tc>
        <w:tc>
          <w:tcPr>
            <w:tcW w:w="503" w:type="pct"/>
          </w:tcPr>
          <w:p w14:paraId="5185E050" w14:textId="77777777" w:rsidR="00733F61" w:rsidRPr="0026039D" w:rsidRDefault="00733F61" w:rsidP="00733F61">
            <w:pPr>
              <w:pStyle w:val="TableText0"/>
            </w:pPr>
            <w:r w:rsidRPr="0026039D">
              <w:t>15,000</w:t>
            </w:r>
          </w:p>
        </w:tc>
        <w:tc>
          <w:tcPr>
            <w:tcW w:w="714" w:type="pct"/>
          </w:tcPr>
          <w:p w14:paraId="17FB36FB" w14:textId="77777777" w:rsidR="00733F61" w:rsidRPr="0026039D" w:rsidRDefault="00733F61" w:rsidP="00733F61">
            <w:pPr>
              <w:pStyle w:val="TableText0"/>
            </w:pPr>
            <w:r w:rsidRPr="0026039D">
              <w:t>30</w:t>
            </w:r>
          </w:p>
        </w:tc>
        <w:tc>
          <w:tcPr>
            <w:tcW w:w="431" w:type="pct"/>
          </w:tcPr>
          <w:p w14:paraId="1B78ED77" w14:textId="77777777" w:rsidR="00733F61" w:rsidRPr="0026039D" w:rsidRDefault="00733F61" w:rsidP="00733F61">
            <w:pPr>
              <w:pStyle w:val="TableText0"/>
            </w:pPr>
            <w:r w:rsidRPr="0026039D">
              <w:t>1</w:t>
            </w:r>
          </w:p>
        </w:tc>
        <w:tc>
          <w:tcPr>
            <w:tcW w:w="604" w:type="pct"/>
          </w:tcPr>
          <w:p w14:paraId="093A9D24" w14:textId="77777777" w:rsidR="00733F61" w:rsidRPr="0026039D" w:rsidRDefault="00733F61" w:rsidP="00733F61">
            <w:pPr>
              <w:pStyle w:val="TableText0"/>
            </w:pPr>
            <w:r w:rsidRPr="0026039D">
              <w:t>$7,128.30</w:t>
            </w:r>
            <w:r w:rsidRPr="0026039D">
              <w:rPr>
                <w:vertAlign w:val="superscript"/>
              </w:rPr>
              <w:t>a</w:t>
            </w:r>
          </w:p>
        </w:tc>
        <w:tc>
          <w:tcPr>
            <w:tcW w:w="569" w:type="pct"/>
          </w:tcPr>
          <w:p w14:paraId="28AB1651" w14:textId="77777777" w:rsidR="00733F61" w:rsidRPr="0026039D" w:rsidRDefault="00733F61" w:rsidP="00733F61">
            <w:pPr>
              <w:pStyle w:val="TableText0"/>
            </w:pPr>
            <w:r w:rsidRPr="0026039D">
              <w:t>$7,280.42</w:t>
            </w:r>
          </w:p>
        </w:tc>
      </w:tr>
      <w:tr w:rsidR="00733F61" w:rsidRPr="0026039D" w14:paraId="60843148" w14:textId="77777777" w:rsidTr="00B41A01">
        <w:tc>
          <w:tcPr>
            <w:tcW w:w="695" w:type="pct"/>
            <w:vAlign w:val="center"/>
          </w:tcPr>
          <w:p w14:paraId="4DA7AFC4" w14:textId="77777777" w:rsidR="00733F61" w:rsidRPr="0026039D" w:rsidRDefault="00733F61" w:rsidP="00733F61">
            <w:pPr>
              <w:pStyle w:val="TableText0"/>
            </w:pPr>
            <w:r w:rsidRPr="0026039D">
              <w:t>Entrectinib</w:t>
            </w:r>
          </w:p>
        </w:tc>
        <w:tc>
          <w:tcPr>
            <w:tcW w:w="525" w:type="pct"/>
          </w:tcPr>
          <w:p w14:paraId="350ED4F6" w14:textId="77777777" w:rsidR="00733F61" w:rsidRPr="0026039D" w:rsidRDefault="00733F61" w:rsidP="00733F61">
            <w:pPr>
              <w:pStyle w:val="TableText0"/>
            </w:pPr>
            <w:r w:rsidRPr="0026039D">
              <w:t>200</w:t>
            </w:r>
          </w:p>
        </w:tc>
        <w:tc>
          <w:tcPr>
            <w:tcW w:w="535" w:type="pct"/>
          </w:tcPr>
          <w:p w14:paraId="150CA448" w14:textId="77777777" w:rsidR="00733F61" w:rsidRPr="0026039D" w:rsidRDefault="00733F61" w:rsidP="00733F61">
            <w:pPr>
              <w:pStyle w:val="TableText0"/>
            </w:pPr>
            <w:r w:rsidRPr="0026039D">
              <w:t>90</w:t>
            </w:r>
          </w:p>
        </w:tc>
        <w:tc>
          <w:tcPr>
            <w:tcW w:w="424" w:type="pct"/>
          </w:tcPr>
          <w:p w14:paraId="21071980" w14:textId="77777777" w:rsidR="00733F61" w:rsidRPr="0026039D" w:rsidRDefault="00733F61" w:rsidP="00733F61">
            <w:pPr>
              <w:pStyle w:val="TableText0"/>
            </w:pPr>
            <w:r w:rsidRPr="0026039D">
              <w:t>600</w:t>
            </w:r>
          </w:p>
        </w:tc>
        <w:tc>
          <w:tcPr>
            <w:tcW w:w="503" w:type="pct"/>
          </w:tcPr>
          <w:p w14:paraId="286A17F2" w14:textId="77777777" w:rsidR="00733F61" w:rsidRPr="0026039D" w:rsidRDefault="00733F61" w:rsidP="00733F61">
            <w:pPr>
              <w:pStyle w:val="TableText0"/>
            </w:pPr>
            <w:r w:rsidRPr="0026039D">
              <w:t>18,000</w:t>
            </w:r>
          </w:p>
        </w:tc>
        <w:tc>
          <w:tcPr>
            <w:tcW w:w="714" w:type="pct"/>
          </w:tcPr>
          <w:p w14:paraId="09256D98" w14:textId="77777777" w:rsidR="00733F61" w:rsidRPr="0026039D" w:rsidRDefault="00733F61" w:rsidP="00733F61">
            <w:pPr>
              <w:pStyle w:val="TableText0"/>
            </w:pPr>
            <w:r w:rsidRPr="0026039D">
              <w:t>30</w:t>
            </w:r>
          </w:p>
        </w:tc>
        <w:tc>
          <w:tcPr>
            <w:tcW w:w="431" w:type="pct"/>
          </w:tcPr>
          <w:p w14:paraId="7BEA090D" w14:textId="77777777" w:rsidR="00733F61" w:rsidRPr="0026039D" w:rsidRDefault="00733F61" w:rsidP="00733F61">
            <w:pPr>
              <w:pStyle w:val="TableText0"/>
            </w:pPr>
            <w:r w:rsidRPr="0026039D">
              <w:t>1</w:t>
            </w:r>
          </w:p>
        </w:tc>
        <w:tc>
          <w:tcPr>
            <w:tcW w:w="604" w:type="pct"/>
          </w:tcPr>
          <w:p w14:paraId="5C6A37B3" w14:textId="77777777" w:rsidR="00733F61" w:rsidRPr="0026039D" w:rsidRDefault="00733F61" w:rsidP="00733F61">
            <w:pPr>
              <w:pStyle w:val="TableText0"/>
            </w:pPr>
            <w:r w:rsidRPr="0026039D">
              <w:t>$7,128.30</w:t>
            </w:r>
            <w:r w:rsidRPr="0026039D">
              <w:rPr>
                <w:vertAlign w:val="superscript"/>
              </w:rPr>
              <w:t>a</w:t>
            </w:r>
          </w:p>
        </w:tc>
        <w:tc>
          <w:tcPr>
            <w:tcW w:w="569" w:type="pct"/>
          </w:tcPr>
          <w:p w14:paraId="71E7B128" w14:textId="77777777" w:rsidR="00733F61" w:rsidRPr="0026039D" w:rsidRDefault="00733F61" w:rsidP="00733F61">
            <w:pPr>
              <w:pStyle w:val="TableText0"/>
            </w:pPr>
            <w:r w:rsidRPr="0026039D">
              <w:t>$7,280.42</w:t>
            </w:r>
          </w:p>
        </w:tc>
      </w:tr>
    </w:tbl>
    <w:p w14:paraId="4A638AC5" w14:textId="77777777" w:rsidR="00733F61" w:rsidRPr="0026039D" w:rsidRDefault="00733F61" w:rsidP="00733F61">
      <w:pPr>
        <w:pStyle w:val="TableFigureFooter"/>
      </w:pPr>
      <w:r w:rsidRPr="0026039D">
        <w:t>Source: Table 3.4, Section 3 of the submission</w:t>
      </w:r>
    </w:p>
    <w:p w14:paraId="67CF8BD1" w14:textId="77777777" w:rsidR="00733F61" w:rsidRPr="0026039D" w:rsidRDefault="00733F61" w:rsidP="00733F61">
      <w:pPr>
        <w:pStyle w:val="TableFigureFooter"/>
      </w:pPr>
      <w:r w:rsidRPr="0026039D">
        <w:t>AEMP = approved ex-manufacturer price; DPMQ = dispensed price for maximum quantity</w:t>
      </w:r>
    </w:p>
    <w:p w14:paraId="2033D27B" w14:textId="77777777" w:rsidR="00733F61" w:rsidRPr="0026039D" w:rsidRDefault="00733F61" w:rsidP="00733F61">
      <w:pPr>
        <w:pStyle w:val="TableFigureFooter"/>
        <w:rPr>
          <w:snapToGrid/>
        </w:rPr>
      </w:pPr>
      <w:bookmarkStart w:id="25" w:name="_Toc22897646"/>
      <w:bookmarkStart w:id="26" w:name="_Toc29370582"/>
      <w:bookmarkStart w:id="27" w:name="_Toc29387578"/>
      <w:r w:rsidRPr="0026039D">
        <w:rPr>
          <w:snapToGrid/>
          <w:vertAlign w:val="superscript"/>
        </w:rPr>
        <w:t>a</w:t>
      </w:r>
      <w:r w:rsidRPr="0026039D">
        <w:rPr>
          <w:snapToGrid/>
        </w:rPr>
        <w:t xml:space="preserve"> The Sponsor is not privy to the effective ex-manufacturer price of crizotinib. The submission therefore based the cost-minimisation analysis and financial estimates on the published dispensed price of crizotinib. </w:t>
      </w:r>
    </w:p>
    <w:p w14:paraId="7F1E6E54" w14:textId="77777777" w:rsidR="00A14108" w:rsidRPr="00E7785B" w:rsidRDefault="0032526A" w:rsidP="00733F61">
      <w:pPr>
        <w:pStyle w:val="ListParagraph"/>
        <w:numPr>
          <w:ilvl w:val="1"/>
          <w:numId w:val="1"/>
        </w:numPr>
        <w:spacing w:after="160"/>
      </w:pPr>
      <w:r w:rsidRPr="0026039D">
        <w:t xml:space="preserve">The PBAC previously </w:t>
      </w:r>
      <w:r w:rsidR="00A66C56" w:rsidRPr="0026039D">
        <w:t>considered that the cost per patient</w:t>
      </w:r>
      <w:r w:rsidRPr="0026039D">
        <w:t xml:space="preserve"> of crizotinib in the ROS1-positive setting should be the same as the ALK-positive setting. The price of crizotinib is therefore weighted between the ALK-positive and ROS1-positive patient populations, to account for the different observed treatment duration (paragraph 5.25, Crizotinib, PSD, July 2018 PBAC meeting). </w:t>
      </w:r>
      <w:r w:rsidR="00A66C56" w:rsidRPr="0026039D">
        <w:t>T</w:t>
      </w:r>
      <w:r w:rsidRPr="0026039D">
        <w:rPr>
          <w:iCs/>
        </w:rPr>
        <w:t xml:space="preserve">he </w:t>
      </w:r>
      <w:r w:rsidR="00A66C56" w:rsidRPr="0026039D">
        <w:rPr>
          <w:iCs/>
        </w:rPr>
        <w:t xml:space="preserve">PBAC recommended the </w:t>
      </w:r>
      <w:r w:rsidRPr="0026039D">
        <w:rPr>
          <w:iCs/>
        </w:rPr>
        <w:t xml:space="preserve">cost-minimised ex-manufacturer price of entrectinib should be based on </w:t>
      </w:r>
      <w:r w:rsidR="00A66C56" w:rsidRPr="0026039D">
        <w:rPr>
          <w:iCs/>
        </w:rPr>
        <w:t xml:space="preserve">the </w:t>
      </w:r>
      <w:r w:rsidRPr="0026039D">
        <w:rPr>
          <w:iCs/>
        </w:rPr>
        <w:t>ex-manufacturer price for crizotinib in the ROS1-positive patient population.</w:t>
      </w:r>
    </w:p>
    <w:p w14:paraId="4D7B8ED1" w14:textId="77777777" w:rsidR="00733F61" w:rsidRPr="0026039D" w:rsidRDefault="00733F61" w:rsidP="00733F61">
      <w:pPr>
        <w:pStyle w:val="4-SubsectionHeading"/>
      </w:pPr>
      <w:bookmarkStart w:id="28" w:name="_Toc30597576"/>
      <w:r w:rsidRPr="0026039D">
        <w:lastRenderedPageBreak/>
        <w:t>Drug cost</w:t>
      </w:r>
      <w:r w:rsidR="00042B9A" w:rsidRPr="0026039D">
        <w:t xml:space="preserve"> per</w:t>
      </w:r>
      <w:r w:rsidR="00A775E5" w:rsidRPr="0026039D">
        <w:t xml:space="preserve"> </w:t>
      </w:r>
      <w:r w:rsidRPr="0026039D">
        <w:t>patient</w:t>
      </w:r>
      <w:bookmarkEnd w:id="25"/>
      <w:bookmarkEnd w:id="26"/>
      <w:bookmarkEnd w:id="27"/>
      <w:bookmarkEnd w:id="28"/>
    </w:p>
    <w:p w14:paraId="1822BCF9" w14:textId="77777777" w:rsidR="00733F61" w:rsidRPr="0026039D" w:rsidRDefault="00733F61" w:rsidP="00315F69">
      <w:pPr>
        <w:pStyle w:val="ListParagraph"/>
        <w:numPr>
          <w:ilvl w:val="1"/>
          <w:numId w:val="1"/>
        </w:numPr>
        <w:spacing w:after="160"/>
      </w:pPr>
      <w:r w:rsidRPr="0026039D">
        <w:t>The drug cost</w:t>
      </w:r>
      <w:r w:rsidR="00042B9A" w:rsidRPr="0026039D">
        <w:t xml:space="preserve"> per </w:t>
      </w:r>
      <w:r w:rsidRPr="0026039D">
        <w:t>patient of entrectinib is $</w:t>
      </w:r>
      <w:r w:rsidR="007077FF">
        <w:rPr>
          <w:noProof/>
          <w:color w:val="000000"/>
          <w:highlight w:val="black"/>
        </w:rPr>
        <w:t>''''''''''''''''</w:t>
      </w:r>
      <w:r w:rsidRPr="0026039D">
        <w:t xml:space="preserve">. This was based on the published DPMQ of crizotinib ($7,280.42) and mean duration of entrectinib treatment of </w:t>
      </w:r>
      <w:r w:rsidR="007077FF">
        <w:rPr>
          <w:noProof/>
          <w:color w:val="000000"/>
          <w:highlight w:val="black"/>
        </w:rPr>
        <w:t>'''''</w:t>
      </w:r>
      <w:r w:rsidRPr="0026039D">
        <w:t xml:space="preserve"> months (estimated by the area under the curve of the extrapolated time to off treatment data from the entrectinib PAS). The submission assumed that the cost</w:t>
      </w:r>
      <w:r w:rsidR="0032526A" w:rsidRPr="0026039D">
        <w:t xml:space="preserve"> per </w:t>
      </w:r>
      <w:r w:rsidRPr="0026039D">
        <w:t>patient with entrectinib and crizotinib is the same.</w:t>
      </w:r>
    </w:p>
    <w:p w14:paraId="07B85628" w14:textId="77777777" w:rsidR="00733F61" w:rsidRPr="0026039D" w:rsidRDefault="00733F61" w:rsidP="00315F69">
      <w:pPr>
        <w:pStyle w:val="ListParagraph"/>
        <w:numPr>
          <w:ilvl w:val="1"/>
          <w:numId w:val="1"/>
        </w:numPr>
        <w:spacing w:after="160"/>
      </w:pPr>
      <w:r w:rsidRPr="0026039D">
        <w:t xml:space="preserve">The average duration of therapy with entrectinib in the financial estimates was based on the area under the curve of the extrapolated time to off treatment (TToT) data from the entrectinib ROS1-positive PAS. As in the cost-minimisation analysis, the submission assumed that the average duration of treatment with crizotinib would be the same as entrectinib. Whether or not the exponential parametric function was the most appropriate to extrapolate TToT remains uncertain, as the submission failed to explore the use of alternative parametric functions. However, given that the submission has assumed the same treatment duration of crizotinib and entrectinib, the </w:t>
      </w:r>
      <w:r w:rsidR="00B7736E" w:rsidRPr="0026039D">
        <w:t xml:space="preserve">actual </w:t>
      </w:r>
      <w:r w:rsidRPr="0026039D">
        <w:t>duration of therapy does not have an impact on the estimated financial impact of listing entrectinib.</w:t>
      </w:r>
    </w:p>
    <w:p w14:paraId="45CDEAC3" w14:textId="77777777" w:rsidR="00733F61" w:rsidRPr="0026039D" w:rsidRDefault="00733F61" w:rsidP="00B41A01">
      <w:pPr>
        <w:pStyle w:val="TableFigureHeading"/>
        <w:keepLines/>
        <w:widowControl w:val="0"/>
        <w:rPr>
          <w:rStyle w:val="CommentReference"/>
          <w:b/>
          <w:szCs w:val="24"/>
        </w:rPr>
      </w:pPr>
      <w:r w:rsidRPr="0026039D">
        <w:t xml:space="preserve">Table 9: </w:t>
      </w:r>
      <w:r w:rsidRPr="0026039D">
        <w:rPr>
          <w:rStyle w:val="CommentReference"/>
          <w:b/>
          <w:szCs w:val="24"/>
        </w:rPr>
        <w:t>Drug cost per patient for entrectinib and crizotinib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7"/>
        <w:gridCol w:w="1827"/>
        <w:gridCol w:w="1829"/>
        <w:gridCol w:w="1827"/>
        <w:gridCol w:w="1827"/>
      </w:tblGrid>
      <w:tr w:rsidR="00733F61" w:rsidRPr="0026039D" w14:paraId="0CA1FEE2" w14:textId="77777777" w:rsidTr="00B41A01">
        <w:trPr>
          <w:cantSplit/>
          <w:tblHeader/>
          <w:jc w:val="center"/>
        </w:trPr>
        <w:tc>
          <w:tcPr>
            <w:tcW w:w="947" w:type="pct"/>
            <w:shd w:val="clear" w:color="auto" w:fill="auto"/>
            <w:vAlign w:val="center"/>
          </w:tcPr>
          <w:p w14:paraId="07B41774" w14:textId="77777777" w:rsidR="00733F61" w:rsidRPr="0026039D" w:rsidRDefault="00733F61" w:rsidP="00B41A01">
            <w:pPr>
              <w:pStyle w:val="In-tableHeading"/>
              <w:keepLines/>
              <w:widowControl w:val="0"/>
              <w:jc w:val="center"/>
              <w:rPr>
                <w:lang w:val="en-AU"/>
              </w:rPr>
            </w:pPr>
          </w:p>
        </w:tc>
        <w:tc>
          <w:tcPr>
            <w:tcW w:w="1013" w:type="pct"/>
            <w:shd w:val="clear" w:color="auto" w:fill="auto"/>
            <w:vAlign w:val="center"/>
          </w:tcPr>
          <w:p w14:paraId="22F4841A" w14:textId="77777777" w:rsidR="00733F61" w:rsidRPr="0026039D" w:rsidRDefault="00733F61" w:rsidP="00B41A01">
            <w:pPr>
              <w:pStyle w:val="In-tableHeading"/>
              <w:keepLines/>
              <w:widowControl w:val="0"/>
              <w:jc w:val="center"/>
              <w:rPr>
                <w:lang w:val="en-AU"/>
              </w:rPr>
            </w:pPr>
            <w:r w:rsidRPr="0026039D">
              <w:rPr>
                <w:lang w:val="en-AU"/>
              </w:rPr>
              <w:t xml:space="preserve">Entrectinib </w:t>
            </w:r>
          </w:p>
          <w:p w14:paraId="197C8D73" w14:textId="77777777" w:rsidR="00733F61" w:rsidRPr="0026039D" w:rsidRDefault="00733F61" w:rsidP="00B41A01">
            <w:pPr>
              <w:pStyle w:val="In-tableHeading"/>
              <w:keepLines/>
              <w:widowControl w:val="0"/>
              <w:jc w:val="center"/>
              <w:rPr>
                <w:lang w:val="en-AU"/>
              </w:rPr>
            </w:pPr>
            <w:r w:rsidRPr="0026039D">
              <w:rPr>
                <w:lang w:val="en-AU"/>
              </w:rPr>
              <w:t>trial dose and duration</w:t>
            </w:r>
          </w:p>
        </w:tc>
        <w:tc>
          <w:tcPr>
            <w:tcW w:w="1014" w:type="pct"/>
            <w:shd w:val="clear" w:color="auto" w:fill="auto"/>
            <w:vAlign w:val="center"/>
          </w:tcPr>
          <w:p w14:paraId="5A4B2A80" w14:textId="77777777" w:rsidR="00733F61" w:rsidRPr="0026039D" w:rsidRDefault="00733F61" w:rsidP="00B41A01">
            <w:pPr>
              <w:pStyle w:val="In-tableHeading"/>
              <w:keepLines/>
              <w:widowControl w:val="0"/>
              <w:jc w:val="center"/>
              <w:rPr>
                <w:lang w:val="en-AU"/>
              </w:rPr>
            </w:pPr>
            <w:r w:rsidRPr="0026039D">
              <w:rPr>
                <w:lang w:val="en-AU"/>
              </w:rPr>
              <w:t>Entrectinib</w:t>
            </w:r>
          </w:p>
          <w:p w14:paraId="10AA5369" w14:textId="77777777" w:rsidR="00733F61" w:rsidRPr="0026039D" w:rsidRDefault="00733F61" w:rsidP="00B41A01">
            <w:pPr>
              <w:pStyle w:val="In-tableHeading"/>
              <w:keepLines/>
              <w:widowControl w:val="0"/>
              <w:jc w:val="center"/>
              <w:rPr>
                <w:lang w:val="en-AU"/>
              </w:rPr>
            </w:pPr>
            <w:r w:rsidRPr="0026039D">
              <w:rPr>
                <w:lang w:val="en-AU"/>
              </w:rPr>
              <w:t>financial estimates</w:t>
            </w:r>
          </w:p>
        </w:tc>
        <w:tc>
          <w:tcPr>
            <w:tcW w:w="1013" w:type="pct"/>
            <w:shd w:val="clear" w:color="auto" w:fill="auto"/>
            <w:vAlign w:val="center"/>
          </w:tcPr>
          <w:p w14:paraId="714E8DA0" w14:textId="77777777" w:rsidR="00733F61" w:rsidRPr="0026039D" w:rsidRDefault="00733F61" w:rsidP="00B41A01">
            <w:pPr>
              <w:pStyle w:val="In-tableHeading"/>
              <w:keepLines/>
              <w:widowControl w:val="0"/>
              <w:jc w:val="center"/>
              <w:rPr>
                <w:lang w:val="en-AU"/>
              </w:rPr>
            </w:pPr>
            <w:r w:rsidRPr="0026039D">
              <w:rPr>
                <w:lang w:val="en-AU"/>
              </w:rPr>
              <w:t>Crizotinib</w:t>
            </w:r>
          </w:p>
          <w:p w14:paraId="6D9C32F3" w14:textId="77777777" w:rsidR="00733F61" w:rsidRPr="0026039D" w:rsidRDefault="00733F61" w:rsidP="00B41A01">
            <w:pPr>
              <w:pStyle w:val="In-tableHeading"/>
              <w:keepLines/>
              <w:widowControl w:val="0"/>
              <w:jc w:val="center"/>
              <w:rPr>
                <w:lang w:val="en-AU"/>
              </w:rPr>
            </w:pPr>
            <w:r w:rsidRPr="0026039D">
              <w:rPr>
                <w:lang w:val="en-AU"/>
              </w:rPr>
              <w:t>trial dose and duration</w:t>
            </w:r>
          </w:p>
        </w:tc>
        <w:tc>
          <w:tcPr>
            <w:tcW w:w="1013" w:type="pct"/>
            <w:vAlign w:val="center"/>
          </w:tcPr>
          <w:p w14:paraId="1C5B8FFD" w14:textId="77777777" w:rsidR="00733F61" w:rsidRPr="0026039D" w:rsidRDefault="00733F61" w:rsidP="00B41A01">
            <w:pPr>
              <w:pStyle w:val="In-tableHeading"/>
              <w:keepLines/>
              <w:widowControl w:val="0"/>
              <w:jc w:val="center"/>
              <w:rPr>
                <w:lang w:val="en-AU"/>
              </w:rPr>
            </w:pPr>
            <w:r w:rsidRPr="0026039D">
              <w:rPr>
                <w:lang w:val="en-AU"/>
              </w:rPr>
              <w:t>Crizotinib</w:t>
            </w:r>
          </w:p>
          <w:p w14:paraId="7FAF8C30" w14:textId="77777777" w:rsidR="00733F61" w:rsidRPr="0026039D" w:rsidRDefault="00733F61" w:rsidP="00B41A01">
            <w:pPr>
              <w:pStyle w:val="In-tableHeading"/>
              <w:keepLines/>
              <w:widowControl w:val="0"/>
              <w:jc w:val="center"/>
              <w:rPr>
                <w:lang w:val="en-AU"/>
              </w:rPr>
            </w:pPr>
            <w:r w:rsidRPr="0026039D">
              <w:rPr>
                <w:lang w:val="en-AU"/>
              </w:rPr>
              <w:t>financial estimates</w:t>
            </w:r>
          </w:p>
        </w:tc>
      </w:tr>
      <w:tr w:rsidR="00733F61" w:rsidRPr="0026039D" w14:paraId="7771524C" w14:textId="77777777" w:rsidTr="00B41A01">
        <w:trPr>
          <w:cantSplit/>
          <w:jc w:val="center"/>
        </w:trPr>
        <w:tc>
          <w:tcPr>
            <w:tcW w:w="947" w:type="pct"/>
            <w:shd w:val="clear" w:color="auto" w:fill="auto"/>
            <w:vAlign w:val="center"/>
          </w:tcPr>
          <w:p w14:paraId="3DBBD7E1" w14:textId="77777777" w:rsidR="00733F61" w:rsidRPr="0026039D" w:rsidRDefault="00733F61" w:rsidP="00B41A01">
            <w:pPr>
              <w:pStyle w:val="TableText0"/>
              <w:keepLines/>
              <w:widowControl w:val="0"/>
            </w:pPr>
            <w:r w:rsidRPr="0026039D">
              <w:t>Mean dose</w:t>
            </w:r>
          </w:p>
        </w:tc>
        <w:tc>
          <w:tcPr>
            <w:tcW w:w="2027" w:type="pct"/>
            <w:gridSpan w:val="2"/>
            <w:shd w:val="clear" w:color="auto" w:fill="auto"/>
            <w:vAlign w:val="center"/>
          </w:tcPr>
          <w:p w14:paraId="6A5599EB" w14:textId="77777777" w:rsidR="00733F61" w:rsidRPr="0026039D" w:rsidRDefault="00733F61" w:rsidP="00B41A01">
            <w:pPr>
              <w:pStyle w:val="TableText0"/>
              <w:keepLines/>
              <w:widowControl w:val="0"/>
              <w:jc w:val="center"/>
            </w:pPr>
            <w:r w:rsidRPr="0026039D">
              <w:t>600 mg (three 200mg capsules) daily until progression or unacceptable toxicity</w:t>
            </w:r>
            <w:r w:rsidRPr="0026039D">
              <w:rPr>
                <w:vertAlign w:val="superscript"/>
              </w:rPr>
              <w:t>g</w:t>
            </w:r>
          </w:p>
        </w:tc>
        <w:tc>
          <w:tcPr>
            <w:tcW w:w="2026" w:type="pct"/>
            <w:gridSpan w:val="2"/>
            <w:shd w:val="clear" w:color="auto" w:fill="auto"/>
            <w:vAlign w:val="center"/>
          </w:tcPr>
          <w:p w14:paraId="70FEBBA3" w14:textId="77777777" w:rsidR="00733F61" w:rsidRPr="0026039D" w:rsidRDefault="00733F61" w:rsidP="00B41A01">
            <w:pPr>
              <w:pStyle w:val="TableText0"/>
              <w:keepLines/>
              <w:widowControl w:val="0"/>
              <w:jc w:val="center"/>
            </w:pPr>
            <w:r w:rsidRPr="0026039D">
              <w:t>Crizotinib 250 mg (one 250 mg capsule) twice daily until progression or unacceptable toxicity</w:t>
            </w:r>
          </w:p>
        </w:tc>
      </w:tr>
      <w:tr w:rsidR="00733F61" w:rsidRPr="0026039D" w14:paraId="6A9AD42A" w14:textId="77777777" w:rsidTr="00B41A01">
        <w:trPr>
          <w:cantSplit/>
          <w:trHeight w:val="504"/>
          <w:jc w:val="center"/>
        </w:trPr>
        <w:tc>
          <w:tcPr>
            <w:tcW w:w="947" w:type="pct"/>
            <w:shd w:val="clear" w:color="auto" w:fill="auto"/>
            <w:vAlign w:val="center"/>
          </w:tcPr>
          <w:p w14:paraId="516F3800" w14:textId="77777777" w:rsidR="00733F61" w:rsidRPr="0026039D" w:rsidRDefault="00733F61" w:rsidP="00B41A01">
            <w:pPr>
              <w:pStyle w:val="TableText0"/>
              <w:keepLines/>
              <w:widowControl w:val="0"/>
            </w:pPr>
            <w:r w:rsidRPr="0026039D">
              <w:t>Mean duration</w:t>
            </w:r>
          </w:p>
        </w:tc>
        <w:tc>
          <w:tcPr>
            <w:tcW w:w="1013" w:type="pct"/>
            <w:shd w:val="clear" w:color="auto" w:fill="auto"/>
            <w:vAlign w:val="center"/>
          </w:tcPr>
          <w:p w14:paraId="32C444B9" w14:textId="77777777" w:rsidR="00733F61" w:rsidRPr="0026039D" w:rsidRDefault="007077FF" w:rsidP="00B41A01">
            <w:pPr>
              <w:pStyle w:val="TableText0"/>
              <w:keepLines/>
              <w:widowControl w:val="0"/>
              <w:jc w:val="center"/>
            </w:pPr>
            <w:r>
              <w:rPr>
                <w:noProof/>
                <w:color w:val="000000"/>
                <w:highlight w:val="black"/>
              </w:rPr>
              <w:t>''''''''''</w:t>
            </w:r>
            <w:r w:rsidR="00733F61" w:rsidRPr="0026039D">
              <w:t xml:space="preserve"> months at 31 October 2018 cut off (median follow up 20.6 months; </w:t>
            </w:r>
            <w:r>
              <w:rPr>
                <w:noProof/>
                <w:color w:val="000000"/>
                <w:highlight w:val="black"/>
              </w:rPr>
              <w:t>''''''</w:t>
            </w:r>
            <w:r w:rsidR="00733F61" w:rsidRPr="0026039D">
              <w:t>% still on treatment at cut-off date)</w:t>
            </w:r>
          </w:p>
        </w:tc>
        <w:tc>
          <w:tcPr>
            <w:tcW w:w="1014" w:type="pct"/>
            <w:shd w:val="clear" w:color="auto" w:fill="auto"/>
            <w:vAlign w:val="center"/>
          </w:tcPr>
          <w:p w14:paraId="2E8D3630" w14:textId="77777777" w:rsidR="00733F61" w:rsidRPr="0026039D" w:rsidRDefault="007077FF" w:rsidP="00B41A01">
            <w:pPr>
              <w:pStyle w:val="TableText0"/>
              <w:keepLines/>
              <w:widowControl w:val="0"/>
              <w:jc w:val="center"/>
            </w:pPr>
            <w:r>
              <w:rPr>
                <w:noProof/>
                <w:color w:val="000000"/>
                <w:highlight w:val="black"/>
              </w:rPr>
              <w:t>''''''</w:t>
            </w:r>
            <w:r w:rsidR="00733F61" w:rsidRPr="0026039D">
              <w:t xml:space="preserve"> months</w:t>
            </w:r>
            <w:r w:rsidR="00733F61" w:rsidRPr="0026039D">
              <w:rPr>
                <w:vertAlign w:val="superscript"/>
              </w:rPr>
              <w:t>a</w:t>
            </w:r>
          </w:p>
          <w:p w14:paraId="7A64A620" w14:textId="77777777" w:rsidR="00733F61" w:rsidRPr="0026039D" w:rsidRDefault="00733F61" w:rsidP="00B41A01">
            <w:pPr>
              <w:pStyle w:val="TableText0"/>
              <w:keepLines/>
              <w:widowControl w:val="0"/>
              <w:jc w:val="center"/>
            </w:pPr>
            <w:r w:rsidRPr="0026039D">
              <w:t>(</w:t>
            </w:r>
            <w:r w:rsidR="007077FF">
              <w:rPr>
                <w:noProof/>
                <w:color w:val="000000"/>
                <w:highlight w:val="black"/>
              </w:rPr>
              <w:t>'''''''''''''''</w:t>
            </w:r>
            <w:r w:rsidRPr="0026039D">
              <w:t xml:space="preserve"> scripts)</w:t>
            </w:r>
          </w:p>
        </w:tc>
        <w:tc>
          <w:tcPr>
            <w:tcW w:w="1013" w:type="pct"/>
            <w:shd w:val="clear" w:color="auto" w:fill="auto"/>
            <w:vAlign w:val="center"/>
          </w:tcPr>
          <w:p w14:paraId="02461FE7" w14:textId="77777777" w:rsidR="00733F61" w:rsidRPr="0026039D" w:rsidRDefault="00733F61" w:rsidP="00B41A01">
            <w:pPr>
              <w:pStyle w:val="TableText0"/>
              <w:keepLines/>
              <w:widowControl w:val="0"/>
              <w:jc w:val="center"/>
              <w:rPr>
                <w:vertAlign w:val="superscript"/>
              </w:rPr>
            </w:pPr>
            <w:r w:rsidRPr="0026039D">
              <w:t>NR</w:t>
            </w:r>
            <w:r w:rsidRPr="0026039D">
              <w:rPr>
                <w:vertAlign w:val="superscript"/>
              </w:rPr>
              <w:t>e</w:t>
            </w:r>
          </w:p>
        </w:tc>
        <w:tc>
          <w:tcPr>
            <w:tcW w:w="1013" w:type="pct"/>
            <w:vAlign w:val="center"/>
          </w:tcPr>
          <w:p w14:paraId="57428136" w14:textId="77777777" w:rsidR="00733F61" w:rsidRPr="0026039D" w:rsidRDefault="007077FF" w:rsidP="00B41A01">
            <w:pPr>
              <w:pStyle w:val="TableText0"/>
              <w:keepLines/>
              <w:widowControl w:val="0"/>
              <w:jc w:val="center"/>
            </w:pPr>
            <w:r>
              <w:rPr>
                <w:noProof/>
                <w:color w:val="000000"/>
                <w:highlight w:val="black"/>
              </w:rPr>
              <w:t>''''''</w:t>
            </w:r>
            <w:r w:rsidR="00733F61" w:rsidRPr="0026039D">
              <w:t xml:space="preserve"> months</w:t>
            </w:r>
            <w:r w:rsidR="00733F61" w:rsidRPr="0026039D">
              <w:rPr>
                <w:vertAlign w:val="superscript"/>
              </w:rPr>
              <w:t>f</w:t>
            </w:r>
          </w:p>
          <w:p w14:paraId="2D63D979" w14:textId="77777777" w:rsidR="00733F61" w:rsidRPr="0026039D" w:rsidRDefault="00733F61" w:rsidP="00B41A01">
            <w:pPr>
              <w:pStyle w:val="TableText0"/>
              <w:keepLines/>
              <w:widowControl w:val="0"/>
              <w:jc w:val="center"/>
              <w:rPr>
                <w:b/>
              </w:rPr>
            </w:pPr>
            <w:r w:rsidRPr="0026039D">
              <w:t>(</w:t>
            </w:r>
            <w:r w:rsidR="007077FF">
              <w:rPr>
                <w:noProof/>
                <w:color w:val="000000"/>
                <w:highlight w:val="black"/>
              </w:rPr>
              <w:t>'''''''''''''</w:t>
            </w:r>
            <w:r w:rsidRPr="0026039D">
              <w:t xml:space="preserve"> scripts)</w:t>
            </w:r>
          </w:p>
        </w:tc>
      </w:tr>
      <w:tr w:rsidR="00733F61" w:rsidRPr="0026039D" w14:paraId="797F5D01" w14:textId="77777777" w:rsidTr="00B41A01">
        <w:trPr>
          <w:cantSplit/>
          <w:jc w:val="center"/>
        </w:trPr>
        <w:tc>
          <w:tcPr>
            <w:tcW w:w="947" w:type="pct"/>
            <w:shd w:val="clear" w:color="auto" w:fill="auto"/>
            <w:vAlign w:val="center"/>
          </w:tcPr>
          <w:p w14:paraId="50CA4DF6" w14:textId="77777777" w:rsidR="00733F61" w:rsidRPr="0026039D" w:rsidRDefault="00733F61" w:rsidP="00B41A01">
            <w:pPr>
              <w:pStyle w:val="TableText0"/>
              <w:keepLines/>
              <w:widowControl w:val="0"/>
            </w:pPr>
            <w:r w:rsidRPr="0026039D">
              <w:t>Cost/patient/month</w:t>
            </w:r>
            <w:r w:rsidRPr="0026039D">
              <w:rPr>
                <w:vertAlign w:val="superscript"/>
              </w:rPr>
              <w:t>b,c,d</w:t>
            </w:r>
          </w:p>
        </w:tc>
        <w:tc>
          <w:tcPr>
            <w:tcW w:w="1013" w:type="pct"/>
            <w:shd w:val="clear" w:color="auto" w:fill="auto"/>
            <w:vAlign w:val="center"/>
          </w:tcPr>
          <w:p w14:paraId="7C1DB61F" w14:textId="77777777" w:rsidR="00733F61" w:rsidRPr="0026039D" w:rsidRDefault="00733F61" w:rsidP="00B41A01">
            <w:pPr>
              <w:pStyle w:val="TableText0"/>
              <w:keepLines/>
              <w:widowControl w:val="0"/>
              <w:jc w:val="center"/>
            </w:pPr>
            <w:r w:rsidRPr="0026039D">
              <w:t>$7,387</w:t>
            </w:r>
          </w:p>
        </w:tc>
        <w:tc>
          <w:tcPr>
            <w:tcW w:w="1014" w:type="pct"/>
            <w:shd w:val="clear" w:color="auto" w:fill="auto"/>
            <w:vAlign w:val="center"/>
          </w:tcPr>
          <w:p w14:paraId="1AE0C8B6" w14:textId="77777777" w:rsidR="00733F61" w:rsidRPr="0026039D" w:rsidRDefault="00733F61" w:rsidP="00B41A01">
            <w:pPr>
              <w:pStyle w:val="TableText0"/>
              <w:keepLines/>
              <w:widowControl w:val="0"/>
              <w:jc w:val="center"/>
            </w:pPr>
            <w:r w:rsidRPr="0026039D">
              <w:t>$7,387</w:t>
            </w:r>
          </w:p>
        </w:tc>
        <w:tc>
          <w:tcPr>
            <w:tcW w:w="1013" w:type="pct"/>
            <w:shd w:val="clear" w:color="auto" w:fill="auto"/>
            <w:vAlign w:val="center"/>
          </w:tcPr>
          <w:p w14:paraId="3C80B4ED" w14:textId="77777777" w:rsidR="00733F61" w:rsidRPr="0026039D" w:rsidRDefault="00733F61" w:rsidP="00B41A01">
            <w:pPr>
              <w:pStyle w:val="TableText0"/>
              <w:keepLines/>
              <w:widowControl w:val="0"/>
              <w:jc w:val="center"/>
            </w:pPr>
            <w:r w:rsidRPr="0026039D">
              <w:t>NR</w:t>
            </w:r>
            <w:r w:rsidRPr="0026039D">
              <w:rPr>
                <w:vertAlign w:val="superscript"/>
              </w:rPr>
              <w:t>e</w:t>
            </w:r>
          </w:p>
        </w:tc>
        <w:tc>
          <w:tcPr>
            <w:tcW w:w="1013" w:type="pct"/>
            <w:vAlign w:val="center"/>
          </w:tcPr>
          <w:p w14:paraId="30A9B487" w14:textId="77777777" w:rsidR="00733F61" w:rsidRPr="0026039D" w:rsidRDefault="00733F61" w:rsidP="00B41A01">
            <w:pPr>
              <w:pStyle w:val="TableText0"/>
              <w:keepLines/>
              <w:widowControl w:val="0"/>
              <w:jc w:val="center"/>
            </w:pPr>
            <w:r w:rsidRPr="0026039D">
              <w:t>$7,387</w:t>
            </w:r>
          </w:p>
        </w:tc>
      </w:tr>
      <w:tr w:rsidR="00733F61" w:rsidRPr="0026039D" w14:paraId="3401EB99" w14:textId="77777777" w:rsidTr="00B41A01">
        <w:trPr>
          <w:cantSplit/>
          <w:jc w:val="center"/>
        </w:trPr>
        <w:tc>
          <w:tcPr>
            <w:tcW w:w="947" w:type="pct"/>
            <w:shd w:val="clear" w:color="auto" w:fill="auto"/>
            <w:vAlign w:val="center"/>
          </w:tcPr>
          <w:p w14:paraId="261FF7E2" w14:textId="77777777" w:rsidR="00733F61" w:rsidRPr="0026039D" w:rsidRDefault="00733F61" w:rsidP="00B41A01">
            <w:pPr>
              <w:pStyle w:val="TableText0"/>
              <w:keepLines/>
              <w:widowControl w:val="0"/>
            </w:pPr>
            <w:r w:rsidRPr="0026039D">
              <w:t>Cost/patient/course</w:t>
            </w:r>
            <w:r w:rsidRPr="0026039D">
              <w:rPr>
                <w:vertAlign w:val="superscript"/>
              </w:rPr>
              <w:t>a,b,d</w:t>
            </w:r>
          </w:p>
        </w:tc>
        <w:tc>
          <w:tcPr>
            <w:tcW w:w="1013" w:type="pct"/>
            <w:shd w:val="clear" w:color="auto" w:fill="auto"/>
            <w:vAlign w:val="center"/>
          </w:tcPr>
          <w:p w14:paraId="33757125" w14:textId="77777777" w:rsidR="00733F61" w:rsidRPr="0026039D" w:rsidRDefault="00733F61" w:rsidP="00B41A01">
            <w:pPr>
              <w:pStyle w:val="TableText0"/>
              <w:keepLines/>
              <w:widowControl w:val="0"/>
              <w:jc w:val="center"/>
              <w:rPr>
                <w:iCs/>
              </w:rPr>
            </w:pPr>
            <w:r w:rsidRPr="0026039D">
              <w:rPr>
                <w:iCs/>
              </w:rPr>
              <w:t>$</w:t>
            </w:r>
            <w:r w:rsidR="007077FF">
              <w:rPr>
                <w:iCs/>
                <w:noProof/>
                <w:color w:val="000000"/>
                <w:highlight w:val="black"/>
              </w:rPr>
              <w:t>'''''''''''''''''''</w:t>
            </w:r>
          </w:p>
        </w:tc>
        <w:tc>
          <w:tcPr>
            <w:tcW w:w="1014" w:type="pct"/>
            <w:shd w:val="clear" w:color="auto" w:fill="auto"/>
            <w:vAlign w:val="center"/>
          </w:tcPr>
          <w:p w14:paraId="3B825C54" w14:textId="77777777" w:rsidR="00733F61" w:rsidRPr="0026039D" w:rsidRDefault="00733F61" w:rsidP="00B41A01">
            <w:pPr>
              <w:pStyle w:val="TableText0"/>
              <w:keepLines/>
              <w:widowControl w:val="0"/>
              <w:jc w:val="center"/>
            </w:pPr>
            <w:r w:rsidRPr="0026039D">
              <w:t>$</w:t>
            </w:r>
            <w:r w:rsidR="007077FF">
              <w:rPr>
                <w:noProof/>
                <w:color w:val="000000"/>
                <w:highlight w:val="black"/>
              </w:rPr>
              <w:t>'''''''''''''''''''''</w:t>
            </w:r>
            <w:r w:rsidRPr="0026039D">
              <w:t xml:space="preserve"> </w:t>
            </w:r>
          </w:p>
        </w:tc>
        <w:tc>
          <w:tcPr>
            <w:tcW w:w="1013" w:type="pct"/>
            <w:shd w:val="clear" w:color="auto" w:fill="auto"/>
            <w:vAlign w:val="center"/>
          </w:tcPr>
          <w:p w14:paraId="131CCBB9" w14:textId="77777777" w:rsidR="00733F61" w:rsidRPr="0026039D" w:rsidRDefault="00733F61" w:rsidP="00B41A01">
            <w:pPr>
              <w:pStyle w:val="TableText0"/>
              <w:keepLines/>
              <w:widowControl w:val="0"/>
              <w:jc w:val="center"/>
            </w:pPr>
            <w:r w:rsidRPr="0026039D">
              <w:t>NR</w:t>
            </w:r>
            <w:r w:rsidRPr="0026039D">
              <w:rPr>
                <w:vertAlign w:val="superscript"/>
              </w:rPr>
              <w:t>e</w:t>
            </w:r>
          </w:p>
        </w:tc>
        <w:tc>
          <w:tcPr>
            <w:tcW w:w="1013" w:type="pct"/>
            <w:vAlign w:val="center"/>
          </w:tcPr>
          <w:p w14:paraId="52C03D71" w14:textId="77777777" w:rsidR="00733F61" w:rsidRPr="0026039D" w:rsidRDefault="00733F61" w:rsidP="00B41A01">
            <w:pPr>
              <w:pStyle w:val="TableText0"/>
              <w:keepLines/>
              <w:widowControl w:val="0"/>
              <w:jc w:val="center"/>
            </w:pPr>
            <w:r w:rsidRPr="0026039D">
              <w:t>$</w:t>
            </w:r>
            <w:r w:rsidR="007077FF">
              <w:rPr>
                <w:noProof/>
                <w:color w:val="000000"/>
                <w:highlight w:val="black"/>
              </w:rPr>
              <w:t>''''''''''''''''''</w:t>
            </w:r>
            <w:r w:rsidRPr="0026039D">
              <w:t xml:space="preserve"> </w:t>
            </w:r>
          </w:p>
        </w:tc>
      </w:tr>
    </w:tbl>
    <w:p w14:paraId="48B8145D" w14:textId="77777777" w:rsidR="00733F61" w:rsidRPr="0026039D" w:rsidRDefault="00733F61" w:rsidP="00B41A01">
      <w:pPr>
        <w:pStyle w:val="TableFigureFooter"/>
        <w:keepNext/>
        <w:keepLines/>
        <w:widowControl w:val="0"/>
      </w:pPr>
      <w:r w:rsidRPr="0026039D">
        <w:t>Source: Complied during the evaluation based on information presented in Section 4.2 and Table 2.13, Section 2 of the submission.</w:t>
      </w:r>
    </w:p>
    <w:p w14:paraId="58F20E13" w14:textId="77777777" w:rsidR="00733F61" w:rsidRPr="0026039D" w:rsidRDefault="00733F61" w:rsidP="00B41A01">
      <w:pPr>
        <w:pStyle w:val="TableFigureFooter"/>
        <w:keepNext/>
        <w:keepLines/>
        <w:widowControl w:val="0"/>
      </w:pPr>
      <w:r w:rsidRPr="0026039D">
        <w:t>NR = not reported.</w:t>
      </w:r>
    </w:p>
    <w:p w14:paraId="5912C405" w14:textId="77777777" w:rsidR="00733F61" w:rsidRPr="0026039D" w:rsidRDefault="00733F61" w:rsidP="00B41A01">
      <w:pPr>
        <w:pStyle w:val="TableFigureFooter"/>
        <w:keepNext/>
        <w:keepLines/>
        <w:widowControl w:val="0"/>
      </w:pPr>
      <w:r w:rsidRPr="0026039D">
        <w:rPr>
          <w:vertAlign w:val="superscript"/>
        </w:rPr>
        <w:t>a</w:t>
      </w:r>
      <w:r w:rsidRPr="0026039D">
        <w:t xml:space="preserve"> Area under the curve of the extrapolated time to off treatment (TToT) data from the entrectinib ROS1-positive primary analysis set.</w:t>
      </w:r>
    </w:p>
    <w:p w14:paraId="3FF6DAD8" w14:textId="77777777" w:rsidR="00733F61" w:rsidRPr="0026039D" w:rsidRDefault="00733F61" w:rsidP="00B41A01">
      <w:pPr>
        <w:pStyle w:val="TableFigureFooter"/>
        <w:keepNext/>
        <w:keepLines/>
        <w:widowControl w:val="0"/>
      </w:pPr>
      <w:r w:rsidRPr="0026039D">
        <w:rPr>
          <w:vertAlign w:val="superscript"/>
        </w:rPr>
        <w:t xml:space="preserve">b </w:t>
      </w:r>
      <w:r w:rsidRPr="0026039D">
        <w:t xml:space="preserve">Published dispensed price. The submission stated that this cost-minimisation was presented on an in-principle agreement that there is no difference in the effective ex-manufacturer price of entrectinib and the effective ex-manufacturer price of crizotinib. </w:t>
      </w:r>
    </w:p>
    <w:p w14:paraId="7C3660F0" w14:textId="77777777" w:rsidR="00733F61" w:rsidRPr="0026039D" w:rsidRDefault="00733F61" w:rsidP="00B41A01">
      <w:pPr>
        <w:pStyle w:val="TableFigureFooter"/>
        <w:keepNext/>
        <w:keepLines/>
        <w:widowControl w:val="0"/>
      </w:pPr>
      <w:r w:rsidRPr="0026039D">
        <w:rPr>
          <w:vertAlign w:val="superscript"/>
        </w:rPr>
        <w:t xml:space="preserve">c </w:t>
      </w:r>
      <w:r w:rsidRPr="0026039D">
        <w:t>Assuming one month is equal to (365.25/12=) 30.44 days</w:t>
      </w:r>
    </w:p>
    <w:p w14:paraId="4D31DA89" w14:textId="77777777" w:rsidR="00733F61" w:rsidRPr="0026039D" w:rsidRDefault="00733F61" w:rsidP="00B41A01">
      <w:pPr>
        <w:pStyle w:val="TableFigureFooter"/>
        <w:keepNext/>
        <w:keepLines/>
        <w:widowControl w:val="0"/>
      </w:pPr>
      <w:r w:rsidRPr="0026039D">
        <w:rPr>
          <w:vertAlign w:val="superscript"/>
        </w:rPr>
        <w:t xml:space="preserve">d </w:t>
      </w:r>
      <w:r w:rsidRPr="0026039D">
        <w:t xml:space="preserve">Assuming an average dose of 600 mg daily (three 200mg capsules), consistent with the draft Product Information. </w:t>
      </w:r>
    </w:p>
    <w:p w14:paraId="0C99A3A6" w14:textId="77777777" w:rsidR="00733F61" w:rsidRPr="0026039D" w:rsidRDefault="00733F61" w:rsidP="00B41A01">
      <w:pPr>
        <w:pStyle w:val="TableFigureFooter"/>
        <w:keepNext/>
        <w:keepLines/>
        <w:widowControl w:val="0"/>
      </w:pPr>
      <w:r w:rsidRPr="0026039D">
        <w:rPr>
          <w:vertAlign w:val="superscript"/>
        </w:rPr>
        <w:t>e</w:t>
      </w:r>
      <w:r w:rsidRPr="0026039D">
        <w:t xml:space="preserve"> Mean duration of crizotinib in the included crizotinib studies was not reported in the study publications. The median duration of treatment ranged from 15 months to 22.4 months, although between 22% and 35% remained on treatment at the end of follow up. </w:t>
      </w:r>
    </w:p>
    <w:p w14:paraId="7D27BDAA" w14:textId="77777777" w:rsidR="00733F61" w:rsidRPr="0026039D" w:rsidRDefault="00733F61" w:rsidP="00B41A01">
      <w:pPr>
        <w:pStyle w:val="TableFigureFooter"/>
        <w:keepNext/>
        <w:keepLines/>
        <w:widowControl w:val="0"/>
      </w:pPr>
      <w:r w:rsidRPr="0026039D">
        <w:rPr>
          <w:vertAlign w:val="superscript"/>
        </w:rPr>
        <w:t xml:space="preserve">f </w:t>
      </w:r>
      <w:r w:rsidRPr="0026039D">
        <w:t>Assuming that crizotinib has the same treatment duration as entrectinib.</w:t>
      </w:r>
    </w:p>
    <w:p w14:paraId="78A422F5" w14:textId="77777777" w:rsidR="00733F61" w:rsidRPr="0026039D" w:rsidRDefault="00733F61" w:rsidP="00B41A01">
      <w:pPr>
        <w:pStyle w:val="TableFigureFooter"/>
        <w:keepNext/>
        <w:keepLines/>
        <w:widowControl w:val="0"/>
      </w:pPr>
      <w:r w:rsidRPr="0026039D">
        <w:rPr>
          <w:vertAlign w:val="superscript"/>
        </w:rPr>
        <w:t xml:space="preserve">g </w:t>
      </w:r>
      <w:r w:rsidRPr="0026039D">
        <w:t xml:space="preserve">Some patients in the entrectinib primary analysis set did not receive the dosing regimen outlined in the draft TGA Product information (600 mg once daily), with only </w:t>
      </w:r>
      <w:r w:rsidR="007077FF">
        <w:rPr>
          <w:noProof/>
          <w:color w:val="000000"/>
          <w:highlight w:val="black"/>
        </w:rPr>
        <w:t>''''''</w:t>
      </w:r>
      <w:r w:rsidRPr="0026039D">
        <w:t>% of patients in the entrectinib primary analysis set receiving the proposed dose.</w:t>
      </w:r>
    </w:p>
    <w:p w14:paraId="4BDE091D" w14:textId="77777777" w:rsidR="00733F61" w:rsidRPr="0026039D" w:rsidRDefault="00733F61" w:rsidP="00733F61">
      <w:pPr>
        <w:pStyle w:val="4-SubsectionHeading"/>
      </w:pPr>
      <w:bookmarkStart w:id="29" w:name="_Toc22897647"/>
      <w:bookmarkStart w:id="30" w:name="_Toc29370583"/>
      <w:bookmarkStart w:id="31" w:name="_Toc29387579"/>
      <w:bookmarkStart w:id="32" w:name="_Toc30597577"/>
      <w:r w:rsidRPr="0026039D">
        <w:t>Estimated PBS usage &amp; financial implications</w:t>
      </w:r>
      <w:bookmarkEnd w:id="29"/>
      <w:bookmarkEnd w:id="30"/>
      <w:bookmarkEnd w:id="31"/>
      <w:bookmarkEnd w:id="32"/>
    </w:p>
    <w:p w14:paraId="20107DF8" w14:textId="77777777" w:rsidR="00733F61" w:rsidRPr="0026039D" w:rsidRDefault="00184696" w:rsidP="00315F69">
      <w:pPr>
        <w:pStyle w:val="ListParagraph"/>
        <w:numPr>
          <w:ilvl w:val="1"/>
          <w:numId w:val="1"/>
        </w:numPr>
        <w:spacing w:after="160"/>
      </w:pPr>
      <w:r w:rsidRPr="0026039D">
        <w:t>This submission was not</w:t>
      </w:r>
      <w:r w:rsidR="00733F61" w:rsidRPr="0026039D">
        <w:t xml:space="preserve"> considered by DUSC</w:t>
      </w:r>
      <w:r w:rsidR="001B3493" w:rsidRPr="0026039D">
        <w:t>.</w:t>
      </w:r>
    </w:p>
    <w:p w14:paraId="33BD642B" w14:textId="77777777" w:rsidR="00733F61" w:rsidRPr="0026039D" w:rsidRDefault="00733F61" w:rsidP="00896D07">
      <w:pPr>
        <w:pStyle w:val="ListParagraph"/>
        <w:numPr>
          <w:ilvl w:val="1"/>
          <w:numId w:val="1"/>
        </w:numPr>
        <w:spacing w:after="160"/>
      </w:pPr>
      <w:r w:rsidRPr="0026039D">
        <w:t xml:space="preserve">The submission used an epidemiological approach to estimate the number of patients who would be eligible for entrectinib. </w:t>
      </w:r>
      <w:r w:rsidR="00FF4BAE" w:rsidRPr="0026039D">
        <w:t xml:space="preserve">The </w:t>
      </w:r>
      <w:r w:rsidR="00896D07" w:rsidRPr="0026039D">
        <w:t>PBAC</w:t>
      </w:r>
      <w:r w:rsidR="00FF4BAE" w:rsidRPr="0026039D">
        <w:t xml:space="preserve"> considered </w:t>
      </w:r>
      <w:r w:rsidR="00B16DDE" w:rsidRPr="0026039D">
        <w:t>this</w:t>
      </w:r>
      <w:r w:rsidR="00FF4BAE" w:rsidRPr="0026039D">
        <w:t xml:space="preserve"> </w:t>
      </w:r>
      <w:r w:rsidR="00896D07" w:rsidRPr="0026039D">
        <w:t xml:space="preserve">approach </w:t>
      </w:r>
      <w:r w:rsidR="00FF4BAE" w:rsidRPr="0026039D">
        <w:t xml:space="preserve">was </w:t>
      </w:r>
      <w:r w:rsidR="00FF4BAE" w:rsidRPr="0026039D">
        <w:lastRenderedPageBreak/>
        <w:t>appropriate</w:t>
      </w:r>
      <w:r w:rsidR="00896D07" w:rsidRPr="0026039D">
        <w:t xml:space="preserve"> given that crizotinib only became available on the PBS in January 2019 and its usage data in the proposed population were not yet mature.</w:t>
      </w:r>
      <w:r w:rsidR="00FF4BAE" w:rsidRPr="0026039D">
        <w:t xml:space="preserve"> </w:t>
      </w:r>
    </w:p>
    <w:p w14:paraId="03B88DA2" w14:textId="77777777" w:rsidR="00733F61" w:rsidRPr="0026039D" w:rsidRDefault="00733F61" w:rsidP="00315F69">
      <w:pPr>
        <w:pStyle w:val="ListParagraph"/>
        <w:numPr>
          <w:ilvl w:val="1"/>
          <w:numId w:val="1"/>
        </w:numPr>
        <w:spacing w:after="160"/>
      </w:pPr>
      <w:r w:rsidRPr="0026039D">
        <w:t>The key inputs for financial estimates are summarised below.</w:t>
      </w:r>
    </w:p>
    <w:p w14:paraId="5A1E2251" w14:textId="77777777" w:rsidR="00733F61" w:rsidRPr="0026039D" w:rsidRDefault="00733F61" w:rsidP="00733F61">
      <w:pPr>
        <w:pStyle w:val="TableFigureHeading"/>
        <w:rPr>
          <w:rStyle w:val="CommentReference"/>
          <w:b/>
          <w:szCs w:val="24"/>
        </w:rPr>
      </w:pPr>
      <w:r w:rsidRPr="0026039D">
        <w:t xml:space="preserve">Table 10: </w:t>
      </w:r>
      <w:r w:rsidRPr="0026039D">
        <w:rPr>
          <w:rStyle w:val="CommentReference"/>
          <w:b/>
          <w:szCs w:val="24"/>
        </w:rPr>
        <w:t>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30"/>
        <w:gridCol w:w="2977"/>
        <w:gridCol w:w="3210"/>
      </w:tblGrid>
      <w:tr w:rsidR="00733F61" w:rsidRPr="0026039D" w14:paraId="6D840983" w14:textId="77777777" w:rsidTr="00B41A01">
        <w:trPr>
          <w:tblHeader/>
        </w:trPr>
        <w:tc>
          <w:tcPr>
            <w:tcW w:w="1569" w:type="pct"/>
            <w:shd w:val="clear" w:color="auto" w:fill="auto"/>
            <w:vAlign w:val="center"/>
          </w:tcPr>
          <w:p w14:paraId="51176C8B" w14:textId="77777777" w:rsidR="00733F61" w:rsidRPr="0026039D" w:rsidRDefault="00733F61" w:rsidP="00733F61">
            <w:pPr>
              <w:pStyle w:val="TableText0"/>
              <w:rPr>
                <w:b/>
              </w:rPr>
            </w:pPr>
            <w:r w:rsidRPr="0026039D">
              <w:rPr>
                <w:b/>
              </w:rPr>
              <w:t>Parameter</w:t>
            </w:r>
          </w:p>
        </w:tc>
        <w:tc>
          <w:tcPr>
            <w:tcW w:w="1651" w:type="pct"/>
            <w:shd w:val="clear" w:color="auto" w:fill="auto"/>
            <w:vAlign w:val="center"/>
          </w:tcPr>
          <w:p w14:paraId="0AABF8A6" w14:textId="77777777" w:rsidR="00733F61" w:rsidRPr="0026039D" w:rsidRDefault="00733F61" w:rsidP="00733F61">
            <w:pPr>
              <w:pStyle w:val="TableText0"/>
              <w:rPr>
                <w:b/>
              </w:rPr>
            </w:pPr>
            <w:r w:rsidRPr="0026039D">
              <w:rPr>
                <w:b/>
              </w:rPr>
              <w:t>Value applied and source</w:t>
            </w:r>
          </w:p>
        </w:tc>
        <w:tc>
          <w:tcPr>
            <w:tcW w:w="1780" w:type="pct"/>
            <w:shd w:val="clear" w:color="auto" w:fill="auto"/>
            <w:vAlign w:val="center"/>
          </w:tcPr>
          <w:p w14:paraId="026EBE38" w14:textId="77777777" w:rsidR="00733F61" w:rsidRPr="0026039D" w:rsidRDefault="00733F61" w:rsidP="00733F61">
            <w:pPr>
              <w:pStyle w:val="TableText0"/>
              <w:rPr>
                <w:b/>
              </w:rPr>
            </w:pPr>
            <w:r w:rsidRPr="0026039D">
              <w:rPr>
                <w:b/>
              </w:rPr>
              <w:t>Comment</w:t>
            </w:r>
          </w:p>
        </w:tc>
      </w:tr>
      <w:tr w:rsidR="00733F61" w:rsidRPr="0026039D" w14:paraId="3EA00486" w14:textId="77777777" w:rsidTr="00B41A01">
        <w:tc>
          <w:tcPr>
            <w:tcW w:w="1569" w:type="pct"/>
            <w:shd w:val="clear" w:color="auto" w:fill="auto"/>
            <w:vAlign w:val="center"/>
          </w:tcPr>
          <w:p w14:paraId="7D6DD602" w14:textId="77777777" w:rsidR="00733F61" w:rsidRPr="0026039D" w:rsidRDefault="00733F61" w:rsidP="00733F61">
            <w:pPr>
              <w:pStyle w:val="TableText0"/>
            </w:pPr>
            <w:r w:rsidRPr="0026039D">
              <w:t>Lung cancer incidence</w:t>
            </w:r>
          </w:p>
        </w:tc>
        <w:tc>
          <w:tcPr>
            <w:tcW w:w="1651" w:type="pct"/>
            <w:shd w:val="clear" w:color="auto" w:fill="auto"/>
            <w:vAlign w:val="center"/>
          </w:tcPr>
          <w:p w14:paraId="79B7FF63" w14:textId="77777777" w:rsidR="00733F61" w:rsidRPr="0026039D" w:rsidRDefault="00733F61" w:rsidP="00733F61">
            <w:pPr>
              <w:pStyle w:val="TableText0"/>
            </w:pPr>
            <w:r w:rsidRPr="0026039D">
              <w:t>AIHW (2019) incidence for 2015 and Cancer Australia (2019) for 2018, extrapolated using a linear function.</w:t>
            </w:r>
          </w:p>
        </w:tc>
        <w:tc>
          <w:tcPr>
            <w:tcW w:w="1780" w:type="pct"/>
            <w:shd w:val="clear" w:color="auto" w:fill="auto"/>
            <w:vAlign w:val="center"/>
          </w:tcPr>
          <w:p w14:paraId="22CD7220" w14:textId="77777777" w:rsidR="00733F61" w:rsidRPr="0026039D" w:rsidRDefault="00733F61" w:rsidP="00733F61">
            <w:pPr>
              <w:pStyle w:val="TableText0"/>
            </w:pPr>
            <w:r w:rsidRPr="0026039D">
              <w:t>This figure appeared slightly higher than that estimated by the AIHW for 2020 and 2021, although this had limited impact on the overall estimated patient population.</w:t>
            </w:r>
          </w:p>
        </w:tc>
      </w:tr>
      <w:tr w:rsidR="00733F61" w:rsidRPr="0026039D" w14:paraId="31DEFBFA" w14:textId="77777777" w:rsidTr="00B41A01">
        <w:tc>
          <w:tcPr>
            <w:tcW w:w="1569" w:type="pct"/>
            <w:shd w:val="clear" w:color="auto" w:fill="auto"/>
            <w:vAlign w:val="center"/>
          </w:tcPr>
          <w:p w14:paraId="1BDA6CC9" w14:textId="77777777" w:rsidR="00733F61" w:rsidRPr="0026039D" w:rsidRDefault="00733F61" w:rsidP="00733F61">
            <w:pPr>
              <w:pStyle w:val="TableText0"/>
            </w:pPr>
            <w:r w:rsidRPr="0026039D">
              <w:t>Proportion of patients with NSCLC</w:t>
            </w:r>
          </w:p>
        </w:tc>
        <w:tc>
          <w:tcPr>
            <w:tcW w:w="1651" w:type="pct"/>
            <w:shd w:val="clear" w:color="auto" w:fill="auto"/>
            <w:vAlign w:val="center"/>
          </w:tcPr>
          <w:p w14:paraId="258C2846" w14:textId="77777777" w:rsidR="00733F61" w:rsidRPr="0026039D" w:rsidRDefault="00733F61" w:rsidP="00733F61">
            <w:pPr>
              <w:pStyle w:val="TableText0"/>
            </w:pPr>
            <w:r w:rsidRPr="0026039D">
              <w:t>86.6%, based on Mitchell (2013).</w:t>
            </w:r>
          </w:p>
        </w:tc>
        <w:tc>
          <w:tcPr>
            <w:tcW w:w="1780" w:type="pct"/>
            <w:shd w:val="clear" w:color="auto" w:fill="auto"/>
            <w:vAlign w:val="center"/>
          </w:tcPr>
          <w:p w14:paraId="0CF1C353" w14:textId="77777777" w:rsidR="00733F61" w:rsidRPr="0026039D" w:rsidRDefault="00733F61" w:rsidP="00733F61">
            <w:pPr>
              <w:pStyle w:val="TableText0"/>
            </w:pPr>
            <w:r w:rsidRPr="0026039D">
              <w:t xml:space="preserve">This appeared reasonable. </w:t>
            </w:r>
          </w:p>
        </w:tc>
      </w:tr>
      <w:tr w:rsidR="00733F61" w:rsidRPr="0026039D" w14:paraId="4224D7C8" w14:textId="77777777" w:rsidTr="00B41A01">
        <w:tc>
          <w:tcPr>
            <w:tcW w:w="1569" w:type="pct"/>
            <w:shd w:val="clear" w:color="auto" w:fill="auto"/>
          </w:tcPr>
          <w:p w14:paraId="527581D5" w14:textId="77777777" w:rsidR="00733F61" w:rsidRPr="0026039D" w:rsidRDefault="00733F61" w:rsidP="00733F61">
            <w:pPr>
              <w:pStyle w:val="TableText0"/>
            </w:pPr>
            <w:r w:rsidRPr="0026039D">
              <w:t>Proportion of patients diagnosed with Stage IIIB and Stage IV disease</w:t>
            </w:r>
          </w:p>
        </w:tc>
        <w:tc>
          <w:tcPr>
            <w:tcW w:w="1651" w:type="pct"/>
            <w:shd w:val="clear" w:color="auto" w:fill="auto"/>
          </w:tcPr>
          <w:p w14:paraId="0102A452" w14:textId="77777777" w:rsidR="00733F61" w:rsidRPr="0026039D" w:rsidRDefault="00733F61" w:rsidP="00733F61">
            <w:pPr>
              <w:pStyle w:val="TableText0"/>
            </w:pPr>
            <w:r w:rsidRPr="0026039D">
              <w:t>65.5% based on Mitchell (2013)</w:t>
            </w:r>
          </w:p>
        </w:tc>
        <w:tc>
          <w:tcPr>
            <w:tcW w:w="1780" w:type="pct"/>
            <w:vMerge w:val="restart"/>
            <w:shd w:val="clear" w:color="auto" w:fill="auto"/>
          </w:tcPr>
          <w:p w14:paraId="5D668C65" w14:textId="77777777" w:rsidR="00733F61" w:rsidRPr="0026039D" w:rsidRDefault="00733F61" w:rsidP="00733F61">
            <w:pPr>
              <w:pStyle w:val="TableText0"/>
            </w:pPr>
            <w:r w:rsidRPr="0026039D">
              <w:t>This data source was reasonable, and consistent with previous PBAC decision making (Table 2, PD-L1 Stakeholder Meeting Outcome Statement, February 2019)</w:t>
            </w:r>
          </w:p>
        </w:tc>
      </w:tr>
      <w:tr w:rsidR="00733F61" w:rsidRPr="0026039D" w14:paraId="3EDB5310" w14:textId="77777777" w:rsidTr="00B41A01">
        <w:tc>
          <w:tcPr>
            <w:tcW w:w="1569" w:type="pct"/>
            <w:shd w:val="clear" w:color="auto" w:fill="auto"/>
          </w:tcPr>
          <w:p w14:paraId="1A76F7D7" w14:textId="77777777" w:rsidR="00733F61" w:rsidRPr="0026039D" w:rsidRDefault="00733F61" w:rsidP="00733F61">
            <w:pPr>
              <w:pStyle w:val="TableText0"/>
            </w:pPr>
            <w:r w:rsidRPr="0026039D">
              <w:t>Proportion of patients diagnosed at stage IIIA disease</w:t>
            </w:r>
          </w:p>
        </w:tc>
        <w:tc>
          <w:tcPr>
            <w:tcW w:w="1651" w:type="pct"/>
            <w:shd w:val="clear" w:color="auto" w:fill="auto"/>
          </w:tcPr>
          <w:p w14:paraId="610EA0F6" w14:textId="77777777" w:rsidR="00733F61" w:rsidRPr="0026039D" w:rsidRDefault="00733F61" w:rsidP="00733F61">
            <w:pPr>
              <w:pStyle w:val="TableText0"/>
            </w:pPr>
            <w:r w:rsidRPr="0026039D">
              <w:t>11.8% based on Mitchell (2013).</w:t>
            </w:r>
          </w:p>
        </w:tc>
        <w:tc>
          <w:tcPr>
            <w:tcW w:w="1780" w:type="pct"/>
            <w:vMerge/>
            <w:shd w:val="clear" w:color="auto" w:fill="auto"/>
          </w:tcPr>
          <w:p w14:paraId="0941DD81" w14:textId="77777777" w:rsidR="00733F61" w:rsidRPr="0026039D" w:rsidRDefault="00733F61" w:rsidP="00733F61">
            <w:pPr>
              <w:pStyle w:val="TableText0"/>
            </w:pPr>
          </w:p>
        </w:tc>
      </w:tr>
      <w:tr w:rsidR="00733F61" w:rsidRPr="0026039D" w14:paraId="45EF1136" w14:textId="77777777" w:rsidTr="00B41A01">
        <w:tc>
          <w:tcPr>
            <w:tcW w:w="1569" w:type="pct"/>
            <w:shd w:val="clear" w:color="auto" w:fill="auto"/>
          </w:tcPr>
          <w:p w14:paraId="7F0E654D" w14:textId="77777777" w:rsidR="00733F61" w:rsidRPr="0026039D" w:rsidRDefault="00733F61" w:rsidP="00733F61">
            <w:pPr>
              <w:pStyle w:val="TableText0"/>
            </w:pPr>
            <w:r w:rsidRPr="0026039D">
              <w:t>Proportion of Stage IIIA disease that progresses to Stage IIIB or Stage IV over one year</w:t>
            </w:r>
          </w:p>
        </w:tc>
        <w:tc>
          <w:tcPr>
            <w:tcW w:w="1651" w:type="pct"/>
            <w:shd w:val="clear" w:color="auto" w:fill="auto"/>
          </w:tcPr>
          <w:p w14:paraId="665128AA" w14:textId="77777777" w:rsidR="00733F61" w:rsidRPr="0026039D" w:rsidRDefault="00733F61" w:rsidP="00733F61">
            <w:pPr>
              <w:pStyle w:val="TableText0"/>
            </w:pPr>
            <w:r w:rsidRPr="0026039D">
              <w:t>60% based on Table 17, Pembrolizumab PSD, November 2018 PBAC meeting</w:t>
            </w:r>
          </w:p>
        </w:tc>
        <w:tc>
          <w:tcPr>
            <w:tcW w:w="1780" w:type="pct"/>
            <w:vMerge/>
            <w:shd w:val="clear" w:color="auto" w:fill="auto"/>
          </w:tcPr>
          <w:p w14:paraId="5291FEF6" w14:textId="77777777" w:rsidR="00733F61" w:rsidRPr="0026039D" w:rsidRDefault="00733F61" w:rsidP="00733F61">
            <w:pPr>
              <w:pStyle w:val="TableText0"/>
            </w:pPr>
          </w:p>
        </w:tc>
      </w:tr>
      <w:tr w:rsidR="00733F61" w:rsidRPr="0026039D" w14:paraId="0331F97E" w14:textId="77777777" w:rsidTr="00B41A01">
        <w:tc>
          <w:tcPr>
            <w:tcW w:w="1569" w:type="pct"/>
            <w:shd w:val="clear" w:color="auto" w:fill="auto"/>
          </w:tcPr>
          <w:p w14:paraId="7F742964" w14:textId="77777777" w:rsidR="00733F61" w:rsidRPr="0026039D" w:rsidRDefault="00733F61" w:rsidP="00733F61">
            <w:pPr>
              <w:pStyle w:val="TableText0"/>
            </w:pPr>
            <w:r w:rsidRPr="0026039D">
              <w:t>Proportion of patients with non-squamous or NOS disease</w:t>
            </w:r>
          </w:p>
        </w:tc>
        <w:tc>
          <w:tcPr>
            <w:tcW w:w="1651" w:type="pct"/>
            <w:shd w:val="clear" w:color="auto" w:fill="auto"/>
          </w:tcPr>
          <w:p w14:paraId="2664ED4C" w14:textId="77777777" w:rsidR="00733F61" w:rsidRPr="0026039D" w:rsidRDefault="00733F61" w:rsidP="00733F61">
            <w:pPr>
              <w:pStyle w:val="TableText0"/>
            </w:pPr>
            <w:r w:rsidRPr="0026039D">
              <w:t>74.2% based on Paragraph 6.63, Nivolumab PSD, November 2016 PBAC meeting</w:t>
            </w:r>
          </w:p>
        </w:tc>
        <w:tc>
          <w:tcPr>
            <w:tcW w:w="1780" w:type="pct"/>
            <w:vMerge/>
            <w:shd w:val="clear" w:color="auto" w:fill="auto"/>
          </w:tcPr>
          <w:p w14:paraId="08F03BC7" w14:textId="77777777" w:rsidR="00733F61" w:rsidRPr="0026039D" w:rsidRDefault="00733F61" w:rsidP="00733F61">
            <w:pPr>
              <w:pStyle w:val="TableText0"/>
            </w:pPr>
          </w:p>
        </w:tc>
      </w:tr>
      <w:tr w:rsidR="00733F61" w:rsidRPr="0026039D" w14:paraId="6DBFDF12" w14:textId="77777777" w:rsidTr="00B41A01">
        <w:tc>
          <w:tcPr>
            <w:tcW w:w="1569" w:type="pct"/>
            <w:shd w:val="clear" w:color="auto" w:fill="auto"/>
          </w:tcPr>
          <w:p w14:paraId="2F3D1318" w14:textId="77777777" w:rsidR="00733F61" w:rsidRPr="0026039D" w:rsidRDefault="00733F61" w:rsidP="00733F61">
            <w:pPr>
              <w:pStyle w:val="TableText0"/>
            </w:pPr>
            <w:r w:rsidRPr="0026039D">
              <w:t>Proportion of patients with PS of 0-2</w:t>
            </w:r>
          </w:p>
        </w:tc>
        <w:tc>
          <w:tcPr>
            <w:tcW w:w="1651" w:type="pct"/>
            <w:shd w:val="clear" w:color="auto" w:fill="auto"/>
          </w:tcPr>
          <w:p w14:paraId="55123BAA" w14:textId="77777777" w:rsidR="00733F61" w:rsidRPr="0026039D" w:rsidRDefault="00733F61" w:rsidP="00733F61">
            <w:pPr>
              <w:pStyle w:val="TableText0"/>
            </w:pPr>
            <w:r w:rsidRPr="0026039D">
              <w:t>80.1% based on Mitchell (2013).</w:t>
            </w:r>
          </w:p>
        </w:tc>
        <w:tc>
          <w:tcPr>
            <w:tcW w:w="1780" w:type="pct"/>
            <w:shd w:val="clear" w:color="auto" w:fill="auto"/>
          </w:tcPr>
          <w:p w14:paraId="3787BF3A" w14:textId="77777777" w:rsidR="00733F61" w:rsidRPr="0026039D" w:rsidRDefault="00733F61" w:rsidP="00733F61">
            <w:pPr>
              <w:pStyle w:val="TableText0"/>
            </w:pPr>
            <w:r w:rsidRPr="0026039D">
              <w:t>This proportion was based on all NSCLC patients, not just those with non-squamous disease (23.2% of NSCLC patients in Mitchell et al 2013 had squamous histology).</w:t>
            </w:r>
          </w:p>
        </w:tc>
      </w:tr>
      <w:tr w:rsidR="00733F61" w:rsidRPr="0026039D" w14:paraId="5BFA95CE" w14:textId="77777777" w:rsidTr="00B41A01">
        <w:tc>
          <w:tcPr>
            <w:tcW w:w="1569" w:type="pct"/>
            <w:shd w:val="clear" w:color="auto" w:fill="auto"/>
          </w:tcPr>
          <w:p w14:paraId="74DDAEEC" w14:textId="77777777" w:rsidR="00733F61" w:rsidRPr="0026039D" w:rsidRDefault="00733F61" w:rsidP="00733F61">
            <w:pPr>
              <w:pStyle w:val="TableText0"/>
            </w:pPr>
            <w:r w:rsidRPr="0026039D">
              <w:t>Proportion of patients ROS1-positive</w:t>
            </w:r>
          </w:p>
        </w:tc>
        <w:tc>
          <w:tcPr>
            <w:tcW w:w="1651" w:type="pct"/>
            <w:shd w:val="clear" w:color="auto" w:fill="auto"/>
          </w:tcPr>
          <w:p w14:paraId="778C7776" w14:textId="77777777" w:rsidR="00733F61" w:rsidRPr="0026039D" w:rsidRDefault="00733F61" w:rsidP="00733F61">
            <w:pPr>
              <w:pStyle w:val="TableText0"/>
            </w:pPr>
            <w:r w:rsidRPr="0026039D">
              <w:t>1.6%, based on Paragraph 6.1, Crizotinib PSD, July 2018 PBAC Meeting.</w:t>
            </w:r>
          </w:p>
        </w:tc>
        <w:tc>
          <w:tcPr>
            <w:tcW w:w="1780" w:type="pct"/>
            <w:shd w:val="clear" w:color="auto" w:fill="auto"/>
          </w:tcPr>
          <w:p w14:paraId="62CFE114" w14:textId="77777777" w:rsidR="00733F61" w:rsidRPr="0026039D" w:rsidRDefault="00733F61" w:rsidP="00733F61">
            <w:pPr>
              <w:pStyle w:val="TableText0"/>
            </w:pPr>
            <w:r w:rsidRPr="0026039D">
              <w:t xml:space="preserve">This is a proportion of all patients with NSCLC, not patients with non-squamous NSCLC with a performance status of 0-2. </w:t>
            </w:r>
          </w:p>
        </w:tc>
      </w:tr>
      <w:tr w:rsidR="00733F61" w:rsidRPr="0026039D" w14:paraId="48AA5A44" w14:textId="77777777" w:rsidTr="00B41A01">
        <w:tc>
          <w:tcPr>
            <w:tcW w:w="1569" w:type="pct"/>
            <w:shd w:val="clear" w:color="auto" w:fill="auto"/>
            <w:vAlign w:val="center"/>
          </w:tcPr>
          <w:p w14:paraId="3751DC00" w14:textId="77777777" w:rsidR="00733F61" w:rsidRPr="0026039D" w:rsidRDefault="00733F61" w:rsidP="00733F61">
            <w:pPr>
              <w:pStyle w:val="TableText0"/>
            </w:pPr>
            <w:r w:rsidRPr="0026039D">
              <w:t>Market share</w:t>
            </w:r>
          </w:p>
        </w:tc>
        <w:tc>
          <w:tcPr>
            <w:tcW w:w="1651" w:type="pct"/>
            <w:shd w:val="clear" w:color="auto" w:fill="auto"/>
            <w:vAlign w:val="center"/>
          </w:tcPr>
          <w:p w14:paraId="5A71AF82" w14:textId="77777777" w:rsidR="00733F61" w:rsidRPr="0026039D" w:rsidRDefault="007077FF" w:rsidP="00733F61">
            <w:pPr>
              <w:pStyle w:val="TableText0"/>
            </w:pPr>
            <w:r>
              <w:rPr>
                <w:noProof/>
                <w:color w:val="000000"/>
                <w:highlight w:val="black"/>
              </w:rPr>
              <w:t>''''''</w:t>
            </w:r>
            <w:r w:rsidR="00733F61" w:rsidRPr="0026039D">
              <w:t xml:space="preserve">%, </w:t>
            </w:r>
            <w:r>
              <w:rPr>
                <w:noProof/>
                <w:color w:val="000000"/>
                <w:highlight w:val="black"/>
              </w:rPr>
              <w:t>'''''</w:t>
            </w:r>
            <w:r w:rsidR="00733F61" w:rsidRPr="0026039D">
              <w:t xml:space="preserve">% and </w:t>
            </w:r>
            <w:r>
              <w:rPr>
                <w:noProof/>
                <w:color w:val="000000"/>
                <w:highlight w:val="black"/>
              </w:rPr>
              <w:t>''''''</w:t>
            </w:r>
            <w:r w:rsidR="00733F61" w:rsidRPr="0026039D">
              <w:t xml:space="preserve">% in Years 1-3 of listing, increasing to </w:t>
            </w:r>
            <w:r>
              <w:rPr>
                <w:noProof/>
                <w:color w:val="000000"/>
                <w:highlight w:val="black"/>
              </w:rPr>
              <w:t>''''''''</w:t>
            </w:r>
            <w:r w:rsidR="00733F61" w:rsidRPr="0026039D">
              <w:t>% in years 4-6.</w:t>
            </w:r>
          </w:p>
        </w:tc>
        <w:tc>
          <w:tcPr>
            <w:tcW w:w="1780" w:type="pct"/>
            <w:shd w:val="clear" w:color="auto" w:fill="auto"/>
          </w:tcPr>
          <w:p w14:paraId="56670151" w14:textId="77777777" w:rsidR="00733F61" w:rsidRPr="0026039D" w:rsidRDefault="00733F61" w:rsidP="00800FA7">
            <w:pPr>
              <w:pStyle w:val="TableText0"/>
            </w:pPr>
            <w:r w:rsidRPr="0026039D">
              <w:t xml:space="preserve">It is unclear whether entrectinib will capture </w:t>
            </w:r>
            <w:r w:rsidR="007077FF">
              <w:rPr>
                <w:noProof/>
                <w:color w:val="000000"/>
                <w:highlight w:val="black"/>
              </w:rPr>
              <w:t>''''''''''</w:t>
            </w:r>
            <w:r w:rsidRPr="0026039D">
              <w:t xml:space="preserve">% of the TKI market in this patient population. However, this will not impact on the cost to the PBS if the duration of therapy is equivalent. </w:t>
            </w:r>
          </w:p>
        </w:tc>
      </w:tr>
    </w:tbl>
    <w:p w14:paraId="4A55B460" w14:textId="77777777" w:rsidR="00733F61" w:rsidRPr="0026039D" w:rsidRDefault="00733F61" w:rsidP="00733F61">
      <w:pPr>
        <w:pStyle w:val="TableFigureFooter"/>
      </w:pPr>
      <w:r w:rsidRPr="0026039D">
        <w:t>Source: Complied during the evaluation based on information presented in Section 4.2 of the submission.</w:t>
      </w:r>
    </w:p>
    <w:p w14:paraId="54F5A043" w14:textId="77777777" w:rsidR="00733F61" w:rsidRPr="0026039D" w:rsidRDefault="00733F61" w:rsidP="00733F61">
      <w:pPr>
        <w:pStyle w:val="TableFigureFooter"/>
      </w:pPr>
      <w:r w:rsidRPr="0026039D">
        <w:t>AIHW = Australian Institute of Health and Welfare; NOS = not otherwise specified; NSCLC = non-small cell lung cancer; PD-L1 = programmed death ligand-1; PS= performance status; PSD = public summary document</w:t>
      </w:r>
    </w:p>
    <w:p w14:paraId="6E121EED" w14:textId="77777777" w:rsidR="00733F61" w:rsidRPr="0026039D" w:rsidRDefault="00733F61" w:rsidP="00315F69">
      <w:pPr>
        <w:pStyle w:val="ListParagraph"/>
        <w:numPr>
          <w:ilvl w:val="1"/>
          <w:numId w:val="1"/>
        </w:numPr>
        <w:spacing w:after="160"/>
      </w:pPr>
      <w:r w:rsidRPr="0026039D">
        <w:t xml:space="preserve">Although some of the parameters used to derive the estimated patient population are uncertain, there is no impact on the financial estimates given that the submission has assumed a one-to-one substitution of crizotinib for entrectinib, and a cost-minimised price between these two therapies. </w:t>
      </w:r>
    </w:p>
    <w:p w14:paraId="48395C37" w14:textId="77777777" w:rsidR="00733F61" w:rsidRPr="0026039D" w:rsidRDefault="00733F61" w:rsidP="00315F69">
      <w:pPr>
        <w:pStyle w:val="ListParagraph"/>
        <w:numPr>
          <w:ilvl w:val="1"/>
          <w:numId w:val="1"/>
        </w:numPr>
        <w:spacing w:after="160"/>
      </w:pPr>
      <w:r w:rsidRPr="0026039D">
        <w:t>The estimated use and financial implications of an entrectinib PBS listing are summarised below</w:t>
      </w:r>
      <w:r w:rsidR="00BD4B1E" w:rsidRPr="0026039D">
        <w:t xml:space="preserve"> (based on the published price of crizotinib)</w:t>
      </w:r>
      <w:r w:rsidRPr="0026039D">
        <w:t>.</w:t>
      </w:r>
    </w:p>
    <w:p w14:paraId="5B937608" w14:textId="77777777" w:rsidR="00733F61" w:rsidRPr="0026039D" w:rsidRDefault="00733F61" w:rsidP="00703CA8">
      <w:pPr>
        <w:pStyle w:val="TableFigureHeading"/>
        <w:keepLines/>
      </w:pPr>
      <w:r w:rsidRPr="0026039D">
        <w:lastRenderedPageBreak/>
        <w:t xml:space="preserve">Table 11: </w:t>
      </w:r>
      <w:r w:rsidRPr="0026039D">
        <w:rPr>
          <w:rStyle w:val="CommentReference"/>
          <w:b/>
          <w:szCs w:val="24"/>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733F61" w:rsidRPr="008348C0" w14:paraId="3F9300E6" w14:textId="77777777" w:rsidTr="00B41A01">
        <w:trPr>
          <w:tblHeader/>
        </w:trPr>
        <w:tc>
          <w:tcPr>
            <w:tcW w:w="1116" w:type="pct"/>
            <w:shd w:val="clear" w:color="auto" w:fill="auto"/>
            <w:vAlign w:val="center"/>
          </w:tcPr>
          <w:p w14:paraId="4323F8C2" w14:textId="77777777" w:rsidR="00733F61" w:rsidRPr="008348C0" w:rsidRDefault="00733F61" w:rsidP="00703CA8">
            <w:pPr>
              <w:pStyle w:val="In-tableHeading"/>
              <w:keepLines/>
              <w:jc w:val="center"/>
              <w:rPr>
                <w:szCs w:val="20"/>
                <w:lang w:val="en-AU"/>
              </w:rPr>
            </w:pPr>
          </w:p>
        </w:tc>
        <w:tc>
          <w:tcPr>
            <w:tcW w:w="647" w:type="pct"/>
            <w:shd w:val="clear" w:color="auto" w:fill="auto"/>
            <w:vAlign w:val="center"/>
          </w:tcPr>
          <w:p w14:paraId="560AFAE0" w14:textId="77777777" w:rsidR="00733F61" w:rsidRPr="008348C0" w:rsidRDefault="00733F61" w:rsidP="00703CA8">
            <w:pPr>
              <w:pStyle w:val="In-tableHeading"/>
              <w:keepLines/>
              <w:jc w:val="center"/>
              <w:rPr>
                <w:szCs w:val="20"/>
                <w:lang w:val="en-AU"/>
              </w:rPr>
            </w:pPr>
            <w:r w:rsidRPr="008348C0">
              <w:rPr>
                <w:szCs w:val="20"/>
                <w:lang w:val="en-AU"/>
              </w:rPr>
              <w:t>Year 1</w:t>
            </w:r>
          </w:p>
        </w:tc>
        <w:tc>
          <w:tcPr>
            <w:tcW w:w="647" w:type="pct"/>
            <w:shd w:val="clear" w:color="auto" w:fill="auto"/>
            <w:vAlign w:val="center"/>
          </w:tcPr>
          <w:p w14:paraId="7E473964" w14:textId="77777777" w:rsidR="00733F61" w:rsidRPr="008348C0" w:rsidRDefault="00733F61" w:rsidP="00703CA8">
            <w:pPr>
              <w:pStyle w:val="In-tableHeading"/>
              <w:keepLines/>
              <w:jc w:val="center"/>
              <w:rPr>
                <w:szCs w:val="20"/>
                <w:lang w:val="en-AU"/>
              </w:rPr>
            </w:pPr>
            <w:r w:rsidRPr="008348C0">
              <w:rPr>
                <w:szCs w:val="20"/>
                <w:lang w:val="en-AU"/>
              </w:rPr>
              <w:t>Year 2</w:t>
            </w:r>
          </w:p>
        </w:tc>
        <w:tc>
          <w:tcPr>
            <w:tcW w:w="647" w:type="pct"/>
            <w:shd w:val="clear" w:color="auto" w:fill="auto"/>
            <w:vAlign w:val="center"/>
          </w:tcPr>
          <w:p w14:paraId="0D719F40" w14:textId="77777777" w:rsidR="00733F61" w:rsidRPr="008348C0" w:rsidRDefault="00733F61" w:rsidP="00703CA8">
            <w:pPr>
              <w:pStyle w:val="In-tableHeading"/>
              <w:keepLines/>
              <w:jc w:val="center"/>
              <w:rPr>
                <w:szCs w:val="20"/>
                <w:lang w:val="en-AU"/>
              </w:rPr>
            </w:pPr>
            <w:r w:rsidRPr="008348C0">
              <w:rPr>
                <w:szCs w:val="20"/>
                <w:lang w:val="en-AU"/>
              </w:rPr>
              <w:t>Year 3</w:t>
            </w:r>
          </w:p>
        </w:tc>
        <w:tc>
          <w:tcPr>
            <w:tcW w:w="647" w:type="pct"/>
            <w:shd w:val="clear" w:color="auto" w:fill="auto"/>
            <w:vAlign w:val="center"/>
          </w:tcPr>
          <w:p w14:paraId="5AF71FB5" w14:textId="77777777" w:rsidR="00733F61" w:rsidRPr="008348C0" w:rsidRDefault="00733F61" w:rsidP="00703CA8">
            <w:pPr>
              <w:pStyle w:val="In-tableHeading"/>
              <w:keepLines/>
              <w:jc w:val="center"/>
              <w:rPr>
                <w:szCs w:val="20"/>
                <w:lang w:val="en-AU"/>
              </w:rPr>
            </w:pPr>
            <w:r w:rsidRPr="008348C0">
              <w:rPr>
                <w:szCs w:val="20"/>
                <w:lang w:val="en-AU"/>
              </w:rPr>
              <w:t>Year 4</w:t>
            </w:r>
          </w:p>
        </w:tc>
        <w:tc>
          <w:tcPr>
            <w:tcW w:w="647" w:type="pct"/>
            <w:shd w:val="clear" w:color="auto" w:fill="auto"/>
            <w:vAlign w:val="center"/>
          </w:tcPr>
          <w:p w14:paraId="55884B34" w14:textId="77777777" w:rsidR="00733F61" w:rsidRPr="008348C0" w:rsidRDefault="00733F61" w:rsidP="00703CA8">
            <w:pPr>
              <w:pStyle w:val="In-tableHeading"/>
              <w:keepLines/>
              <w:jc w:val="center"/>
              <w:rPr>
                <w:szCs w:val="20"/>
                <w:lang w:val="en-AU"/>
              </w:rPr>
            </w:pPr>
            <w:r w:rsidRPr="008348C0">
              <w:rPr>
                <w:szCs w:val="20"/>
                <w:lang w:val="en-AU"/>
              </w:rPr>
              <w:t>Year 5</w:t>
            </w:r>
          </w:p>
        </w:tc>
        <w:tc>
          <w:tcPr>
            <w:tcW w:w="649" w:type="pct"/>
          </w:tcPr>
          <w:p w14:paraId="68B9EBAB" w14:textId="77777777" w:rsidR="00733F61" w:rsidRPr="008348C0" w:rsidRDefault="00733F61" w:rsidP="00703CA8">
            <w:pPr>
              <w:pStyle w:val="In-tableHeading"/>
              <w:keepLines/>
              <w:jc w:val="center"/>
              <w:rPr>
                <w:szCs w:val="20"/>
                <w:lang w:val="en-AU"/>
              </w:rPr>
            </w:pPr>
            <w:r w:rsidRPr="008348C0">
              <w:rPr>
                <w:szCs w:val="20"/>
                <w:lang w:val="en-AU"/>
              </w:rPr>
              <w:t>Year 6</w:t>
            </w:r>
          </w:p>
        </w:tc>
      </w:tr>
      <w:tr w:rsidR="00733F61" w:rsidRPr="008348C0" w14:paraId="7072FBBE" w14:textId="77777777" w:rsidTr="00B41A01">
        <w:tc>
          <w:tcPr>
            <w:tcW w:w="5000" w:type="pct"/>
            <w:gridSpan w:val="7"/>
            <w:shd w:val="clear" w:color="auto" w:fill="auto"/>
            <w:vAlign w:val="center"/>
          </w:tcPr>
          <w:p w14:paraId="0596421D" w14:textId="77777777" w:rsidR="00733F61" w:rsidRPr="008348C0" w:rsidRDefault="00733F61" w:rsidP="00703CA8">
            <w:pPr>
              <w:pStyle w:val="In-tableHeading"/>
              <w:keepLines/>
              <w:rPr>
                <w:bCs/>
                <w:color w:val="000000"/>
                <w:szCs w:val="20"/>
                <w:lang w:val="en-AU"/>
              </w:rPr>
            </w:pPr>
            <w:r w:rsidRPr="008348C0">
              <w:rPr>
                <w:bCs/>
                <w:color w:val="000000"/>
                <w:szCs w:val="20"/>
                <w:lang w:val="en-AU"/>
              </w:rPr>
              <w:t>Estimated extent of use</w:t>
            </w:r>
          </w:p>
        </w:tc>
      </w:tr>
      <w:tr w:rsidR="00733F61" w:rsidRPr="008348C0" w14:paraId="18DCDA2A" w14:textId="77777777" w:rsidTr="00B41A01">
        <w:tc>
          <w:tcPr>
            <w:tcW w:w="1116" w:type="pct"/>
            <w:shd w:val="clear" w:color="auto" w:fill="auto"/>
            <w:vAlign w:val="center"/>
          </w:tcPr>
          <w:p w14:paraId="0630A47C" w14:textId="77777777" w:rsidR="00733F61" w:rsidRPr="008348C0" w:rsidRDefault="00733F61" w:rsidP="00703CA8">
            <w:pPr>
              <w:pStyle w:val="TableText0"/>
              <w:keepLines/>
              <w:rPr>
                <w:szCs w:val="20"/>
              </w:rPr>
            </w:pPr>
            <w:r w:rsidRPr="008348C0">
              <w:rPr>
                <w:szCs w:val="20"/>
              </w:rPr>
              <w:t>Number of patients treated</w:t>
            </w:r>
          </w:p>
        </w:tc>
        <w:tc>
          <w:tcPr>
            <w:tcW w:w="647" w:type="pct"/>
            <w:shd w:val="clear" w:color="auto" w:fill="auto"/>
            <w:vAlign w:val="center"/>
          </w:tcPr>
          <w:p w14:paraId="1322D149" w14:textId="77777777" w:rsidR="00733F61" w:rsidRPr="007077FF" w:rsidRDefault="007077FF" w:rsidP="00703CA8">
            <w:pPr>
              <w:pStyle w:val="TableText0"/>
              <w:keepLines/>
              <w:jc w:val="center"/>
              <w:rPr>
                <w:color w:val="000000"/>
                <w:szCs w:val="20"/>
                <w:highlight w:val="black"/>
              </w:rPr>
            </w:pPr>
            <w:r>
              <w:rPr>
                <w:noProof/>
                <w:color w:val="000000"/>
                <w:szCs w:val="20"/>
                <w:highlight w:val="black"/>
              </w:rPr>
              <w:t>'''''''</w:t>
            </w:r>
          </w:p>
        </w:tc>
        <w:tc>
          <w:tcPr>
            <w:tcW w:w="647" w:type="pct"/>
            <w:shd w:val="clear" w:color="auto" w:fill="auto"/>
            <w:vAlign w:val="center"/>
          </w:tcPr>
          <w:p w14:paraId="39C3A5C0" w14:textId="77777777" w:rsidR="00733F61" w:rsidRPr="007077FF" w:rsidRDefault="007077FF" w:rsidP="00703CA8">
            <w:pPr>
              <w:pStyle w:val="TableText0"/>
              <w:keepLines/>
              <w:jc w:val="center"/>
              <w:rPr>
                <w:color w:val="000000"/>
                <w:szCs w:val="20"/>
                <w:highlight w:val="black"/>
              </w:rPr>
            </w:pPr>
            <w:r>
              <w:rPr>
                <w:noProof/>
                <w:color w:val="000000"/>
                <w:szCs w:val="20"/>
                <w:highlight w:val="black"/>
              </w:rPr>
              <w:t>''''''</w:t>
            </w:r>
          </w:p>
        </w:tc>
        <w:tc>
          <w:tcPr>
            <w:tcW w:w="647" w:type="pct"/>
            <w:shd w:val="clear" w:color="auto" w:fill="auto"/>
            <w:vAlign w:val="center"/>
          </w:tcPr>
          <w:p w14:paraId="21BA947D" w14:textId="77777777" w:rsidR="00733F61" w:rsidRPr="007077FF" w:rsidRDefault="007077FF" w:rsidP="00703CA8">
            <w:pPr>
              <w:pStyle w:val="TableText0"/>
              <w:keepLines/>
              <w:jc w:val="center"/>
              <w:rPr>
                <w:color w:val="000000"/>
                <w:szCs w:val="20"/>
                <w:highlight w:val="black"/>
              </w:rPr>
            </w:pPr>
            <w:r>
              <w:rPr>
                <w:noProof/>
                <w:color w:val="000000"/>
                <w:szCs w:val="20"/>
                <w:highlight w:val="black"/>
              </w:rPr>
              <w:t>'''''</w:t>
            </w:r>
          </w:p>
        </w:tc>
        <w:tc>
          <w:tcPr>
            <w:tcW w:w="647" w:type="pct"/>
            <w:shd w:val="clear" w:color="auto" w:fill="auto"/>
            <w:vAlign w:val="center"/>
          </w:tcPr>
          <w:p w14:paraId="0DDF3BCE" w14:textId="77777777" w:rsidR="00733F61" w:rsidRPr="007077FF" w:rsidRDefault="007077FF" w:rsidP="00703CA8">
            <w:pPr>
              <w:pStyle w:val="TableText0"/>
              <w:keepLines/>
              <w:jc w:val="center"/>
              <w:rPr>
                <w:color w:val="000000"/>
                <w:szCs w:val="20"/>
                <w:highlight w:val="black"/>
              </w:rPr>
            </w:pPr>
            <w:r>
              <w:rPr>
                <w:noProof/>
                <w:color w:val="000000"/>
                <w:szCs w:val="20"/>
                <w:highlight w:val="black"/>
              </w:rPr>
              <w:t>'''''''</w:t>
            </w:r>
          </w:p>
        </w:tc>
        <w:tc>
          <w:tcPr>
            <w:tcW w:w="647" w:type="pct"/>
            <w:shd w:val="clear" w:color="auto" w:fill="auto"/>
            <w:vAlign w:val="center"/>
          </w:tcPr>
          <w:p w14:paraId="480610BF" w14:textId="77777777" w:rsidR="00733F61" w:rsidRPr="007077FF" w:rsidRDefault="007077FF" w:rsidP="00703CA8">
            <w:pPr>
              <w:pStyle w:val="TableText0"/>
              <w:keepLines/>
              <w:jc w:val="center"/>
              <w:rPr>
                <w:color w:val="000000"/>
                <w:szCs w:val="20"/>
                <w:highlight w:val="black"/>
              </w:rPr>
            </w:pPr>
            <w:r>
              <w:rPr>
                <w:noProof/>
                <w:color w:val="000000"/>
                <w:szCs w:val="20"/>
                <w:highlight w:val="black"/>
              </w:rPr>
              <w:t>''''''</w:t>
            </w:r>
          </w:p>
        </w:tc>
        <w:tc>
          <w:tcPr>
            <w:tcW w:w="649" w:type="pct"/>
          </w:tcPr>
          <w:p w14:paraId="2BBD5118" w14:textId="77777777" w:rsidR="00733F61" w:rsidRPr="007077FF" w:rsidRDefault="007077FF" w:rsidP="00703CA8">
            <w:pPr>
              <w:pStyle w:val="TableText0"/>
              <w:keepLines/>
              <w:jc w:val="center"/>
              <w:rPr>
                <w:color w:val="000000"/>
                <w:szCs w:val="20"/>
                <w:highlight w:val="black"/>
              </w:rPr>
            </w:pPr>
            <w:r>
              <w:rPr>
                <w:noProof/>
                <w:color w:val="000000"/>
                <w:szCs w:val="20"/>
                <w:highlight w:val="black"/>
              </w:rPr>
              <w:t>''''''</w:t>
            </w:r>
          </w:p>
        </w:tc>
      </w:tr>
      <w:tr w:rsidR="00733F61" w:rsidRPr="008348C0" w14:paraId="6C317E56" w14:textId="77777777" w:rsidTr="00B41A01">
        <w:tc>
          <w:tcPr>
            <w:tcW w:w="1116" w:type="pct"/>
            <w:shd w:val="clear" w:color="auto" w:fill="auto"/>
            <w:vAlign w:val="center"/>
          </w:tcPr>
          <w:p w14:paraId="6BAA4BEE" w14:textId="77777777" w:rsidR="00733F61" w:rsidRPr="008348C0" w:rsidRDefault="00733F61" w:rsidP="00703CA8">
            <w:pPr>
              <w:pStyle w:val="TableText0"/>
              <w:keepLines/>
              <w:rPr>
                <w:szCs w:val="20"/>
              </w:rPr>
            </w:pPr>
            <w:r w:rsidRPr="008348C0">
              <w:rPr>
                <w:szCs w:val="20"/>
              </w:rPr>
              <w:t>Number of scripts dispensed</w:t>
            </w:r>
            <w:r w:rsidRPr="008348C0">
              <w:rPr>
                <w:szCs w:val="20"/>
                <w:vertAlign w:val="superscript"/>
              </w:rPr>
              <w:t>a</w:t>
            </w:r>
          </w:p>
        </w:tc>
        <w:tc>
          <w:tcPr>
            <w:tcW w:w="647" w:type="pct"/>
          </w:tcPr>
          <w:p w14:paraId="7F2FDF05" w14:textId="77777777" w:rsidR="00733F61" w:rsidRPr="007077FF" w:rsidRDefault="007077FF" w:rsidP="00703CA8">
            <w:pPr>
              <w:pStyle w:val="TableText0"/>
              <w:keepLines/>
              <w:jc w:val="center"/>
              <w:rPr>
                <w:color w:val="000000"/>
                <w:szCs w:val="20"/>
                <w:highlight w:val="black"/>
              </w:rPr>
            </w:pPr>
            <w:r>
              <w:rPr>
                <w:noProof/>
                <w:color w:val="000000"/>
                <w:szCs w:val="20"/>
                <w:highlight w:val="black"/>
              </w:rPr>
              <w:t>''''''''''''</w:t>
            </w:r>
          </w:p>
        </w:tc>
        <w:tc>
          <w:tcPr>
            <w:tcW w:w="647" w:type="pct"/>
          </w:tcPr>
          <w:p w14:paraId="6A8BC2DE" w14:textId="77777777" w:rsidR="00733F61" w:rsidRPr="007077FF" w:rsidRDefault="007077FF" w:rsidP="00703CA8">
            <w:pPr>
              <w:pStyle w:val="TableText0"/>
              <w:keepLines/>
              <w:jc w:val="center"/>
              <w:rPr>
                <w:color w:val="000000"/>
                <w:szCs w:val="20"/>
                <w:highlight w:val="black"/>
              </w:rPr>
            </w:pPr>
            <w:r>
              <w:rPr>
                <w:noProof/>
                <w:color w:val="000000"/>
                <w:szCs w:val="20"/>
                <w:highlight w:val="black"/>
              </w:rPr>
              <w:t>'''''''''''''</w:t>
            </w:r>
          </w:p>
        </w:tc>
        <w:tc>
          <w:tcPr>
            <w:tcW w:w="647" w:type="pct"/>
          </w:tcPr>
          <w:p w14:paraId="0EBFA8D3" w14:textId="77777777" w:rsidR="00733F61" w:rsidRPr="007077FF" w:rsidRDefault="007077FF" w:rsidP="00703CA8">
            <w:pPr>
              <w:pStyle w:val="TableText0"/>
              <w:keepLines/>
              <w:jc w:val="center"/>
              <w:rPr>
                <w:color w:val="000000"/>
                <w:szCs w:val="20"/>
                <w:highlight w:val="black"/>
              </w:rPr>
            </w:pPr>
            <w:r>
              <w:rPr>
                <w:noProof/>
                <w:color w:val="000000"/>
                <w:szCs w:val="20"/>
                <w:highlight w:val="black"/>
              </w:rPr>
              <w:t>'''''''''''''''</w:t>
            </w:r>
          </w:p>
        </w:tc>
        <w:tc>
          <w:tcPr>
            <w:tcW w:w="647" w:type="pct"/>
          </w:tcPr>
          <w:p w14:paraId="69BC68E3" w14:textId="77777777" w:rsidR="00733F61" w:rsidRPr="007077FF" w:rsidRDefault="007077FF" w:rsidP="00703CA8">
            <w:pPr>
              <w:pStyle w:val="TableText0"/>
              <w:keepLines/>
              <w:jc w:val="center"/>
              <w:rPr>
                <w:color w:val="000000"/>
                <w:szCs w:val="20"/>
                <w:highlight w:val="black"/>
              </w:rPr>
            </w:pPr>
            <w:r>
              <w:rPr>
                <w:noProof/>
                <w:color w:val="000000"/>
                <w:szCs w:val="20"/>
                <w:highlight w:val="black"/>
              </w:rPr>
              <w:t>''''''''''''''</w:t>
            </w:r>
          </w:p>
        </w:tc>
        <w:tc>
          <w:tcPr>
            <w:tcW w:w="647" w:type="pct"/>
          </w:tcPr>
          <w:p w14:paraId="7C10BC2E" w14:textId="77777777" w:rsidR="00733F61" w:rsidRPr="007077FF" w:rsidRDefault="007077FF" w:rsidP="00703CA8">
            <w:pPr>
              <w:pStyle w:val="TableText0"/>
              <w:keepLines/>
              <w:jc w:val="center"/>
              <w:rPr>
                <w:color w:val="000000"/>
                <w:szCs w:val="20"/>
                <w:highlight w:val="black"/>
              </w:rPr>
            </w:pPr>
            <w:r>
              <w:rPr>
                <w:noProof/>
                <w:color w:val="000000"/>
                <w:szCs w:val="20"/>
                <w:highlight w:val="black"/>
              </w:rPr>
              <w:t>'''''''''''''''</w:t>
            </w:r>
          </w:p>
        </w:tc>
        <w:tc>
          <w:tcPr>
            <w:tcW w:w="649" w:type="pct"/>
          </w:tcPr>
          <w:p w14:paraId="29102A3F" w14:textId="77777777" w:rsidR="00733F61" w:rsidRPr="007077FF" w:rsidRDefault="007077FF" w:rsidP="00703CA8">
            <w:pPr>
              <w:pStyle w:val="TableText0"/>
              <w:keepLines/>
              <w:jc w:val="center"/>
              <w:rPr>
                <w:color w:val="000000"/>
                <w:szCs w:val="20"/>
                <w:highlight w:val="black"/>
              </w:rPr>
            </w:pPr>
            <w:r>
              <w:rPr>
                <w:noProof/>
                <w:color w:val="000000"/>
                <w:szCs w:val="20"/>
                <w:highlight w:val="black"/>
              </w:rPr>
              <w:t>''''''''''''''</w:t>
            </w:r>
          </w:p>
        </w:tc>
      </w:tr>
      <w:tr w:rsidR="00733F61" w:rsidRPr="008348C0" w14:paraId="4997F20E" w14:textId="77777777" w:rsidTr="00B41A01">
        <w:tc>
          <w:tcPr>
            <w:tcW w:w="5000" w:type="pct"/>
            <w:gridSpan w:val="7"/>
            <w:shd w:val="clear" w:color="auto" w:fill="auto"/>
            <w:vAlign w:val="center"/>
          </w:tcPr>
          <w:p w14:paraId="41C8A613" w14:textId="77777777" w:rsidR="00733F61" w:rsidRPr="008348C0" w:rsidRDefault="00733F61" w:rsidP="00703CA8">
            <w:pPr>
              <w:pStyle w:val="In-tableHeading"/>
              <w:keepLines/>
              <w:rPr>
                <w:szCs w:val="20"/>
                <w:lang w:val="en-AU"/>
              </w:rPr>
            </w:pPr>
            <w:r w:rsidRPr="008348C0">
              <w:rPr>
                <w:szCs w:val="20"/>
                <w:lang w:val="en-AU"/>
              </w:rPr>
              <w:t>Estimated financial implications of entrectinib</w:t>
            </w:r>
          </w:p>
        </w:tc>
      </w:tr>
      <w:tr w:rsidR="00733F61" w:rsidRPr="008348C0" w14:paraId="14347B7E" w14:textId="77777777" w:rsidTr="00B41A01">
        <w:tc>
          <w:tcPr>
            <w:tcW w:w="1116" w:type="pct"/>
            <w:shd w:val="clear" w:color="auto" w:fill="auto"/>
            <w:vAlign w:val="center"/>
          </w:tcPr>
          <w:p w14:paraId="652DE40B" w14:textId="77777777" w:rsidR="00733F61" w:rsidRPr="008348C0" w:rsidRDefault="00733F61" w:rsidP="00703CA8">
            <w:pPr>
              <w:pStyle w:val="TableText0"/>
              <w:keepLines/>
              <w:rPr>
                <w:szCs w:val="20"/>
              </w:rPr>
            </w:pPr>
            <w:r w:rsidRPr="008348C0">
              <w:rPr>
                <w:szCs w:val="20"/>
              </w:rPr>
              <w:t>Cost to PBS/RPBS less copayments</w:t>
            </w:r>
          </w:p>
        </w:tc>
        <w:tc>
          <w:tcPr>
            <w:tcW w:w="647" w:type="pct"/>
            <w:vAlign w:val="center"/>
          </w:tcPr>
          <w:p w14:paraId="2C92557C" w14:textId="77777777" w:rsidR="00733F61" w:rsidRPr="008348C0" w:rsidRDefault="00733F61" w:rsidP="00703CA8">
            <w:pPr>
              <w:pStyle w:val="TableText0"/>
              <w:keepLines/>
              <w:jc w:val="center"/>
              <w:rPr>
                <w:szCs w:val="20"/>
              </w:rPr>
            </w:pPr>
            <w:r w:rsidRPr="008348C0">
              <w:rPr>
                <w:szCs w:val="20"/>
              </w:rPr>
              <w:t>$</w:t>
            </w:r>
            <w:r w:rsidR="007077FF">
              <w:rPr>
                <w:noProof/>
                <w:color w:val="000000"/>
                <w:szCs w:val="20"/>
                <w:highlight w:val="black"/>
              </w:rPr>
              <w:t>''''''''''''''''''''''''</w:t>
            </w:r>
          </w:p>
        </w:tc>
        <w:tc>
          <w:tcPr>
            <w:tcW w:w="647" w:type="pct"/>
            <w:vAlign w:val="center"/>
          </w:tcPr>
          <w:p w14:paraId="04E64793" w14:textId="77777777" w:rsidR="00733F61" w:rsidRPr="008348C0" w:rsidRDefault="00733F61" w:rsidP="00703CA8">
            <w:pPr>
              <w:pStyle w:val="TableText0"/>
              <w:keepLines/>
              <w:jc w:val="center"/>
              <w:rPr>
                <w:szCs w:val="20"/>
              </w:rPr>
            </w:pPr>
            <w:r w:rsidRPr="008348C0">
              <w:rPr>
                <w:szCs w:val="20"/>
              </w:rPr>
              <w:t>$</w:t>
            </w:r>
            <w:r w:rsidR="007077FF">
              <w:rPr>
                <w:noProof/>
                <w:color w:val="000000"/>
                <w:szCs w:val="20"/>
                <w:highlight w:val="black"/>
              </w:rPr>
              <w:t>'''''''''''''''''''''''''''</w:t>
            </w:r>
          </w:p>
        </w:tc>
        <w:tc>
          <w:tcPr>
            <w:tcW w:w="647" w:type="pct"/>
            <w:vAlign w:val="center"/>
          </w:tcPr>
          <w:p w14:paraId="1154777F" w14:textId="77777777" w:rsidR="00733F61" w:rsidRPr="008348C0" w:rsidRDefault="00733F61" w:rsidP="00703CA8">
            <w:pPr>
              <w:pStyle w:val="TableText0"/>
              <w:keepLines/>
              <w:jc w:val="center"/>
              <w:rPr>
                <w:szCs w:val="20"/>
              </w:rPr>
            </w:pPr>
            <w:r w:rsidRPr="008348C0">
              <w:rPr>
                <w:szCs w:val="20"/>
              </w:rPr>
              <w:t>$</w:t>
            </w:r>
            <w:r w:rsidR="007077FF">
              <w:rPr>
                <w:noProof/>
                <w:color w:val="000000"/>
                <w:szCs w:val="20"/>
                <w:highlight w:val="black"/>
              </w:rPr>
              <w:t>'''''''''''''''''''''''''''</w:t>
            </w:r>
          </w:p>
        </w:tc>
        <w:tc>
          <w:tcPr>
            <w:tcW w:w="647" w:type="pct"/>
            <w:vAlign w:val="center"/>
          </w:tcPr>
          <w:p w14:paraId="7078F33D" w14:textId="77777777" w:rsidR="00733F61" w:rsidRPr="008348C0" w:rsidRDefault="00733F61" w:rsidP="00703CA8">
            <w:pPr>
              <w:pStyle w:val="TableText0"/>
              <w:keepLines/>
              <w:jc w:val="center"/>
              <w:rPr>
                <w:szCs w:val="20"/>
              </w:rPr>
            </w:pPr>
            <w:r w:rsidRPr="008348C0">
              <w:rPr>
                <w:szCs w:val="20"/>
              </w:rPr>
              <w:t>$</w:t>
            </w:r>
            <w:r w:rsidR="007077FF">
              <w:rPr>
                <w:noProof/>
                <w:color w:val="000000"/>
                <w:szCs w:val="20"/>
                <w:highlight w:val="black"/>
              </w:rPr>
              <w:t>''''''''''''''''''''''''''</w:t>
            </w:r>
          </w:p>
        </w:tc>
        <w:tc>
          <w:tcPr>
            <w:tcW w:w="647" w:type="pct"/>
            <w:vAlign w:val="center"/>
          </w:tcPr>
          <w:p w14:paraId="6B185C86" w14:textId="77777777" w:rsidR="00733F61" w:rsidRPr="008348C0" w:rsidRDefault="00733F61" w:rsidP="00703CA8">
            <w:pPr>
              <w:pStyle w:val="TableText0"/>
              <w:keepLines/>
              <w:jc w:val="center"/>
              <w:rPr>
                <w:szCs w:val="20"/>
              </w:rPr>
            </w:pPr>
            <w:r w:rsidRPr="008348C0">
              <w:rPr>
                <w:szCs w:val="20"/>
              </w:rPr>
              <w:t>$</w:t>
            </w:r>
            <w:r w:rsidR="007077FF">
              <w:rPr>
                <w:noProof/>
                <w:color w:val="000000"/>
                <w:szCs w:val="20"/>
                <w:highlight w:val="black"/>
              </w:rPr>
              <w:t>''''''''''''''''''''''''</w:t>
            </w:r>
          </w:p>
        </w:tc>
        <w:tc>
          <w:tcPr>
            <w:tcW w:w="649" w:type="pct"/>
            <w:vAlign w:val="center"/>
          </w:tcPr>
          <w:p w14:paraId="20A27A24" w14:textId="77777777" w:rsidR="00733F61" w:rsidRPr="008348C0" w:rsidRDefault="00733F61" w:rsidP="00703CA8">
            <w:pPr>
              <w:pStyle w:val="TableText0"/>
              <w:keepLines/>
              <w:jc w:val="center"/>
              <w:rPr>
                <w:szCs w:val="20"/>
              </w:rPr>
            </w:pPr>
            <w:r w:rsidRPr="008348C0">
              <w:rPr>
                <w:szCs w:val="20"/>
              </w:rPr>
              <w:t>$</w:t>
            </w:r>
            <w:r w:rsidR="007077FF">
              <w:rPr>
                <w:noProof/>
                <w:color w:val="000000"/>
                <w:szCs w:val="20"/>
                <w:highlight w:val="black"/>
              </w:rPr>
              <w:t>''''''''''''''''''''''''''</w:t>
            </w:r>
          </w:p>
        </w:tc>
      </w:tr>
      <w:tr w:rsidR="00733F61" w:rsidRPr="008348C0" w14:paraId="05C287A9" w14:textId="77777777" w:rsidTr="00B41A01">
        <w:tc>
          <w:tcPr>
            <w:tcW w:w="5000" w:type="pct"/>
            <w:gridSpan w:val="7"/>
            <w:shd w:val="clear" w:color="auto" w:fill="auto"/>
            <w:vAlign w:val="center"/>
          </w:tcPr>
          <w:p w14:paraId="3C723E08" w14:textId="77777777" w:rsidR="00733F61" w:rsidRPr="008348C0" w:rsidRDefault="00733F61" w:rsidP="00703CA8">
            <w:pPr>
              <w:pStyle w:val="TableText0"/>
              <w:keepLines/>
              <w:rPr>
                <w:b/>
                <w:szCs w:val="20"/>
              </w:rPr>
            </w:pPr>
            <w:r w:rsidRPr="008348C0">
              <w:rPr>
                <w:b/>
                <w:szCs w:val="20"/>
              </w:rPr>
              <w:t>Estimated financial implications for crizotinib</w:t>
            </w:r>
          </w:p>
        </w:tc>
      </w:tr>
      <w:tr w:rsidR="00733F61" w:rsidRPr="008348C0" w14:paraId="4C3E6C69" w14:textId="77777777" w:rsidTr="00B41A01">
        <w:tc>
          <w:tcPr>
            <w:tcW w:w="1116" w:type="pct"/>
            <w:shd w:val="clear" w:color="auto" w:fill="auto"/>
            <w:vAlign w:val="center"/>
          </w:tcPr>
          <w:p w14:paraId="12DB0E34" w14:textId="77777777" w:rsidR="00733F61" w:rsidRPr="008348C0" w:rsidRDefault="00733F61" w:rsidP="00703CA8">
            <w:pPr>
              <w:pStyle w:val="TableText0"/>
              <w:keepLines/>
              <w:rPr>
                <w:szCs w:val="20"/>
              </w:rPr>
            </w:pPr>
            <w:r w:rsidRPr="008348C0">
              <w:rPr>
                <w:szCs w:val="20"/>
              </w:rPr>
              <w:t>Cost to PBS/RPBS less copayments</w:t>
            </w:r>
          </w:p>
        </w:tc>
        <w:tc>
          <w:tcPr>
            <w:tcW w:w="647" w:type="pct"/>
            <w:vAlign w:val="center"/>
          </w:tcPr>
          <w:p w14:paraId="78BC9004" w14:textId="77777777" w:rsidR="00733F61" w:rsidRPr="008348C0" w:rsidRDefault="00733F61" w:rsidP="00703CA8">
            <w:pPr>
              <w:pStyle w:val="TableText0"/>
              <w:keepLines/>
              <w:jc w:val="center"/>
              <w:rPr>
                <w:szCs w:val="20"/>
              </w:rPr>
            </w:pPr>
            <w:r w:rsidRPr="008348C0">
              <w:rPr>
                <w:szCs w:val="20"/>
              </w:rPr>
              <w:t>$</w:t>
            </w:r>
            <w:r w:rsidR="007077FF">
              <w:rPr>
                <w:noProof/>
                <w:color w:val="000000"/>
                <w:szCs w:val="20"/>
                <w:highlight w:val="black"/>
              </w:rPr>
              <w:t>'''''''''''''''''''''''''</w:t>
            </w:r>
          </w:p>
        </w:tc>
        <w:tc>
          <w:tcPr>
            <w:tcW w:w="647" w:type="pct"/>
            <w:vAlign w:val="center"/>
          </w:tcPr>
          <w:p w14:paraId="74EDF351" w14:textId="77777777" w:rsidR="00733F61" w:rsidRPr="008348C0" w:rsidRDefault="00733F61" w:rsidP="00703CA8">
            <w:pPr>
              <w:pStyle w:val="TableText0"/>
              <w:keepLines/>
              <w:jc w:val="center"/>
              <w:rPr>
                <w:szCs w:val="20"/>
              </w:rPr>
            </w:pPr>
            <w:r w:rsidRPr="008348C0">
              <w:rPr>
                <w:szCs w:val="20"/>
              </w:rPr>
              <w:t>$</w:t>
            </w:r>
            <w:r w:rsidR="007077FF">
              <w:rPr>
                <w:noProof/>
                <w:color w:val="000000"/>
                <w:szCs w:val="20"/>
                <w:highlight w:val="black"/>
              </w:rPr>
              <w:t>''''''''''''''''''''''''''''</w:t>
            </w:r>
          </w:p>
        </w:tc>
        <w:tc>
          <w:tcPr>
            <w:tcW w:w="647" w:type="pct"/>
            <w:vAlign w:val="center"/>
          </w:tcPr>
          <w:p w14:paraId="679C7305" w14:textId="77777777" w:rsidR="00733F61" w:rsidRPr="008348C0" w:rsidRDefault="00733F61" w:rsidP="00703CA8">
            <w:pPr>
              <w:pStyle w:val="TableText0"/>
              <w:keepLines/>
              <w:jc w:val="center"/>
              <w:rPr>
                <w:szCs w:val="20"/>
              </w:rPr>
            </w:pPr>
            <w:r w:rsidRPr="008348C0">
              <w:rPr>
                <w:szCs w:val="20"/>
              </w:rPr>
              <w:t>$</w:t>
            </w:r>
            <w:r w:rsidR="007077FF">
              <w:rPr>
                <w:noProof/>
                <w:color w:val="000000"/>
                <w:szCs w:val="20"/>
                <w:highlight w:val="black"/>
              </w:rPr>
              <w:t>''''''''''''''''''''''''''''</w:t>
            </w:r>
          </w:p>
        </w:tc>
        <w:tc>
          <w:tcPr>
            <w:tcW w:w="647" w:type="pct"/>
            <w:vAlign w:val="center"/>
          </w:tcPr>
          <w:p w14:paraId="77F565BF" w14:textId="77777777" w:rsidR="00733F61" w:rsidRPr="008348C0" w:rsidRDefault="00733F61" w:rsidP="00703CA8">
            <w:pPr>
              <w:pStyle w:val="TableText0"/>
              <w:keepLines/>
              <w:jc w:val="center"/>
              <w:rPr>
                <w:szCs w:val="20"/>
              </w:rPr>
            </w:pPr>
            <w:r w:rsidRPr="008348C0">
              <w:rPr>
                <w:szCs w:val="20"/>
              </w:rPr>
              <w:t>$</w:t>
            </w:r>
            <w:r w:rsidR="007077FF">
              <w:rPr>
                <w:noProof/>
                <w:color w:val="000000"/>
                <w:szCs w:val="20"/>
                <w:highlight w:val="black"/>
              </w:rPr>
              <w:t>'''''''''''''''''''''''''''</w:t>
            </w:r>
          </w:p>
        </w:tc>
        <w:tc>
          <w:tcPr>
            <w:tcW w:w="647" w:type="pct"/>
            <w:vAlign w:val="center"/>
          </w:tcPr>
          <w:p w14:paraId="1C4D55E9" w14:textId="77777777" w:rsidR="00733F61" w:rsidRPr="008348C0" w:rsidRDefault="00733F61" w:rsidP="00703CA8">
            <w:pPr>
              <w:pStyle w:val="TableText0"/>
              <w:keepLines/>
              <w:jc w:val="center"/>
              <w:rPr>
                <w:szCs w:val="20"/>
              </w:rPr>
            </w:pPr>
            <w:r w:rsidRPr="008348C0">
              <w:rPr>
                <w:szCs w:val="20"/>
              </w:rPr>
              <w:t>$</w:t>
            </w:r>
            <w:r w:rsidR="007077FF">
              <w:rPr>
                <w:noProof/>
                <w:color w:val="000000"/>
                <w:szCs w:val="20"/>
                <w:highlight w:val="black"/>
              </w:rPr>
              <w:t>'''''''''''''''''''''''''</w:t>
            </w:r>
          </w:p>
        </w:tc>
        <w:tc>
          <w:tcPr>
            <w:tcW w:w="649" w:type="pct"/>
            <w:vAlign w:val="center"/>
          </w:tcPr>
          <w:p w14:paraId="5DE5997E" w14:textId="77777777" w:rsidR="00733F61" w:rsidRPr="008348C0" w:rsidRDefault="00733F61" w:rsidP="00703CA8">
            <w:pPr>
              <w:pStyle w:val="TableText0"/>
              <w:keepLines/>
              <w:jc w:val="center"/>
              <w:rPr>
                <w:szCs w:val="20"/>
              </w:rPr>
            </w:pPr>
            <w:r w:rsidRPr="008348C0">
              <w:rPr>
                <w:szCs w:val="20"/>
              </w:rPr>
              <w:t>$</w:t>
            </w:r>
            <w:r w:rsidR="007077FF">
              <w:rPr>
                <w:noProof/>
                <w:color w:val="000000"/>
                <w:szCs w:val="20"/>
                <w:highlight w:val="black"/>
              </w:rPr>
              <w:t>'''''''''''''''''''''''''''''</w:t>
            </w:r>
          </w:p>
        </w:tc>
      </w:tr>
      <w:tr w:rsidR="00733F61" w:rsidRPr="008348C0" w14:paraId="3A743694" w14:textId="77777777" w:rsidTr="00B41A01">
        <w:tc>
          <w:tcPr>
            <w:tcW w:w="5000" w:type="pct"/>
            <w:gridSpan w:val="7"/>
            <w:shd w:val="clear" w:color="auto" w:fill="auto"/>
            <w:vAlign w:val="center"/>
          </w:tcPr>
          <w:p w14:paraId="11D1D8BB" w14:textId="77777777" w:rsidR="00733F61" w:rsidRPr="008348C0" w:rsidRDefault="00733F61" w:rsidP="00703CA8">
            <w:pPr>
              <w:pStyle w:val="In-tableHeading"/>
              <w:keepLines/>
              <w:rPr>
                <w:szCs w:val="20"/>
                <w:lang w:val="en-AU"/>
              </w:rPr>
            </w:pPr>
            <w:r w:rsidRPr="008348C0">
              <w:rPr>
                <w:szCs w:val="20"/>
                <w:lang w:val="en-AU"/>
              </w:rPr>
              <w:t>Net financial implications</w:t>
            </w:r>
            <w:r w:rsidRPr="008348C0">
              <w:rPr>
                <w:color w:val="4BACC6" w:themeColor="accent5"/>
                <w:szCs w:val="20"/>
                <w:lang w:val="en-AU"/>
              </w:rPr>
              <w:t xml:space="preserve"> </w:t>
            </w:r>
          </w:p>
        </w:tc>
      </w:tr>
      <w:tr w:rsidR="00733F61" w:rsidRPr="008348C0" w14:paraId="30595F83" w14:textId="77777777" w:rsidTr="00B41A01">
        <w:tc>
          <w:tcPr>
            <w:tcW w:w="1116" w:type="pct"/>
            <w:shd w:val="clear" w:color="auto" w:fill="auto"/>
            <w:vAlign w:val="center"/>
          </w:tcPr>
          <w:p w14:paraId="175EB1E5" w14:textId="77777777" w:rsidR="00733F61" w:rsidRPr="008348C0" w:rsidRDefault="00733F61" w:rsidP="00703CA8">
            <w:pPr>
              <w:pStyle w:val="TableText0"/>
              <w:keepLines/>
              <w:rPr>
                <w:szCs w:val="20"/>
              </w:rPr>
            </w:pPr>
            <w:r w:rsidRPr="008348C0">
              <w:rPr>
                <w:szCs w:val="20"/>
              </w:rPr>
              <w:t>Net cost to PBS/RPBS</w:t>
            </w:r>
          </w:p>
        </w:tc>
        <w:tc>
          <w:tcPr>
            <w:tcW w:w="647" w:type="pct"/>
            <w:vAlign w:val="center"/>
          </w:tcPr>
          <w:p w14:paraId="26DB67C6" w14:textId="77777777" w:rsidR="00733F61" w:rsidRPr="008348C0" w:rsidRDefault="00733F61" w:rsidP="00703CA8">
            <w:pPr>
              <w:pStyle w:val="TableText0"/>
              <w:keepLines/>
              <w:jc w:val="center"/>
              <w:rPr>
                <w:szCs w:val="20"/>
              </w:rPr>
            </w:pPr>
            <w:r w:rsidRPr="008348C0">
              <w:rPr>
                <w:szCs w:val="20"/>
              </w:rPr>
              <w:t>$0</w:t>
            </w:r>
          </w:p>
        </w:tc>
        <w:tc>
          <w:tcPr>
            <w:tcW w:w="647" w:type="pct"/>
            <w:vAlign w:val="center"/>
          </w:tcPr>
          <w:p w14:paraId="4A28D8A4" w14:textId="77777777" w:rsidR="00733F61" w:rsidRPr="008348C0" w:rsidRDefault="00733F61" w:rsidP="00703CA8">
            <w:pPr>
              <w:pStyle w:val="TableText0"/>
              <w:keepLines/>
              <w:jc w:val="center"/>
              <w:rPr>
                <w:szCs w:val="20"/>
              </w:rPr>
            </w:pPr>
            <w:r w:rsidRPr="008348C0">
              <w:rPr>
                <w:szCs w:val="20"/>
              </w:rPr>
              <w:t>$0</w:t>
            </w:r>
          </w:p>
        </w:tc>
        <w:tc>
          <w:tcPr>
            <w:tcW w:w="647" w:type="pct"/>
            <w:vAlign w:val="center"/>
          </w:tcPr>
          <w:p w14:paraId="1C0BF0E2" w14:textId="77777777" w:rsidR="00733F61" w:rsidRPr="008348C0" w:rsidRDefault="00733F61" w:rsidP="00703CA8">
            <w:pPr>
              <w:pStyle w:val="TableText0"/>
              <w:keepLines/>
              <w:jc w:val="center"/>
              <w:rPr>
                <w:szCs w:val="20"/>
              </w:rPr>
            </w:pPr>
            <w:r w:rsidRPr="008348C0">
              <w:rPr>
                <w:szCs w:val="20"/>
              </w:rPr>
              <w:t>$0</w:t>
            </w:r>
          </w:p>
        </w:tc>
        <w:tc>
          <w:tcPr>
            <w:tcW w:w="647" w:type="pct"/>
            <w:vAlign w:val="center"/>
          </w:tcPr>
          <w:p w14:paraId="1124D7C2" w14:textId="77777777" w:rsidR="00733F61" w:rsidRPr="008348C0" w:rsidRDefault="00733F61" w:rsidP="00703CA8">
            <w:pPr>
              <w:pStyle w:val="TableText0"/>
              <w:keepLines/>
              <w:jc w:val="center"/>
              <w:rPr>
                <w:szCs w:val="20"/>
              </w:rPr>
            </w:pPr>
            <w:r w:rsidRPr="008348C0">
              <w:rPr>
                <w:szCs w:val="20"/>
              </w:rPr>
              <w:t>$0</w:t>
            </w:r>
          </w:p>
        </w:tc>
        <w:tc>
          <w:tcPr>
            <w:tcW w:w="647" w:type="pct"/>
            <w:vAlign w:val="center"/>
          </w:tcPr>
          <w:p w14:paraId="4D75F628" w14:textId="77777777" w:rsidR="00733F61" w:rsidRPr="008348C0" w:rsidRDefault="00733F61" w:rsidP="00703CA8">
            <w:pPr>
              <w:pStyle w:val="TableText0"/>
              <w:keepLines/>
              <w:jc w:val="center"/>
              <w:rPr>
                <w:szCs w:val="20"/>
              </w:rPr>
            </w:pPr>
            <w:r w:rsidRPr="008348C0">
              <w:rPr>
                <w:szCs w:val="20"/>
              </w:rPr>
              <w:t>$0</w:t>
            </w:r>
          </w:p>
        </w:tc>
        <w:tc>
          <w:tcPr>
            <w:tcW w:w="649" w:type="pct"/>
            <w:vAlign w:val="center"/>
          </w:tcPr>
          <w:p w14:paraId="41713DB7" w14:textId="77777777" w:rsidR="00733F61" w:rsidRPr="008348C0" w:rsidRDefault="00733F61" w:rsidP="00703CA8">
            <w:pPr>
              <w:pStyle w:val="TableText0"/>
              <w:keepLines/>
              <w:jc w:val="center"/>
              <w:rPr>
                <w:szCs w:val="20"/>
              </w:rPr>
            </w:pPr>
            <w:r w:rsidRPr="008348C0">
              <w:rPr>
                <w:szCs w:val="20"/>
              </w:rPr>
              <w:t>$0</w:t>
            </w:r>
          </w:p>
        </w:tc>
      </w:tr>
    </w:tbl>
    <w:p w14:paraId="6FB1E9BF" w14:textId="77777777" w:rsidR="00733F61" w:rsidRPr="0026039D" w:rsidRDefault="00733F61" w:rsidP="00703CA8">
      <w:pPr>
        <w:pStyle w:val="TableFigureFooter"/>
        <w:keepNext/>
        <w:keepLines/>
        <w:rPr>
          <w:b/>
        </w:rPr>
      </w:pPr>
      <w:r w:rsidRPr="0026039D">
        <w:t xml:space="preserve">Source: Table 4.8 and Table 4.15, Section 4 of the submission </w:t>
      </w:r>
    </w:p>
    <w:p w14:paraId="17613754" w14:textId="77777777" w:rsidR="00733F61" w:rsidRDefault="00733F61" w:rsidP="00703CA8">
      <w:pPr>
        <w:pStyle w:val="TableFigureFooter"/>
        <w:keepNext/>
        <w:keepLines/>
      </w:pPr>
      <w:r w:rsidRPr="0026039D">
        <w:rPr>
          <w:vertAlign w:val="superscript"/>
        </w:rPr>
        <w:t>a</w:t>
      </w:r>
      <w:r w:rsidRPr="0026039D">
        <w:t xml:space="preserve"> Assuming </w:t>
      </w:r>
      <w:r w:rsidR="007077FF">
        <w:rPr>
          <w:noProof/>
          <w:color w:val="000000"/>
          <w:highlight w:val="black"/>
        </w:rPr>
        <w:t>''''''''''''''</w:t>
      </w:r>
      <w:r w:rsidRPr="0026039D">
        <w:t xml:space="preserve"> scripts per patient as estimated by the submission. The submission assumed the full </w:t>
      </w:r>
      <w:r w:rsidR="007077FF">
        <w:rPr>
          <w:noProof/>
          <w:color w:val="000000"/>
          <w:highlight w:val="black"/>
        </w:rPr>
        <w:t>'''''''</w:t>
      </w:r>
      <w:r w:rsidRPr="0026039D">
        <w:t xml:space="preserve">-month treatment course would be dispensed in the first year of listing. This was incorrect. </w:t>
      </w:r>
    </w:p>
    <w:p w14:paraId="07945D92" w14:textId="6CCA8CF7" w:rsidR="003F47D3" w:rsidRPr="003F47D3" w:rsidRDefault="003F47D3" w:rsidP="00703CA8">
      <w:pPr>
        <w:pStyle w:val="TableFigureFooter"/>
        <w:keepNext/>
        <w:keepLines/>
        <w:rPr>
          <w:rFonts w:asciiTheme="minorHAnsi" w:hAnsiTheme="minorHAnsi" w:cstheme="minorHAnsi"/>
          <w:i/>
          <w:sz w:val="24"/>
          <w:szCs w:val="24"/>
        </w:rPr>
      </w:pPr>
      <w:r w:rsidRPr="003F47D3">
        <w:rPr>
          <w:rFonts w:asciiTheme="minorHAnsi" w:hAnsiTheme="minorHAnsi" w:cstheme="minorHAnsi"/>
          <w:i/>
          <w:sz w:val="24"/>
          <w:szCs w:val="24"/>
        </w:rPr>
        <w:t xml:space="preserve">The </w:t>
      </w:r>
      <w:r>
        <w:rPr>
          <w:rFonts w:asciiTheme="minorHAnsi" w:hAnsiTheme="minorHAnsi" w:cstheme="minorHAnsi"/>
          <w:i/>
          <w:sz w:val="24"/>
          <w:szCs w:val="24"/>
        </w:rPr>
        <w:t xml:space="preserve">redacted </w:t>
      </w:r>
      <w:r w:rsidRPr="003F47D3">
        <w:rPr>
          <w:rFonts w:asciiTheme="minorHAnsi" w:hAnsiTheme="minorHAnsi" w:cstheme="minorHAnsi"/>
          <w:i/>
          <w:sz w:val="24"/>
          <w:szCs w:val="24"/>
        </w:rPr>
        <w:t>table shows</w:t>
      </w:r>
      <w:r>
        <w:rPr>
          <w:rFonts w:asciiTheme="minorHAnsi" w:hAnsiTheme="minorHAnsi" w:cstheme="minorHAnsi"/>
          <w:i/>
          <w:sz w:val="24"/>
          <w:szCs w:val="24"/>
        </w:rPr>
        <w:t xml:space="preserve"> that at Year 6, the estimated number of patients was less than 10,000 patients, and the estimated number of scripts dispensed</w:t>
      </w:r>
      <w:r w:rsidR="0041158C">
        <w:rPr>
          <w:rFonts w:asciiTheme="minorHAnsi" w:hAnsiTheme="minorHAnsi" w:cstheme="minorHAnsi"/>
          <w:i/>
          <w:sz w:val="24"/>
          <w:szCs w:val="24"/>
        </w:rPr>
        <w:t xml:space="preserve"> was less than 10,000 scripts.</w:t>
      </w:r>
    </w:p>
    <w:p w14:paraId="61D66B86" w14:textId="77777777" w:rsidR="00733F61" w:rsidRPr="0026039D" w:rsidRDefault="00733F61" w:rsidP="00315F69">
      <w:pPr>
        <w:pStyle w:val="ListParagraph"/>
        <w:numPr>
          <w:ilvl w:val="1"/>
          <w:numId w:val="1"/>
        </w:numPr>
        <w:spacing w:after="160"/>
      </w:pPr>
      <w:r w:rsidRPr="0026039D">
        <w:t xml:space="preserve">The submission stated that all eligible patients are expected to be treated with crizotinib and there would be no increase in the market due to the PBS listing of entrectinib. </w:t>
      </w:r>
      <w:r w:rsidR="00B16DDE" w:rsidRPr="0026039D">
        <w:t>T</w:t>
      </w:r>
      <w:r w:rsidR="00CD0D87" w:rsidRPr="0026039D">
        <w:t>he ESC agreed</w:t>
      </w:r>
      <w:r w:rsidR="000961D7" w:rsidRPr="0026039D">
        <w:t xml:space="preserve"> with the submission</w:t>
      </w:r>
      <w:r w:rsidR="00E61B3F" w:rsidRPr="0026039D">
        <w:t xml:space="preserve"> </w:t>
      </w:r>
      <w:r w:rsidR="00B64290" w:rsidRPr="0026039D">
        <w:t xml:space="preserve">that </w:t>
      </w:r>
      <w:r w:rsidR="00BD4B1E" w:rsidRPr="0026039D">
        <w:t xml:space="preserve">no </w:t>
      </w:r>
      <w:r w:rsidR="0083746D" w:rsidRPr="0026039D">
        <w:t>market growth for</w:t>
      </w:r>
      <w:r w:rsidR="00E61B3F" w:rsidRPr="0026039D">
        <w:t xml:space="preserve"> ROS1 inhibitors</w:t>
      </w:r>
      <w:r w:rsidR="00BD4B1E" w:rsidRPr="0026039D">
        <w:t xml:space="preserve"> was expected with </w:t>
      </w:r>
      <w:r w:rsidR="00E61B3F" w:rsidRPr="0026039D">
        <w:t xml:space="preserve">the </w:t>
      </w:r>
      <w:r w:rsidR="00C23710" w:rsidRPr="0026039D">
        <w:t xml:space="preserve">addition </w:t>
      </w:r>
      <w:r w:rsidR="00E61B3F" w:rsidRPr="0026039D">
        <w:t>of entrectinib</w:t>
      </w:r>
      <w:r w:rsidR="00DB71EE" w:rsidRPr="0026039D">
        <w:t xml:space="preserve"> </w:t>
      </w:r>
      <w:r w:rsidR="00C23710" w:rsidRPr="0026039D">
        <w:t>on the PBS</w:t>
      </w:r>
      <w:r w:rsidR="00BD4B1E" w:rsidRPr="0026039D">
        <w:t xml:space="preserve">. </w:t>
      </w:r>
      <w:r w:rsidR="00B7736E" w:rsidRPr="0026039D">
        <w:t xml:space="preserve">However, the ESC noted that there may be a </w:t>
      </w:r>
      <w:r w:rsidR="00277EAE" w:rsidRPr="0026039D">
        <w:t>small increase in patient numbers if patients who were intolerant of crizotinib were treated with, and were tolerant of</w:t>
      </w:r>
      <w:r w:rsidR="002125CC">
        <w:t>,</w:t>
      </w:r>
      <w:r w:rsidR="00D242E2" w:rsidRPr="0026039D">
        <w:t xml:space="preserve"> </w:t>
      </w:r>
      <w:r w:rsidR="00277EAE" w:rsidRPr="0026039D">
        <w:t xml:space="preserve">entrectinib. </w:t>
      </w:r>
    </w:p>
    <w:p w14:paraId="79E7EA70" w14:textId="77777777" w:rsidR="00733F61" w:rsidRPr="0026039D" w:rsidRDefault="00733F61" w:rsidP="00315F69">
      <w:pPr>
        <w:pStyle w:val="ListParagraph"/>
        <w:numPr>
          <w:ilvl w:val="1"/>
          <w:numId w:val="1"/>
        </w:numPr>
        <w:spacing w:after="160"/>
      </w:pPr>
      <w:r w:rsidRPr="0026039D">
        <w:t xml:space="preserve">The submission estimated that </w:t>
      </w:r>
      <w:r w:rsidR="00F10304">
        <w:t>less than 10,000</w:t>
      </w:r>
      <w:r w:rsidR="00F10304" w:rsidRPr="0026039D">
        <w:t xml:space="preserve"> </w:t>
      </w:r>
      <w:r w:rsidRPr="0026039D">
        <w:t xml:space="preserve">patients on the access program </w:t>
      </w:r>
      <w:r w:rsidR="0082600A" w:rsidRPr="0026039D">
        <w:t>would</w:t>
      </w:r>
      <w:r w:rsidRPr="0026039D">
        <w:t xml:space="preserve"> be eligible for grandfathering under the proposed PBS restriction. The submission has appropriately treated these patients as current prevalent patients, eligible for crizotinib in the analysis.</w:t>
      </w:r>
    </w:p>
    <w:p w14:paraId="5119C711" w14:textId="77777777" w:rsidR="00116A80" w:rsidRPr="0026039D" w:rsidRDefault="00733F61" w:rsidP="00A775E5">
      <w:pPr>
        <w:pStyle w:val="ListParagraph"/>
        <w:numPr>
          <w:ilvl w:val="1"/>
          <w:numId w:val="1"/>
        </w:numPr>
        <w:spacing w:after="160"/>
      </w:pPr>
      <w:r w:rsidRPr="0026039D">
        <w:t xml:space="preserve">The submission estimated that there would be no additional cost to the PBS from the listing of entrectinib since the cost of entrectinib will be fully offset by the substituted cost of crizotinib. </w:t>
      </w:r>
      <w:r w:rsidR="000400D9" w:rsidRPr="0026039D">
        <w:t>T</w:t>
      </w:r>
      <w:r w:rsidR="0083746D" w:rsidRPr="0026039D">
        <w:t xml:space="preserve">he </w:t>
      </w:r>
      <w:r w:rsidR="005157A5" w:rsidRPr="0026039D">
        <w:t>PBAC</w:t>
      </w:r>
      <w:r w:rsidR="000B232D" w:rsidRPr="0026039D">
        <w:t xml:space="preserve"> </w:t>
      </w:r>
      <w:r w:rsidR="00681953" w:rsidRPr="0026039D">
        <w:t>considered that uncertainty around the</w:t>
      </w:r>
      <w:r w:rsidR="000400D9" w:rsidRPr="0026039D">
        <w:t xml:space="preserve"> assumption of the </w:t>
      </w:r>
      <w:r w:rsidR="00F5287B" w:rsidRPr="0026039D">
        <w:t>same duration</w:t>
      </w:r>
      <w:r w:rsidR="00681953" w:rsidRPr="0026039D">
        <w:t xml:space="preserve"> of treatment</w:t>
      </w:r>
      <w:r w:rsidR="000400D9" w:rsidRPr="0026039D">
        <w:t xml:space="preserve"> for entrectinib and crizotinib</w:t>
      </w:r>
      <w:r w:rsidR="00681953" w:rsidRPr="0026039D">
        <w:t xml:space="preserve"> is unlikely to</w:t>
      </w:r>
      <w:r w:rsidR="000400D9" w:rsidRPr="0026039D">
        <w:t xml:space="preserve"> have a significant</w:t>
      </w:r>
      <w:r w:rsidR="00681953" w:rsidRPr="0026039D">
        <w:t xml:space="preserve"> impact on the estimated financial implications of listing entrecti</w:t>
      </w:r>
      <w:r w:rsidR="002B44D9" w:rsidRPr="0026039D">
        <w:t>nib</w:t>
      </w:r>
      <w:r w:rsidR="00800FA7" w:rsidRPr="0026039D">
        <w:t xml:space="preserve"> given the small patient population</w:t>
      </w:r>
      <w:r w:rsidR="002B44D9" w:rsidRPr="0026039D">
        <w:t>.</w:t>
      </w:r>
      <w:r w:rsidR="0094054E" w:rsidRPr="0026039D">
        <w:t xml:space="preserve"> </w:t>
      </w:r>
      <w:bookmarkStart w:id="33" w:name="_Toc29387584"/>
      <w:bookmarkEnd w:id="2"/>
      <w:bookmarkEnd w:id="24"/>
    </w:p>
    <w:bookmarkEnd w:id="33"/>
    <w:p w14:paraId="64F6C518" w14:textId="77777777" w:rsidR="009C4D61" w:rsidRPr="0026039D" w:rsidRDefault="009C4D61" w:rsidP="009C4D61">
      <w:pPr>
        <w:pStyle w:val="3-BodyText"/>
        <w:numPr>
          <w:ilvl w:val="0"/>
          <w:numId w:val="0"/>
        </w:numPr>
        <w:spacing w:before="120"/>
        <w:ind w:left="720"/>
        <w:rPr>
          <w:i/>
          <w:iCs/>
        </w:rPr>
      </w:pPr>
      <w:r w:rsidRPr="0026039D">
        <w:rPr>
          <w:i/>
          <w:iCs/>
        </w:rPr>
        <w:t>For more detail on PBAC’s view, see section 7 PBAC outcome.</w:t>
      </w:r>
    </w:p>
    <w:p w14:paraId="69F41577" w14:textId="77777777" w:rsidR="00B9467B" w:rsidRPr="0026039D" w:rsidRDefault="00B9467B" w:rsidP="00B9467B">
      <w:pPr>
        <w:pStyle w:val="2-SectionHeading"/>
      </w:pPr>
      <w:r w:rsidRPr="0026039D">
        <w:t>PBAC Outcome</w:t>
      </w:r>
    </w:p>
    <w:p w14:paraId="53E857B6" w14:textId="77777777" w:rsidR="00A42F8F" w:rsidRPr="0026039D" w:rsidRDefault="00A42F8F" w:rsidP="00822134">
      <w:pPr>
        <w:widowControl w:val="0"/>
        <w:numPr>
          <w:ilvl w:val="1"/>
          <w:numId w:val="1"/>
        </w:numPr>
        <w:spacing w:after="120"/>
        <w:rPr>
          <w:rFonts w:asciiTheme="minorHAnsi" w:hAnsiTheme="minorHAnsi"/>
          <w:bCs/>
          <w:snapToGrid w:val="0"/>
        </w:rPr>
      </w:pPr>
      <w:r w:rsidRPr="0026039D">
        <w:rPr>
          <w:rFonts w:asciiTheme="minorHAnsi" w:hAnsiTheme="minorHAnsi"/>
          <w:bCs/>
          <w:snapToGrid w:val="0"/>
        </w:rPr>
        <w:t xml:space="preserve">The PBAC recommended the </w:t>
      </w:r>
      <w:r w:rsidR="00104E4F" w:rsidRPr="0026039D">
        <w:rPr>
          <w:rFonts w:asciiTheme="minorHAnsi" w:hAnsiTheme="minorHAnsi"/>
          <w:bCs/>
          <w:snapToGrid w:val="0"/>
        </w:rPr>
        <w:t xml:space="preserve">Authority Required </w:t>
      </w:r>
      <w:r w:rsidRPr="0026039D">
        <w:rPr>
          <w:rFonts w:asciiTheme="minorHAnsi" w:hAnsiTheme="minorHAnsi"/>
          <w:bCs/>
          <w:snapToGrid w:val="0"/>
        </w:rPr>
        <w:t xml:space="preserve">listing of </w:t>
      </w:r>
      <w:r w:rsidR="00104E4F" w:rsidRPr="0026039D">
        <w:rPr>
          <w:rFonts w:asciiTheme="minorHAnsi" w:hAnsiTheme="minorHAnsi"/>
          <w:bCs/>
          <w:snapToGrid w:val="0"/>
        </w:rPr>
        <w:t xml:space="preserve">entrectinib </w:t>
      </w:r>
      <w:r w:rsidR="00374555" w:rsidRPr="0026039D">
        <w:rPr>
          <w:rFonts w:asciiTheme="minorHAnsi" w:hAnsiTheme="minorHAnsi"/>
          <w:bCs/>
          <w:snapToGrid w:val="0"/>
        </w:rPr>
        <w:t xml:space="preserve">as monotherapy </w:t>
      </w:r>
      <w:r w:rsidR="00374555" w:rsidRPr="0026039D">
        <w:rPr>
          <w:lang w:eastAsia="en-US"/>
        </w:rPr>
        <w:t>for the treatment of patients with locally advanced (Stage IIIB) or metastatic (Stage IV) c-ros proto-oncogene 1 (ROS1)-positive non-squamous or not otherwise specified (NOS) non-small cell lung cancer (NSCLC)</w:t>
      </w:r>
      <w:r w:rsidRPr="0026039D">
        <w:rPr>
          <w:rFonts w:asciiTheme="minorHAnsi" w:hAnsiTheme="minorHAnsi"/>
          <w:bCs/>
          <w:snapToGrid w:val="0"/>
        </w:rPr>
        <w:t>.</w:t>
      </w:r>
      <w:r w:rsidR="00137D35" w:rsidRPr="0026039D">
        <w:rPr>
          <w:rFonts w:asciiTheme="minorHAnsi" w:hAnsiTheme="minorHAnsi"/>
          <w:bCs/>
          <w:snapToGrid w:val="0"/>
        </w:rPr>
        <w:t xml:space="preserve"> </w:t>
      </w:r>
      <w:r w:rsidRPr="0026039D">
        <w:rPr>
          <w:rFonts w:asciiTheme="minorHAnsi" w:hAnsiTheme="minorHAnsi"/>
          <w:bCs/>
          <w:snapToGrid w:val="0"/>
        </w:rPr>
        <w:t xml:space="preserve">The PBAC’s recommendation for listing was based on, among other matters, its assessment, that the cost-effectiveness of </w:t>
      </w:r>
      <w:r w:rsidR="00052522" w:rsidRPr="0026039D">
        <w:rPr>
          <w:rFonts w:asciiTheme="minorHAnsi" w:hAnsiTheme="minorHAnsi"/>
          <w:bCs/>
          <w:snapToGrid w:val="0"/>
        </w:rPr>
        <w:t xml:space="preserve">entrectinib </w:t>
      </w:r>
      <w:r w:rsidRPr="0026039D">
        <w:rPr>
          <w:rFonts w:asciiTheme="minorHAnsi" w:hAnsiTheme="minorHAnsi"/>
          <w:bCs/>
          <w:snapToGrid w:val="0"/>
        </w:rPr>
        <w:t xml:space="preserve">would be acceptable if it were cost-minimised against </w:t>
      </w:r>
      <w:r w:rsidR="00052522" w:rsidRPr="0026039D">
        <w:rPr>
          <w:rFonts w:asciiTheme="minorHAnsi" w:hAnsiTheme="minorHAnsi"/>
          <w:bCs/>
          <w:snapToGrid w:val="0"/>
        </w:rPr>
        <w:t>crizotinib</w:t>
      </w:r>
      <w:r w:rsidRPr="0026039D">
        <w:rPr>
          <w:rFonts w:asciiTheme="minorHAnsi" w:hAnsiTheme="minorHAnsi"/>
          <w:bCs/>
          <w:snapToGrid w:val="0"/>
        </w:rPr>
        <w:t>.</w:t>
      </w:r>
    </w:p>
    <w:p w14:paraId="1379C706" w14:textId="77777777" w:rsidR="001A514A" w:rsidRPr="0026039D" w:rsidRDefault="001A514A" w:rsidP="00A66C56">
      <w:pPr>
        <w:pStyle w:val="3-BodyText"/>
      </w:pPr>
      <w:r w:rsidRPr="0026039D">
        <w:lastRenderedPageBreak/>
        <w:t xml:space="preserve">The PBAC considered </w:t>
      </w:r>
      <w:r w:rsidR="00572A17" w:rsidRPr="0026039D">
        <w:t>there was a</w:t>
      </w:r>
      <w:r w:rsidRPr="0026039D">
        <w:t xml:space="preserve"> clinical need for</w:t>
      </w:r>
      <w:r w:rsidR="00A66C56" w:rsidRPr="0026039D">
        <w:t xml:space="preserve"> </w:t>
      </w:r>
      <w:r w:rsidR="00A66C56" w:rsidRPr="0026039D">
        <w:rPr>
          <w:bCs/>
        </w:rPr>
        <w:t>alternative treatment options for patients with ROS1-positive NSCLC, particularly for patients who are unsuitable or intolerant to crizotinib</w:t>
      </w:r>
      <w:r w:rsidR="0026039D">
        <w:rPr>
          <w:bCs/>
        </w:rPr>
        <w:t xml:space="preserve">. </w:t>
      </w:r>
    </w:p>
    <w:p w14:paraId="41D4E5DB" w14:textId="77777777" w:rsidR="00ED24BE" w:rsidRPr="0026039D" w:rsidRDefault="0023698F" w:rsidP="00B20A5E">
      <w:pPr>
        <w:pStyle w:val="ListParagraph"/>
        <w:widowControl w:val="0"/>
        <w:numPr>
          <w:ilvl w:val="1"/>
          <w:numId w:val="1"/>
        </w:numPr>
        <w:rPr>
          <w:bCs/>
        </w:rPr>
      </w:pPr>
      <w:r w:rsidRPr="0026039D">
        <w:rPr>
          <w:bCs/>
        </w:rPr>
        <w:t xml:space="preserve">The PBAC considered </w:t>
      </w:r>
      <w:r w:rsidR="009E534A" w:rsidRPr="0026039D">
        <w:rPr>
          <w:bCs/>
        </w:rPr>
        <w:t xml:space="preserve">it would be appropriate to restrict </w:t>
      </w:r>
      <w:r w:rsidRPr="0026039D">
        <w:rPr>
          <w:bCs/>
        </w:rPr>
        <w:t xml:space="preserve">entrectinib </w:t>
      </w:r>
      <w:r w:rsidR="006D3788" w:rsidRPr="0026039D">
        <w:rPr>
          <w:bCs/>
        </w:rPr>
        <w:t xml:space="preserve">to </w:t>
      </w:r>
      <w:r w:rsidR="00B0493F" w:rsidRPr="0026039D">
        <w:rPr>
          <w:bCs/>
        </w:rPr>
        <w:t xml:space="preserve">ROS1 </w:t>
      </w:r>
      <w:r w:rsidRPr="0026039D">
        <w:rPr>
          <w:bCs/>
        </w:rPr>
        <w:t>inhibitor naïve patients</w:t>
      </w:r>
      <w:r w:rsidR="006D3788" w:rsidRPr="0026039D">
        <w:rPr>
          <w:bCs/>
        </w:rPr>
        <w:t xml:space="preserve"> and patients who have developed intolerance to a ROS1-inhibitor given the</w:t>
      </w:r>
      <w:r w:rsidRPr="0026039D">
        <w:rPr>
          <w:bCs/>
        </w:rPr>
        <w:t xml:space="preserve"> </w:t>
      </w:r>
      <w:r w:rsidR="00B0493F" w:rsidRPr="0026039D">
        <w:rPr>
          <w:bCs/>
        </w:rPr>
        <w:t>evidence</w:t>
      </w:r>
      <w:r w:rsidR="009E534A" w:rsidRPr="0026039D">
        <w:rPr>
          <w:bCs/>
        </w:rPr>
        <w:t xml:space="preserve"> indicating a lack of response in patients who received previous treatment with a R</w:t>
      </w:r>
      <w:r w:rsidR="00B860BC">
        <w:rPr>
          <w:bCs/>
        </w:rPr>
        <w:t>OS1 inhibitor (see paragraph 3.3</w:t>
      </w:r>
      <w:r w:rsidR="009E534A" w:rsidRPr="0026039D">
        <w:rPr>
          <w:bCs/>
        </w:rPr>
        <w:t>). The</w:t>
      </w:r>
      <w:r w:rsidR="00B20A5E" w:rsidRPr="0026039D">
        <w:rPr>
          <w:bCs/>
        </w:rPr>
        <w:t xml:space="preserve"> PBAC</w:t>
      </w:r>
      <w:r w:rsidR="00D70085" w:rsidRPr="0026039D">
        <w:rPr>
          <w:bCs/>
        </w:rPr>
        <w:t xml:space="preserve"> noted there would also need to be flow-on restriction changes to the current listing for crizotinib </w:t>
      </w:r>
      <w:r w:rsidR="00B20A5E" w:rsidRPr="0026039D">
        <w:rPr>
          <w:bCs/>
        </w:rPr>
        <w:t xml:space="preserve">to restrict use </w:t>
      </w:r>
      <w:r w:rsidR="00D70085" w:rsidRPr="0026039D">
        <w:rPr>
          <w:bCs/>
        </w:rPr>
        <w:t>to</w:t>
      </w:r>
      <w:r w:rsidR="00B20A5E" w:rsidRPr="0026039D">
        <w:rPr>
          <w:bCs/>
        </w:rPr>
        <w:t xml:space="preserve"> patients who have not received treatment with a ROS1 inhibitor or patients who have experienced intolerance to previous treatment with a ROS1</w:t>
      </w:r>
      <w:r w:rsidR="00025180" w:rsidRPr="0026039D">
        <w:rPr>
          <w:bCs/>
        </w:rPr>
        <w:t xml:space="preserve"> </w:t>
      </w:r>
      <w:r w:rsidR="00D70085" w:rsidRPr="0026039D">
        <w:rPr>
          <w:bCs/>
        </w:rPr>
        <w:t>inhibitor</w:t>
      </w:r>
      <w:r w:rsidR="00B20A5E" w:rsidRPr="0026039D">
        <w:rPr>
          <w:bCs/>
        </w:rPr>
        <w:t xml:space="preserve">. </w:t>
      </w:r>
    </w:p>
    <w:p w14:paraId="1F82D0A3" w14:textId="77777777" w:rsidR="0023698F" w:rsidRPr="0026039D" w:rsidRDefault="00162B7B" w:rsidP="00D36D53">
      <w:pPr>
        <w:widowControl w:val="0"/>
        <w:numPr>
          <w:ilvl w:val="1"/>
          <w:numId w:val="1"/>
        </w:numPr>
        <w:spacing w:after="120"/>
        <w:rPr>
          <w:rFonts w:asciiTheme="minorHAnsi" w:hAnsiTheme="minorHAnsi"/>
          <w:bCs/>
          <w:snapToGrid w:val="0"/>
        </w:rPr>
      </w:pPr>
      <w:r w:rsidRPr="0026039D">
        <w:rPr>
          <w:rFonts w:asciiTheme="minorHAnsi" w:hAnsiTheme="minorHAnsi"/>
          <w:bCs/>
          <w:snapToGrid w:val="0"/>
        </w:rPr>
        <w:t>The PBAC considered crizotinib to be the appropriate comparator as nominated in the submission</w:t>
      </w:r>
      <w:r w:rsidR="00913845" w:rsidRPr="0026039D">
        <w:rPr>
          <w:rFonts w:asciiTheme="minorHAnsi" w:hAnsiTheme="minorHAnsi"/>
          <w:bCs/>
          <w:snapToGrid w:val="0"/>
        </w:rPr>
        <w:t>.</w:t>
      </w:r>
      <w:r w:rsidR="00076A64" w:rsidRPr="0026039D">
        <w:rPr>
          <w:rFonts w:asciiTheme="minorHAnsi" w:hAnsiTheme="minorHAnsi"/>
          <w:bCs/>
          <w:snapToGrid w:val="0"/>
        </w:rPr>
        <w:t xml:space="preserve"> </w:t>
      </w:r>
    </w:p>
    <w:p w14:paraId="788ABB07" w14:textId="77777777" w:rsidR="0023698F" w:rsidRPr="0026039D" w:rsidRDefault="00D52D9A" w:rsidP="00217977">
      <w:pPr>
        <w:widowControl w:val="0"/>
        <w:numPr>
          <w:ilvl w:val="1"/>
          <w:numId w:val="1"/>
        </w:numPr>
        <w:spacing w:after="120"/>
        <w:rPr>
          <w:rFonts w:asciiTheme="minorHAnsi" w:hAnsiTheme="minorHAnsi"/>
          <w:bCs/>
          <w:snapToGrid w:val="0"/>
        </w:rPr>
      </w:pPr>
      <w:r w:rsidRPr="0026039D">
        <w:t>The</w:t>
      </w:r>
      <w:r w:rsidR="00E73A21" w:rsidRPr="0026039D">
        <w:t xml:space="preserve"> PBAC noted the</w:t>
      </w:r>
      <w:r w:rsidRPr="0026039D">
        <w:t xml:space="preserve"> submission was </w:t>
      </w:r>
      <w:r w:rsidR="00E73A21" w:rsidRPr="0026039D">
        <w:t xml:space="preserve">based </w:t>
      </w:r>
      <w:r w:rsidRPr="0026039D">
        <w:t xml:space="preserve">on </w:t>
      </w:r>
      <w:r w:rsidR="00764335" w:rsidRPr="0026039D">
        <w:t>a naïve indirect comparison of pooled data</w:t>
      </w:r>
      <w:r w:rsidR="0053752D" w:rsidRPr="0026039D">
        <w:t xml:space="preserve"> (primary analysis set</w:t>
      </w:r>
      <w:r w:rsidR="00853065" w:rsidRPr="0026039D">
        <w:t>, PAS</w:t>
      </w:r>
      <w:r w:rsidR="0053752D" w:rsidRPr="0026039D">
        <w:t>)</w:t>
      </w:r>
      <w:r w:rsidR="00764335" w:rsidRPr="0026039D">
        <w:t xml:space="preserve"> </w:t>
      </w:r>
      <w:r w:rsidR="00735843" w:rsidRPr="0026039D">
        <w:t>for the</w:t>
      </w:r>
      <w:r w:rsidR="00764335" w:rsidRPr="0026039D">
        <w:t xml:space="preserve"> subgroup of</w:t>
      </w:r>
      <w:r w:rsidR="00735843" w:rsidRPr="0026039D">
        <w:t xml:space="preserve"> ROS1-positive NSCLC</w:t>
      </w:r>
      <w:r w:rsidR="00764335" w:rsidRPr="0026039D">
        <w:t xml:space="preserve"> patients </w:t>
      </w:r>
      <w:r w:rsidR="00A72E13" w:rsidRPr="0026039D">
        <w:t xml:space="preserve">(N=53) </w:t>
      </w:r>
      <w:r w:rsidR="00764335" w:rsidRPr="0026039D">
        <w:t>from three single arm</w:t>
      </w:r>
      <w:r w:rsidR="002F6724" w:rsidRPr="0026039D">
        <w:t xml:space="preserve"> entrectinib</w:t>
      </w:r>
      <w:r w:rsidR="00764335" w:rsidRPr="0026039D">
        <w:t xml:space="preserve"> studies (ALKA, STARTRK-1 and STARTRK-2) and four single arm crizotinib</w:t>
      </w:r>
      <w:r w:rsidR="00F61B70" w:rsidRPr="0026039D">
        <w:t xml:space="preserve"> studies</w:t>
      </w:r>
      <w:r w:rsidR="00CF2B92">
        <w:t>:</w:t>
      </w:r>
      <w:r w:rsidR="00764335" w:rsidRPr="0026039D">
        <w:t xml:space="preserve"> PROFILE 1001</w:t>
      </w:r>
      <w:r w:rsidR="00CF2B92">
        <w:t xml:space="preserve"> (N=53);</w:t>
      </w:r>
      <w:r w:rsidR="00764335" w:rsidRPr="0026039D">
        <w:t xml:space="preserve"> Wu 2018</w:t>
      </w:r>
      <w:r w:rsidR="00CF2B92">
        <w:t xml:space="preserve"> (N=127);</w:t>
      </w:r>
      <w:r w:rsidR="00764335" w:rsidRPr="0026039D">
        <w:t xml:space="preserve"> EUCROSS</w:t>
      </w:r>
      <w:r w:rsidR="00CF2B92">
        <w:t xml:space="preserve"> (N=34);</w:t>
      </w:r>
      <w:r w:rsidR="00764335" w:rsidRPr="0026039D">
        <w:t xml:space="preserve"> and METROS</w:t>
      </w:r>
      <w:r w:rsidR="00F243B6">
        <w:t xml:space="preserve"> </w:t>
      </w:r>
      <w:r w:rsidR="00CF2B92">
        <w:t>(N=26</w:t>
      </w:r>
      <w:r w:rsidR="00764335" w:rsidRPr="0026039D">
        <w:t>)</w:t>
      </w:r>
      <w:r w:rsidR="001F598A" w:rsidRPr="0026039D">
        <w:t>.</w:t>
      </w:r>
      <w:r w:rsidR="00D24B87" w:rsidRPr="0026039D">
        <w:t xml:space="preserve"> The PBAC noted</w:t>
      </w:r>
      <w:r w:rsidR="00C721B2" w:rsidRPr="0026039D">
        <w:t xml:space="preserve"> </w:t>
      </w:r>
      <w:r w:rsidR="00E56587" w:rsidRPr="0026039D">
        <w:t>it was difficult to interpret</w:t>
      </w:r>
      <w:r w:rsidR="00853065" w:rsidRPr="0026039D">
        <w:t xml:space="preserve"> evidence</w:t>
      </w:r>
      <w:r w:rsidR="00D24B87" w:rsidRPr="0026039D">
        <w:t xml:space="preserve"> </w:t>
      </w:r>
      <w:r w:rsidR="00C721B2" w:rsidRPr="0026039D">
        <w:t>g</w:t>
      </w:r>
      <w:r w:rsidR="004053FB" w:rsidRPr="0026039D">
        <w:t xml:space="preserve">iven the nature of </w:t>
      </w:r>
      <w:r w:rsidR="00FC6287" w:rsidRPr="0026039D">
        <w:t xml:space="preserve">a </w:t>
      </w:r>
      <w:r w:rsidR="004053FB" w:rsidRPr="0026039D">
        <w:t xml:space="preserve">naïve indirect comparison and </w:t>
      </w:r>
      <w:r w:rsidR="00C721B2" w:rsidRPr="0026039D">
        <w:t xml:space="preserve">considerable </w:t>
      </w:r>
      <w:r w:rsidR="004053FB" w:rsidRPr="0026039D">
        <w:t>heterogeneity across the single arm studies of entrectinib and crizotinib</w:t>
      </w:r>
      <w:r w:rsidR="00C721B2" w:rsidRPr="0026039D">
        <w:t xml:space="preserve"> (see</w:t>
      </w:r>
      <w:r w:rsidR="00AD45D2" w:rsidRPr="0026039D">
        <w:t xml:space="preserve"> paragraph 6.14</w:t>
      </w:r>
      <w:r w:rsidR="00C721B2" w:rsidRPr="0026039D">
        <w:t>)</w:t>
      </w:r>
      <w:r w:rsidR="0026039D">
        <w:rPr>
          <w:rFonts w:asciiTheme="minorHAnsi" w:hAnsiTheme="minorHAnsi"/>
          <w:bCs/>
          <w:snapToGrid w:val="0"/>
        </w:rPr>
        <w:t xml:space="preserve">. </w:t>
      </w:r>
      <w:r w:rsidR="0036046D" w:rsidRPr="0026039D">
        <w:rPr>
          <w:rFonts w:asciiTheme="minorHAnsi" w:hAnsiTheme="minorHAnsi"/>
          <w:bCs/>
          <w:snapToGrid w:val="0"/>
        </w:rPr>
        <w:t>However,</w:t>
      </w:r>
      <w:r w:rsidR="006E02B7" w:rsidRPr="0026039D">
        <w:rPr>
          <w:rFonts w:asciiTheme="minorHAnsi" w:hAnsiTheme="minorHAnsi"/>
          <w:bCs/>
          <w:snapToGrid w:val="0"/>
        </w:rPr>
        <w:t xml:space="preserve"> on balance, the</w:t>
      </w:r>
      <w:r w:rsidR="004053FB" w:rsidRPr="0026039D">
        <w:rPr>
          <w:rFonts w:asciiTheme="minorHAnsi" w:hAnsiTheme="minorHAnsi"/>
          <w:bCs/>
          <w:snapToGrid w:val="0"/>
        </w:rPr>
        <w:t xml:space="preserve"> PBAC considered </w:t>
      </w:r>
      <w:r w:rsidR="004053FB" w:rsidRPr="0026039D">
        <w:rPr>
          <w:rFonts w:asciiTheme="minorHAnsi" w:hAnsiTheme="minorHAnsi"/>
          <w:bCs/>
        </w:rPr>
        <w:t xml:space="preserve">it </w:t>
      </w:r>
      <w:r w:rsidR="006E02B7" w:rsidRPr="0026039D">
        <w:rPr>
          <w:rFonts w:asciiTheme="minorHAnsi" w:hAnsiTheme="minorHAnsi"/>
          <w:bCs/>
        </w:rPr>
        <w:t>w</w:t>
      </w:r>
      <w:r w:rsidR="00FE253A" w:rsidRPr="0026039D">
        <w:rPr>
          <w:rFonts w:asciiTheme="minorHAnsi" w:hAnsiTheme="minorHAnsi"/>
          <w:bCs/>
        </w:rPr>
        <w:t xml:space="preserve">ould be </w:t>
      </w:r>
      <w:r w:rsidR="006E02B7" w:rsidRPr="0026039D">
        <w:rPr>
          <w:rFonts w:asciiTheme="minorHAnsi" w:hAnsiTheme="minorHAnsi"/>
          <w:bCs/>
        </w:rPr>
        <w:t>reasonable</w:t>
      </w:r>
      <w:r w:rsidR="00D92EB6" w:rsidRPr="0026039D">
        <w:rPr>
          <w:rFonts w:asciiTheme="minorHAnsi" w:hAnsiTheme="minorHAnsi"/>
          <w:bCs/>
        </w:rPr>
        <w:t xml:space="preserve"> </w:t>
      </w:r>
      <w:r w:rsidR="004053FB" w:rsidRPr="0026039D">
        <w:rPr>
          <w:rFonts w:asciiTheme="minorHAnsi" w:hAnsiTheme="minorHAnsi"/>
          <w:bCs/>
        </w:rPr>
        <w:t xml:space="preserve">to conclude that entrectinib is non-inferior </w:t>
      </w:r>
      <w:r w:rsidR="00202D4A" w:rsidRPr="0026039D">
        <w:rPr>
          <w:rFonts w:asciiTheme="minorHAnsi" w:hAnsiTheme="minorHAnsi"/>
          <w:bCs/>
        </w:rPr>
        <w:t xml:space="preserve">to </w:t>
      </w:r>
      <w:r w:rsidR="004053FB" w:rsidRPr="0026039D">
        <w:rPr>
          <w:rFonts w:asciiTheme="minorHAnsi" w:hAnsiTheme="minorHAnsi"/>
          <w:bCs/>
        </w:rPr>
        <w:t>crizotinib in terms of efficacy</w:t>
      </w:r>
      <w:r w:rsidR="00B95F51" w:rsidRPr="0026039D">
        <w:rPr>
          <w:rFonts w:asciiTheme="minorHAnsi" w:hAnsiTheme="minorHAnsi"/>
          <w:bCs/>
        </w:rPr>
        <w:t xml:space="preserve"> noting the PFS and 12 month OS rate</w:t>
      </w:r>
      <w:r w:rsidR="006E1C21" w:rsidRPr="0026039D">
        <w:rPr>
          <w:rFonts w:asciiTheme="minorHAnsi" w:hAnsiTheme="minorHAnsi"/>
          <w:bCs/>
        </w:rPr>
        <w:t>s</w:t>
      </w:r>
      <w:r w:rsidR="00B95F51" w:rsidRPr="0026039D">
        <w:rPr>
          <w:rFonts w:asciiTheme="minorHAnsi" w:hAnsiTheme="minorHAnsi"/>
          <w:bCs/>
        </w:rPr>
        <w:t xml:space="preserve"> </w:t>
      </w:r>
      <w:r w:rsidR="000E4D25" w:rsidRPr="0026039D">
        <w:rPr>
          <w:rFonts w:asciiTheme="minorHAnsi" w:hAnsiTheme="minorHAnsi"/>
          <w:bCs/>
        </w:rPr>
        <w:t>were comparable</w:t>
      </w:r>
      <w:r w:rsidR="00B95F51" w:rsidRPr="0026039D">
        <w:rPr>
          <w:rFonts w:asciiTheme="minorHAnsi" w:hAnsiTheme="minorHAnsi"/>
          <w:bCs/>
        </w:rPr>
        <w:t xml:space="preserve"> across the entrectinib </w:t>
      </w:r>
      <w:r w:rsidR="00853065" w:rsidRPr="0026039D">
        <w:rPr>
          <w:rFonts w:asciiTheme="minorHAnsi" w:hAnsiTheme="minorHAnsi"/>
          <w:bCs/>
        </w:rPr>
        <w:t>PAS</w:t>
      </w:r>
      <w:r w:rsidR="0053752D" w:rsidRPr="0026039D">
        <w:rPr>
          <w:rFonts w:asciiTheme="minorHAnsi" w:hAnsiTheme="minorHAnsi"/>
          <w:bCs/>
        </w:rPr>
        <w:t xml:space="preserve"> and </w:t>
      </w:r>
      <w:r w:rsidR="00B95F51" w:rsidRPr="0026039D">
        <w:rPr>
          <w:rFonts w:asciiTheme="minorHAnsi" w:hAnsiTheme="minorHAnsi"/>
          <w:bCs/>
        </w:rPr>
        <w:t>crizotinib studies</w:t>
      </w:r>
      <w:r w:rsidR="004053FB" w:rsidRPr="0026039D">
        <w:rPr>
          <w:rFonts w:asciiTheme="minorHAnsi" w:hAnsiTheme="minorHAnsi"/>
          <w:bCs/>
        </w:rPr>
        <w:t>.</w:t>
      </w:r>
      <w:r w:rsidR="00E56587" w:rsidRPr="0026039D">
        <w:rPr>
          <w:rFonts w:asciiTheme="minorHAnsi" w:hAnsiTheme="minorHAnsi"/>
          <w:bCs/>
        </w:rPr>
        <w:t xml:space="preserve"> </w:t>
      </w:r>
      <w:r w:rsidR="00853065" w:rsidRPr="0026039D">
        <w:rPr>
          <w:rFonts w:asciiTheme="minorHAnsi" w:hAnsiTheme="minorHAnsi"/>
          <w:bCs/>
        </w:rPr>
        <w:t>The PBAC noted that while median OS had not been reached for the entrectinib</w:t>
      </w:r>
      <w:r w:rsidR="00F54F94" w:rsidRPr="0026039D">
        <w:rPr>
          <w:rFonts w:asciiTheme="minorHAnsi" w:hAnsiTheme="minorHAnsi"/>
          <w:bCs/>
        </w:rPr>
        <w:t xml:space="preserve"> PAS, the available data indicated </w:t>
      </w:r>
      <w:r w:rsidR="00FE253A" w:rsidRPr="0026039D">
        <w:rPr>
          <w:rFonts w:asciiTheme="minorHAnsi" w:hAnsiTheme="minorHAnsi"/>
          <w:bCs/>
        </w:rPr>
        <w:t xml:space="preserve">that the trajectory of the OS KM curve </w:t>
      </w:r>
      <w:r w:rsidR="003B65C9" w:rsidRPr="0026039D">
        <w:rPr>
          <w:rFonts w:asciiTheme="minorHAnsi" w:hAnsiTheme="minorHAnsi"/>
          <w:bCs/>
        </w:rPr>
        <w:t>for entrectinib PAS would be similar to that for the crizotinib studies</w:t>
      </w:r>
      <w:r w:rsidR="0026039D">
        <w:rPr>
          <w:rFonts w:asciiTheme="minorHAnsi" w:hAnsiTheme="minorHAnsi"/>
          <w:bCs/>
        </w:rPr>
        <w:t xml:space="preserve">. </w:t>
      </w:r>
      <w:r w:rsidR="003606BA" w:rsidRPr="0026039D">
        <w:rPr>
          <w:rFonts w:asciiTheme="minorHAnsi" w:hAnsiTheme="minorHAnsi"/>
          <w:bCs/>
        </w:rPr>
        <w:t xml:space="preserve">The PBAC considered </w:t>
      </w:r>
      <w:r w:rsidR="00853065" w:rsidRPr="0026039D">
        <w:rPr>
          <w:rFonts w:asciiTheme="minorHAnsi" w:hAnsiTheme="minorHAnsi"/>
          <w:bCs/>
        </w:rPr>
        <w:t>the available evidence</w:t>
      </w:r>
      <w:r w:rsidR="003606BA" w:rsidRPr="0026039D">
        <w:rPr>
          <w:rFonts w:asciiTheme="minorHAnsi" w:hAnsiTheme="minorHAnsi"/>
          <w:bCs/>
        </w:rPr>
        <w:t xml:space="preserve"> should be interpreted in the context of the rarity of the patient population</w:t>
      </w:r>
      <w:r w:rsidR="00B17050">
        <w:rPr>
          <w:rFonts w:asciiTheme="minorHAnsi" w:hAnsiTheme="minorHAnsi"/>
          <w:bCs/>
        </w:rPr>
        <w:t>,</w:t>
      </w:r>
      <w:r w:rsidR="003606BA" w:rsidRPr="0026039D">
        <w:rPr>
          <w:rFonts w:asciiTheme="minorHAnsi" w:hAnsiTheme="minorHAnsi"/>
          <w:bCs/>
        </w:rPr>
        <w:t xml:space="preserve"> and acknowledged that further data to inform a comparison between entrectinib and crizotinib was unlikely to be forthcoming. </w:t>
      </w:r>
    </w:p>
    <w:p w14:paraId="7D35F61F" w14:textId="77777777" w:rsidR="00E1485D" w:rsidRPr="0026039D" w:rsidRDefault="00E5600C" w:rsidP="00A66C56">
      <w:pPr>
        <w:pStyle w:val="3-BodyText"/>
      </w:pPr>
      <w:r w:rsidRPr="0026039D">
        <w:t xml:space="preserve">The PBAC noted </w:t>
      </w:r>
      <w:r w:rsidRPr="0026039D">
        <w:rPr>
          <w:bCs/>
        </w:rPr>
        <w:t xml:space="preserve">that CNS metastases are associated with poor prognosis in ROS1-positive NSCLC and that CNS penetration with crizotinib is generally poor. </w:t>
      </w:r>
      <w:r w:rsidR="00B330B6" w:rsidRPr="0026039D">
        <w:t>T</w:t>
      </w:r>
      <w:r w:rsidR="00E1485D" w:rsidRPr="0026039D">
        <w:t>he</w:t>
      </w:r>
      <w:r w:rsidR="00817410" w:rsidRPr="0026039D">
        <w:t xml:space="preserve"> PBAC noted</w:t>
      </w:r>
      <w:r w:rsidR="00500165" w:rsidRPr="0026039D">
        <w:t xml:space="preserve"> </w:t>
      </w:r>
      <w:r w:rsidR="00EB63C0" w:rsidRPr="0026039D">
        <w:t xml:space="preserve">that while the </w:t>
      </w:r>
      <w:r w:rsidR="00531858" w:rsidRPr="0026039D">
        <w:t>data</w:t>
      </w:r>
      <w:r w:rsidR="005335D6" w:rsidRPr="0026039D">
        <w:t xml:space="preserve"> presented </w:t>
      </w:r>
      <w:r w:rsidR="00531858" w:rsidRPr="0026039D">
        <w:t>indicated</w:t>
      </w:r>
      <w:r w:rsidR="00EB63C0" w:rsidRPr="0026039D">
        <w:t xml:space="preserve"> that entrec</w:t>
      </w:r>
      <w:r w:rsidR="00A66C56" w:rsidRPr="0026039D">
        <w:t>t</w:t>
      </w:r>
      <w:r w:rsidR="00EB63C0" w:rsidRPr="0026039D">
        <w:t xml:space="preserve">inib is clinically active in the CNS, </w:t>
      </w:r>
      <w:r w:rsidR="00531858" w:rsidRPr="0026039D">
        <w:t xml:space="preserve">there was insufficient evidence to determine whether </w:t>
      </w:r>
      <w:r w:rsidR="0057135D" w:rsidRPr="0026039D">
        <w:t>clinically meaningful improvement</w:t>
      </w:r>
      <w:r w:rsidR="00531858" w:rsidRPr="0026039D">
        <w:t>s</w:t>
      </w:r>
      <w:r w:rsidR="0057135D" w:rsidRPr="0026039D">
        <w:t xml:space="preserve"> in outcomes for patients with CNS metastases </w:t>
      </w:r>
      <w:r w:rsidR="00F27A54" w:rsidRPr="0026039D">
        <w:t>would result f</w:t>
      </w:r>
      <w:r w:rsidR="00805F6E" w:rsidRPr="0026039D">
        <w:t xml:space="preserve">rom treatment with entrectinib noting the number of patients with CNS metastases at baseline in the entrectinib PAS was </w:t>
      </w:r>
      <w:r w:rsidR="000F735A" w:rsidRPr="0026039D">
        <w:t>small</w:t>
      </w:r>
      <w:r w:rsidR="00805F6E" w:rsidRPr="0026039D">
        <w:t xml:space="preserve">. </w:t>
      </w:r>
    </w:p>
    <w:p w14:paraId="1A3009C3" w14:textId="77777777" w:rsidR="00240F19" w:rsidRPr="0026039D" w:rsidRDefault="00AC5B49" w:rsidP="009F04EC">
      <w:pPr>
        <w:widowControl w:val="0"/>
        <w:numPr>
          <w:ilvl w:val="1"/>
          <w:numId w:val="1"/>
        </w:numPr>
        <w:spacing w:after="120"/>
        <w:rPr>
          <w:rFonts w:asciiTheme="minorHAnsi" w:hAnsiTheme="minorHAnsi"/>
          <w:bCs/>
          <w:snapToGrid w:val="0"/>
        </w:rPr>
      </w:pPr>
      <w:r w:rsidRPr="0026039D">
        <w:rPr>
          <w:rFonts w:asciiTheme="minorHAnsi" w:hAnsiTheme="minorHAnsi"/>
          <w:bCs/>
          <w:snapToGrid w:val="0"/>
        </w:rPr>
        <w:t xml:space="preserve">The PBAC noted that entrectinib was associated with a numerically higher number of serious </w:t>
      </w:r>
      <w:r w:rsidR="00911B4B" w:rsidRPr="0026039D">
        <w:rPr>
          <w:rFonts w:asciiTheme="minorHAnsi" w:hAnsiTheme="minorHAnsi"/>
          <w:bCs/>
          <w:snapToGrid w:val="0"/>
        </w:rPr>
        <w:t xml:space="preserve">adverse events </w:t>
      </w:r>
      <w:r w:rsidRPr="0026039D">
        <w:rPr>
          <w:rFonts w:asciiTheme="minorHAnsi" w:hAnsiTheme="minorHAnsi"/>
          <w:bCs/>
          <w:snapToGrid w:val="0"/>
        </w:rPr>
        <w:t>compared with crizotinib</w:t>
      </w:r>
      <w:r w:rsidR="000A2EC5" w:rsidRPr="0026039D">
        <w:rPr>
          <w:rFonts w:asciiTheme="minorHAnsi" w:hAnsiTheme="minorHAnsi"/>
          <w:bCs/>
          <w:snapToGrid w:val="0"/>
        </w:rPr>
        <w:t xml:space="preserve">. </w:t>
      </w:r>
      <w:r w:rsidR="00797AB2" w:rsidRPr="0026039D">
        <w:rPr>
          <w:rFonts w:asciiTheme="minorHAnsi" w:hAnsiTheme="minorHAnsi"/>
          <w:bCs/>
          <w:snapToGrid w:val="0"/>
        </w:rPr>
        <w:t>However</w:t>
      </w:r>
      <w:r w:rsidR="001E6294" w:rsidRPr="0026039D">
        <w:rPr>
          <w:rFonts w:asciiTheme="minorHAnsi" w:hAnsiTheme="minorHAnsi"/>
          <w:bCs/>
          <w:snapToGrid w:val="0"/>
        </w:rPr>
        <w:t xml:space="preserve">, the PBAC </w:t>
      </w:r>
      <w:r w:rsidR="00AB3C30" w:rsidRPr="0026039D">
        <w:rPr>
          <w:rFonts w:asciiTheme="minorHAnsi" w:hAnsiTheme="minorHAnsi"/>
          <w:bCs/>
          <w:snapToGrid w:val="0"/>
        </w:rPr>
        <w:t>noted</w:t>
      </w:r>
      <w:r w:rsidR="007E72FA" w:rsidRPr="0026039D">
        <w:rPr>
          <w:rFonts w:asciiTheme="minorHAnsi" w:hAnsiTheme="minorHAnsi"/>
          <w:bCs/>
          <w:snapToGrid w:val="0"/>
        </w:rPr>
        <w:t xml:space="preserve"> </w:t>
      </w:r>
      <w:r w:rsidR="00B9131A" w:rsidRPr="0026039D">
        <w:rPr>
          <w:rFonts w:asciiTheme="minorHAnsi" w:hAnsiTheme="minorHAnsi"/>
          <w:bCs/>
          <w:snapToGrid w:val="0"/>
        </w:rPr>
        <w:t>that</w:t>
      </w:r>
      <w:r w:rsidR="007E72FA" w:rsidRPr="0026039D">
        <w:rPr>
          <w:rFonts w:asciiTheme="minorHAnsi" w:hAnsiTheme="minorHAnsi"/>
          <w:bCs/>
          <w:snapToGrid w:val="0"/>
        </w:rPr>
        <w:t xml:space="preserve"> drawing </w:t>
      </w:r>
      <w:r w:rsidR="003F63F4" w:rsidRPr="0026039D">
        <w:rPr>
          <w:rFonts w:asciiTheme="minorHAnsi" w:hAnsiTheme="minorHAnsi"/>
          <w:bCs/>
          <w:snapToGrid w:val="0"/>
        </w:rPr>
        <w:t>definitive</w:t>
      </w:r>
      <w:r w:rsidR="007E72FA" w:rsidRPr="0026039D">
        <w:rPr>
          <w:rFonts w:asciiTheme="minorHAnsi" w:hAnsiTheme="minorHAnsi"/>
          <w:bCs/>
          <w:snapToGrid w:val="0"/>
        </w:rPr>
        <w:t xml:space="preserve"> conclusions</w:t>
      </w:r>
      <w:r w:rsidR="007E38DF" w:rsidRPr="0026039D">
        <w:rPr>
          <w:rFonts w:asciiTheme="minorHAnsi" w:hAnsiTheme="minorHAnsi"/>
          <w:bCs/>
          <w:snapToGrid w:val="0"/>
        </w:rPr>
        <w:t xml:space="preserve"> regarding the comparative safety of entrectinib and crizotinib </w:t>
      </w:r>
      <w:r w:rsidR="00B9131A" w:rsidRPr="0026039D">
        <w:rPr>
          <w:rFonts w:asciiTheme="minorHAnsi" w:hAnsiTheme="minorHAnsi"/>
          <w:bCs/>
          <w:snapToGrid w:val="0"/>
        </w:rPr>
        <w:t xml:space="preserve">was difficult </w:t>
      </w:r>
      <w:r w:rsidR="007E38DF" w:rsidRPr="0026039D">
        <w:rPr>
          <w:rFonts w:asciiTheme="minorHAnsi" w:hAnsiTheme="minorHAnsi"/>
          <w:bCs/>
          <w:snapToGrid w:val="0"/>
        </w:rPr>
        <w:t>given the di</w:t>
      </w:r>
      <w:r w:rsidR="00B9131A" w:rsidRPr="0026039D">
        <w:rPr>
          <w:rFonts w:asciiTheme="minorHAnsi" w:hAnsiTheme="minorHAnsi"/>
          <w:bCs/>
          <w:snapToGrid w:val="0"/>
        </w:rPr>
        <w:t>fference in treatment durations,</w:t>
      </w:r>
      <w:r w:rsidR="008D4E4D">
        <w:rPr>
          <w:rFonts w:asciiTheme="minorHAnsi" w:hAnsiTheme="minorHAnsi"/>
          <w:bCs/>
          <w:snapToGrid w:val="0"/>
        </w:rPr>
        <w:t xml:space="preserve"> heterogeneity across the study populations,</w:t>
      </w:r>
      <w:r w:rsidR="00B9131A" w:rsidRPr="0026039D">
        <w:rPr>
          <w:rFonts w:asciiTheme="minorHAnsi" w:hAnsiTheme="minorHAnsi"/>
          <w:bCs/>
          <w:snapToGrid w:val="0"/>
        </w:rPr>
        <w:t xml:space="preserve"> </w:t>
      </w:r>
      <w:r w:rsidR="007E38DF" w:rsidRPr="0026039D">
        <w:rPr>
          <w:rFonts w:asciiTheme="minorHAnsi" w:hAnsiTheme="minorHAnsi"/>
          <w:bCs/>
          <w:snapToGrid w:val="0"/>
        </w:rPr>
        <w:t>issues around the attribution of causality of</w:t>
      </w:r>
      <w:r w:rsidR="003F63F4" w:rsidRPr="0026039D">
        <w:rPr>
          <w:rFonts w:asciiTheme="minorHAnsi" w:hAnsiTheme="minorHAnsi"/>
          <w:bCs/>
          <w:snapToGrid w:val="0"/>
        </w:rPr>
        <w:t xml:space="preserve"> adver</w:t>
      </w:r>
      <w:r w:rsidR="007E38DF" w:rsidRPr="0026039D">
        <w:rPr>
          <w:rFonts w:asciiTheme="minorHAnsi" w:hAnsiTheme="minorHAnsi"/>
          <w:bCs/>
          <w:snapToGrid w:val="0"/>
        </w:rPr>
        <w:t>s</w:t>
      </w:r>
      <w:r w:rsidR="003F63F4" w:rsidRPr="0026039D">
        <w:rPr>
          <w:rFonts w:asciiTheme="minorHAnsi" w:hAnsiTheme="minorHAnsi"/>
          <w:bCs/>
          <w:snapToGrid w:val="0"/>
        </w:rPr>
        <w:t>e events</w:t>
      </w:r>
      <w:r w:rsidR="007E38DF" w:rsidRPr="0026039D">
        <w:rPr>
          <w:rFonts w:asciiTheme="minorHAnsi" w:hAnsiTheme="minorHAnsi"/>
          <w:bCs/>
          <w:snapToGrid w:val="0"/>
        </w:rPr>
        <w:t xml:space="preserve"> (see paragraph</w:t>
      </w:r>
      <w:r w:rsidR="00B57358">
        <w:rPr>
          <w:rFonts w:asciiTheme="minorHAnsi" w:hAnsiTheme="minorHAnsi"/>
          <w:bCs/>
          <w:snapToGrid w:val="0"/>
        </w:rPr>
        <w:t xml:space="preserve"> 6.21</w:t>
      </w:r>
      <w:r w:rsidR="007E38DF" w:rsidRPr="0026039D">
        <w:rPr>
          <w:rFonts w:asciiTheme="minorHAnsi" w:hAnsiTheme="minorHAnsi"/>
          <w:bCs/>
          <w:snapToGrid w:val="0"/>
        </w:rPr>
        <w:t>)</w:t>
      </w:r>
      <w:r w:rsidR="00B9131A" w:rsidRPr="0026039D">
        <w:rPr>
          <w:rFonts w:asciiTheme="minorHAnsi" w:hAnsiTheme="minorHAnsi"/>
          <w:bCs/>
          <w:snapToGrid w:val="0"/>
        </w:rPr>
        <w:t xml:space="preserve"> and the different safety profiles of the two drugs</w:t>
      </w:r>
      <w:r w:rsidR="003F63F4" w:rsidRPr="0026039D">
        <w:rPr>
          <w:rFonts w:asciiTheme="minorHAnsi" w:hAnsiTheme="minorHAnsi"/>
          <w:bCs/>
          <w:snapToGrid w:val="0"/>
        </w:rPr>
        <w:t>.</w:t>
      </w:r>
      <w:r w:rsidR="00797AB2" w:rsidRPr="0026039D">
        <w:rPr>
          <w:rFonts w:asciiTheme="minorHAnsi" w:hAnsiTheme="minorHAnsi"/>
          <w:bCs/>
          <w:snapToGrid w:val="0"/>
        </w:rPr>
        <w:t xml:space="preserve"> </w:t>
      </w:r>
      <w:r w:rsidR="00B9131A" w:rsidRPr="0026039D">
        <w:rPr>
          <w:rFonts w:asciiTheme="minorHAnsi" w:hAnsiTheme="minorHAnsi"/>
          <w:bCs/>
          <w:snapToGrid w:val="0"/>
        </w:rPr>
        <w:t xml:space="preserve">Overall, </w:t>
      </w:r>
      <w:r w:rsidR="00240F19" w:rsidRPr="0026039D">
        <w:rPr>
          <w:rFonts w:asciiTheme="minorHAnsi" w:hAnsiTheme="minorHAnsi"/>
          <w:bCs/>
          <w:snapToGrid w:val="0"/>
        </w:rPr>
        <w:lastRenderedPageBreak/>
        <w:t xml:space="preserve">the PBAC </w:t>
      </w:r>
      <w:r w:rsidR="00AB3C30" w:rsidRPr="0026039D">
        <w:rPr>
          <w:rFonts w:asciiTheme="minorHAnsi" w:hAnsiTheme="minorHAnsi"/>
          <w:bCs/>
          <w:snapToGrid w:val="0"/>
        </w:rPr>
        <w:t>considered there</w:t>
      </w:r>
      <w:r w:rsidR="00240F19" w:rsidRPr="0026039D">
        <w:rPr>
          <w:rFonts w:asciiTheme="minorHAnsi" w:hAnsiTheme="minorHAnsi"/>
          <w:bCs/>
          <w:snapToGrid w:val="0"/>
        </w:rPr>
        <w:t xml:space="preserve"> are likely no substantive differences in safety </w:t>
      </w:r>
      <w:r w:rsidR="001E6294" w:rsidRPr="0026039D">
        <w:rPr>
          <w:rFonts w:asciiTheme="minorHAnsi" w:hAnsiTheme="minorHAnsi"/>
          <w:bCs/>
          <w:snapToGrid w:val="0"/>
        </w:rPr>
        <w:t xml:space="preserve">between </w:t>
      </w:r>
      <w:r w:rsidR="00B9131A" w:rsidRPr="0026039D">
        <w:rPr>
          <w:rFonts w:asciiTheme="minorHAnsi" w:hAnsiTheme="minorHAnsi"/>
          <w:bCs/>
          <w:snapToGrid w:val="0"/>
        </w:rPr>
        <w:t>entrectinib and crizotinib</w:t>
      </w:r>
      <w:r w:rsidR="001E6294" w:rsidRPr="0026039D">
        <w:rPr>
          <w:rFonts w:asciiTheme="minorHAnsi" w:hAnsiTheme="minorHAnsi"/>
          <w:bCs/>
          <w:snapToGrid w:val="0"/>
        </w:rPr>
        <w:t xml:space="preserve">. </w:t>
      </w:r>
    </w:p>
    <w:p w14:paraId="3FF3331D" w14:textId="77777777" w:rsidR="00C45985" w:rsidRPr="0026039D" w:rsidRDefault="00C45985" w:rsidP="00DA798E">
      <w:pPr>
        <w:pStyle w:val="ListParagraph"/>
        <w:widowControl w:val="0"/>
        <w:numPr>
          <w:ilvl w:val="1"/>
          <w:numId w:val="1"/>
        </w:numPr>
        <w:rPr>
          <w:bCs/>
          <w:iCs/>
        </w:rPr>
      </w:pPr>
      <w:r w:rsidRPr="0026039D">
        <w:rPr>
          <w:bCs/>
        </w:rPr>
        <w:t xml:space="preserve">The equi-effective doses </w:t>
      </w:r>
      <w:r w:rsidR="001709B9" w:rsidRPr="0026039D">
        <w:rPr>
          <w:bCs/>
        </w:rPr>
        <w:t xml:space="preserve">proposed in the submission </w:t>
      </w:r>
      <w:r w:rsidRPr="0026039D">
        <w:rPr>
          <w:bCs/>
        </w:rPr>
        <w:t xml:space="preserve">were entrectinib 600 mg </w:t>
      </w:r>
      <w:r w:rsidR="001709B9" w:rsidRPr="0026039D">
        <w:rPr>
          <w:bCs/>
        </w:rPr>
        <w:t xml:space="preserve">daily </w:t>
      </w:r>
      <w:r w:rsidRPr="0026039D">
        <w:rPr>
          <w:bCs/>
        </w:rPr>
        <w:t xml:space="preserve">and crizotinib 250 mg </w:t>
      </w:r>
      <w:r w:rsidR="001709B9" w:rsidRPr="0026039D">
        <w:rPr>
          <w:bCs/>
        </w:rPr>
        <w:t>twice daily</w:t>
      </w:r>
      <w:r w:rsidRPr="0026039D">
        <w:rPr>
          <w:bCs/>
        </w:rPr>
        <w:t xml:space="preserve">, based on </w:t>
      </w:r>
      <w:r w:rsidR="00403EB9" w:rsidRPr="0026039D">
        <w:t xml:space="preserve">a </w:t>
      </w:r>
      <w:r w:rsidRPr="0026039D">
        <w:t xml:space="preserve">claim of non-inferiority in terms of PFS between </w:t>
      </w:r>
      <w:r w:rsidR="006E1C21" w:rsidRPr="0026039D">
        <w:t xml:space="preserve">the </w:t>
      </w:r>
      <w:r w:rsidRPr="0026039D">
        <w:t>two drugs</w:t>
      </w:r>
      <w:r w:rsidR="00553142" w:rsidRPr="0026039D">
        <w:t xml:space="preserve"> and an assumption that the average duration of treatment with entrectinib would </w:t>
      </w:r>
      <w:r w:rsidR="00584374" w:rsidRPr="0026039D">
        <w:t xml:space="preserve">be </w:t>
      </w:r>
      <w:r w:rsidR="00553142" w:rsidRPr="0026039D">
        <w:t>the same as crizotinib</w:t>
      </w:r>
      <w:r w:rsidRPr="0026039D">
        <w:rPr>
          <w:bCs/>
        </w:rPr>
        <w:t xml:space="preserve">. </w:t>
      </w:r>
      <w:r w:rsidR="000E4D25">
        <w:rPr>
          <w:bCs/>
        </w:rPr>
        <w:t>T</w:t>
      </w:r>
      <w:r w:rsidRPr="0026039D">
        <w:rPr>
          <w:bCs/>
        </w:rPr>
        <w:t>he PBAC considered it was reasonable to</w:t>
      </w:r>
      <w:r w:rsidR="000C5AFB" w:rsidRPr="0026039D">
        <w:rPr>
          <w:bCs/>
        </w:rPr>
        <w:t xml:space="preserve"> assume that the average duration of treatment would be the same </w:t>
      </w:r>
      <w:r w:rsidR="00994F24" w:rsidRPr="0026039D">
        <w:rPr>
          <w:bCs/>
        </w:rPr>
        <w:t>for both drugs given the point estimates for median duration of treatment and PFS were similar between entrectinib and crizotinib. In this regard, the PBAC</w:t>
      </w:r>
      <w:r w:rsidRPr="0026039D">
        <w:rPr>
          <w:bCs/>
        </w:rPr>
        <w:t xml:space="preserve"> accept</w:t>
      </w:r>
      <w:r w:rsidR="00994F24" w:rsidRPr="0026039D">
        <w:rPr>
          <w:bCs/>
        </w:rPr>
        <w:t>ed</w:t>
      </w:r>
      <w:r w:rsidRPr="0026039D">
        <w:rPr>
          <w:bCs/>
        </w:rPr>
        <w:t xml:space="preserve"> the </w:t>
      </w:r>
      <w:r w:rsidR="008D2330" w:rsidRPr="0026039D">
        <w:rPr>
          <w:bCs/>
        </w:rPr>
        <w:t xml:space="preserve">equi-effective doses and </w:t>
      </w:r>
      <w:r w:rsidRPr="0026039D">
        <w:rPr>
          <w:bCs/>
        </w:rPr>
        <w:t>cost-minimisation approach taken in the submission</w:t>
      </w:r>
      <w:r w:rsidRPr="0026039D">
        <w:rPr>
          <w:color w:val="000000" w:themeColor="text1"/>
        </w:rPr>
        <w:t>.</w:t>
      </w:r>
    </w:p>
    <w:p w14:paraId="6FFCBEFE" w14:textId="77777777" w:rsidR="00A32694" w:rsidRPr="0026039D" w:rsidRDefault="00DB75B6" w:rsidP="00DB5D07">
      <w:pPr>
        <w:widowControl w:val="0"/>
        <w:numPr>
          <w:ilvl w:val="1"/>
          <w:numId w:val="1"/>
        </w:numPr>
        <w:spacing w:after="120"/>
        <w:rPr>
          <w:rFonts w:asciiTheme="minorHAnsi" w:hAnsiTheme="minorHAnsi"/>
          <w:bCs/>
          <w:snapToGrid w:val="0"/>
        </w:rPr>
      </w:pPr>
      <w:r w:rsidRPr="0026039D">
        <w:rPr>
          <w:iCs/>
        </w:rPr>
        <w:t xml:space="preserve">The </w:t>
      </w:r>
      <w:r w:rsidR="000E4D25" w:rsidRPr="0026039D">
        <w:rPr>
          <w:iCs/>
        </w:rPr>
        <w:t>PBAC noted</w:t>
      </w:r>
      <w:r w:rsidR="0080234D" w:rsidRPr="0026039D">
        <w:rPr>
          <w:iCs/>
        </w:rPr>
        <w:t xml:space="preserve"> that whether the listing of entrectinib on the PBS will be cost-neutral to government health budgets </w:t>
      </w:r>
      <w:r w:rsidR="0075126B" w:rsidRPr="0026039D">
        <w:rPr>
          <w:iCs/>
        </w:rPr>
        <w:t>is</w:t>
      </w:r>
      <w:r w:rsidR="0080234D" w:rsidRPr="0026039D">
        <w:rPr>
          <w:iCs/>
        </w:rPr>
        <w:t xml:space="preserve"> dependent on the assumption of the same average treatment duration for entrectinib and crizotinib.</w:t>
      </w:r>
      <w:r w:rsidR="0075126B" w:rsidRPr="0026039D">
        <w:rPr>
          <w:iCs/>
        </w:rPr>
        <w:t xml:space="preserve"> The PBAC considered that while there was some uncertainty around this assumption, any impact </w:t>
      </w:r>
      <w:r w:rsidR="00E0677C" w:rsidRPr="0026039D">
        <w:rPr>
          <w:iCs/>
        </w:rPr>
        <w:t>on</w:t>
      </w:r>
      <w:r w:rsidR="003E5253">
        <w:rPr>
          <w:iCs/>
        </w:rPr>
        <w:t xml:space="preserve"> the financial</w:t>
      </w:r>
      <w:r w:rsidR="0075126B" w:rsidRPr="0026039D">
        <w:rPr>
          <w:iCs/>
        </w:rPr>
        <w:t xml:space="preserve"> implications</w:t>
      </w:r>
      <w:r w:rsidR="00E0677C" w:rsidRPr="0026039D">
        <w:rPr>
          <w:iCs/>
        </w:rPr>
        <w:t xml:space="preserve"> of listing entrectinib</w:t>
      </w:r>
      <w:r w:rsidR="0075126B" w:rsidRPr="0026039D">
        <w:rPr>
          <w:iCs/>
        </w:rPr>
        <w:t xml:space="preserve"> would likely be minimal</w:t>
      </w:r>
      <w:r w:rsidR="00E0677C" w:rsidRPr="0026039D">
        <w:rPr>
          <w:iCs/>
        </w:rPr>
        <w:t xml:space="preserve"> given the rarity of the disease</w:t>
      </w:r>
      <w:r w:rsidR="0026039D">
        <w:rPr>
          <w:iCs/>
        </w:rPr>
        <w:t xml:space="preserve">. </w:t>
      </w:r>
      <w:r w:rsidR="00E0677C" w:rsidRPr="0026039D">
        <w:rPr>
          <w:iCs/>
        </w:rPr>
        <w:t xml:space="preserve">The PBAC considered that there </w:t>
      </w:r>
      <w:r w:rsidR="00ED6A33">
        <w:rPr>
          <w:iCs/>
        </w:rPr>
        <w:t>would</w:t>
      </w:r>
      <w:r w:rsidR="00E0677C" w:rsidRPr="0026039D">
        <w:rPr>
          <w:iCs/>
        </w:rPr>
        <w:t xml:space="preserve"> </w:t>
      </w:r>
      <w:r w:rsidR="00ED6A33">
        <w:rPr>
          <w:iCs/>
        </w:rPr>
        <w:t>likely be negligible market growth</w:t>
      </w:r>
      <w:r w:rsidR="00E0677C" w:rsidRPr="0026039D">
        <w:rPr>
          <w:iCs/>
        </w:rPr>
        <w:t xml:space="preserve"> </w:t>
      </w:r>
      <w:r w:rsidR="00ED6A33">
        <w:rPr>
          <w:iCs/>
        </w:rPr>
        <w:t xml:space="preserve">from the PBS listing of entrectinib. </w:t>
      </w:r>
    </w:p>
    <w:p w14:paraId="4E37FFD9" w14:textId="77777777" w:rsidR="004C53EE" w:rsidRPr="0026039D" w:rsidRDefault="00576CD0" w:rsidP="00307A9C">
      <w:pPr>
        <w:widowControl w:val="0"/>
        <w:numPr>
          <w:ilvl w:val="1"/>
          <w:numId w:val="1"/>
        </w:numPr>
        <w:spacing w:after="120"/>
        <w:rPr>
          <w:rFonts w:asciiTheme="minorHAnsi" w:hAnsiTheme="minorHAnsi"/>
          <w:bCs/>
          <w:snapToGrid w:val="0"/>
        </w:rPr>
      </w:pPr>
      <w:r w:rsidRPr="0026039D">
        <w:rPr>
          <w:rFonts w:asciiTheme="minorHAnsi" w:hAnsiTheme="minorHAnsi"/>
          <w:bCs/>
          <w:snapToGrid w:val="0"/>
        </w:rPr>
        <w:t xml:space="preserve">The PBAC recalled </w:t>
      </w:r>
      <w:r w:rsidR="00FB05EF" w:rsidRPr="0026039D">
        <w:rPr>
          <w:rFonts w:asciiTheme="minorHAnsi" w:hAnsiTheme="minorHAnsi"/>
          <w:bCs/>
          <w:snapToGrid w:val="0"/>
        </w:rPr>
        <w:t>its November 2019 recommendation to</w:t>
      </w:r>
      <w:r w:rsidR="004C53EE" w:rsidRPr="0026039D">
        <w:rPr>
          <w:rFonts w:asciiTheme="minorHAnsi" w:hAnsiTheme="minorHAnsi"/>
          <w:bCs/>
          <w:snapToGrid w:val="0"/>
        </w:rPr>
        <w:t xml:space="preserve"> increase </w:t>
      </w:r>
      <w:r w:rsidR="001C7B32" w:rsidRPr="0026039D">
        <w:rPr>
          <w:rFonts w:asciiTheme="minorHAnsi" w:hAnsiTheme="minorHAnsi"/>
          <w:bCs/>
          <w:snapToGrid w:val="0"/>
        </w:rPr>
        <w:t xml:space="preserve">the number of repeats for </w:t>
      </w:r>
      <w:r w:rsidR="004C53EE" w:rsidRPr="0026039D">
        <w:rPr>
          <w:rFonts w:asciiTheme="minorHAnsi" w:hAnsiTheme="minorHAnsi"/>
          <w:bCs/>
          <w:snapToGrid w:val="0"/>
        </w:rPr>
        <w:t>alectinib, ceritinib and crizotinib from 1 to 3 in both initial and continuing treatment phases (</w:t>
      </w:r>
      <w:r w:rsidR="001C7B32" w:rsidRPr="0026039D">
        <w:rPr>
          <w:rFonts w:asciiTheme="minorHAnsi" w:hAnsiTheme="minorHAnsi"/>
          <w:bCs/>
          <w:snapToGrid w:val="0"/>
        </w:rPr>
        <w:t>paragraph 4.1, alectinib</w:t>
      </w:r>
      <w:r w:rsidR="00D242E2" w:rsidRPr="0026039D">
        <w:rPr>
          <w:rFonts w:asciiTheme="minorHAnsi" w:hAnsiTheme="minorHAnsi"/>
          <w:bCs/>
          <w:snapToGrid w:val="0"/>
        </w:rPr>
        <w:t xml:space="preserve"> and crizotinib</w:t>
      </w:r>
      <w:r w:rsidR="001C7B32" w:rsidRPr="0026039D">
        <w:rPr>
          <w:rFonts w:asciiTheme="minorHAnsi" w:hAnsiTheme="minorHAnsi"/>
          <w:bCs/>
          <w:snapToGrid w:val="0"/>
        </w:rPr>
        <w:t xml:space="preserve"> PSD, </w:t>
      </w:r>
      <w:r w:rsidR="00FB477B" w:rsidRPr="0026039D">
        <w:rPr>
          <w:rFonts w:asciiTheme="minorHAnsi" w:hAnsiTheme="minorHAnsi"/>
          <w:bCs/>
          <w:snapToGrid w:val="0"/>
        </w:rPr>
        <w:t>November</w:t>
      </w:r>
      <w:r w:rsidR="001C7B32" w:rsidRPr="0026039D">
        <w:rPr>
          <w:rFonts w:asciiTheme="minorHAnsi" w:hAnsiTheme="minorHAnsi"/>
          <w:bCs/>
          <w:snapToGrid w:val="0"/>
        </w:rPr>
        <w:t xml:space="preserve"> </w:t>
      </w:r>
      <w:r w:rsidR="004C53EE" w:rsidRPr="0026039D">
        <w:rPr>
          <w:rFonts w:asciiTheme="minorHAnsi" w:hAnsiTheme="minorHAnsi"/>
          <w:bCs/>
          <w:snapToGrid w:val="0"/>
        </w:rPr>
        <w:t>2019). The PBAC considered th</w:t>
      </w:r>
      <w:r w:rsidR="00307A9C" w:rsidRPr="0026039D">
        <w:rPr>
          <w:rFonts w:asciiTheme="minorHAnsi" w:hAnsiTheme="minorHAnsi"/>
          <w:bCs/>
          <w:snapToGrid w:val="0"/>
        </w:rPr>
        <w:t>is</w:t>
      </w:r>
      <w:r w:rsidR="004C53EE" w:rsidRPr="0026039D">
        <w:rPr>
          <w:rFonts w:asciiTheme="minorHAnsi" w:hAnsiTheme="minorHAnsi"/>
          <w:bCs/>
          <w:snapToGrid w:val="0"/>
        </w:rPr>
        <w:t xml:space="preserve"> change</w:t>
      </w:r>
      <w:r w:rsidR="00D242E2" w:rsidRPr="0026039D">
        <w:rPr>
          <w:rFonts w:asciiTheme="minorHAnsi" w:hAnsiTheme="minorHAnsi"/>
          <w:bCs/>
          <w:snapToGrid w:val="0"/>
        </w:rPr>
        <w:t xml:space="preserve"> should</w:t>
      </w:r>
      <w:r w:rsidR="004C53EE" w:rsidRPr="0026039D">
        <w:rPr>
          <w:rFonts w:asciiTheme="minorHAnsi" w:hAnsiTheme="minorHAnsi"/>
          <w:bCs/>
          <w:snapToGrid w:val="0"/>
        </w:rPr>
        <w:t xml:space="preserve"> be applied to all </w:t>
      </w:r>
      <w:r w:rsidR="0064496F" w:rsidRPr="0026039D">
        <w:t xml:space="preserve">tyrosine kinase inhibitors </w:t>
      </w:r>
      <w:r w:rsidR="004C53EE" w:rsidRPr="0026039D">
        <w:rPr>
          <w:rFonts w:asciiTheme="minorHAnsi" w:hAnsiTheme="minorHAnsi"/>
          <w:bCs/>
          <w:snapToGrid w:val="0"/>
        </w:rPr>
        <w:t xml:space="preserve">including entrectinib for consistency. </w:t>
      </w:r>
    </w:p>
    <w:p w14:paraId="555EFF1F" w14:textId="77777777" w:rsidR="00851319" w:rsidRPr="0026039D" w:rsidRDefault="00851319" w:rsidP="00307A9C">
      <w:pPr>
        <w:widowControl w:val="0"/>
        <w:numPr>
          <w:ilvl w:val="1"/>
          <w:numId w:val="1"/>
        </w:numPr>
        <w:spacing w:after="120"/>
        <w:rPr>
          <w:rFonts w:asciiTheme="minorHAnsi" w:hAnsiTheme="minorHAnsi"/>
          <w:bCs/>
          <w:snapToGrid w:val="0"/>
        </w:rPr>
      </w:pPr>
      <w:r w:rsidRPr="0026039D">
        <w:rPr>
          <w:rFonts w:asciiTheme="minorHAnsi" w:hAnsiTheme="minorHAnsi"/>
          <w:bCs/>
          <w:snapToGrid w:val="0"/>
        </w:rPr>
        <w:t>The PBAC recommended</w:t>
      </w:r>
      <w:r w:rsidR="002747AD">
        <w:rPr>
          <w:rFonts w:asciiTheme="minorHAnsi" w:hAnsiTheme="minorHAnsi"/>
          <w:bCs/>
          <w:snapToGrid w:val="0"/>
        </w:rPr>
        <w:t xml:space="preserve"> that a grandfather listing be in place for a period of 12 months to transition approximately </w:t>
      </w:r>
      <w:r w:rsidR="001E6C3F">
        <w:rPr>
          <w:rFonts w:asciiTheme="minorHAnsi" w:hAnsiTheme="minorHAnsi"/>
          <w:bCs/>
          <w:snapToGrid w:val="0"/>
        </w:rPr>
        <w:t xml:space="preserve">less than 10,000 </w:t>
      </w:r>
      <w:r w:rsidR="002747AD">
        <w:rPr>
          <w:rFonts w:asciiTheme="minorHAnsi" w:hAnsiTheme="minorHAnsi"/>
          <w:bCs/>
          <w:snapToGrid w:val="0"/>
        </w:rPr>
        <w:t xml:space="preserve">patients from clinical trials and compassionate access programmes to PBS-subsidised use. </w:t>
      </w:r>
    </w:p>
    <w:p w14:paraId="386E398E" w14:textId="77777777" w:rsidR="00AE395B" w:rsidRPr="0026039D" w:rsidRDefault="00AE395B" w:rsidP="00AE395B">
      <w:pPr>
        <w:numPr>
          <w:ilvl w:val="1"/>
          <w:numId w:val="1"/>
        </w:numPr>
        <w:spacing w:after="120"/>
        <w:rPr>
          <w:rFonts w:asciiTheme="minorHAnsi" w:hAnsiTheme="minorHAnsi"/>
          <w:bCs/>
        </w:rPr>
      </w:pPr>
      <w:r w:rsidRPr="0026039D">
        <w:rPr>
          <w:rFonts w:asciiTheme="minorHAnsi" w:hAnsiTheme="minorHAnsi"/>
          <w:bCs/>
        </w:rPr>
        <w:t xml:space="preserve">The PBAC advised that under Section 101(3BA) of the </w:t>
      </w:r>
      <w:r w:rsidRPr="0026039D">
        <w:rPr>
          <w:rFonts w:asciiTheme="minorHAnsi" w:hAnsiTheme="minorHAnsi"/>
          <w:bCs/>
          <w:i/>
        </w:rPr>
        <w:t>National Health Act 1953</w:t>
      </w:r>
      <w:r w:rsidRPr="0026039D">
        <w:rPr>
          <w:rFonts w:asciiTheme="minorHAnsi" w:hAnsiTheme="minorHAnsi"/>
          <w:bCs/>
        </w:rPr>
        <w:t xml:space="preserve"> entrectinib should not be treated as interchangeable with any other drugs on an individual patient basis. </w:t>
      </w:r>
    </w:p>
    <w:p w14:paraId="77A2C8A3" w14:textId="77777777" w:rsidR="00AE395B" w:rsidRPr="0026039D" w:rsidRDefault="00AE395B" w:rsidP="00AE395B">
      <w:pPr>
        <w:numPr>
          <w:ilvl w:val="1"/>
          <w:numId w:val="1"/>
        </w:numPr>
        <w:spacing w:after="120"/>
        <w:rPr>
          <w:rFonts w:asciiTheme="minorHAnsi" w:hAnsiTheme="minorHAnsi"/>
          <w:bCs/>
        </w:rPr>
      </w:pPr>
      <w:r w:rsidRPr="0026039D">
        <w:rPr>
          <w:rFonts w:asciiTheme="minorHAnsi" w:hAnsiTheme="minorHAnsi"/>
          <w:bCs/>
        </w:rPr>
        <w:t>The PBAC advised that entrectinib is not suitable for prescribing by nurse practitioners.</w:t>
      </w:r>
    </w:p>
    <w:p w14:paraId="3AF7FD11" w14:textId="77777777" w:rsidR="00AE395B" w:rsidRPr="0026039D" w:rsidRDefault="00AE395B" w:rsidP="00AE395B">
      <w:pPr>
        <w:numPr>
          <w:ilvl w:val="1"/>
          <w:numId w:val="1"/>
        </w:numPr>
        <w:spacing w:after="120"/>
        <w:rPr>
          <w:rFonts w:asciiTheme="minorHAnsi" w:hAnsiTheme="minorHAnsi"/>
          <w:bCs/>
        </w:rPr>
      </w:pPr>
      <w:r w:rsidRPr="0026039D">
        <w:rPr>
          <w:rFonts w:asciiTheme="minorHAnsi" w:hAnsiTheme="minorHAnsi"/>
          <w:bCs/>
        </w:rPr>
        <w:t xml:space="preserve">The PBAC recommended that the Early Supply Rule should not apply. </w:t>
      </w:r>
    </w:p>
    <w:p w14:paraId="56B445B9" w14:textId="77777777" w:rsidR="00AE395B" w:rsidRPr="0026039D" w:rsidRDefault="00AE395B" w:rsidP="00AE395B">
      <w:pPr>
        <w:numPr>
          <w:ilvl w:val="1"/>
          <w:numId w:val="1"/>
        </w:numPr>
        <w:spacing w:after="120"/>
        <w:rPr>
          <w:rFonts w:asciiTheme="minorHAnsi" w:hAnsiTheme="minorHAnsi"/>
          <w:bCs/>
        </w:rPr>
      </w:pPr>
      <w:r w:rsidRPr="0026039D">
        <w:rPr>
          <w:rFonts w:asciiTheme="minorHAnsi" w:hAnsiTheme="minorHAnsi"/>
          <w:bCs/>
        </w:rPr>
        <w:t xml:space="preserve">The PBAC noted that its recommendation was on a cost-minimisation basis and advised that, because entrectinib is not expected to provide a substantial and clinically relevant improvement in efficacy, or reduction of toxicity, over crizotinib, or not expected to address a high and urgent unmet clinical need given the presence of an alternative therapy, the criteria prescribed by </w:t>
      </w:r>
      <w:r w:rsidRPr="0026039D">
        <w:rPr>
          <w:rFonts w:asciiTheme="minorHAnsi" w:hAnsiTheme="minorHAnsi"/>
          <w:bCs/>
          <w:i/>
          <w:iCs/>
        </w:rPr>
        <w:t>the National Health (Pharmaceuticals and Vaccines – Cost Recovery) Regulations 2009</w:t>
      </w:r>
      <w:r w:rsidRPr="0026039D">
        <w:rPr>
          <w:rFonts w:asciiTheme="minorHAnsi" w:hAnsiTheme="minorHAnsi"/>
          <w:bCs/>
        </w:rPr>
        <w:t xml:space="preserve"> for Pricing Pathway A were not met. </w:t>
      </w:r>
    </w:p>
    <w:p w14:paraId="5CE3AE29" w14:textId="77777777" w:rsidR="00AE395B" w:rsidRPr="0026039D" w:rsidRDefault="00AE395B" w:rsidP="00AE395B">
      <w:pPr>
        <w:numPr>
          <w:ilvl w:val="1"/>
          <w:numId w:val="1"/>
        </w:numPr>
        <w:spacing w:after="120"/>
        <w:rPr>
          <w:rFonts w:asciiTheme="minorHAnsi" w:hAnsiTheme="minorHAnsi"/>
          <w:bCs/>
        </w:rPr>
      </w:pPr>
      <w:r w:rsidRPr="0026039D">
        <w:rPr>
          <w:rFonts w:asciiTheme="minorHAnsi" w:hAnsiTheme="minorHAnsi"/>
          <w:bCs/>
        </w:rPr>
        <w:t>The PBAC advised that this submission is not eligible for an Independent Review as it received a positive recommendation.</w:t>
      </w:r>
    </w:p>
    <w:p w14:paraId="259D4093" w14:textId="77777777" w:rsidR="00CC2398" w:rsidRDefault="00CC2398" w:rsidP="00B9467B">
      <w:pPr>
        <w:spacing w:before="240"/>
        <w:rPr>
          <w:rFonts w:asciiTheme="minorHAnsi" w:hAnsiTheme="minorHAnsi"/>
          <w:b/>
          <w:bCs/>
          <w:snapToGrid w:val="0"/>
        </w:rPr>
      </w:pPr>
    </w:p>
    <w:p w14:paraId="1CC30D8A" w14:textId="77777777" w:rsidR="00B9467B" w:rsidRPr="0026039D" w:rsidRDefault="00B9467B" w:rsidP="00B9467B">
      <w:pPr>
        <w:spacing w:before="240"/>
        <w:rPr>
          <w:rFonts w:asciiTheme="minorHAnsi" w:hAnsiTheme="minorHAnsi"/>
          <w:b/>
          <w:bCs/>
          <w:snapToGrid w:val="0"/>
        </w:rPr>
      </w:pPr>
      <w:r w:rsidRPr="0026039D">
        <w:rPr>
          <w:rFonts w:asciiTheme="minorHAnsi" w:hAnsiTheme="minorHAnsi"/>
          <w:b/>
          <w:bCs/>
          <w:snapToGrid w:val="0"/>
        </w:rPr>
        <w:lastRenderedPageBreak/>
        <w:t>Outcome:</w:t>
      </w:r>
    </w:p>
    <w:p w14:paraId="01EB1B36" w14:textId="77777777" w:rsidR="00B9467B" w:rsidRPr="002D1D30" w:rsidRDefault="00B9467B" w:rsidP="002D1D30">
      <w:pPr>
        <w:rPr>
          <w:rFonts w:asciiTheme="minorHAnsi" w:hAnsiTheme="minorHAnsi"/>
          <w:bCs/>
          <w:snapToGrid w:val="0"/>
        </w:rPr>
      </w:pPr>
      <w:r w:rsidRPr="0026039D">
        <w:rPr>
          <w:rFonts w:asciiTheme="minorHAnsi" w:hAnsiTheme="minorHAnsi"/>
          <w:bCs/>
          <w:snapToGrid w:val="0"/>
        </w:rPr>
        <w:t xml:space="preserve">Recommended </w:t>
      </w:r>
    </w:p>
    <w:p w14:paraId="337FA34F" w14:textId="77777777" w:rsidR="00307A9C" w:rsidRPr="0026039D" w:rsidRDefault="00307A9C" w:rsidP="00307A9C">
      <w:pPr>
        <w:pStyle w:val="2-SectionHeading"/>
      </w:pPr>
      <w:r w:rsidRPr="0026039D">
        <w:t>Recommended listing</w:t>
      </w:r>
    </w:p>
    <w:p w14:paraId="42A8EC7C" w14:textId="77777777" w:rsidR="00593484" w:rsidRPr="004A0C3C" w:rsidRDefault="0092460B" w:rsidP="008348C0">
      <w:pPr>
        <w:pStyle w:val="3-BodyText"/>
        <w:rPr>
          <w:rFonts w:eastAsia="Calibri"/>
          <w:lang w:eastAsia="en-US"/>
        </w:rPr>
      </w:pPr>
      <w:r w:rsidRPr="0026039D">
        <w:rPr>
          <w:bCs/>
          <w:szCs w:val="22"/>
          <w:lang w:eastAsia="en-US"/>
        </w:rPr>
        <w:t>Add</w:t>
      </w:r>
      <w:r w:rsidRPr="0026039D">
        <w:rPr>
          <w:rFonts w:eastAsia="Calibri"/>
          <w:lang w:eastAsia="en-US"/>
        </w:rPr>
        <w:t xml:space="preserve"> new item as follows: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3"/>
        <w:gridCol w:w="1248"/>
        <w:gridCol w:w="833"/>
        <w:gridCol w:w="833"/>
        <w:gridCol w:w="694"/>
        <w:gridCol w:w="985"/>
        <w:gridCol w:w="1791"/>
      </w:tblGrid>
      <w:tr w:rsidR="0092460B" w:rsidRPr="002D1D30" w14:paraId="4E919E5E" w14:textId="77777777" w:rsidTr="004A0C3C">
        <w:trPr>
          <w:cantSplit/>
          <w:trHeight w:val="442"/>
        </w:trPr>
        <w:tc>
          <w:tcPr>
            <w:tcW w:w="1460" w:type="pct"/>
          </w:tcPr>
          <w:p w14:paraId="65853945" w14:textId="77777777" w:rsidR="0092460B" w:rsidRPr="002D1D30" w:rsidRDefault="0092460B" w:rsidP="003369DD">
            <w:pPr>
              <w:keepNext/>
              <w:ind w:left="-108"/>
              <w:rPr>
                <w:rFonts w:ascii="Arial Narrow" w:eastAsia="Calibri" w:hAnsi="Arial Narrow"/>
                <w:b/>
                <w:sz w:val="18"/>
                <w:szCs w:val="18"/>
                <w:lang w:eastAsia="en-US"/>
              </w:rPr>
            </w:pPr>
            <w:r w:rsidRPr="002D1D30">
              <w:rPr>
                <w:rFonts w:ascii="Arial Narrow" w:eastAsia="Calibri" w:hAnsi="Arial Narrow"/>
                <w:b/>
                <w:sz w:val="18"/>
                <w:szCs w:val="18"/>
                <w:lang w:eastAsia="en-US"/>
              </w:rPr>
              <w:t>Name, Restriction,</w:t>
            </w:r>
          </w:p>
          <w:p w14:paraId="42F2FF4E" w14:textId="77777777" w:rsidR="0092460B" w:rsidRPr="002D1D30" w:rsidRDefault="0092460B" w:rsidP="003369DD">
            <w:pPr>
              <w:keepNext/>
              <w:ind w:left="-108"/>
              <w:rPr>
                <w:rFonts w:ascii="Arial Narrow" w:eastAsia="Calibri" w:hAnsi="Arial Narrow"/>
                <w:b/>
                <w:sz w:val="18"/>
                <w:szCs w:val="18"/>
                <w:lang w:eastAsia="en-US"/>
              </w:rPr>
            </w:pPr>
            <w:r w:rsidRPr="002D1D30">
              <w:rPr>
                <w:rFonts w:ascii="Arial Narrow" w:eastAsia="Calibri" w:hAnsi="Arial Narrow"/>
                <w:b/>
                <w:sz w:val="18"/>
                <w:szCs w:val="18"/>
                <w:lang w:eastAsia="en-US"/>
              </w:rPr>
              <w:t>Manner of administration and form</w:t>
            </w:r>
          </w:p>
        </w:tc>
        <w:tc>
          <w:tcPr>
            <w:tcW w:w="692" w:type="pct"/>
          </w:tcPr>
          <w:p w14:paraId="7F393B1C" w14:textId="77777777" w:rsidR="0092460B" w:rsidRPr="002D1D30" w:rsidRDefault="0092460B" w:rsidP="003369DD">
            <w:pPr>
              <w:keepNext/>
              <w:ind w:left="-108"/>
              <w:jc w:val="center"/>
              <w:rPr>
                <w:rFonts w:ascii="Arial Narrow" w:eastAsia="Calibri" w:hAnsi="Arial Narrow"/>
                <w:b/>
                <w:sz w:val="18"/>
                <w:szCs w:val="18"/>
                <w:lang w:eastAsia="en-US"/>
              </w:rPr>
            </w:pPr>
            <w:r w:rsidRPr="002D1D30">
              <w:rPr>
                <w:rFonts w:ascii="Arial Narrow" w:eastAsia="Calibri" w:hAnsi="Arial Narrow"/>
                <w:b/>
                <w:sz w:val="18"/>
                <w:szCs w:val="18"/>
                <w:lang w:eastAsia="en-US"/>
              </w:rPr>
              <w:t>PBS item code</w:t>
            </w:r>
          </w:p>
        </w:tc>
        <w:tc>
          <w:tcPr>
            <w:tcW w:w="462" w:type="pct"/>
          </w:tcPr>
          <w:p w14:paraId="519D90F7" w14:textId="77777777" w:rsidR="0092460B" w:rsidRPr="002D1D30" w:rsidRDefault="0092460B" w:rsidP="003369DD">
            <w:pPr>
              <w:keepNext/>
              <w:ind w:left="-108"/>
              <w:jc w:val="center"/>
              <w:rPr>
                <w:rFonts w:ascii="Arial Narrow" w:eastAsia="Calibri" w:hAnsi="Arial Narrow"/>
                <w:b/>
                <w:sz w:val="18"/>
                <w:szCs w:val="18"/>
                <w:lang w:eastAsia="en-US"/>
              </w:rPr>
            </w:pPr>
            <w:r w:rsidRPr="002D1D30">
              <w:rPr>
                <w:rFonts w:ascii="Arial Narrow" w:eastAsia="Calibri" w:hAnsi="Arial Narrow"/>
                <w:b/>
                <w:sz w:val="18"/>
                <w:szCs w:val="18"/>
                <w:lang w:eastAsia="en-US"/>
              </w:rPr>
              <w:t>Max. qty packs</w:t>
            </w:r>
          </w:p>
        </w:tc>
        <w:tc>
          <w:tcPr>
            <w:tcW w:w="462" w:type="pct"/>
          </w:tcPr>
          <w:p w14:paraId="24CF2DDF" w14:textId="77777777" w:rsidR="0092460B" w:rsidRPr="002D1D30" w:rsidRDefault="0092460B" w:rsidP="003369DD">
            <w:pPr>
              <w:keepNext/>
              <w:ind w:left="-108"/>
              <w:jc w:val="center"/>
              <w:rPr>
                <w:rFonts w:ascii="Arial Narrow" w:eastAsia="Calibri" w:hAnsi="Arial Narrow"/>
                <w:b/>
                <w:sz w:val="18"/>
                <w:szCs w:val="18"/>
                <w:lang w:eastAsia="en-US"/>
              </w:rPr>
            </w:pPr>
            <w:r w:rsidRPr="002D1D30">
              <w:rPr>
                <w:rFonts w:ascii="Arial Narrow" w:eastAsia="Calibri" w:hAnsi="Arial Narrow"/>
                <w:b/>
                <w:sz w:val="18"/>
                <w:szCs w:val="18"/>
                <w:lang w:eastAsia="en-US"/>
              </w:rPr>
              <w:t>Max. qty units</w:t>
            </w:r>
          </w:p>
        </w:tc>
        <w:tc>
          <w:tcPr>
            <w:tcW w:w="385" w:type="pct"/>
          </w:tcPr>
          <w:p w14:paraId="3B1F8B32" w14:textId="77777777" w:rsidR="0092460B" w:rsidRPr="002D1D30" w:rsidRDefault="0092460B" w:rsidP="003369DD">
            <w:pPr>
              <w:keepNext/>
              <w:ind w:left="-108"/>
              <w:jc w:val="center"/>
              <w:rPr>
                <w:rFonts w:ascii="Arial Narrow" w:eastAsia="Calibri" w:hAnsi="Arial Narrow"/>
                <w:b/>
                <w:sz w:val="18"/>
                <w:szCs w:val="18"/>
                <w:lang w:eastAsia="en-US"/>
              </w:rPr>
            </w:pPr>
            <w:r w:rsidRPr="002D1D30">
              <w:rPr>
                <w:rFonts w:ascii="Arial Narrow" w:eastAsia="Calibri" w:hAnsi="Arial Narrow"/>
                <w:b/>
                <w:sz w:val="18"/>
                <w:szCs w:val="18"/>
                <w:lang w:eastAsia="en-US"/>
              </w:rPr>
              <w:t>№.of</w:t>
            </w:r>
          </w:p>
          <w:p w14:paraId="442BC612" w14:textId="77777777" w:rsidR="0092460B" w:rsidRPr="002D1D30" w:rsidRDefault="0092460B" w:rsidP="003369DD">
            <w:pPr>
              <w:keepNext/>
              <w:ind w:left="-108"/>
              <w:jc w:val="center"/>
              <w:rPr>
                <w:rFonts w:ascii="Arial Narrow" w:eastAsia="Calibri" w:hAnsi="Arial Narrow"/>
                <w:b/>
                <w:sz w:val="18"/>
                <w:szCs w:val="18"/>
                <w:lang w:eastAsia="en-US"/>
              </w:rPr>
            </w:pPr>
            <w:r w:rsidRPr="002D1D30">
              <w:rPr>
                <w:rFonts w:ascii="Arial Narrow" w:eastAsia="Calibri" w:hAnsi="Arial Narrow"/>
                <w:b/>
                <w:sz w:val="18"/>
                <w:szCs w:val="18"/>
                <w:lang w:eastAsia="en-US"/>
              </w:rPr>
              <w:t>Rpts</w:t>
            </w:r>
          </w:p>
        </w:tc>
        <w:tc>
          <w:tcPr>
            <w:tcW w:w="1539" w:type="pct"/>
            <w:gridSpan w:val="2"/>
          </w:tcPr>
          <w:p w14:paraId="5E5A7043" w14:textId="77777777" w:rsidR="0092460B" w:rsidRPr="002D1D30" w:rsidRDefault="0092460B" w:rsidP="003369DD">
            <w:pPr>
              <w:keepNext/>
              <w:jc w:val="left"/>
              <w:rPr>
                <w:rFonts w:ascii="Arial Narrow" w:eastAsia="Calibri" w:hAnsi="Arial Narrow"/>
                <w:b/>
                <w:sz w:val="18"/>
                <w:szCs w:val="18"/>
                <w:lang w:eastAsia="en-US"/>
              </w:rPr>
            </w:pPr>
            <w:r w:rsidRPr="002D1D30">
              <w:rPr>
                <w:rFonts w:ascii="Arial Narrow" w:eastAsia="Calibri" w:hAnsi="Arial Narrow"/>
                <w:b/>
                <w:sz w:val="18"/>
                <w:szCs w:val="18"/>
                <w:lang w:eastAsia="en-US"/>
              </w:rPr>
              <w:t>Proprietary Name and Manufacturer</w:t>
            </w:r>
          </w:p>
        </w:tc>
      </w:tr>
      <w:tr w:rsidR="0092460B" w:rsidRPr="002D1D30" w14:paraId="74CBF2EC" w14:textId="77777777" w:rsidTr="004A0C3C">
        <w:trPr>
          <w:cantSplit/>
          <w:trHeight w:val="424"/>
        </w:trPr>
        <w:tc>
          <w:tcPr>
            <w:tcW w:w="1460" w:type="pct"/>
          </w:tcPr>
          <w:p w14:paraId="437568CB" w14:textId="77777777" w:rsidR="0092460B" w:rsidRPr="002D1D30" w:rsidRDefault="0092460B" w:rsidP="003369DD">
            <w:pPr>
              <w:keepNext/>
              <w:ind w:left="-108"/>
              <w:jc w:val="left"/>
              <w:rPr>
                <w:rFonts w:ascii="Arial Narrow" w:eastAsia="Calibri" w:hAnsi="Arial Narrow"/>
                <w:sz w:val="18"/>
                <w:szCs w:val="18"/>
                <w:lang w:eastAsia="en-US"/>
              </w:rPr>
            </w:pPr>
            <w:r w:rsidRPr="002D1D30">
              <w:rPr>
                <w:rFonts w:ascii="Arial Narrow" w:eastAsia="Calibri" w:hAnsi="Arial Narrow"/>
                <w:sz w:val="18"/>
                <w:szCs w:val="18"/>
                <w:lang w:eastAsia="en-US"/>
              </w:rPr>
              <w:t xml:space="preserve">ENTRECTINIB </w:t>
            </w:r>
          </w:p>
          <w:p w14:paraId="0A421C20" w14:textId="77777777" w:rsidR="0092460B" w:rsidRPr="002D1D30" w:rsidRDefault="0092460B" w:rsidP="009125F1">
            <w:pPr>
              <w:keepNext/>
              <w:ind w:left="-108"/>
              <w:rPr>
                <w:rFonts w:ascii="Arial Narrow" w:eastAsia="Calibri" w:hAnsi="Arial Narrow"/>
                <w:sz w:val="18"/>
                <w:szCs w:val="18"/>
                <w:lang w:eastAsia="en-US"/>
              </w:rPr>
            </w:pPr>
            <w:r w:rsidRPr="002D1D30">
              <w:rPr>
                <w:rFonts w:ascii="Arial Narrow" w:eastAsia="Calibri" w:hAnsi="Arial Narrow"/>
                <w:sz w:val="18"/>
                <w:szCs w:val="18"/>
                <w:lang w:eastAsia="en-US"/>
              </w:rPr>
              <w:t>entrectinib 200 mg capsule, 90</w:t>
            </w:r>
          </w:p>
        </w:tc>
        <w:tc>
          <w:tcPr>
            <w:tcW w:w="692" w:type="pct"/>
          </w:tcPr>
          <w:p w14:paraId="253DAC14" w14:textId="77777777" w:rsidR="004A0C3C" w:rsidRPr="002D1D30" w:rsidRDefault="004A0C3C" w:rsidP="003369DD">
            <w:pPr>
              <w:keepNext/>
              <w:ind w:left="-108"/>
              <w:jc w:val="center"/>
              <w:rPr>
                <w:rFonts w:ascii="Arial Narrow" w:eastAsia="Calibri" w:hAnsi="Arial Narrow"/>
                <w:sz w:val="18"/>
                <w:szCs w:val="18"/>
                <w:lang w:eastAsia="en-US"/>
              </w:rPr>
            </w:pPr>
          </w:p>
          <w:p w14:paraId="49FF3470" w14:textId="77777777" w:rsidR="0092460B" w:rsidRPr="002D1D30" w:rsidRDefault="0092460B" w:rsidP="003369DD">
            <w:pPr>
              <w:keepNext/>
              <w:ind w:left="-108"/>
              <w:jc w:val="center"/>
              <w:rPr>
                <w:rFonts w:ascii="Arial Narrow" w:eastAsia="Calibri" w:hAnsi="Arial Narrow"/>
                <w:sz w:val="18"/>
                <w:szCs w:val="18"/>
                <w:lang w:eastAsia="en-US"/>
              </w:rPr>
            </w:pPr>
            <w:r w:rsidRPr="002D1D30">
              <w:rPr>
                <w:rFonts w:ascii="Arial Narrow" w:eastAsia="Calibri" w:hAnsi="Arial Narrow"/>
                <w:sz w:val="18"/>
                <w:szCs w:val="18"/>
                <w:lang w:eastAsia="en-US"/>
              </w:rPr>
              <w:t>NEW</w:t>
            </w:r>
          </w:p>
        </w:tc>
        <w:tc>
          <w:tcPr>
            <w:tcW w:w="462" w:type="pct"/>
          </w:tcPr>
          <w:p w14:paraId="5E8B76DD" w14:textId="77777777" w:rsidR="004A0C3C" w:rsidRPr="002D1D30" w:rsidRDefault="004A0C3C" w:rsidP="003369DD">
            <w:pPr>
              <w:keepNext/>
              <w:jc w:val="center"/>
              <w:rPr>
                <w:rFonts w:ascii="Arial Narrow" w:eastAsia="Calibri" w:hAnsi="Arial Narrow"/>
                <w:sz w:val="18"/>
                <w:szCs w:val="18"/>
                <w:lang w:eastAsia="en-US"/>
              </w:rPr>
            </w:pPr>
          </w:p>
          <w:p w14:paraId="275BF5BF" w14:textId="77777777" w:rsidR="0092460B" w:rsidRPr="002D1D30" w:rsidRDefault="0092460B" w:rsidP="003369DD">
            <w:pPr>
              <w:keepNext/>
              <w:jc w:val="center"/>
              <w:rPr>
                <w:rFonts w:ascii="Arial Narrow" w:eastAsia="Calibri" w:hAnsi="Arial Narrow"/>
                <w:sz w:val="18"/>
                <w:szCs w:val="18"/>
                <w:lang w:eastAsia="en-US"/>
              </w:rPr>
            </w:pPr>
            <w:r w:rsidRPr="002D1D30">
              <w:rPr>
                <w:rFonts w:ascii="Arial Narrow" w:eastAsia="Calibri" w:hAnsi="Arial Narrow"/>
                <w:sz w:val="18"/>
                <w:szCs w:val="18"/>
                <w:lang w:eastAsia="en-US"/>
              </w:rPr>
              <w:t>1</w:t>
            </w:r>
          </w:p>
        </w:tc>
        <w:tc>
          <w:tcPr>
            <w:tcW w:w="462" w:type="pct"/>
          </w:tcPr>
          <w:p w14:paraId="0DEF64BA" w14:textId="77777777" w:rsidR="004A0C3C" w:rsidRPr="002D1D30" w:rsidRDefault="004A0C3C" w:rsidP="003369DD">
            <w:pPr>
              <w:keepNext/>
              <w:ind w:left="-108"/>
              <w:jc w:val="center"/>
              <w:rPr>
                <w:rFonts w:ascii="Arial Narrow" w:eastAsia="Calibri" w:hAnsi="Arial Narrow"/>
                <w:sz w:val="18"/>
                <w:szCs w:val="18"/>
                <w:lang w:eastAsia="en-US"/>
              </w:rPr>
            </w:pPr>
          </w:p>
          <w:p w14:paraId="33F7D9DC" w14:textId="77777777" w:rsidR="0092460B" w:rsidRPr="002D1D30" w:rsidRDefault="0092460B" w:rsidP="003369DD">
            <w:pPr>
              <w:keepNext/>
              <w:ind w:left="-108"/>
              <w:jc w:val="center"/>
              <w:rPr>
                <w:rFonts w:ascii="Arial Narrow" w:eastAsia="Calibri" w:hAnsi="Arial Narrow"/>
                <w:sz w:val="18"/>
                <w:szCs w:val="18"/>
                <w:lang w:eastAsia="en-US"/>
              </w:rPr>
            </w:pPr>
            <w:r w:rsidRPr="002D1D30">
              <w:rPr>
                <w:rFonts w:ascii="Arial Narrow" w:eastAsia="Calibri" w:hAnsi="Arial Narrow"/>
                <w:sz w:val="18"/>
                <w:szCs w:val="18"/>
                <w:lang w:eastAsia="en-US"/>
              </w:rPr>
              <w:t>90</w:t>
            </w:r>
          </w:p>
        </w:tc>
        <w:tc>
          <w:tcPr>
            <w:tcW w:w="385" w:type="pct"/>
          </w:tcPr>
          <w:p w14:paraId="466D9FCB" w14:textId="77777777" w:rsidR="004A0C3C" w:rsidRPr="002D1D30" w:rsidRDefault="004A0C3C" w:rsidP="009125F1">
            <w:pPr>
              <w:keepNext/>
              <w:jc w:val="center"/>
              <w:rPr>
                <w:rFonts w:ascii="Arial Narrow" w:eastAsia="Calibri" w:hAnsi="Arial Narrow"/>
                <w:sz w:val="18"/>
                <w:szCs w:val="18"/>
                <w:lang w:eastAsia="en-US"/>
              </w:rPr>
            </w:pPr>
          </w:p>
          <w:p w14:paraId="76980489" w14:textId="77777777" w:rsidR="0092460B" w:rsidRPr="002D1D30" w:rsidRDefault="009125F1" w:rsidP="009125F1">
            <w:pPr>
              <w:keepNext/>
              <w:jc w:val="center"/>
              <w:rPr>
                <w:rFonts w:ascii="Arial Narrow" w:eastAsia="Calibri" w:hAnsi="Arial Narrow"/>
                <w:i/>
                <w:sz w:val="18"/>
                <w:szCs w:val="18"/>
                <w:lang w:eastAsia="en-US"/>
              </w:rPr>
            </w:pPr>
            <w:r w:rsidRPr="002D1D30">
              <w:rPr>
                <w:rFonts w:ascii="Arial Narrow" w:eastAsia="Calibri" w:hAnsi="Arial Narrow"/>
                <w:sz w:val="18"/>
                <w:szCs w:val="18"/>
                <w:lang w:eastAsia="en-US"/>
              </w:rPr>
              <w:t>3</w:t>
            </w:r>
          </w:p>
        </w:tc>
        <w:tc>
          <w:tcPr>
            <w:tcW w:w="546" w:type="pct"/>
          </w:tcPr>
          <w:p w14:paraId="40F2FB26" w14:textId="77777777" w:rsidR="004A0C3C" w:rsidRPr="002D1D30" w:rsidRDefault="004A0C3C" w:rsidP="003369DD">
            <w:pPr>
              <w:keepNext/>
              <w:rPr>
                <w:rFonts w:ascii="Arial Narrow" w:eastAsia="Calibri" w:hAnsi="Arial Narrow"/>
                <w:sz w:val="18"/>
                <w:szCs w:val="18"/>
                <w:lang w:eastAsia="en-US"/>
              </w:rPr>
            </w:pPr>
          </w:p>
          <w:p w14:paraId="4499B28D" w14:textId="77777777" w:rsidR="0092460B" w:rsidRPr="002D1D30" w:rsidRDefault="0092460B" w:rsidP="003369DD">
            <w:pPr>
              <w:keepNext/>
              <w:rPr>
                <w:rFonts w:ascii="Arial Narrow" w:eastAsia="Calibri" w:hAnsi="Arial Narrow"/>
                <w:sz w:val="18"/>
                <w:szCs w:val="18"/>
                <w:lang w:eastAsia="en-US"/>
              </w:rPr>
            </w:pPr>
            <w:r w:rsidRPr="002D1D30">
              <w:rPr>
                <w:rFonts w:ascii="Arial Narrow" w:eastAsia="Calibri" w:hAnsi="Arial Narrow"/>
                <w:sz w:val="18"/>
                <w:szCs w:val="18"/>
                <w:lang w:eastAsia="en-US"/>
              </w:rPr>
              <w:t>Rozlytrek</w:t>
            </w:r>
            <w:r w:rsidRPr="002D1D30">
              <w:rPr>
                <w:rFonts w:ascii="Arial Narrow" w:eastAsia="Calibri" w:hAnsi="Arial Narrow"/>
                <w:sz w:val="18"/>
                <w:szCs w:val="18"/>
                <w:vertAlign w:val="superscript"/>
                <w:lang w:eastAsia="en-US"/>
              </w:rPr>
              <w:t>®</w:t>
            </w:r>
          </w:p>
        </w:tc>
        <w:tc>
          <w:tcPr>
            <w:tcW w:w="994" w:type="pct"/>
          </w:tcPr>
          <w:p w14:paraId="5763AB94" w14:textId="77777777" w:rsidR="004A0C3C" w:rsidRPr="002D1D30" w:rsidRDefault="004A0C3C" w:rsidP="003369DD">
            <w:pPr>
              <w:keepNext/>
              <w:jc w:val="left"/>
              <w:rPr>
                <w:rFonts w:ascii="Arial Narrow" w:eastAsia="Calibri" w:hAnsi="Arial Narrow"/>
                <w:sz w:val="18"/>
                <w:szCs w:val="18"/>
                <w:lang w:eastAsia="en-US"/>
              </w:rPr>
            </w:pPr>
          </w:p>
          <w:p w14:paraId="25BA3D3C" w14:textId="77777777" w:rsidR="0092460B" w:rsidRPr="002D1D30" w:rsidRDefault="0092460B" w:rsidP="003369DD">
            <w:pPr>
              <w:keepNext/>
              <w:jc w:val="left"/>
              <w:rPr>
                <w:rFonts w:ascii="Arial Narrow" w:eastAsia="Calibri" w:hAnsi="Arial Narrow"/>
                <w:sz w:val="18"/>
                <w:szCs w:val="18"/>
                <w:lang w:eastAsia="en-US"/>
              </w:rPr>
            </w:pPr>
            <w:r w:rsidRPr="002D1D30">
              <w:rPr>
                <w:rFonts w:ascii="Arial Narrow" w:eastAsia="Calibri" w:hAnsi="Arial Narrow"/>
                <w:sz w:val="18"/>
                <w:szCs w:val="18"/>
                <w:lang w:eastAsia="en-US"/>
              </w:rPr>
              <w:t>Roche Products Pty Ltd</w:t>
            </w:r>
          </w:p>
        </w:tc>
      </w:tr>
    </w:tbl>
    <w:p w14:paraId="4F33368D" w14:textId="77777777" w:rsidR="0092460B" w:rsidRPr="002D1D30" w:rsidRDefault="0092460B" w:rsidP="0092460B">
      <w:pPr>
        <w:spacing w:line="259" w:lineRule="auto"/>
        <w:rPr>
          <w:rFonts w:ascii="Arial Narrow" w:eastAsia="Calibri" w:hAnsi="Arial Narrow" w:cs="Calibri"/>
          <w:b/>
          <w:bCs/>
          <w:sz w:val="20"/>
          <w:szCs w:val="20"/>
          <w:lang w:eastAsia="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4A0C3C" w:rsidRPr="002D1D30" w14:paraId="4D77218C" w14:textId="77777777" w:rsidTr="004A0C3C">
        <w:tc>
          <w:tcPr>
            <w:tcW w:w="5000" w:type="pct"/>
            <w:tcBorders>
              <w:top w:val="single" w:sz="4" w:space="0" w:color="auto"/>
              <w:left w:val="single" w:sz="4" w:space="0" w:color="auto"/>
              <w:bottom w:val="single" w:sz="4" w:space="0" w:color="auto"/>
              <w:right w:val="single" w:sz="4" w:space="0" w:color="auto"/>
            </w:tcBorders>
          </w:tcPr>
          <w:p w14:paraId="7AC0B1EF" w14:textId="19D7ADBF" w:rsidR="004A0C3C" w:rsidRPr="002D1D30" w:rsidRDefault="004A0C3C" w:rsidP="003369DD">
            <w:pPr>
              <w:rPr>
                <w:rFonts w:ascii="Arial Narrow" w:eastAsia="Calibri" w:hAnsi="Arial Narrow"/>
                <w:sz w:val="18"/>
                <w:szCs w:val="18"/>
                <w:lang w:eastAsia="en-US"/>
              </w:rPr>
            </w:pPr>
            <w:r w:rsidRPr="002D1D30">
              <w:rPr>
                <w:rFonts w:ascii="Arial Narrow" w:eastAsia="Calibri" w:hAnsi="Arial Narrow"/>
                <w:b/>
                <w:sz w:val="18"/>
                <w:szCs w:val="18"/>
                <w:lang w:eastAsia="en-US"/>
              </w:rPr>
              <w:t>Category / Program:</w:t>
            </w:r>
            <w:r w:rsidR="0041158C">
              <w:rPr>
                <w:rFonts w:ascii="Arial Narrow" w:eastAsia="Calibri" w:hAnsi="Arial Narrow"/>
                <w:b/>
                <w:sz w:val="18"/>
                <w:szCs w:val="18"/>
                <w:lang w:eastAsia="en-US"/>
              </w:rPr>
              <w:t xml:space="preserve"> </w:t>
            </w:r>
            <w:r w:rsidRPr="002D1D30">
              <w:rPr>
                <w:rFonts w:ascii="Arial Narrow" w:eastAsia="Calibri" w:hAnsi="Arial Narrow"/>
                <w:sz w:val="18"/>
                <w:szCs w:val="18"/>
                <w:lang w:eastAsia="en-US"/>
              </w:rPr>
              <w:t>GENERAL – General Schedule (Code GE)</w:t>
            </w:r>
          </w:p>
        </w:tc>
      </w:tr>
      <w:tr w:rsidR="004A0C3C" w:rsidRPr="002D1D30" w14:paraId="62B27BF8" w14:textId="77777777" w:rsidTr="004A0C3C">
        <w:tc>
          <w:tcPr>
            <w:tcW w:w="5000" w:type="pct"/>
            <w:tcBorders>
              <w:top w:val="single" w:sz="4" w:space="0" w:color="auto"/>
              <w:left w:val="single" w:sz="4" w:space="0" w:color="auto"/>
              <w:bottom w:val="single" w:sz="4" w:space="0" w:color="auto"/>
              <w:right w:val="single" w:sz="4" w:space="0" w:color="auto"/>
            </w:tcBorders>
          </w:tcPr>
          <w:p w14:paraId="6E4EDE49" w14:textId="0DF4ED6C" w:rsidR="004A0C3C" w:rsidRPr="002D1D30" w:rsidRDefault="004A0C3C" w:rsidP="003369DD">
            <w:pPr>
              <w:jc w:val="left"/>
              <w:rPr>
                <w:rFonts w:ascii="Arial Narrow" w:hAnsi="Arial Narrow" w:cs="Times New Roman"/>
                <w:b/>
                <w:bCs/>
                <w:color w:val="333333"/>
                <w:sz w:val="18"/>
                <w:szCs w:val="18"/>
              </w:rPr>
            </w:pPr>
            <w:r w:rsidRPr="002D1D30">
              <w:rPr>
                <w:rFonts w:ascii="Arial Narrow" w:eastAsia="Calibri" w:hAnsi="Arial Narrow"/>
                <w:b/>
                <w:sz w:val="18"/>
                <w:szCs w:val="18"/>
                <w:lang w:eastAsia="en-US"/>
              </w:rPr>
              <w:t>Prescriber type:</w:t>
            </w:r>
            <w:r w:rsidR="0041158C">
              <w:rPr>
                <w:rFonts w:ascii="Arial Narrow" w:eastAsia="Calibri" w:hAnsi="Arial Narrow"/>
                <w:b/>
                <w:sz w:val="18"/>
                <w:szCs w:val="18"/>
                <w:lang w:eastAsia="en-US"/>
              </w:rPr>
              <w:t xml:space="preserve"> </w:t>
            </w:r>
            <w:r w:rsidRPr="002D1D30">
              <w:rPr>
                <w:rFonts w:ascii="Arial Narrow" w:eastAsia="Calibri" w:hAnsi="Arial Narrow"/>
                <w:sz w:val="18"/>
                <w:szCs w:val="18"/>
                <w:lang w:eastAsia="en-US"/>
              </w:rPr>
              <w:fldChar w:fldCharType="begin">
                <w:ffData>
                  <w:name w:val="Check1"/>
                  <w:enabled/>
                  <w:calcOnExit w:val="0"/>
                  <w:checkBox>
                    <w:sizeAuto/>
                    <w:default w:val="0"/>
                  </w:checkBox>
                </w:ffData>
              </w:fldChar>
            </w:r>
            <w:r w:rsidRPr="002D1D30">
              <w:rPr>
                <w:rFonts w:ascii="Arial Narrow" w:eastAsia="Calibri" w:hAnsi="Arial Narrow"/>
                <w:sz w:val="18"/>
                <w:szCs w:val="18"/>
                <w:lang w:eastAsia="en-US"/>
              </w:rPr>
              <w:instrText xml:space="preserve"> FORMCHECKBOX </w:instrText>
            </w:r>
            <w:r w:rsidR="00180107">
              <w:rPr>
                <w:rFonts w:ascii="Arial Narrow" w:eastAsia="Calibri" w:hAnsi="Arial Narrow"/>
                <w:sz w:val="18"/>
                <w:szCs w:val="18"/>
                <w:lang w:eastAsia="en-US"/>
              </w:rPr>
            </w:r>
            <w:r w:rsidR="00180107">
              <w:rPr>
                <w:rFonts w:ascii="Arial Narrow" w:eastAsia="Calibri" w:hAnsi="Arial Narrow"/>
                <w:sz w:val="18"/>
                <w:szCs w:val="18"/>
                <w:lang w:eastAsia="en-US"/>
              </w:rPr>
              <w:fldChar w:fldCharType="separate"/>
            </w:r>
            <w:r w:rsidRPr="002D1D30">
              <w:rPr>
                <w:rFonts w:ascii="Arial Narrow" w:eastAsia="Calibri" w:hAnsi="Arial Narrow"/>
                <w:sz w:val="18"/>
                <w:szCs w:val="18"/>
                <w:lang w:eastAsia="en-US"/>
              </w:rPr>
              <w:fldChar w:fldCharType="end"/>
            </w:r>
            <w:r w:rsidRPr="002D1D30">
              <w:rPr>
                <w:rFonts w:ascii="Arial Narrow" w:eastAsia="Calibri" w:hAnsi="Arial Narrow"/>
                <w:sz w:val="18"/>
                <w:szCs w:val="18"/>
                <w:lang w:eastAsia="en-US"/>
              </w:rPr>
              <w:t xml:space="preserve">Dental    </w:t>
            </w:r>
            <w:r w:rsidRPr="002D1D30">
              <w:rPr>
                <w:rFonts w:ascii="Arial Narrow" w:eastAsia="Calibri" w:hAnsi="Arial Narrow"/>
                <w:sz w:val="18"/>
                <w:szCs w:val="18"/>
                <w:lang w:eastAsia="en-US"/>
              </w:rPr>
              <w:fldChar w:fldCharType="begin">
                <w:ffData>
                  <w:name w:val=""/>
                  <w:enabled/>
                  <w:calcOnExit w:val="0"/>
                  <w:checkBox>
                    <w:sizeAuto/>
                    <w:default w:val="1"/>
                  </w:checkBox>
                </w:ffData>
              </w:fldChar>
            </w:r>
            <w:r w:rsidRPr="002D1D30">
              <w:rPr>
                <w:rFonts w:ascii="Arial Narrow" w:eastAsia="Calibri" w:hAnsi="Arial Narrow"/>
                <w:sz w:val="18"/>
                <w:szCs w:val="18"/>
                <w:lang w:eastAsia="en-US"/>
              </w:rPr>
              <w:instrText xml:space="preserve"> FORMCHECKBOX </w:instrText>
            </w:r>
            <w:r w:rsidR="00180107">
              <w:rPr>
                <w:rFonts w:ascii="Arial Narrow" w:eastAsia="Calibri" w:hAnsi="Arial Narrow"/>
                <w:sz w:val="18"/>
                <w:szCs w:val="18"/>
                <w:lang w:eastAsia="en-US"/>
              </w:rPr>
            </w:r>
            <w:r w:rsidR="00180107">
              <w:rPr>
                <w:rFonts w:ascii="Arial Narrow" w:eastAsia="Calibri" w:hAnsi="Arial Narrow"/>
                <w:sz w:val="18"/>
                <w:szCs w:val="18"/>
                <w:lang w:eastAsia="en-US"/>
              </w:rPr>
              <w:fldChar w:fldCharType="separate"/>
            </w:r>
            <w:r w:rsidRPr="002D1D30">
              <w:rPr>
                <w:rFonts w:ascii="Arial Narrow" w:eastAsia="Calibri" w:hAnsi="Arial Narrow"/>
                <w:sz w:val="18"/>
                <w:szCs w:val="18"/>
                <w:lang w:eastAsia="en-US"/>
              </w:rPr>
              <w:fldChar w:fldCharType="end"/>
            </w:r>
            <w:r w:rsidRPr="002D1D30">
              <w:rPr>
                <w:rFonts w:ascii="Arial Narrow" w:eastAsia="Calibri" w:hAnsi="Arial Narrow"/>
                <w:sz w:val="18"/>
                <w:szCs w:val="18"/>
                <w:lang w:eastAsia="en-US"/>
              </w:rPr>
              <w:t xml:space="preserve">Medical Practitioners    </w:t>
            </w:r>
            <w:r w:rsidRPr="002D1D30">
              <w:rPr>
                <w:rFonts w:ascii="Arial Narrow" w:eastAsia="Calibri" w:hAnsi="Arial Narrow"/>
                <w:sz w:val="18"/>
                <w:szCs w:val="18"/>
                <w:lang w:eastAsia="en-US"/>
              </w:rPr>
              <w:fldChar w:fldCharType="begin">
                <w:ffData>
                  <w:name w:val="Check3"/>
                  <w:enabled/>
                  <w:calcOnExit w:val="0"/>
                  <w:checkBox>
                    <w:sizeAuto/>
                    <w:default w:val="0"/>
                  </w:checkBox>
                </w:ffData>
              </w:fldChar>
            </w:r>
            <w:r w:rsidRPr="002D1D30">
              <w:rPr>
                <w:rFonts w:ascii="Arial Narrow" w:eastAsia="Calibri" w:hAnsi="Arial Narrow"/>
                <w:sz w:val="18"/>
                <w:szCs w:val="18"/>
                <w:lang w:eastAsia="en-US"/>
              </w:rPr>
              <w:instrText xml:space="preserve"> FORMCHECKBOX </w:instrText>
            </w:r>
            <w:r w:rsidR="00180107">
              <w:rPr>
                <w:rFonts w:ascii="Arial Narrow" w:eastAsia="Calibri" w:hAnsi="Arial Narrow"/>
                <w:sz w:val="18"/>
                <w:szCs w:val="18"/>
                <w:lang w:eastAsia="en-US"/>
              </w:rPr>
            </w:r>
            <w:r w:rsidR="00180107">
              <w:rPr>
                <w:rFonts w:ascii="Arial Narrow" w:eastAsia="Calibri" w:hAnsi="Arial Narrow"/>
                <w:sz w:val="18"/>
                <w:szCs w:val="18"/>
                <w:lang w:eastAsia="en-US"/>
              </w:rPr>
              <w:fldChar w:fldCharType="separate"/>
            </w:r>
            <w:r w:rsidRPr="002D1D30">
              <w:rPr>
                <w:rFonts w:ascii="Arial Narrow" w:eastAsia="Calibri" w:hAnsi="Arial Narrow"/>
                <w:sz w:val="18"/>
                <w:szCs w:val="18"/>
                <w:lang w:eastAsia="en-US"/>
              </w:rPr>
              <w:fldChar w:fldCharType="end"/>
            </w:r>
            <w:r w:rsidRPr="002D1D30">
              <w:rPr>
                <w:rFonts w:ascii="Arial Narrow" w:eastAsia="Calibri" w:hAnsi="Arial Narrow"/>
                <w:sz w:val="18"/>
                <w:szCs w:val="18"/>
                <w:lang w:eastAsia="en-US"/>
              </w:rPr>
              <w:t xml:space="preserve">Nurse practitioners     </w:t>
            </w:r>
            <w:r w:rsidRPr="002D1D30">
              <w:rPr>
                <w:rFonts w:ascii="Arial Narrow" w:eastAsia="Calibri" w:hAnsi="Arial Narrow"/>
                <w:sz w:val="18"/>
                <w:szCs w:val="18"/>
                <w:lang w:eastAsia="en-US"/>
              </w:rPr>
              <w:fldChar w:fldCharType="begin">
                <w:ffData>
                  <w:name w:val=""/>
                  <w:enabled/>
                  <w:calcOnExit w:val="0"/>
                  <w:checkBox>
                    <w:sizeAuto/>
                    <w:default w:val="0"/>
                  </w:checkBox>
                </w:ffData>
              </w:fldChar>
            </w:r>
            <w:r w:rsidRPr="002D1D30">
              <w:rPr>
                <w:rFonts w:ascii="Arial Narrow" w:eastAsia="Calibri" w:hAnsi="Arial Narrow"/>
                <w:sz w:val="18"/>
                <w:szCs w:val="18"/>
                <w:lang w:eastAsia="en-US"/>
              </w:rPr>
              <w:instrText xml:space="preserve"> FORMCHECKBOX </w:instrText>
            </w:r>
            <w:r w:rsidR="00180107">
              <w:rPr>
                <w:rFonts w:ascii="Arial Narrow" w:eastAsia="Calibri" w:hAnsi="Arial Narrow"/>
                <w:sz w:val="18"/>
                <w:szCs w:val="18"/>
                <w:lang w:eastAsia="en-US"/>
              </w:rPr>
            </w:r>
            <w:r w:rsidR="00180107">
              <w:rPr>
                <w:rFonts w:ascii="Arial Narrow" w:eastAsia="Calibri" w:hAnsi="Arial Narrow"/>
                <w:sz w:val="18"/>
                <w:szCs w:val="18"/>
                <w:lang w:eastAsia="en-US"/>
              </w:rPr>
              <w:fldChar w:fldCharType="separate"/>
            </w:r>
            <w:r w:rsidRPr="002D1D30">
              <w:rPr>
                <w:rFonts w:ascii="Arial Narrow" w:eastAsia="Calibri" w:hAnsi="Arial Narrow"/>
                <w:sz w:val="18"/>
                <w:szCs w:val="18"/>
                <w:lang w:eastAsia="en-US"/>
              </w:rPr>
              <w:fldChar w:fldCharType="end"/>
            </w:r>
            <w:r w:rsidRPr="002D1D30">
              <w:rPr>
                <w:rFonts w:ascii="Arial Narrow" w:eastAsia="Calibri" w:hAnsi="Arial Narrow"/>
                <w:sz w:val="18"/>
                <w:szCs w:val="18"/>
                <w:lang w:eastAsia="en-US"/>
              </w:rPr>
              <w:t xml:space="preserve">Optometrists    </w:t>
            </w:r>
            <w:r w:rsidRPr="002D1D30">
              <w:rPr>
                <w:rFonts w:ascii="Arial Narrow" w:eastAsia="Calibri" w:hAnsi="Arial Narrow"/>
                <w:sz w:val="18"/>
                <w:szCs w:val="18"/>
                <w:lang w:eastAsia="en-US"/>
              </w:rPr>
              <w:fldChar w:fldCharType="begin">
                <w:ffData>
                  <w:name w:val="Check5"/>
                  <w:enabled/>
                  <w:calcOnExit w:val="0"/>
                  <w:checkBox>
                    <w:sizeAuto/>
                    <w:default w:val="0"/>
                  </w:checkBox>
                </w:ffData>
              </w:fldChar>
            </w:r>
            <w:r w:rsidRPr="002D1D30">
              <w:rPr>
                <w:rFonts w:ascii="Arial Narrow" w:eastAsia="Calibri" w:hAnsi="Arial Narrow"/>
                <w:sz w:val="18"/>
                <w:szCs w:val="18"/>
                <w:lang w:eastAsia="en-US"/>
              </w:rPr>
              <w:instrText xml:space="preserve"> FORMCHECKBOX </w:instrText>
            </w:r>
            <w:r w:rsidR="00180107">
              <w:rPr>
                <w:rFonts w:ascii="Arial Narrow" w:eastAsia="Calibri" w:hAnsi="Arial Narrow"/>
                <w:sz w:val="18"/>
                <w:szCs w:val="18"/>
                <w:lang w:eastAsia="en-US"/>
              </w:rPr>
            </w:r>
            <w:r w:rsidR="00180107">
              <w:rPr>
                <w:rFonts w:ascii="Arial Narrow" w:eastAsia="Calibri" w:hAnsi="Arial Narrow"/>
                <w:sz w:val="18"/>
                <w:szCs w:val="18"/>
                <w:lang w:eastAsia="en-US"/>
              </w:rPr>
              <w:fldChar w:fldCharType="separate"/>
            </w:r>
            <w:r w:rsidRPr="002D1D30">
              <w:rPr>
                <w:rFonts w:ascii="Arial Narrow" w:eastAsia="Calibri" w:hAnsi="Arial Narrow"/>
                <w:sz w:val="18"/>
                <w:szCs w:val="18"/>
                <w:lang w:eastAsia="en-US"/>
              </w:rPr>
              <w:fldChar w:fldCharType="end"/>
            </w:r>
            <w:r w:rsidRPr="002D1D30">
              <w:rPr>
                <w:rFonts w:ascii="Arial Narrow" w:eastAsia="Calibri" w:hAnsi="Arial Narrow"/>
                <w:sz w:val="18"/>
                <w:szCs w:val="18"/>
                <w:lang w:eastAsia="en-US"/>
              </w:rPr>
              <w:t>Midwives</w:t>
            </w:r>
          </w:p>
        </w:tc>
      </w:tr>
      <w:tr w:rsidR="004A0C3C" w:rsidRPr="002D1D30" w14:paraId="762E8DE6" w14:textId="77777777" w:rsidTr="004A0C3C">
        <w:tc>
          <w:tcPr>
            <w:tcW w:w="5000" w:type="pct"/>
            <w:tcBorders>
              <w:top w:val="single" w:sz="4" w:space="0" w:color="auto"/>
              <w:left w:val="single" w:sz="4" w:space="0" w:color="auto"/>
              <w:bottom w:val="single" w:sz="4" w:space="0" w:color="auto"/>
              <w:right w:val="single" w:sz="4" w:space="0" w:color="auto"/>
            </w:tcBorders>
          </w:tcPr>
          <w:p w14:paraId="744AD732" w14:textId="77777777" w:rsidR="004A0C3C" w:rsidRPr="002D1D30" w:rsidRDefault="004A0C3C" w:rsidP="004A0C3C">
            <w:pPr>
              <w:rPr>
                <w:rFonts w:ascii="Arial Narrow" w:eastAsia="Calibri" w:hAnsi="Arial Narrow"/>
                <w:b/>
                <w:sz w:val="18"/>
                <w:szCs w:val="18"/>
                <w:lang w:eastAsia="en-US"/>
              </w:rPr>
            </w:pPr>
            <w:r w:rsidRPr="002D1D30">
              <w:rPr>
                <w:rFonts w:ascii="Arial Narrow" w:eastAsia="Calibri" w:hAnsi="Arial Narrow"/>
                <w:b/>
                <w:sz w:val="18"/>
                <w:szCs w:val="18"/>
                <w:lang w:eastAsia="en-US"/>
              </w:rPr>
              <w:t xml:space="preserve">Restriction Level / Method: </w:t>
            </w:r>
            <w:r w:rsidRPr="002D1D30">
              <w:rPr>
                <w:rFonts w:ascii="Arial Narrow" w:eastAsia="Calibri" w:hAnsi="Arial Narrow"/>
                <w:sz w:val="18"/>
                <w:szCs w:val="18"/>
                <w:lang w:eastAsia="en-US"/>
              </w:rPr>
              <w:fldChar w:fldCharType="begin">
                <w:ffData>
                  <w:name w:val=""/>
                  <w:enabled/>
                  <w:calcOnExit w:val="0"/>
                  <w:checkBox>
                    <w:sizeAuto/>
                    <w:default w:val="1"/>
                  </w:checkBox>
                </w:ffData>
              </w:fldChar>
            </w:r>
            <w:r w:rsidRPr="002D1D30">
              <w:rPr>
                <w:rFonts w:ascii="Arial Narrow" w:eastAsia="Calibri" w:hAnsi="Arial Narrow"/>
                <w:sz w:val="18"/>
                <w:szCs w:val="18"/>
                <w:lang w:eastAsia="en-US"/>
              </w:rPr>
              <w:instrText xml:space="preserve"> FORMCHECKBOX </w:instrText>
            </w:r>
            <w:r w:rsidR="00180107">
              <w:rPr>
                <w:rFonts w:ascii="Arial Narrow" w:eastAsia="Calibri" w:hAnsi="Arial Narrow"/>
                <w:sz w:val="18"/>
                <w:szCs w:val="18"/>
                <w:lang w:eastAsia="en-US"/>
              </w:rPr>
            </w:r>
            <w:r w:rsidR="00180107">
              <w:rPr>
                <w:rFonts w:ascii="Arial Narrow" w:eastAsia="Calibri" w:hAnsi="Arial Narrow"/>
                <w:sz w:val="18"/>
                <w:szCs w:val="18"/>
                <w:lang w:eastAsia="en-US"/>
              </w:rPr>
              <w:fldChar w:fldCharType="separate"/>
            </w:r>
            <w:r w:rsidRPr="002D1D30">
              <w:rPr>
                <w:rFonts w:ascii="Arial Narrow" w:eastAsia="Calibri" w:hAnsi="Arial Narrow"/>
                <w:sz w:val="18"/>
                <w:szCs w:val="18"/>
                <w:lang w:eastAsia="en-US"/>
              </w:rPr>
              <w:fldChar w:fldCharType="end"/>
            </w:r>
            <w:r w:rsidRPr="002D1D30">
              <w:rPr>
                <w:rFonts w:ascii="Arial Narrow" w:eastAsia="Calibri" w:hAnsi="Arial Narrow"/>
                <w:sz w:val="18"/>
                <w:szCs w:val="18"/>
                <w:lang w:eastAsia="en-US"/>
              </w:rPr>
              <w:t xml:space="preserve">  Authority Required – In Writing</w:t>
            </w:r>
          </w:p>
        </w:tc>
      </w:tr>
      <w:tr w:rsidR="004A0C3C" w:rsidRPr="002D1D30" w14:paraId="62B7D439" w14:textId="77777777" w:rsidTr="004A0C3C">
        <w:tblPrEx>
          <w:tblBorders>
            <w:top w:val="none" w:sz="0" w:space="0" w:color="auto"/>
            <w:left w:val="none" w:sz="0" w:space="0" w:color="auto"/>
            <w:bottom w:val="single" w:sz="6" w:space="0" w:color="CCCCCC"/>
            <w:right w:val="none" w:sz="0" w:space="0" w:color="auto"/>
            <w:insideH w:val="none" w:sz="0" w:space="0" w:color="auto"/>
            <w:insideV w:val="none" w:sz="0" w:space="0" w:color="auto"/>
          </w:tblBorders>
        </w:tblPrEx>
        <w:trPr>
          <w:trHeight w:val="222"/>
        </w:trPr>
        <w:tc>
          <w:tcPr>
            <w:tcW w:w="5000" w:type="pct"/>
            <w:tcBorders>
              <w:top w:val="single" w:sz="4" w:space="0" w:color="auto"/>
              <w:left w:val="single" w:sz="4" w:space="0" w:color="auto"/>
              <w:bottom w:val="single" w:sz="4" w:space="0" w:color="auto"/>
              <w:right w:val="single" w:sz="4" w:space="0" w:color="auto"/>
            </w:tcBorders>
            <w:vAlign w:val="center"/>
            <w:hideMark/>
          </w:tcPr>
          <w:p w14:paraId="7306B0C1" w14:textId="77777777" w:rsidR="004A0C3C" w:rsidRPr="002D1D30" w:rsidRDefault="004A0C3C" w:rsidP="003369DD">
            <w:pPr>
              <w:jc w:val="left"/>
              <w:rPr>
                <w:rFonts w:ascii="Arial Narrow" w:hAnsi="Arial Narrow" w:cs="Times New Roman"/>
                <w:iCs/>
                <w:color w:val="333333"/>
                <w:sz w:val="18"/>
                <w:szCs w:val="18"/>
              </w:rPr>
            </w:pPr>
            <w:r w:rsidRPr="002D1D30">
              <w:rPr>
                <w:rFonts w:ascii="Arial Narrow" w:hAnsi="Arial Narrow" w:cs="Times New Roman"/>
                <w:b/>
                <w:bCs/>
                <w:iCs/>
                <w:color w:val="333333"/>
                <w:sz w:val="18"/>
                <w:szCs w:val="18"/>
              </w:rPr>
              <w:t>Administrative Advice:</w:t>
            </w:r>
            <w:r w:rsidRPr="002D1D30">
              <w:rPr>
                <w:rFonts w:ascii="Arial Narrow" w:hAnsi="Arial Narrow" w:cs="Times New Roman"/>
                <w:iCs/>
                <w:color w:val="333333"/>
                <w:sz w:val="18"/>
                <w:szCs w:val="18"/>
              </w:rPr>
              <w:t xml:space="preserve"> Special Pricing Arrangements apply.</w:t>
            </w:r>
          </w:p>
        </w:tc>
      </w:tr>
      <w:tr w:rsidR="004A0C3C" w:rsidRPr="002D1D30" w14:paraId="05958928" w14:textId="77777777" w:rsidTr="004A0C3C">
        <w:tc>
          <w:tcPr>
            <w:tcW w:w="5000" w:type="pct"/>
            <w:tcBorders>
              <w:bottom w:val="nil"/>
            </w:tcBorders>
            <w:vAlign w:val="center"/>
            <w:hideMark/>
          </w:tcPr>
          <w:p w14:paraId="41556F24" w14:textId="77777777" w:rsidR="004A0C3C" w:rsidRPr="002D1D30" w:rsidRDefault="004A0C3C" w:rsidP="00235671">
            <w:pPr>
              <w:jc w:val="left"/>
              <w:rPr>
                <w:rFonts w:ascii="Arial Narrow" w:hAnsi="Arial Narrow" w:cs="Times New Roman"/>
                <w:color w:val="333333"/>
                <w:sz w:val="18"/>
                <w:szCs w:val="18"/>
              </w:rPr>
            </w:pPr>
            <w:r w:rsidRPr="002D1D30">
              <w:rPr>
                <w:rFonts w:ascii="Arial Narrow" w:hAnsi="Arial Narrow" w:cs="Times New Roman"/>
                <w:b/>
                <w:bCs/>
                <w:color w:val="333333"/>
                <w:sz w:val="18"/>
                <w:szCs w:val="18"/>
              </w:rPr>
              <w:t>Indication:</w:t>
            </w:r>
            <w:r w:rsidRPr="002D1D30">
              <w:rPr>
                <w:rFonts w:ascii="Arial Narrow" w:hAnsi="Arial Narrow" w:cs="Times New Roman"/>
                <w:color w:val="333333"/>
                <w:sz w:val="18"/>
                <w:szCs w:val="18"/>
              </w:rPr>
              <w:t xml:space="preserve"> Stage IIIB (local advanced) or Stage IV (metastatic) non-small cell lung cancer (NSCLC)</w:t>
            </w:r>
          </w:p>
        </w:tc>
      </w:tr>
      <w:tr w:rsidR="004A0C3C" w:rsidRPr="002D1D30" w14:paraId="3425382E" w14:textId="77777777" w:rsidTr="004A0C3C">
        <w:tc>
          <w:tcPr>
            <w:tcW w:w="5000" w:type="pct"/>
            <w:tcBorders>
              <w:top w:val="nil"/>
              <w:bottom w:val="nil"/>
            </w:tcBorders>
            <w:vAlign w:val="center"/>
            <w:hideMark/>
          </w:tcPr>
          <w:p w14:paraId="54BB652C" w14:textId="77777777" w:rsidR="004A0C3C" w:rsidRPr="002D1D30" w:rsidRDefault="004A0C3C" w:rsidP="003369DD">
            <w:pPr>
              <w:jc w:val="left"/>
              <w:rPr>
                <w:rFonts w:ascii="Arial Narrow" w:hAnsi="Arial Narrow" w:cs="Times New Roman"/>
                <w:color w:val="333333"/>
                <w:sz w:val="18"/>
                <w:szCs w:val="18"/>
              </w:rPr>
            </w:pPr>
            <w:r w:rsidRPr="002D1D30">
              <w:rPr>
                <w:rFonts w:ascii="Arial Narrow" w:hAnsi="Arial Narrow" w:cs="Times New Roman"/>
                <w:b/>
                <w:bCs/>
                <w:color w:val="333333"/>
                <w:sz w:val="18"/>
                <w:szCs w:val="18"/>
              </w:rPr>
              <w:t>Treatment Phase:</w:t>
            </w:r>
            <w:r w:rsidRPr="002D1D30">
              <w:rPr>
                <w:rFonts w:ascii="Arial Narrow" w:hAnsi="Arial Narrow" w:cs="Times New Roman"/>
                <w:color w:val="333333"/>
                <w:sz w:val="18"/>
                <w:szCs w:val="18"/>
              </w:rPr>
              <w:t xml:space="preserve"> Initial treatment</w:t>
            </w:r>
          </w:p>
        </w:tc>
      </w:tr>
      <w:tr w:rsidR="004A0C3C" w:rsidRPr="002D1D30" w14:paraId="10838E62" w14:textId="77777777" w:rsidTr="004A0C3C">
        <w:tc>
          <w:tcPr>
            <w:tcW w:w="5000" w:type="pct"/>
            <w:tcBorders>
              <w:top w:val="nil"/>
              <w:bottom w:val="nil"/>
            </w:tcBorders>
            <w:vAlign w:val="center"/>
            <w:hideMark/>
          </w:tcPr>
          <w:p w14:paraId="12E90578" w14:textId="77777777" w:rsidR="004A0C3C" w:rsidRPr="002D1D30" w:rsidRDefault="004A0C3C" w:rsidP="003369DD">
            <w:pPr>
              <w:jc w:val="left"/>
              <w:rPr>
                <w:rFonts w:ascii="Arial Narrow" w:hAnsi="Arial Narrow" w:cs="Times New Roman"/>
                <w:color w:val="333333"/>
                <w:sz w:val="18"/>
                <w:szCs w:val="18"/>
              </w:rPr>
            </w:pPr>
            <w:r w:rsidRPr="002D1D30">
              <w:rPr>
                <w:rFonts w:ascii="Arial Narrow" w:hAnsi="Arial Narrow" w:cs="Times New Roman"/>
                <w:b/>
                <w:bCs/>
                <w:color w:val="333333"/>
                <w:sz w:val="18"/>
                <w:szCs w:val="18"/>
              </w:rPr>
              <w:t>Clinical criteria:</w:t>
            </w:r>
          </w:p>
        </w:tc>
      </w:tr>
      <w:tr w:rsidR="004A0C3C" w:rsidRPr="002D1D30" w14:paraId="10986620" w14:textId="77777777" w:rsidTr="004A0C3C">
        <w:tc>
          <w:tcPr>
            <w:tcW w:w="5000" w:type="pct"/>
            <w:tcBorders>
              <w:top w:val="nil"/>
              <w:bottom w:val="nil"/>
            </w:tcBorders>
            <w:vAlign w:val="center"/>
            <w:hideMark/>
          </w:tcPr>
          <w:p w14:paraId="21FA0B83" w14:textId="77777777" w:rsidR="004A0C3C" w:rsidRPr="002D1D30" w:rsidRDefault="004A0C3C" w:rsidP="004A0C3C">
            <w:pPr>
              <w:pStyle w:val="ListParagraph"/>
              <w:numPr>
                <w:ilvl w:val="0"/>
                <w:numId w:val="23"/>
              </w:numPr>
              <w:spacing w:after="0"/>
              <w:ind w:left="714" w:hanging="357"/>
              <w:jc w:val="left"/>
              <w:rPr>
                <w:rFonts w:ascii="Arial Narrow" w:hAnsi="Arial Narrow" w:cs="Times New Roman"/>
                <w:color w:val="333333"/>
                <w:sz w:val="18"/>
                <w:szCs w:val="18"/>
              </w:rPr>
            </w:pPr>
            <w:r w:rsidRPr="002D1D30">
              <w:rPr>
                <w:rFonts w:ascii="Arial Narrow" w:hAnsi="Arial Narrow" w:cs="Times New Roman"/>
                <w:color w:val="333333"/>
                <w:sz w:val="18"/>
                <w:szCs w:val="18"/>
              </w:rPr>
              <w:t>The treatment must be as monotherapy</w:t>
            </w:r>
          </w:p>
        </w:tc>
      </w:tr>
      <w:tr w:rsidR="004A0C3C" w:rsidRPr="002D1D30" w14:paraId="3177CADF" w14:textId="77777777" w:rsidTr="004A0C3C">
        <w:tc>
          <w:tcPr>
            <w:tcW w:w="5000" w:type="pct"/>
            <w:tcBorders>
              <w:top w:val="nil"/>
              <w:bottom w:val="nil"/>
            </w:tcBorders>
            <w:vAlign w:val="center"/>
            <w:hideMark/>
          </w:tcPr>
          <w:p w14:paraId="4192A2AE" w14:textId="77777777" w:rsidR="004A0C3C" w:rsidRPr="002D1D30" w:rsidRDefault="004A0C3C" w:rsidP="004A0C3C">
            <w:pPr>
              <w:pStyle w:val="ListParagraph"/>
              <w:spacing w:after="0"/>
              <w:ind w:left="714"/>
              <w:jc w:val="left"/>
              <w:rPr>
                <w:rFonts w:ascii="Arial Narrow" w:hAnsi="Arial Narrow" w:cs="Times New Roman"/>
                <w:color w:val="333333"/>
                <w:sz w:val="18"/>
                <w:szCs w:val="18"/>
              </w:rPr>
            </w:pPr>
            <w:r w:rsidRPr="002D1D30">
              <w:rPr>
                <w:rFonts w:ascii="Arial Narrow" w:hAnsi="Arial Narrow" w:cs="Times New Roman"/>
                <w:b/>
                <w:bCs/>
                <w:color w:val="333333"/>
                <w:sz w:val="18"/>
                <w:szCs w:val="18"/>
              </w:rPr>
              <w:t>AND</w:t>
            </w:r>
          </w:p>
        </w:tc>
      </w:tr>
      <w:tr w:rsidR="004A0C3C" w:rsidRPr="002D1D30" w14:paraId="568E8781" w14:textId="77777777" w:rsidTr="004A0C3C">
        <w:trPr>
          <w:trHeight w:val="366"/>
        </w:trPr>
        <w:tc>
          <w:tcPr>
            <w:tcW w:w="5000" w:type="pct"/>
            <w:tcBorders>
              <w:top w:val="nil"/>
              <w:bottom w:val="nil"/>
            </w:tcBorders>
            <w:vAlign w:val="center"/>
            <w:hideMark/>
          </w:tcPr>
          <w:p w14:paraId="5BAEA8CC" w14:textId="77777777" w:rsidR="004A0C3C" w:rsidRPr="002D1D30" w:rsidRDefault="004A0C3C" w:rsidP="004A0C3C">
            <w:pPr>
              <w:pStyle w:val="ListParagraph"/>
              <w:numPr>
                <w:ilvl w:val="0"/>
                <w:numId w:val="23"/>
              </w:numPr>
              <w:spacing w:after="0"/>
              <w:ind w:left="714" w:hanging="357"/>
              <w:jc w:val="left"/>
              <w:rPr>
                <w:rFonts w:ascii="Arial Narrow" w:hAnsi="Arial Narrow" w:cs="Times New Roman"/>
                <w:color w:val="333333"/>
                <w:sz w:val="18"/>
                <w:szCs w:val="18"/>
              </w:rPr>
            </w:pPr>
            <w:r w:rsidRPr="002D1D30">
              <w:rPr>
                <w:rFonts w:ascii="Arial Narrow" w:hAnsi="Arial Narrow" w:cs="Times New Roman"/>
                <w:color w:val="333333"/>
                <w:sz w:val="18"/>
                <w:szCs w:val="18"/>
              </w:rPr>
              <w:t>The condition must be non-squamous type non-small cell lung cancer (NSCLC) or not otherwise specified type NSCLC</w:t>
            </w:r>
          </w:p>
        </w:tc>
      </w:tr>
      <w:tr w:rsidR="004A0C3C" w:rsidRPr="002D1D30" w14:paraId="265EF322" w14:textId="77777777" w:rsidTr="004A0C3C">
        <w:tc>
          <w:tcPr>
            <w:tcW w:w="5000" w:type="pct"/>
            <w:tcBorders>
              <w:top w:val="nil"/>
              <w:bottom w:val="nil"/>
            </w:tcBorders>
            <w:vAlign w:val="center"/>
            <w:hideMark/>
          </w:tcPr>
          <w:p w14:paraId="34F14132" w14:textId="77777777" w:rsidR="004A0C3C" w:rsidRPr="002D1D30" w:rsidRDefault="004A0C3C" w:rsidP="004A0C3C">
            <w:pPr>
              <w:pStyle w:val="ListParagraph"/>
              <w:spacing w:after="0"/>
              <w:ind w:left="714"/>
              <w:jc w:val="left"/>
              <w:rPr>
                <w:rFonts w:ascii="Arial Narrow" w:hAnsi="Arial Narrow" w:cs="Times New Roman"/>
                <w:color w:val="333333"/>
                <w:sz w:val="18"/>
                <w:szCs w:val="18"/>
              </w:rPr>
            </w:pPr>
            <w:r w:rsidRPr="002D1D30">
              <w:rPr>
                <w:rFonts w:ascii="Arial Narrow" w:hAnsi="Arial Narrow" w:cs="Times New Roman"/>
                <w:b/>
                <w:bCs/>
                <w:color w:val="333333"/>
                <w:sz w:val="18"/>
                <w:szCs w:val="18"/>
              </w:rPr>
              <w:t>AND</w:t>
            </w:r>
          </w:p>
        </w:tc>
      </w:tr>
      <w:tr w:rsidR="004A0C3C" w:rsidRPr="002D1D30" w14:paraId="1D235065" w14:textId="77777777" w:rsidTr="004A0C3C">
        <w:tc>
          <w:tcPr>
            <w:tcW w:w="5000" w:type="pct"/>
            <w:tcBorders>
              <w:top w:val="nil"/>
              <w:bottom w:val="nil"/>
            </w:tcBorders>
            <w:vAlign w:val="center"/>
            <w:hideMark/>
          </w:tcPr>
          <w:p w14:paraId="23A21C45" w14:textId="77777777" w:rsidR="004A0C3C" w:rsidRPr="002D1D30" w:rsidRDefault="004A0C3C" w:rsidP="004A0C3C">
            <w:pPr>
              <w:pStyle w:val="ListParagraph"/>
              <w:numPr>
                <w:ilvl w:val="0"/>
                <w:numId w:val="23"/>
              </w:numPr>
              <w:spacing w:after="0"/>
              <w:ind w:left="714" w:hanging="357"/>
              <w:jc w:val="left"/>
              <w:rPr>
                <w:rFonts w:ascii="Arial Narrow" w:hAnsi="Arial Narrow" w:cs="Times New Roman"/>
                <w:color w:val="333333"/>
                <w:sz w:val="18"/>
                <w:szCs w:val="18"/>
              </w:rPr>
            </w:pPr>
            <w:r w:rsidRPr="002D1D30">
              <w:rPr>
                <w:rFonts w:ascii="Arial Narrow" w:hAnsi="Arial Narrow" w:cs="Times New Roman"/>
                <w:color w:val="333333"/>
                <w:sz w:val="18"/>
                <w:szCs w:val="18"/>
              </w:rPr>
              <w:t>Patient must have a WHO performance status of 2 or less</w:t>
            </w:r>
          </w:p>
        </w:tc>
      </w:tr>
      <w:tr w:rsidR="004A0C3C" w:rsidRPr="002D1D30" w14:paraId="3B58B34A" w14:textId="77777777" w:rsidTr="004A0C3C">
        <w:tc>
          <w:tcPr>
            <w:tcW w:w="5000" w:type="pct"/>
            <w:tcBorders>
              <w:top w:val="nil"/>
              <w:bottom w:val="nil"/>
            </w:tcBorders>
            <w:vAlign w:val="center"/>
            <w:hideMark/>
          </w:tcPr>
          <w:p w14:paraId="6ECFF78C" w14:textId="77777777" w:rsidR="004A0C3C" w:rsidRPr="002D1D30" w:rsidRDefault="004A0C3C" w:rsidP="004A0C3C">
            <w:pPr>
              <w:pStyle w:val="ListParagraph"/>
              <w:spacing w:after="0"/>
              <w:ind w:left="714"/>
              <w:jc w:val="left"/>
              <w:rPr>
                <w:rFonts w:ascii="Arial Narrow" w:hAnsi="Arial Narrow" w:cs="Times New Roman"/>
                <w:color w:val="333333"/>
                <w:sz w:val="18"/>
                <w:szCs w:val="18"/>
              </w:rPr>
            </w:pPr>
            <w:r w:rsidRPr="002D1D30">
              <w:rPr>
                <w:rFonts w:ascii="Arial Narrow" w:hAnsi="Arial Narrow" w:cs="Times New Roman"/>
                <w:b/>
                <w:bCs/>
                <w:color w:val="333333"/>
                <w:sz w:val="18"/>
                <w:szCs w:val="18"/>
              </w:rPr>
              <w:t>AND</w:t>
            </w:r>
          </w:p>
        </w:tc>
      </w:tr>
      <w:tr w:rsidR="004A0C3C" w:rsidRPr="002D1D30" w14:paraId="22ADC13A" w14:textId="77777777" w:rsidTr="004A0C3C">
        <w:tc>
          <w:tcPr>
            <w:tcW w:w="5000" w:type="pct"/>
            <w:tcBorders>
              <w:top w:val="nil"/>
              <w:bottom w:val="nil"/>
            </w:tcBorders>
            <w:vAlign w:val="center"/>
            <w:hideMark/>
          </w:tcPr>
          <w:p w14:paraId="54E2FA6B" w14:textId="77777777" w:rsidR="004A0C3C" w:rsidRPr="002D1D30" w:rsidRDefault="004A0C3C" w:rsidP="004A0C3C">
            <w:pPr>
              <w:pStyle w:val="ListParagraph"/>
              <w:numPr>
                <w:ilvl w:val="0"/>
                <w:numId w:val="23"/>
              </w:numPr>
              <w:spacing w:after="0"/>
              <w:ind w:left="714" w:hanging="357"/>
              <w:jc w:val="left"/>
              <w:rPr>
                <w:rFonts w:ascii="Arial Narrow" w:hAnsi="Arial Narrow" w:cs="Times New Roman"/>
                <w:color w:val="333333"/>
                <w:sz w:val="18"/>
                <w:szCs w:val="18"/>
              </w:rPr>
            </w:pPr>
            <w:r w:rsidRPr="002D1D30">
              <w:rPr>
                <w:rFonts w:ascii="Arial Narrow" w:hAnsi="Arial Narrow" w:cs="Times New Roman"/>
                <w:color w:val="333333"/>
                <w:sz w:val="18"/>
                <w:szCs w:val="18"/>
              </w:rPr>
              <w:t>Patient must have evidence of c-ROS proto-oncogene 1 (ROS1) gene rearrangement in tumour material, defined as 15% (or greater) positive cells by fluorescence in situ hybridisation (FISH) testing</w:t>
            </w:r>
          </w:p>
        </w:tc>
      </w:tr>
      <w:tr w:rsidR="004A0C3C" w:rsidRPr="002D1D30" w14:paraId="205AE184" w14:textId="77777777" w:rsidTr="004A0C3C">
        <w:tc>
          <w:tcPr>
            <w:tcW w:w="5000" w:type="pct"/>
            <w:tcBorders>
              <w:top w:val="nil"/>
              <w:bottom w:val="nil"/>
            </w:tcBorders>
            <w:vAlign w:val="center"/>
          </w:tcPr>
          <w:p w14:paraId="7EDA8630" w14:textId="77777777" w:rsidR="004A0C3C" w:rsidRPr="002D1D30" w:rsidRDefault="004A0C3C" w:rsidP="004A0C3C">
            <w:pPr>
              <w:pStyle w:val="ListParagraph"/>
              <w:spacing w:after="0"/>
              <w:ind w:left="714"/>
              <w:jc w:val="left"/>
              <w:rPr>
                <w:rFonts w:ascii="Arial Narrow" w:hAnsi="Arial Narrow" w:cs="Times New Roman"/>
                <w:color w:val="333333"/>
                <w:sz w:val="18"/>
                <w:szCs w:val="18"/>
              </w:rPr>
            </w:pPr>
            <w:r w:rsidRPr="002D1D30">
              <w:rPr>
                <w:rFonts w:ascii="Arial Narrow" w:hAnsi="Arial Narrow" w:cs="Times New Roman"/>
                <w:b/>
                <w:bCs/>
                <w:color w:val="333333"/>
                <w:sz w:val="18"/>
                <w:szCs w:val="18"/>
              </w:rPr>
              <w:t>AND</w:t>
            </w:r>
          </w:p>
        </w:tc>
      </w:tr>
      <w:tr w:rsidR="004A0C3C" w:rsidRPr="002D1D30" w14:paraId="28868FE8" w14:textId="77777777" w:rsidTr="004A0C3C">
        <w:tc>
          <w:tcPr>
            <w:tcW w:w="5000" w:type="pct"/>
            <w:tcBorders>
              <w:top w:val="nil"/>
              <w:bottom w:val="nil"/>
            </w:tcBorders>
            <w:vAlign w:val="center"/>
          </w:tcPr>
          <w:p w14:paraId="598A4504" w14:textId="77777777" w:rsidR="004A0C3C" w:rsidRPr="002D1D30" w:rsidRDefault="004A0C3C" w:rsidP="004A0C3C">
            <w:pPr>
              <w:pStyle w:val="ListParagraph"/>
              <w:numPr>
                <w:ilvl w:val="0"/>
                <w:numId w:val="23"/>
              </w:numPr>
              <w:spacing w:after="0"/>
              <w:ind w:left="714" w:hanging="357"/>
              <w:jc w:val="left"/>
              <w:rPr>
                <w:rFonts w:ascii="Arial Narrow" w:hAnsi="Arial Narrow" w:cs="Times New Roman"/>
                <w:b/>
                <w:color w:val="333333"/>
                <w:sz w:val="18"/>
                <w:szCs w:val="18"/>
              </w:rPr>
            </w:pPr>
            <w:r w:rsidRPr="002D1D30">
              <w:rPr>
                <w:rFonts w:ascii="Arial Narrow" w:hAnsi="Arial Narrow" w:cs="Times New Roman"/>
                <w:color w:val="333333"/>
                <w:sz w:val="18"/>
                <w:szCs w:val="18"/>
              </w:rPr>
              <w:t>Patient must not have received prior treatment with a c-ROS proto-oncogene 1 (ROS1) receptor tyrosine kinase inhibitor for this condition; or</w:t>
            </w:r>
          </w:p>
        </w:tc>
      </w:tr>
      <w:tr w:rsidR="004A0C3C" w:rsidRPr="002D1D30" w14:paraId="66B4E7D0" w14:textId="77777777" w:rsidTr="004A0C3C">
        <w:trPr>
          <w:trHeight w:val="579"/>
        </w:trPr>
        <w:tc>
          <w:tcPr>
            <w:tcW w:w="5000" w:type="pct"/>
            <w:tcBorders>
              <w:top w:val="nil"/>
            </w:tcBorders>
            <w:vAlign w:val="center"/>
          </w:tcPr>
          <w:p w14:paraId="4D4B8EDF" w14:textId="77777777" w:rsidR="004A0C3C" w:rsidRPr="002D1D30" w:rsidRDefault="004A0C3C" w:rsidP="004A0C3C">
            <w:pPr>
              <w:pStyle w:val="ListParagraph"/>
              <w:numPr>
                <w:ilvl w:val="0"/>
                <w:numId w:val="23"/>
              </w:numPr>
              <w:spacing w:after="0"/>
              <w:ind w:left="714" w:hanging="357"/>
              <w:jc w:val="left"/>
              <w:rPr>
                <w:rFonts w:ascii="Arial Narrow" w:hAnsi="Arial Narrow" w:cs="Times New Roman"/>
                <w:color w:val="333333"/>
                <w:sz w:val="18"/>
                <w:szCs w:val="18"/>
              </w:rPr>
            </w:pPr>
            <w:r w:rsidRPr="002D1D30">
              <w:rPr>
                <w:rFonts w:ascii="Arial Narrow" w:hAnsi="Arial Narrow" w:cs="Times New Roman"/>
                <w:color w:val="333333"/>
                <w:sz w:val="18"/>
                <w:szCs w:val="18"/>
              </w:rPr>
              <w:t>Patient must have developed intolerance to a c-ROS proto-oncogene 1 (ROS1) receptor tyrosine kinase inhibitor necessitating permanent treatment withdrawal.</w:t>
            </w:r>
          </w:p>
        </w:tc>
      </w:tr>
      <w:tr w:rsidR="004A0C3C" w:rsidRPr="002D1D30" w14:paraId="4AC9DFA4" w14:textId="77777777" w:rsidTr="004A0C3C">
        <w:trPr>
          <w:trHeight w:val="1116"/>
        </w:trPr>
        <w:tc>
          <w:tcPr>
            <w:tcW w:w="5000" w:type="pct"/>
            <w:vAlign w:val="center"/>
            <w:hideMark/>
          </w:tcPr>
          <w:p w14:paraId="452DF87E" w14:textId="77777777" w:rsidR="004A0C3C" w:rsidRPr="002D1D30" w:rsidRDefault="004A0C3C" w:rsidP="003369DD">
            <w:pPr>
              <w:jc w:val="left"/>
              <w:rPr>
                <w:rFonts w:ascii="Arial Narrow" w:hAnsi="Arial Narrow" w:cs="Times New Roman"/>
                <w:color w:val="333333"/>
                <w:sz w:val="18"/>
                <w:szCs w:val="18"/>
              </w:rPr>
            </w:pPr>
            <w:r w:rsidRPr="002D1D30">
              <w:rPr>
                <w:rFonts w:ascii="Arial Narrow" w:hAnsi="Arial Narrow" w:cs="Times New Roman"/>
                <w:b/>
                <w:bCs/>
                <w:color w:val="333333"/>
                <w:sz w:val="18"/>
                <w:szCs w:val="18"/>
              </w:rPr>
              <w:t>Prescribing Instructions:</w:t>
            </w:r>
          </w:p>
          <w:p w14:paraId="0FA2E320" w14:textId="77777777" w:rsidR="004A0C3C" w:rsidRPr="002D1D30" w:rsidRDefault="004A0C3C" w:rsidP="003369DD">
            <w:pPr>
              <w:jc w:val="left"/>
              <w:rPr>
                <w:rFonts w:ascii="Arial Narrow" w:hAnsi="Arial Narrow" w:cs="Times New Roman"/>
                <w:color w:val="333333"/>
                <w:sz w:val="18"/>
                <w:szCs w:val="18"/>
              </w:rPr>
            </w:pPr>
            <w:r w:rsidRPr="002D1D30">
              <w:rPr>
                <w:rFonts w:ascii="Arial Narrow" w:hAnsi="Arial Narrow" w:cs="Times New Roman"/>
                <w:color w:val="333333"/>
                <w:sz w:val="18"/>
                <w:szCs w:val="18"/>
              </w:rPr>
              <w:t>The authority application must be made in writing and must include:</w:t>
            </w:r>
          </w:p>
          <w:p w14:paraId="76F004EF" w14:textId="77777777" w:rsidR="004A0C3C" w:rsidRPr="002D1D30" w:rsidRDefault="004A0C3C" w:rsidP="003369DD">
            <w:pPr>
              <w:jc w:val="left"/>
              <w:rPr>
                <w:rFonts w:ascii="Arial Narrow" w:hAnsi="Arial Narrow" w:cs="Times New Roman"/>
                <w:color w:val="333333"/>
                <w:sz w:val="18"/>
                <w:szCs w:val="18"/>
              </w:rPr>
            </w:pPr>
            <w:r w:rsidRPr="002D1D30">
              <w:rPr>
                <w:rFonts w:ascii="Arial Narrow" w:hAnsi="Arial Narrow" w:cs="Times New Roman"/>
                <w:color w:val="333333"/>
                <w:sz w:val="18"/>
                <w:szCs w:val="18"/>
              </w:rPr>
              <w:t>(1) a completed authority prescription form; and</w:t>
            </w:r>
          </w:p>
          <w:p w14:paraId="70FA3B82" w14:textId="77777777" w:rsidR="004A0C3C" w:rsidRPr="002D1D30" w:rsidRDefault="004A0C3C" w:rsidP="003369DD">
            <w:pPr>
              <w:jc w:val="left"/>
              <w:rPr>
                <w:rFonts w:ascii="Arial Narrow" w:hAnsi="Arial Narrow" w:cs="Times New Roman"/>
                <w:color w:val="333333"/>
                <w:sz w:val="18"/>
                <w:szCs w:val="18"/>
              </w:rPr>
            </w:pPr>
            <w:r w:rsidRPr="002D1D30">
              <w:rPr>
                <w:rFonts w:ascii="Arial Narrow" w:hAnsi="Arial Narrow" w:cs="Times New Roman"/>
                <w:color w:val="333333"/>
                <w:sz w:val="18"/>
                <w:szCs w:val="18"/>
              </w:rPr>
              <w:t>(2) a completed ROS1-Positive Non-Small-Cell Lung Cancer Authority Application - Supporting Information Form, which includes details of ROS1 gene rearrangement in tumour material.</w:t>
            </w:r>
          </w:p>
        </w:tc>
      </w:tr>
      <w:tr w:rsidR="004A0C3C" w:rsidRPr="002D1D30" w14:paraId="67E182B5" w14:textId="77777777" w:rsidTr="004A0C3C">
        <w:tc>
          <w:tcPr>
            <w:tcW w:w="5000" w:type="pct"/>
            <w:vAlign w:val="center"/>
            <w:hideMark/>
          </w:tcPr>
          <w:p w14:paraId="3D956255" w14:textId="77777777" w:rsidR="004A0C3C" w:rsidRPr="002D1D30" w:rsidRDefault="004A0C3C" w:rsidP="003369DD">
            <w:pPr>
              <w:jc w:val="left"/>
              <w:rPr>
                <w:rFonts w:ascii="Arial Narrow" w:hAnsi="Arial Narrow" w:cs="Times New Roman"/>
                <w:color w:val="333333"/>
                <w:sz w:val="18"/>
                <w:szCs w:val="18"/>
              </w:rPr>
            </w:pPr>
            <w:r w:rsidRPr="002D1D30">
              <w:rPr>
                <w:rFonts w:ascii="Arial Narrow" w:hAnsi="Arial Narrow" w:cs="Times New Roman"/>
                <w:b/>
                <w:bCs/>
                <w:color w:val="333333"/>
                <w:sz w:val="18"/>
                <w:szCs w:val="18"/>
              </w:rPr>
              <w:t>Administrative Advice:</w:t>
            </w:r>
          </w:p>
          <w:p w14:paraId="26EA22DC" w14:textId="77777777" w:rsidR="004A0C3C" w:rsidRPr="002D1D30" w:rsidRDefault="004A0C3C" w:rsidP="006B182C">
            <w:pPr>
              <w:jc w:val="left"/>
              <w:rPr>
                <w:rFonts w:ascii="Arial Narrow" w:hAnsi="Arial Narrow" w:cs="Times New Roman"/>
                <w:color w:val="333333"/>
                <w:sz w:val="18"/>
                <w:szCs w:val="18"/>
              </w:rPr>
            </w:pPr>
            <w:r w:rsidRPr="002D1D30">
              <w:rPr>
                <w:rFonts w:ascii="Arial Narrow" w:hAnsi="Arial Narrow" w:cs="Times New Roman"/>
                <w:color w:val="333333"/>
                <w:sz w:val="18"/>
                <w:szCs w:val="18"/>
              </w:rPr>
              <w:t>Any queries concerning the arrangements to prescribe may be directed to Services Australia on 1800 700 270 (hours of operation 8 a.m. to 5 p.m. EST Monday to Friday).</w:t>
            </w:r>
          </w:p>
          <w:p w14:paraId="7F480C70" w14:textId="77777777" w:rsidR="004A0C3C" w:rsidRPr="002D1D30" w:rsidRDefault="004A0C3C" w:rsidP="006B182C">
            <w:pPr>
              <w:jc w:val="left"/>
              <w:rPr>
                <w:rFonts w:ascii="Arial Narrow" w:hAnsi="Arial Narrow" w:cs="Times New Roman"/>
                <w:color w:val="333333"/>
                <w:sz w:val="18"/>
                <w:szCs w:val="18"/>
              </w:rPr>
            </w:pPr>
            <w:r w:rsidRPr="002D1D30">
              <w:rPr>
                <w:rFonts w:ascii="Arial Narrow" w:hAnsi="Arial Narrow" w:cs="Times New Roman"/>
                <w:color w:val="333333"/>
                <w:sz w:val="18"/>
                <w:szCs w:val="18"/>
              </w:rPr>
              <w:t xml:space="preserve"> </w:t>
            </w:r>
          </w:p>
          <w:p w14:paraId="0A121F93" w14:textId="77777777" w:rsidR="004A0C3C" w:rsidRPr="002D1D30" w:rsidRDefault="004A0C3C" w:rsidP="006B182C">
            <w:pPr>
              <w:jc w:val="left"/>
              <w:rPr>
                <w:rFonts w:ascii="Arial Narrow" w:hAnsi="Arial Narrow" w:cs="Times New Roman"/>
                <w:color w:val="333333"/>
                <w:sz w:val="18"/>
                <w:szCs w:val="18"/>
              </w:rPr>
            </w:pPr>
            <w:r w:rsidRPr="002D1D30">
              <w:rPr>
                <w:rFonts w:ascii="Arial Narrow" w:hAnsi="Arial Narrow" w:cs="Times New Roman"/>
                <w:color w:val="333333"/>
                <w:sz w:val="18"/>
                <w:szCs w:val="18"/>
              </w:rPr>
              <w:t>Prescribing information (including Authority Application forms and other relevant documentation as applicable) is available on the Services Australia website at www.servicesaustralia.gov.au</w:t>
            </w:r>
          </w:p>
          <w:p w14:paraId="7451F9AE" w14:textId="77777777" w:rsidR="004A0C3C" w:rsidRPr="002D1D30" w:rsidRDefault="004A0C3C" w:rsidP="006B182C">
            <w:pPr>
              <w:jc w:val="left"/>
              <w:rPr>
                <w:rFonts w:ascii="Arial Narrow" w:hAnsi="Arial Narrow" w:cs="Times New Roman"/>
                <w:color w:val="333333"/>
                <w:sz w:val="18"/>
                <w:szCs w:val="18"/>
              </w:rPr>
            </w:pPr>
            <w:r w:rsidRPr="002D1D30">
              <w:rPr>
                <w:rFonts w:ascii="Arial Narrow" w:hAnsi="Arial Narrow" w:cs="Times New Roman"/>
                <w:color w:val="333333"/>
                <w:sz w:val="18"/>
                <w:szCs w:val="18"/>
              </w:rPr>
              <w:t xml:space="preserve"> </w:t>
            </w:r>
          </w:p>
          <w:p w14:paraId="07E479A8" w14:textId="77777777" w:rsidR="004A0C3C" w:rsidRPr="002D1D30" w:rsidRDefault="004A0C3C" w:rsidP="006B182C">
            <w:pPr>
              <w:jc w:val="left"/>
              <w:rPr>
                <w:rFonts w:ascii="Arial Narrow" w:hAnsi="Arial Narrow" w:cs="Times New Roman"/>
                <w:color w:val="333333"/>
                <w:sz w:val="18"/>
                <w:szCs w:val="18"/>
              </w:rPr>
            </w:pPr>
            <w:r w:rsidRPr="002D1D30">
              <w:rPr>
                <w:rFonts w:ascii="Arial Narrow" w:hAnsi="Arial Narrow" w:cs="Times New Roman"/>
                <w:color w:val="333333"/>
                <w:sz w:val="18"/>
                <w:szCs w:val="18"/>
              </w:rPr>
              <w:t xml:space="preserve">Applications for authority to prescribe should be submitted online using the form upload facility in Health Professional Online Services (HPOS) at www.servicesaustralia.gov.au/hpos </w:t>
            </w:r>
          </w:p>
          <w:p w14:paraId="631BD5CE" w14:textId="77777777" w:rsidR="004A0C3C" w:rsidRPr="002D1D30" w:rsidRDefault="004A0C3C" w:rsidP="006B182C">
            <w:pPr>
              <w:jc w:val="left"/>
              <w:rPr>
                <w:rFonts w:ascii="Arial Narrow" w:hAnsi="Arial Narrow" w:cs="Times New Roman"/>
                <w:color w:val="333333"/>
                <w:sz w:val="18"/>
                <w:szCs w:val="18"/>
              </w:rPr>
            </w:pPr>
            <w:r w:rsidRPr="002D1D30">
              <w:rPr>
                <w:rFonts w:ascii="Arial Narrow" w:hAnsi="Arial Narrow" w:cs="Times New Roman"/>
                <w:color w:val="333333"/>
                <w:sz w:val="18"/>
                <w:szCs w:val="18"/>
              </w:rPr>
              <w:t>Or mailed to:</w:t>
            </w:r>
          </w:p>
          <w:p w14:paraId="3DE62D62" w14:textId="77777777" w:rsidR="004A0C3C" w:rsidRPr="002D1D30" w:rsidRDefault="004A0C3C" w:rsidP="006B182C">
            <w:pPr>
              <w:jc w:val="left"/>
              <w:rPr>
                <w:rFonts w:ascii="Arial Narrow" w:hAnsi="Arial Narrow" w:cs="Times New Roman"/>
                <w:color w:val="333333"/>
                <w:sz w:val="18"/>
                <w:szCs w:val="18"/>
              </w:rPr>
            </w:pPr>
            <w:r w:rsidRPr="002D1D30">
              <w:rPr>
                <w:rFonts w:ascii="Arial Narrow" w:hAnsi="Arial Narrow" w:cs="Times New Roman"/>
                <w:color w:val="333333"/>
                <w:sz w:val="18"/>
                <w:szCs w:val="18"/>
              </w:rPr>
              <w:t xml:space="preserve"> </w:t>
            </w:r>
          </w:p>
          <w:p w14:paraId="4267D182" w14:textId="77777777" w:rsidR="004A0C3C" w:rsidRPr="002D1D30" w:rsidRDefault="004A0C3C" w:rsidP="006B182C">
            <w:pPr>
              <w:jc w:val="left"/>
              <w:rPr>
                <w:rFonts w:ascii="Arial Narrow" w:hAnsi="Arial Narrow" w:cs="Times New Roman"/>
                <w:color w:val="333333"/>
                <w:sz w:val="18"/>
                <w:szCs w:val="18"/>
              </w:rPr>
            </w:pPr>
            <w:r w:rsidRPr="002D1D30">
              <w:rPr>
                <w:rFonts w:ascii="Arial Narrow" w:hAnsi="Arial Narrow" w:cs="Times New Roman"/>
                <w:color w:val="333333"/>
                <w:sz w:val="18"/>
                <w:szCs w:val="18"/>
              </w:rPr>
              <w:t>Services Australia</w:t>
            </w:r>
          </w:p>
          <w:p w14:paraId="23DD37F4" w14:textId="77777777" w:rsidR="004A0C3C" w:rsidRPr="002D1D30" w:rsidRDefault="004A0C3C" w:rsidP="006B182C">
            <w:pPr>
              <w:jc w:val="left"/>
              <w:rPr>
                <w:rFonts w:ascii="Arial Narrow" w:hAnsi="Arial Narrow" w:cs="Times New Roman"/>
                <w:color w:val="333333"/>
                <w:sz w:val="18"/>
                <w:szCs w:val="18"/>
              </w:rPr>
            </w:pPr>
            <w:r w:rsidRPr="002D1D30">
              <w:rPr>
                <w:rFonts w:ascii="Arial Narrow" w:hAnsi="Arial Narrow" w:cs="Times New Roman"/>
                <w:color w:val="333333"/>
                <w:sz w:val="18"/>
                <w:szCs w:val="18"/>
              </w:rPr>
              <w:t>Complex Drugs</w:t>
            </w:r>
          </w:p>
          <w:p w14:paraId="78B8494E" w14:textId="77777777" w:rsidR="004A0C3C" w:rsidRPr="002D1D30" w:rsidRDefault="004A0C3C" w:rsidP="006B182C">
            <w:pPr>
              <w:jc w:val="left"/>
              <w:rPr>
                <w:rFonts w:ascii="Arial Narrow" w:hAnsi="Arial Narrow" w:cs="Times New Roman"/>
                <w:color w:val="333333"/>
                <w:sz w:val="18"/>
                <w:szCs w:val="18"/>
              </w:rPr>
            </w:pPr>
            <w:r w:rsidRPr="002D1D30">
              <w:rPr>
                <w:rFonts w:ascii="Arial Narrow" w:hAnsi="Arial Narrow" w:cs="Times New Roman"/>
                <w:color w:val="333333"/>
                <w:sz w:val="18"/>
                <w:szCs w:val="18"/>
              </w:rPr>
              <w:t>Reply Paid 9826</w:t>
            </w:r>
          </w:p>
          <w:p w14:paraId="50E121FB" w14:textId="77777777" w:rsidR="004A0C3C" w:rsidRPr="002D1D30" w:rsidRDefault="004A0C3C" w:rsidP="006B182C">
            <w:pPr>
              <w:jc w:val="left"/>
              <w:rPr>
                <w:rFonts w:ascii="Arial Narrow" w:hAnsi="Arial Narrow" w:cs="Times New Roman"/>
                <w:color w:val="333333"/>
                <w:sz w:val="18"/>
                <w:szCs w:val="18"/>
              </w:rPr>
            </w:pPr>
            <w:r w:rsidRPr="002D1D30">
              <w:rPr>
                <w:rFonts w:ascii="Arial Narrow" w:hAnsi="Arial Narrow" w:cs="Times New Roman"/>
                <w:color w:val="333333"/>
                <w:sz w:val="18"/>
                <w:szCs w:val="18"/>
              </w:rPr>
              <w:t>HOBART TAS 7001</w:t>
            </w:r>
          </w:p>
        </w:tc>
      </w:tr>
    </w:tbl>
    <w:p w14:paraId="51604281" w14:textId="77777777" w:rsidR="0092460B" w:rsidRPr="002D1D30" w:rsidRDefault="0092460B" w:rsidP="0092460B">
      <w:pPr>
        <w:keepNext/>
        <w:spacing w:line="259" w:lineRule="auto"/>
        <w:rPr>
          <w:rFonts w:ascii="Arial Narrow" w:eastAsia="Calibri" w:hAnsi="Arial Narrow" w:cs="Calibri"/>
          <w:b/>
          <w:bCs/>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4A0C3C" w:rsidRPr="002D1D30" w14:paraId="6F989775" w14:textId="77777777" w:rsidTr="004A0C3C">
        <w:tc>
          <w:tcPr>
            <w:tcW w:w="5000" w:type="pct"/>
            <w:tcBorders>
              <w:top w:val="single" w:sz="4" w:space="0" w:color="auto"/>
              <w:left w:val="single" w:sz="4" w:space="0" w:color="auto"/>
              <w:bottom w:val="single" w:sz="4" w:space="0" w:color="auto"/>
              <w:right w:val="single" w:sz="4" w:space="0" w:color="auto"/>
            </w:tcBorders>
          </w:tcPr>
          <w:p w14:paraId="74E42627" w14:textId="0E8775C5" w:rsidR="004A0C3C" w:rsidRPr="002D1D30" w:rsidRDefault="004A0C3C" w:rsidP="003369DD">
            <w:pPr>
              <w:jc w:val="left"/>
              <w:rPr>
                <w:rFonts w:ascii="Arial Narrow" w:hAnsi="Arial Narrow" w:cs="Times New Roman"/>
                <w:b/>
                <w:bCs/>
                <w:color w:val="333333"/>
                <w:sz w:val="18"/>
                <w:szCs w:val="18"/>
              </w:rPr>
            </w:pPr>
            <w:r w:rsidRPr="002D1D30">
              <w:rPr>
                <w:rFonts w:ascii="Arial Narrow" w:eastAsia="Calibri" w:hAnsi="Arial Narrow"/>
                <w:b/>
                <w:sz w:val="18"/>
                <w:szCs w:val="18"/>
                <w:lang w:eastAsia="en-US"/>
              </w:rPr>
              <w:t xml:space="preserve">Category / Program: </w:t>
            </w:r>
            <w:r w:rsidR="0041158C">
              <w:rPr>
                <w:rFonts w:ascii="Arial Narrow" w:eastAsia="Calibri" w:hAnsi="Arial Narrow"/>
                <w:b/>
                <w:sz w:val="18"/>
                <w:szCs w:val="18"/>
                <w:lang w:eastAsia="en-US"/>
              </w:rPr>
              <w:t xml:space="preserve"> </w:t>
            </w:r>
            <w:r w:rsidRPr="002D1D30">
              <w:rPr>
                <w:rFonts w:ascii="Arial Narrow" w:eastAsia="Calibri" w:hAnsi="Arial Narrow"/>
                <w:sz w:val="18"/>
                <w:szCs w:val="18"/>
                <w:lang w:eastAsia="en-US"/>
              </w:rPr>
              <w:t>GENERAL – General Schedule (Code GE)</w:t>
            </w:r>
          </w:p>
        </w:tc>
      </w:tr>
      <w:tr w:rsidR="004A0C3C" w:rsidRPr="002D1D30" w14:paraId="6AA8004B" w14:textId="77777777" w:rsidTr="004A0C3C">
        <w:tc>
          <w:tcPr>
            <w:tcW w:w="5000" w:type="pct"/>
            <w:tcBorders>
              <w:top w:val="single" w:sz="4" w:space="0" w:color="auto"/>
              <w:left w:val="single" w:sz="4" w:space="0" w:color="auto"/>
              <w:bottom w:val="single" w:sz="4" w:space="0" w:color="auto"/>
              <w:right w:val="single" w:sz="4" w:space="0" w:color="auto"/>
            </w:tcBorders>
          </w:tcPr>
          <w:p w14:paraId="4BF755EB" w14:textId="77777777" w:rsidR="004A0C3C" w:rsidRPr="002D1D30" w:rsidRDefault="004A0C3C" w:rsidP="003369DD">
            <w:pPr>
              <w:jc w:val="left"/>
              <w:rPr>
                <w:rFonts w:ascii="Arial Narrow" w:hAnsi="Arial Narrow" w:cs="Times New Roman"/>
                <w:b/>
                <w:bCs/>
                <w:color w:val="333333"/>
                <w:sz w:val="18"/>
                <w:szCs w:val="18"/>
              </w:rPr>
            </w:pPr>
            <w:r w:rsidRPr="002D1D30">
              <w:rPr>
                <w:rFonts w:ascii="Arial Narrow" w:eastAsia="Calibri" w:hAnsi="Arial Narrow"/>
                <w:b/>
                <w:sz w:val="18"/>
                <w:szCs w:val="18"/>
                <w:lang w:eastAsia="en-US"/>
              </w:rPr>
              <w:lastRenderedPageBreak/>
              <w:t xml:space="preserve">Prescriber type:   </w:t>
            </w:r>
            <w:r w:rsidRPr="002D1D30">
              <w:rPr>
                <w:rFonts w:ascii="Arial Narrow" w:eastAsia="Calibri" w:hAnsi="Arial Narrow"/>
                <w:sz w:val="18"/>
                <w:szCs w:val="18"/>
                <w:lang w:eastAsia="en-US"/>
              </w:rPr>
              <w:fldChar w:fldCharType="begin">
                <w:ffData>
                  <w:name w:val="Check1"/>
                  <w:enabled/>
                  <w:calcOnExit w:val="0"/>
                  <w:checkBox>
                    <w:sizeAuto/>
                    <w:default w:val="0"/>
                  </w:checkBox>
                </w:ffData>
              </w:fldChar>
            </w:r>
            <w:r w:rsidRPr="002D1D30">
              <w:rPr>
                <w:rFonts w:ascii="Arial Narrow" w:eastAsia="Calibri" w:hAnsi="Arial Narrow"/>
                <w:sz w:val="18"/>
                <w:szCs w:val="18"/>
                <w:lang w:eastAsia="en-US"/>
              </w:rPr>
              <w:instrText xml:space="preserve"> FORMCHECKBOX </w:instrText>
            </w:r>
            <w:r w:rsidR="00180107">
              <w:rPr>
                <w:rFonts w:ascii="Arial Narrow" w:eastAsia="Calibri" w:hAnsi="Arial Narrow"/>
                <w:sz w:val="18"/>
                <w:szCs w:val="18"/>
                <w:lang w:eastAsia="en-US"/>
              </w:rPr>
            </w:r>
            <w:r w:rsidR="00180107">
              <w:rPr>
                <w:rFonts w:ascii="Arial Narrow" w:eastAsia="Calibri" w:hAnsi="Arial Narrow"/>
                <w:sz w:val="18"/>
                <w:szCs w:val="18"/>
                <w:lang w:eastAsia="en-US"/>
              </w:rPr>
              <w:fldChar w:fldCharType="separate"/>
            </w:r>
            <w:r w:rsidRPr="002D1D30">
              <w:rPr>
                <w:rFonts w:ascii="Arial Narrow" w:eastAsia="Calibri" w:hAnsi="Arial Narrow"/>
                <w:sz w:val="18"/>
                <w:szCs w:val="18"/>
                <w:lang w:eastAsia="en-US"/>
              </w:rPr>
              <w:fldChar w:fldCharType="end"/>
            </w:r>
            <w:r w:rsidRPr="002D1D30">
              <w:rPr>
                <w:rFonts w:ascii="Arial Narrow" w:eastAsia="Calibri" w:hAnsi="Arial Narrow"/>
                <w:sz w:val="18"/>
                <w:szCs w:val="18"/>
                <w:lang w:eastAsia="en-US"/>
              </w:rPr>
              <w:t xml:space="preserve">Dental    </w:t>
            </w:r>
            <w:r w:rsidRPr="002D1D30">
              <w:rPr>
                <w:rFonts w:ascii="Arial Narrow" w:eastAsia="Calibri" w:hAnsi="Arial Narrow"/>
                <w:sz w:val="18"/>
                <w:szCs w:val="18"/>
                <w:lang w:eastAsia="en-US"/>
              </w:rPr>
              <w:fldChar w:fldCharType="begin">
                <w:ffData>
                  <w:name w:val=""/>
                  <w:enabled/>
                  <w:calcOnExit w:val="0"/>
                  <w:checkBox>
                    <w:sizeAuto/>
                    <w:default w:val="1"/>
                  </w:checkBox>
                </w:ffData>
              </w:fldChar>
            </w:r>
            <w:r w:rsidRPr="002D1D30">
              <w:rPr>
                <w:rFonts w:ascii="Arial Narrow" w:eastAsia="Calibri" w:hAnsi="Arial Narrow"/>
                <w:sz w:val="18"/>
                <w:szCs w:val="18"/>
                <w:lang w:eastAsia="en-US"/>
              </w:rPr>
              <w:instrText xml:space="preserve"> FORMCHECKBOX </w:instrText>
            </w:r>
            <w:r w:rsidR="00180107">
              <w:rPr>
                <w:rFonts w:ascii="Arial Narrow" w:eastAsia="Calibri" w:hAnsi="Arial Narrow"/>
                <w:sz w:val="18"/>
                <w:szCs w:val="18"/>
                <w:lang w:eastAsia="en-US"/>
              </w:rPr>
            </w:r>
            <w:r w:rsidR="00180107">
              <w:rPr>
                <w:rFonts w:ascii="Arial Narrow" w:eastAsia="Calibri" w:hAnsi="Arial Narrow"/>
                <w:sz w:val="18"/>
                <w:szCs w:val="18"/>
                <w:lang w:eastAsia="en-US"/>
              </w:rPr>
              <w:fldChar w:fldCharType="separate"/>
            </w:r>
            <w:r w:rsidRPr="002D1D30">
              <w:rPr>
                <w:rFonts w:ascii="Arial Narrow" w:eastAsia="Calibri" w:hAnsi="Arial Narrow"/>
                <w:sz w:val="18"/>
                <w:szCs w:val="18"/>
                <w:lang w:eastAsia="en-US"/>
              </w:rPr>
              <w:fldChar w:fldCharType="end"/>
            </w:r>
            <w:r w:rsidRPr="002D1D30">
              <w:rPr>
                <w:rFonts w:ascii="Arial Narrow" w:eastAsia="Calibri" w:hAnsi="Arial Narrow"/>
                <w:sz w:val="18"/>
                <w:szCs w:val="18"/>
                <w:lang w:eastAsia="en-US"/>
              </w:rPr>
              <w:t xml:space="preserve">Medical Practitioners    </w:t>
            </w:r>
            <w:r w:rsidRPr="002D1D30">
              <w:rPr>
                <w:rFonts w:ascii="Arial Narrow" w:eastAsia="Calibri" w:hAnsi="Arial Narrow"/>
                <w:sz w:val="18"/>
                <w:szCs w:val="18"/>
                <w:lang w:eastAsia="en-US"/>
              </w:rPr>
              <w:fldChar w:fldCharType="begin">
                <w:ffData>
                  <w:name w:val="Check3"/>
                  <w:enabled/>
                  <w:calcOnExit w:val="0"/>
                  <w:checkBox>
                    <w:sizeAuto/>
                    <w:default w:val="0"/>
                  </w:checkBox>
                </w:ffData>
              </w:fldChar>
            </w:r>
            <w:r w:rsidRPr="002D1D30">
              <w:rPr>
                <w:rFonts w:ascii="Arial Narrow" w:eastAsia="Calibri" w:hAnsi="Arial Narrow"/>
                <w:sz w:val="18"/>
                <w:szCs w:val="18"/>
                <w:lang w:eastAsia="en-US"/>
              </w:rPr>
              <w:instrText xml:space="preserve"> FORMCHECKBOX </w:instrText>
            </w:r>
            <w:r w:rsidR="00180107">
              <w:rPr>
                <w:rFonts w:ascii="Arial Narrow" w:eastAsia="Calibri" w:hAnsi="Arial Narrow"/>
                <w:sz w:val="18"/>
                <w:szCs w:val="18"/>
                <w:lang w:eastAsia="en-US"/>
              </w:rPr>
            </w:r>
            <w:r w:rsidR="00180107">
              <w:rPr>
                <w:rFonts w:ascii="Arial Narrow" w:eastAsia="Calibri" w:hAnsi="Arial Narrow"/>
                <w:sz w:val="18"/>
                <w:szCs w:val="18"/>
                <w:lang w:eastAsia="en-US"/>
              </w:rPr>
              <w:fldChar w:fldCharType="separate"/>
            </w:r>
            <w:r w:rsidRPr="002D1D30">
              <w:rPr>
                <w:rFonts w:ascii="Arial Narrow" w:eastAsia="Calibri" w:hAnsi="Arial Narrow"/>
                <w:sz w:val="18"/>
                <w:szCs w:val="18"/>
                <w:lang w:eastAsia="en-US"/>
              </w:rPr>
              <w:fldChar w:fldCharType="end"/>
            </w:r>
            <w:r w:rsidRPr="002D1D30">
              <w:rPr>
                <w:rFonts w:ascii="Arial Narrow" w:eastAsia="Calibri" w:hAnsi="Arial Narrow"/>
                <w:sz w:val="18"/>
                <w:szCs w:val="18"/>
                <w:lang w:eastAsia="en-US"/>
              </w:rPr>
              <w:t xml:space="preserve">Nurse practitioners     </w:t>
            </w:r>
            <w:r w:rsidRPr="002D1D30">
              <w:rPr>
                <w:rFonts w:ascii="Arial Narrow" w:eastAsia="Calibri" w:hAnsi="Arial Narrow"/>
                <w:sz w:val="18"/>
                <w:szCs w:val="18"/>
                <w:lang w:eastAsia="en-US"/>
              </w:rPr>
              <w:fldChar w:fldCharType="begin">
                <w:ffData>
                  <w:name w:val=""/>
                  <w:enabled/>
                  <w:calcOnExit w:val="0"/>
                  <w:checkBox>
                    <w:sizeAuto/>
                    <w:default w:val="0"/>
                  </w:checkBox>
                </w:ffData>
              </w:fldChar>
            </w:r>
            <w:r w:rsidRPr="002D1D30">
              <w:rPr>
                <w:rFonts w:ascii="Arial Narrow" w:eastAsia="Calibri" w:hAnsi="Arial Narrow"/>
                <w:sz w:val="18"/>
                <w:szCs w:val="18"/>
                <w:lang w:eastAsia="en-US"/>
              </w:rPr>
              <w:instrText xml:space="preserve"> FORMCHECKBOX </w:instrText>
            </w:r>
            <w:r w:rsidR="00180107">
              <w:rPr>
                <w:rFonts w:ascii="Arial Narrow" w:eastAsia="Calibri" w:hAnsi="Arial Narrow"/>
                <w:sz w:val="18"/>
                <w:szCs w:val="18"/>
                <w:lang w:eastAsia="en-US"/>
              </w:rPr>
            </w:r>
            <w:r w:rsidR="00180107">
              <w:rPr>
                <w:rFonts w:ascii="Arial Narrow" w:eastAsia="Calibri" w:hAnsi="Arial Narrow"/>
                <w:sz w:val="18"/>
                <w:szCs w:val="18"/>
                <w:lang w:eastAsia="en-US"/>
              </w:rPr>
              <w:fldChar w:fldCharType="separate"/>
            </w:r>
            <w:r w:rsidRPr="002D1D30">
              <w:rPr>
                <w:rFonts w:ascii="Arial Narrow" w:eastAsia="Calibri" w:hAnsi="Arial Narrow"/>
                <w:sz w:val="18"/>
                <w:szCs w:val="18"/>
                <w:lang w:eastAsia="en-US"/>
              </w:rPr>
              <w:fldChar w:fldCharType="end"/>
            </w:r>
            <w:r w:rsidRPr="002D1D30">
              <w:rPr>
                <w:rFonts w:ascii="Arial Narrow" w:eastAsia="Calibri" w:hAnsi="Arial Narrow"/>
                <w:sz w:val="18"/>
                <w:szCs w:val="18"/>
                <w:lang w:eastAsia="en-US"/>
              </w:rPr>
              <w:t xml:space="preserve">Optometrists    </w:t>
            </w:r>
            <w:r w:rsidRPr="002D1D30">
              <w:rPr>
                <w:rFonts w:ascii="Arial Narrow" w:eastAsia="Calibri" w:hAnsi="Arial Narrow"/>
                <w:sz w:val="18"/>
                <w:szCs w:val="18"/>
                <w:lang w:eastAsia="en-US"/>
              </w:rPr>
              <w:fldChar w:fldCharType="begin">
                <w:ffData>
                  <w:name w:val="Check5"/>
                  <w:enabled/>
                  <w:calcOnExit w:val="0"/>
                  <w:checkBox>
                    <w:sizeAuto/>
                    <w:default w:val="0"/>
                  </w:checkBox>
                </w:ffData>
              </w:fldChar>
            </w:r>
            <w:r w:rsidRPr="002D1D30">
              <w:rPr>
                <w:rFonts w:ascii="Arial Narrow" w:eastAsia="Calibri" w:hAnsi="Arial Narrow"/>
                <w:sz w:val="18"/>
                <w:szCs w:val="18"/>
                <w:lang w:eastAsia="en-US"/>
              </w:rPr>
              <w:instrText xml:space="preserve"> FORMCHECKBOX </w:instrText>
            </w:r>
            <w:r w:rsidR="00180107">
              <w:rPr>
                <w:rFonts w:ascii="Arial Narrow" w:eastAsia="Calibri" w:hAnsi="Arial Narrow"/>
                <w:sz w:val="18"/>
                <w:szCs w:val="18"/>
                <w:lang w:eastAsia="en-US"/>
              </w:rPr>
            </w:r>
            <w:r w:rsidR="00180107">
              <w:rPr>
                <w:rFonts w:ascii="Arial Narrow" w:eastAsia="Calibri" w:hAnsi="Arial Narrow"/>
                <w:sz w:val="18"/>
                <w:szCs w:val="18"/>
                <w:lang w:eastAsia="en-US"/>
              </w:rPr>
              <w:fldChar w:fldCharType="separate"/>
            </w:r>
            <w:r w:rsidRPr="002D1D30">
              <w:rPr>
                <w:rFonts w:ascii="Arial Narrow" w:eastAsia="Calibri" w:hAnsi="Arial Narrow"/>
                <w:sz w:val="18"/>
                <w:szCs w:val="18"/>
                <w:lang w:eastAsia="en-US"/>
              </w:rPr>
              <w:fldChar w:fldCharType="end"/>
            </w:r>
            <w:r w:rsidRPr="002D1D30">
              <w:rPr>
                <w:rFonts w:ascii="Arial Narrow" w:eastAsia="Calibri" w:hAnsi="Arial Narrow"/>
                <w:sz w:val="18"/>
                <w:szCs w:val="18"/>
                <w:lang w:eastAsia="en-US"/>
              </w:rPr>
              <w:t>Midwives</w:t>
            </w:r>
          </w:p>
        </w:tc>
      </w:tr>
      <w:tr w:rsidR="004A0C3C" w:rsidRPr="002D1D30" w14:paraId="51835AB7" w14:textId="77777777" w:rsidTr="004A0C3C">
        <w:tc>
          <w:tcPr>
            <w:tcW w:w="5000" w:type="pct"/>
            <w:tcBorders>
              <w:top w:val="single" w:sz="4" w:space="0" w:color="auto"/>
              <w:left w:val="single" w:sz="4" w:space="0" w:color="auto"/>
              <w:bottom w:val="single" w:sz="4" w:space="0" w:color="auto"/>
              <w:right w:val="single" w:sz="4" w:space="0" w:color="auto"/>
            </w:tcBorders>
          </w:tcPr>
          <w:p w14:paraId="4A203AFA" w14:textId="77777777" w:rsidR="004A0C3C" w:rsidRPr="002D1D30" w:rsidRDefault="004A0C3C" w:rsidP="004A0C3C">
            <w:pPr>
              <w:rPr>
                <w:rFonts w:ascii="Arial Narrow" w:eastAsia="Calibri" w:hAnsi="Arial Narrow"/>
                <w:b/>
                <w:sz w:val="18"/>
                <w:szCs w:val="18"/>
                <w:lang w:eastAsia="en-US"/>
              </w:rPr>
            </w:pPr>
            <w:r w:rsidRPr="002D1D30">
              <w:rPr>
                <w:rFonts w:ascii="Arial Narrow" w:eastAsia="Calibri" w:hAnsi="Arial Narrow"/>
                <w:b/>
                <w:sz w:val="18"/>
                <w:szCs w:val="18"/>
                <w:lang w:eastAsia="en-US"/>
              </w:rPr>
              <w:t xml:space="preserve">Restriction Level / Method: </w:t>
            </w:r>
            <w:r w:rsidRPr="002D1D30">
              <w:rPr>
                <w:rFonts w:ascii="Arial Narrow" w:eastAsia="Calibri" w:hAnsi="Arial Narrow"/>
                <w:sz w:val="18"/>
                <w:szCs w:val="18"/>
                <w:lang w:eastAsia="en-US"/>
              </w:rPr>
              <w:fldChar w:fldCharType="begin">
                <w:ffData>
                  <w:name w:val=""/>
                  <w:enabled/>
                  <w:calcOnExit w:val="0"/>
                  <w:checkBox>
                    <w:sizeAuto/>
                    <w:default w:val="1"/>
                  </w:checkBox>
                </w:ffData>
              </w:fldChar>
            </w:r>
            <w:r w:rsidRPr="002D1D30">
              <w:rPr>
                <w:rFonts w:ascii="Arial Narrow" w:eastAsia="Calibri" w:hAnsi="Arial Narrow"/>
                <w:sz w:val="18"/>
                <w:szCs w:val="18"/>
                <w:lang w:eastAsia="en-US"/>
              </w:rPr>
              <w:instrText xml:space="preserve"> FORMCHECKBOX </w:instrText>
            </w:r>
            <w:r w:rsidR="00180107">
              <w:rPr>
                <w:rFonts w:ascii="Arial Narrow" w:eastAsia="Calibri" w:hAnsi="Arial Narrow"/>
                <w:sz w:val="18"/>
                <w:szCs w:val="18"/>
                <w:lang w:eastAsia="en-US"/>
              </w:rPr>
            </w:r>
            <w:r w:rsidR="00180107">
              <w:rPr>
                <w:rFonts w:ascii="Arial Narrow" w:eastAsia="Calibri" w:hAnsi="Arial Narrow"/>
                <w:sz w:val="18"/>
                <w:szCs w:val="18"/>
                <w:lang w:eastAsia="en-US"/>
              </w:rPr>
              <w:fldChar w:fldCharType="separate"/>
            </w:r>
            <w:r w:rsidRPr="002D1D30">
              <w:rPr>
                <w:rFonts w:ascii="Arial Narrow" w:eastAsia="Calibri" w:hAnsi="Arial Narrow"/>
                <w:sz w:val="18"/>
                <w:szCs w:val="18"/>
                <w:lang w:eastAsia="en-US"/>
              </w:rPr>
              <w:fldChar w:fldCharType="end"/>
            </w:r>
            <w:r w:rsidRPr="002D1D30">
              <w:rPr>
                <w:rFonts w:ascii="Arial Narrow" w:eastAsia="Calibri" w:hAnsi="Arial Narrow"/>
                <w:sz w:val="18"/>
                <w:szCs w:val="18"/>
                <w:lang w:eastAsia="en-US"/>
              </w:rPr>
              <w:t xml:space="preserve">  Authority Required – Telephone/Electronic/Emergency</w:t>
            </w:r>
          </w:p>
        </w:tc>
      </w:tr>
      <w:tr w:rsidR="004A0C3C" w:rsidRPr="002D1D30" w14:paraId="15C2F028" w14:textId="77777777" w:rsidTr="004A0C3C">
        <w:tc>
          <w:tcPr>
            <w:tcW w:w="5000" w:type="pct"/>
            <w:tcBorders>
              <w:bottom w:val="single" w:sz="4" w:space="0" w:color="auto"/>
            </w:tcBorders>
            <w:vAlign w:val="center"/>
            <w:hideMark/>
          </w:tcPr>
          <w:p w14:paraId="373C0CC7" w14:textId="77777777" w:rsidR="004A0C3C" w:rsidRPr="002D1D30" w:rsidRDefault="004A0C3C" w:rsidP="003369DD">
            <w:pPr>
              <w:jc w:val="left"/>
              <w:rPr>
                <w:rFonts w:ascii="Arial Narrow" w:hAnsi="Arial Narrow" w:cs="Times New Roman"/>
                <w:iCs/>
                <w:color w:val="333333"/>
                <w:sz w:val="18"/>
                <w:szCs w:val="18"/>
              </w:rPr>
            </w:pPr>
            <w:r w:rsidRPr="002D1D30">
              <w:rPr>
                <w:rFonts w:ascii="Arial Narrow" w:hAnsi="Arial Narrow" w:cs="Times New Roman"/>
                <w:b/>
                <w:bCs/>
                <w:iCs/>
                <w:color w:val="333333"/>
                <w:sz w:val="18"/>
                <w:szCs w:val="18"/>
              </w:rPr>
              <w:t>Administrative Advice:</w:t>
            </w:r>
            <w:r w:rsidRPr="002D1D30">
              <w:rPr>
                <w:rFonts w:ascii="Arial Narrow" w:hAnsi="Arial Narrow" w:cs="Times New Roman"/>
                <w:iCs/>
                <w:color w:val="333333"/>
                <w:sz w:val="18"/>
                <w:szCs w:val="18"/>
              </w:rPr>
              <w:t xml:space="preserve"> Special Pricing Arrangements apply.</w:t>
            </w:r>
          </w:p>
        </w:tc>
      </w:tr>
      <w:tr w:rsidR="004A0C3C" w:rsidRPr="002D1D30" w14:paraId="4C50AC8E" w14:textId="77777777" w:rsidTr="004A0C3C">
        <w:trPr>
          <w:trHeight w:val="279"/>
        </w:trPr>
        <w:tc>
          <w:tcPr>
            <w:tcW w:w="5000" w:type="pct"/>
            <w:tcBorders>
              <w:bottom w:val="nil"/>
            </w:tcBorders>
            <w:vAlign w:val="center"/>
            <w:hideMark/>
          </w:tcPr>
          <w:p w14:paraId="7283FB68" w14:textId="77777777" w:rsidR="004A0C3C" w:rsidRPr="002D1D30" w:rsidRDefault="004A0C3C" w:rsidP="004A0C3C">
            <w:pPr>
              <w:jc w:val="left"/>
              <w:rPr>
                <w:rFonts w:ascii="Arial Narrow" w:hAnsi="Arial Narrow" w:cs="Times New Roman"/>
                <w:color w:val="333333"/>
                <w:sz w:val="18"/>
                <w:szCs w:val="18"/>
              </w:rPr>
            </w:pPr>
            <w:r w:rsidRPr="002D1D30">
              <w:rPr>
                <w:rFonts w:ascii="Arial Narrow" w:hAnsi="Arial Narrow" w:cs="Times New Roman"/>
                <w:b/>
                <w:bCs/>
                <w:color w:val="333333"/>
                <w:sz w:val="18"/>
                <w:szCs w:val="18"/>
              </w:rPr>
              <w:t>Indication:</w:t>
            </w:r>
            <w:r w:rsidRPr="002D1D30">
              <w:rPr>
                <w:rFonts w:ascii="Arial Narrow" w:hAnsi="Arial Narrow" w:cs="Times New Roman"/>
                <w:color w:val="333333"/>
                <w:sz w:val="18"/>
                <w:szCs w:val="18"/>
              </w:rPr>
              <w:t xml:space="preserve"> Stage IIIB (local advanced) or Stage IV (metastatic) non-small cell lung cancer (NSCLC)</w:t>
            </w:r>
          </w:p>
        </w:tc>
      </w:tr>
      <w:tr w:rsidR="004A0C3C" w:rsidRPr="002D1D30" w14:paraId="59094A3F" w14:textId="77777777" w:rsidTr="004A0C3C">
        <w:trPr>
          <w:trHeight w:val="194"/>
        </w:trPr>
        <w:tc>
          <w:tcPr>
            <w:tcW w:w="5000" w:type="pct"/>
            <w:tcBorders>
              <w:top w:val="nil"/>
              <w:bottom w:val="nil"/>
            </w:tcBorders>
            <w:vAlign w:val="center"/>
            <w:hideMark/>
          </w:tcPr>
          <w:p w14:paraId="4DF8B374" w14:textId="77777777" w:rsidR="004A0C3C" w:rsidRPr="002D1D30" w:rsidRDefault="004A0C3C" w:rsidP="004A0C3C">
            <w:pPr>
              <w:jc w:val="left"/>
              <w:rPr>
                <w:rFonts w:ascii="Arial Narrow" w:hAnsi="Arial Narrow" w:cs="Times New Roman"/>
                <w:color w:val="333333"/>
                <w:sz w:val="18"/>
                <w:szCs w:val="18"/>
              </w:rPr>
            </w:pPr>
            <w:r w:rsidRPr="002D1D30">
              <w:rPr>
                <w:rFonts w:ascii="Arial Narrow" w:hAnsi="Arial Narrow" w:cs="Times New Roman"/>
                <w:b/>
                <w:bCs/>
                <w:color w:val="333333"/>
                <w:sz w:val="18"/>
                <w:szCs w:val="18"/>
              </w:rPr>
              <w:t>Treatment Phase:</w:t>
            </w:r>
            <w:r w:rsidRPr="002D1D30">
              <w:rPr>
                <w:rFonts w:ascii="Arial Narrow" w:hAnsi="Arial Narrow" w:cs="Times New Roman"/>
                <w:color w:val="333333"/>
                <w:sz w:val="18"/>
                <w:szCs w:val="18"/>
              </w:rPr>
              <w:t xml:space="preserve"> Continuing treatment</w:t>
            </w:r>
          </w:p>
        </w:tc>
      </w:tr>
      <w:tr w:rsidR="004A0C3C" w:rsidRPr="002D1D30" w14:paraId="3D809258" w14:textId="77777777" w:rsidTr="004A0C3C">
        <w:tc>
          <w:tcPr>
            <w:tcW w:w="5000" w:type="pct"/>
            <w:tcBorders>
              <w:top w:val="nil"/>
              <w:bottom w:val="nil"/>
            </w:tcBorders>
            <w:vAlign w:val="center"/>
            <w:hideMark/>
          </w:tcPr>
          <w:p w14:paraId="54723C4F" w14:textId="77777777" w:rsidR="004A0C3C" w:rsidRPr="002D1D30" w:rsidRDefault="004A0C3C" w:rsidP="004A0C3C">
            <w:pPr>
              <w:jc w:val="left"/>
              <w:rPr>
                <w:rFonts w:ascii="Arial Narrow" w:hAnsi="Arial Narrow" w:cs="Times New Roman"/>
                <w:color w:val="333333"/>
                <w:sz w:val="18"/>
                <w:szCs w:val="18"/>
              </w:rPr>
            </w:pPr>
            <w:r w:rsidRPr="002D1D30">
              <w:rPr>
                <w:rFonts w:ascii="Arial Narrow" w:hAnsi="Arial Narrow" w:cs="Times New Roman"/>
                <w:b/>
                <w:bCs/>
                <w:color w:val="333333"/>
                <w:sz w:val="18"/>
                <w:szCs w:val="18"/>
              </w:rPr>
              <w:t>Clinical criteria:</w:t>
            </w:r>
          </w:p>
        </w:tc>
      </w:tr>
      <w:tr w:rsidR="004A0C3C" w:rsidRPr="002D1D30" w14:paraId="72A89568" w14:textId="77777777" w:rsidTr="004A0C3C">
        <w:tc>
          <w:tcPr>
            <w:tcW w:w="5000" w:type="pct"/>
            <w:tcBorders>
              <w:top w:val="nil"/>
              <w:bottom w:val="nil"/>
            </w:tcBorders>
            <w:vAlign w:val="center"/>
            <w:hideMark/>
          </w:tcPr>
          <w:p w14:paraId="087B062D" w14:textId="77777777" w:rsidR="004A0C3C" w:rsidRPr="002D1D30" w:rsidRDefault="004A0C3C" w:rsidP="004A0C3C">
            <w:pPr>
              <w:pStyle w:val="ListParagraph"/>
              <w:numPr>
                <w:ilvl w:val="0"/>
                <w:numId w:val="24"/>
              </w:numPr>
              <w:spacing w:after="0"/>
              <w:ind w:left="714" w:hanging="357"/>
              <w:jc w:val="left"/>
              <w:rPr>
                <w:rFonts w:ascii="Arial Narrow" w:hAnsi="Arial Narrow" w:cs="Times New Roman"/>
                <w:color w:val="333333"/>
                <w:sz w:val="18"/>
                <w:szCs w:val="18"/>
              </w:rPr>
            </w:pPr>
            <w:r w:rsidRPr="002D1D30">
              <w:rPr>
                <w:rFonts w:ascii="Arial Narrow" w:hAnsi="Arial Narrow" w:cs="Times New Roman"/>
                <w:color w:val="333333"/>
                <w:sz w:val="18"/>
                <w:szCs w:val="18"/>
              </w:rPr>
              <w:t>The treatment must be as monotherapy</w:t>
            </w:r>
          </w:p>
        </w:tc>
      </w:tr>
      <w:tr w:rsidR="004A0C3C" w:rsidRPr="002D1D30" w14:paraId="576A51D0" w14:textId="77777777" w:rsidTr="004A0C3C">
        <w:tc>
          <w:tcPr>
            <w:tcW w:w="5000" w:type="pct"/>
            <w:tcBorders>
              <w:top w:val="nil"/>
              <w:bottom w:val="nil"/>
            </w:tcBorders>
            <w:vAlign w:val="center"/>
            <w:hideMark/>
          </w:tcPr>
          <w:p w14:paraId="4878A54D" w14:textId="77777777" w:rsidR="004A0C3C" w:rsidRPr="002D1D30" w:rsidRDefault="004A0C3C" w:rsidP="004A0C3C">
            <w:pPr>
              <w:pStyle w:val="ListParagraph"/>
              <w:spacing w:after="0"/>
              <w:ind w:left="714"/>
              <w:jc w:val="left"/>
              <w:rPr>
                <w:rFonts w:ascii="Arial Narrow" w:hAnsi="Arial Narrow" w:cs="Times New Roman"/>
                <w:color w:val="333333"/>
                <w:sz w:val="18"/>
                <w:szCs w:val="18"/>
              </w:rPr>
            </w:pPr>
            <w:r w:rsidRPr="002D1D30">
              <w:rPr>
                <w:rFonts w:ascii="Arial Narrow" w:hAnsi="Arial Narrow" w:cs="Times New Roman"/>
                <w:b/>
                <w:bCs/>
                <w:color w:val="333333"/>
                <w:sz w:val="18"/>
                <w:szCs w:val="18"/>
              </w:rPr>
              <w:t>AND</w:t>
            </w:r>
          </w:p>
        </w:tc>
      </w:tr>
      <w:tr w:rsidR="004A0C3C" w:rsidRPr="002D1D30" w14:paraId="151E2890" w14:textId="77777777" w:rsidTr="004A0C3C">
        <w:tc>
          <w:tcPr>
            <w:tcW w:w="5000" w:type="pct"/>
            <w:tcBorders>
              <w:top w:val="nil"/>
              <w:bottom w:val="nil"/>
            </w:tcBorders>
            <w:vAlign w:val="center"/>
            <w:hideMark/>
          </w:tcPr>
          <w:p w14:paraId="24D18669" w14:textId="77777777" w:rsidR="004A0C3C" w:rsidRPr="002D1D30" w:rsidRDefault="004A0C3C" w:rsidP="004A0C3C">
            <w:pPr>
              <w:pStyle w:val="ListParagraph"/>
              <w:numPr>
                <w:ilvl w:val="0"/>
                <w:numId w:val="24"/>
              </w:numPr>
              <w:spacing w:after="0"/>
              <w:ind w:left="714" w:hanging="357"/>
              <w:jc w:val="left"/>
              <w:rPr>
                <w:rFonts w:ascii="Arial Narrow" w:hAnsi="Arial Narrow" w:cs="Times New Roman"/>
                <w:color w:val="333333"/>
                <w:sz w:val="18"/>
                <w:szCs w:val="18"/>
              </w:rPr>
            </w:pPr>
            <w:r w:rsidRPr="002D1D30">
              <w:rPr>
                <w:rFonts w:ascii="Arial Narrow" w:hAnsi="Arial Narrow" w:cs="Times New Roman"/>
                <w:color w:val="333333"/>
                <w:sz w:val="18"/>
                <w:szCs w:val="18"/>
              </w:rPr>
              <w:t>Patient must have previously received PBS-subsidised treatment with this drug for this condition</w:t>
            </w:r>
          </w:p>
        </w:tc>
      </w:tr>
      <w:tr w:rsidR="004A0C3C" w:rsidRPr="002D1D30" w14:paraId="3F2195C0" w14:textId="77777777" w:rsidTr="004A0C3C">
        <w:tc>
          <w:tcPr>
            <w:tcW w:w="5000" w:type="pct"/>
            <w:tcBorders>
              <w:top w:val="nil"/>
              <w:bottom w:val="nil"/>
            </w:tcBorders>
            <w:vAlign w:val="center"/>
            <w:hideMark/>
          </w:tcPr>
          <w:p w14:paraId="4106DB8D" w14:textId="77777777" w:rsidR="004A0C3C" w:rsidRPr="002D1D30" w:rsidRDefault="004A0C3C" w:rsidP="004A0C3C">
            <w:pPr>
              <w:pStyle w:val="ListParagraph"/>
              <w:spacing w:after="0"/>
              <w:ind w:left="714"/>
              <w:jc w:val="left"/>
              <w:rPr>
                <w:rFonts w:ascii="Arial Narrow" w:hAnsi="Arial Narrow" w:cs="Times New Roman"/>
                <w:color w:val="333333"/>
                <w:sz w:val="18"/>
                <w:szCs w:val="18"/>
              </w:rPr>
            </w:pPr>
            <w:r w:rsidRPr="002D1D30">
              <w:rPr>
                <w:rFonts w:ascii="Arial Narrow" w:hAnsi="Arial Narrow" w:cs="Times New Roman"/>
                <w:b/>
                <w:bCs/>
                <w:color w:val="333333"/>
                <w:sz w:val="18"/>
                <w:szCs w:val="18"/>
              </w:rPr>
              <w:t>AND</w:t>
            </w:r>
          </w:p>
        </w:tc>
      </w:tr>
      <w:tr w:rsidR="004A0C3C" w:rsidRPr="002D1D30" w14:paraId="2EF04A62" w14:textId="77777777" w:rsidTr="004A0C3C">
        <w:tc>
          <w:tcPr>
            <w:tcW w:w="5000" w:type="pct"/>
            <w:tcBorders>
              <w:top w:val="nil"/>
            </w:tcBorders>
            <w:vAlign w:val="center"/>
            <w:hideMark/>
          </w:tcPr>
          <w:p w14:paraId="067AC550" w14:textId="77777777" w:rsidR="004A0C3C" w:rsidRPr="002D1D30" w:rsidRDefault="004A0C3C" w:rsidP="004A0C3C">
            <w:pPr>
              <w:pStyle w:val="ListParagraph"/>
              <w:numPr>
                <w:ilvl w:val="0"/>
                <w:numId w:val="24"/>
              </w:numPr>
              <w:spacing w:after="0"/>
              <w:ind w:left="714" w:hanging="357"/>
              <w:jc w:val="left"/>
              <w:rPr>
                <w:rFonts w:ascii="Arial Narrow" w:hAnsi="Arial Narrow" w:cs="Times New Roman"/>
                <w:iCs/>
                <w:color w:val="333333"/>
                <w:sz w:val="18"/>
                <w:szCs w:val="18"/>
              </w:rPr>
            </w:pPr>
            <w:r w:rsidRPr="002D1D30">
              <w:rPr>
                <w:rFonts w:ascii="Arial Narrow" w:hAnsi="Arial Narrow" w:cs="Times New Roman"/>
                <w:iCs/>
                <w:color w:val="333333"/>
                <w:sz w:val="18"/>
                <w:szCs w:val="18"/>
              </w:rPr>
              <w:t>Patient must not have developed disease progression while being treated with this drug for this condition</w:t>
            </w:r>
          </w:p>
        </w:tc>
      </w:tr>
      <w:tr w:rsidR="004A0C3C" w:rsidRPr="002D1D30" w14:paraId="75FD4B38" w14:textId="77777777" w:rsidTr="004A0C3C">
        <w:tc>
          <w:tcPr>
            <w:tcW w:w="5000" w:type="pct"/>
            <w:vAlign w:val="center"/>
            <w:hideMark/>
          </w:tcPr>
          <w:p w14:paraId="53624D8B" w14:textId="77777777" w:rsidR="004A0C3C" w:rsidRPr="002D1D30" w:rsidRDefault="004A0C3C" w:rsidP="003369DD">
            <w:pPr>
              <w:jc w:val="left"/>
              <w:rPr>
                <w:rFonts w:ascii="Arial Narrow" w:hAnsi="Arial Narrow" w:cs="Times New Roman"/>
                <w:color w:val="333333"/>
                <w:sz w:val="18"/>
                <w:szCs w:val="18"/>
              </w:rPr>
            </w:pPr>
            <w:r w:rsidRPr="002D1D30">
              <w:rPr>
                <w:rFonts w:ascii="Arial Narrow" w:hAnsi="Arial Narrow" w:cs="Times New Roman"/>
                <w:b/>
                <w:bCs/>
                <w:color w:val="333333"/>
                <w:sz w:val="18"/>
                <w:szCs w:val="18"/>
              </w:rPr>
              <w:t>Administrative Advice:</w:t>
            </w:r>
          </w:p>
          <w:p w14:paraId="7D45B352" w14:textId="77777777" w:rsidR="004A0C3C" w:rsidRPr="002D1D30" w:rsidRDefault="004A0C3C" w:rsidP="003369DD">
            <w:pPr>
              <w:jc w:val="left"/>
              <w:rPr>
                <w:rFonts w:ascii="Arial Narrow" w:hAnsi="Arial Narrow" w:cs="Times New Roman"/>
                <w:color w:val="333333"/>
                <w:sz w:val="18"/>
                <w:szCs w:val="18"/>
              </w:rPr>
            </w:pPr>
            <w:r w:rsidRPr="002D1D30">
              <w:rPr>
                <w:rFonts w:ascii="Arial Narrow" w:hAnsi="Arial Narrow" w:cs="Times New Roman"/>
                <w:color w:val="333333"/>
                <w:sz w:val="18"/>
                <w:szCs w:val="18"/>
              </w:rPr>
              <w:t>Applications for authorisation under this criterion may be made in real time using the Online PBS Authorities system (see www.servicesaustralia.gov.au/HPOS) or by telephone by contacting the Services Australia on 1800 700 270 (hours of operation 8 a.m. to 5 p.m. EST Monday to Friday).</w:t>
            </w:r>
          </w:p>
        </w:tc>
      </w:tr>
    </w:tbl>
    <w:p w14:paraId="113B9C0E" w14:textId="77777777" w:rsidR="0092460B" w:rsidRPr="002D1D30" w:rsidRDefault="0092460B" w:rsidP="0092460B">
      <w:pPr>
        <w:keepNext/>
        <w:spacing w:line="259" w:lineRule="auto"/>
        <w:rPr>
          <w:rFonts w:ascii="Arial Narrow" w:eastAsia="Calibri" w:hAnsi="Arial Narrow" w:cs="Calibri"/>
          <w:b/>
          <w:bCs/>
          <w:sz w:val="20"/>
          <w:szCs w:val="20"/>
          <w:u w:val="single"/>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4A0C3C" w:rsidRPr="002D1D30" w14:paraId="135BD49A" w14:textId="77777777" w:rsidTr="004A0C3C">
        <w:tc>
          <w:tcPr>
            <w:tcW w:w="5000" w:type="pct"/>
            <w:tcBorders>
              <w:top w:val="single" w:sz="4" w:space="0" w:color="auto"/>
              <w:left w:val="single" w:sz="4" w:space="0" w:color="auto"/>
              <w:bottom w:val="single" w:sz="4" w:space="0" w:color="auto"/>
              <w:right w:val="single" w:sz="4" w:space="0" w:color="auto"/>
            </w:tcBorders>
          </w:tcPr>
          <w:p w14:paraId="36DE908A" w14:textId="4748A798" w:rsidR="004A0C3C" w:rsidRPr="002D1D30" w:rsidRDefault="004A0C3C" w:rsidP="0041158C">
            <w:pPr>
              <w:jc w:val="left"/>
              <w:rPr>
                <w:rFonts w:ascii="Arial Narrow" w:hAnsi="Arial Narrow" w:cs="Times New Roman"/>
                <w:b/>
                <w:bCs/>
                <w:color w:val="333333"/>
                <w:sz w:val="18"/>
                <w:szCs w:val="18"/>
              </w:rPr>
            </w:pPr>
            <w:r w:rsidRPr="002D1D30">
              <w:rPr>
                <w:rFonts w:ascii="Arial Narrow" w:eastAsia="Calibri" w:hAnsi="Arial Narrow"/>
                <w:b/>
                <w:sz w:val="18"/>
                <w:szCs w:val="18"/>
                <w:lang w:eastAsia="en-US"/>
              </w:rPr>
              <w:t xml:space="preserve">Category / Program: </w:t>
            </w:r>
            <w:r w:rsidRPr="002D1D30">
              <w:rPr>
                <w:rFonts w:ascii="Arial Narrow" w:eastAsia="Calibri" w:hAnsi="Arial Narrow"/>
                <w:sz w:val="18"/>
                <w:szCs w:val="18"/>
                <w:lang w:eastAsia="en-US"/>
              </w:rPr>
              <w:t>GENERAL – General Schedule (Code GE)</w:t>
            </w:r>
          </w:p>
        </w:tc>
      </w:tr>
      <w:tr w:rsidR="004A0C3C" w:rsidRPr="002D1D30" w14:paraId="74CA574C" w14:textId="77777777" w:rsidTr="004A0C3C">
        <w:tc>
          <w:tcPr>
            <w:tcW w:w="5000" w:type="pct"/>
            <w:tcBorders>
              <w:top w:val="single" w:sz="4" w:space="0" w:color="auto"/>
              <w:left w:val="single" w:sz="4" w:space="0" w:color="auto"/>
              <w:bottom w:val="single" w:sz="4" w:space="0" w:color="auto"/>
              <w:right w:val="single" w:sz="4" w:space="0" w:color="auto"/>
            </w:tcBorders>
          </w:tcPr>
          <w:p w14:paraId="44F7E2F3" w14:textId="53B7DC4A" w:rsidR="004A0C3C" w:rsidRPr="002D1D30" w:rsidRDefault="004A0C3C" w:rsidP="003369DD">
            <w:pPr>
              <w:jc w:val="left"/>
              <w:rPr>
                <w:rFonts w:ascii="Arial Narrow" w:hAnsi="Arial Narrow" w:cs="Times New Roman"/>
                <w:b/>
                <w:bCs/>
                <w:color w:val="333333"/>
                <w:sz w:val="18"/>
                <w:szCs w:val="18"/>
              </w:rPr>
            </w:pPr>
            <w:r w:rsidRPr="002D1D30">
              <w:rPr>
                <w:rFonts w:ascii="Arial Narrow" w:eastAsia="Calibri" w:hAnsi="Arial Narrow"/>
                <w:b/>
                <w:sz w:val="18"/>
                <w:szCs w:val="18"/>
                <w:lang w:eastAsia="en-US"/>
              </w:rPr>
              <w:t>Prescriber type:</w:t>
            </w:r>
            <w:r w:rsidR="0041158C">
              <w:rPr>
                <w:rFonts w:ascii="Arial Narrow" w:eastAsia="Calibri" w:hAnsi="Arial Narrow"/>
                <w:b/>
                <w:sz w:val="18"/>
                <w:szCs w:val="18"/>
                <w:lang w:eastAsia="en-US"/>
              </w:rPr>
              <w:t xml:space="preserve"> </w:t>
            </w:r>
            <w:r w:rsidRPr="002D1D30">
              <w:rPr>
                <w:rFonts w:ascii="Arial Narrow" w:eastAsia="Calibri" w:hAnsi="Arial Narrow"/>
                <w:sz w:val="18"/>
                <w:szCs w:val="18"/>
                <w:lang w:eastAsia="en-US"/>
              </w:rPr>
              <w:fldChar w:fldCharType="begin">
                <w:ffData>
                  <w:name w:val="Check1"/>
                  <w:enabled/>
                  <w:calcOnExit w:val="0"/>
                  <w:checkBox>
                    <w:sizeAuto/>
                    <w:default w:val="0"/>
                  </w:checkBox>
                </w:ffData>
              </w:fldChar>
            </w:r>
            <w:r w:rsidRPr="002D1D30">
              <w:rPr>
                <w:rFonts w:ascii="Arial Narrow" w:eastAsia="Calibri" w:hAnsi="Arial Narrow"/>
                <w:sz w:val="18"/>
                <w:szCs w:val="18"/>
                <w:lang w:eastAsia="en-US"/>
              </w:rPr>
              <w:instrText xml:space="preserve"> FORMCHECKBOX </w:instrText>
            </w:r>
            <w:r w:rsidR="00180107">
              <w:rPr>
                <w:rFonts w:ascii="Arial Narrow" w:eastAsia="Calibri" w:hAnsi="Arial Narrow"/>
                <w:sz w:val="18"/>
                <w:szCs w:val="18"/>
                <w:lang w:eastAsia="en-US"/>
              </w:rPr>
            </w:r>
            <w:r w:rsidR="00180107">
              <w:rPr>
                <w:rFonts w:ascii="Arial Narrow" w:eastAsia="Calibri" w:hAnsi="Arial Narrow"/>
                <w:sz w:val="18"/>
                <w:szCs w:val="18"/>
                <w:lang w:eastAsia="en-US"/>
              </w:rPr>
              <w:fldChar w:fldCharType="separate"/>
            </w:r>
            <w:r w:rsidRPr="002D1D30">
              <w:rPr>
                <w:rFonts w:ascii="Arial Narrow" w:eastAsia="Calibri" w:hAnsi="Arial Narrow"/>
                <w:sz w:val="18"/>
                <w:szCs w:val="18"/>
                <w:lang w:eastAsia="en-US"/>
              </w:rPr>
              <w:fldChar w:fldCharType="end"/>
            </w:r>
            <w:r w:rsidRPr="002D1D30">
              <w:rPr>
                <w:rFonts w:ascii="Arial Narrow" w:eastAsia="Calibri" w:hAnsi="Arial Narrow"/>
                <w:sz w:val="18"/>
                <w:szCs w:val="18"/>
                <w:lang w:eastAsia="en-US"/>
              </w:rPr>
              <w:t xml:space="preserve">Dental    </w:t>
            </w:r>
            <w:r w:rsidRPr="002D1D30">
              <w:rPr>
                <w:rFonts w:ascii="Arial Narrow" w:eastAsia="Calibri" w:hAnsi="Arial Narrow"/>
                <w:sz w:val="18"/>
                <w:szCs w:val="18"/>
                <w:lang w:eastAsia="en-US"/>
              </w:rPr>
              <w:fldChar w:fldCharType="begin">
                <w:ffData>
                  <w:name w:val=""/>
                  <w:enabled/>
                  <w:calcOnExit w:val="0"/>
                  <w:checkBox>
                    <w:sizeAuto/>
                    <w:default w:val="1"/>
                  </w:checkBox>
                </w:ffData>
              </w:fldChar>
            </w:r>
            <w:r w:rsidRPr="002D1D30">
              <w:rPr>
                <w:rFonts w:ascii="Arial Narrow" w:eastAsia="Calibri" w:hAnsi="Arial Narrow"/>
                <w:sz w:val="18"/>
                <w:szCs w:val="18"/>
                <w:lang w:eastAsia="en-US"/>
              </w:rPr>
              <w:instrText xml:space="preserve"> FORMCHECKBOX </w:instrText>
            </w:r>
            <w:r w:rsidR="00180107">
              <w:rPr>
                <w:rFonts w:ascii="Arial Narrow" w:eastAsia="Calibri" w:hAnsi="Arial Narrow"/>
                <w:sz w:val="18"/>
                <w:szCs w:val="18"/>
                <w:lang w:eastAsia="en-US"/>
              </w:rPr>
            </w:r>
            <w:r w:rsidR="00180107">
              <w:rPr>
                <w:rFonts w:ascii="Arial Narrow" w:eastAsia="Calibri" w:hAnsi="Arial Narrow"/>
                <w:sz w:val="18"/>
                <w:szCs w:val="18"/>
                <w:lang w:eastAsia="en-US"/>
              </w:rPr>
              <w:fldChar w:fldCharType="separate"/>
            </w:r>
            <w:r w:rsidRPr="002D1D30">
              <w:rPr>
                <w:rFonts w:ascii="Arial Narrow" w:eastAsia="Calibri" w:hAnsi="Arial Narrow"/>
                <w:sz w:val="18"/>
                <w:szCs w:val="18"/>
                <w:lang w:eastAsia="en-US"/>
              </w:rPr>
              <w:fldChar w:fldCharType="end"/>
            </w:r>
            <w:r w:rsidRPr="002D1D30">
              <w:rPr>
                <w:rFonts w:ascii="Arial Narrow" w:eastAsia="Calibri" w:hAnsi="Arial Narrow"/>
                <w:sz w:val="18"/>
                <w:szCs w:val="18"/>
                <w:lang w:eastAsia="en-US"/>
              </w:rPr>
              <w:t xml:space="preserve">Medical Practitioners    </w:t>
            </w:r>
            <w:r w:rsidRPr="002D1D30">
              <w:rPr>
                <w:rFonts w:ascii="Arial Narrow" w:eastAsia="Calibri" w:hAnsi="Arial Narrow"/>
                <w:sz w:val="18"/>
                <w:szCs w:val="18"/>
                <w:lang w:eastAsia="en-US"/>
              </w:rPr>
              <w:fldChar w:fldCharType="begin">
                <w:ffData>
                  <w:name w:val="Check3"/>
                  <w:enabled/>
                  <w:calcOnExit w:val="0"/>
                  <w:checkBox>
                    <w:sizeAuto/>
                    <w:default w:val="0"/>
                  </w:checkBox>
                </w:ffData>
              </w:fldChar>
            </w:r>
            <w:r w:rsidRPr="002D1D30">
              <w:rPr>
                <w:rFonts w:ascii="Arial Narrow" w:eastAsia="Calibri" w:hAnsi="Arial Narrow"/>
                <w:sz w:val="18"/>
                <w:szCs w:val="18"/>
                <w:lang w:eastAsia="en-US"/>
              </w:rPr>
              <w:instrText xml:space="preserve"> FORMCHECKBOX </w:instrText>
            </w:r>
            <w:r w:rsidR="00180107">
              <w:rPr>
                <w:rFonts w:ascii="Arial Narrow" w:eastAsia="Calibri" w:hAnsi="Arial Narrow"/>
                <w:sz w:val="18"/>
                <w:szCs w:val="18"/>
                <w:lang w:eastAsia="en-US"/>
              </w:rPr>
            </w:r>
            <w:r w:rsidR="00180107">
              <w:rPr>
                <w:rFonts w:ascii="Arial Narrow" w:eastAsia="Calibri" w:hAnsi="Arial Narrow"/>
                <w:sz w:val="18"/>
                <w:szCs w:val="18"/>
                <w:lang w:eastAsia="en-US"/>
              </w:rPr>
              <w:fldChar w:fldCharType="separate"/>
            </w:r>
            <w:r w:rsidRPr="002D1D30">
              <w:rPr>
                <w:rFonts w:ascii="Arial Narrow" w:eastAsia="Calibri" w:hAnsi="Arial Narrow"/>
                <w:sz w:val="18"/>
                <w:szCs w:val="18"/>
                <w:lang w:eastAsia="en-US"/>
              </w:rPr>
              <w:fldChar w:fldCharType="end"/>
            </w:r>
            <w:r w:rsidRPr="002D1D30">
              <w:rPr>
                <w:rFonts w:ascii="Arial Narrow" w:eastAsia="Calibri" w:hAnsi="Arial Narrow"/>
                <w:sz w:val="18"/>
                <w:szCs w:val="18"/>
                <w:lang w:eastAsia="en-US"/>
              </w:rPr>
              <w:t xml:space="preserve">Nurse practitioners     </w:t>
            </w:r>
            <w:r w:rsidRPr="002D1D30">
              <w:rPr>
                <w:rFonts w:ascii="Arial Narrow" w:eastAsia="Calibri" w:hAnsi="Arial Narrow"/>
                <w:sz w:val="18"/>
                <w:szCs w:val="18"/>
                <w:lang w:eastAsia="en-US"/>
              </w:rPr>
              <w:fldChar w:fldCharType="begin">
                <w:ffData>
                  <w:name w:val=""/>
                  <w:enabled/>
                  <w:calcOnExit w:val="0"/>
                  <w:checkBox>
                    <w:sizeAuto/>
                    <w:default w:val="0"/>
                  </w:checkBox>
                </w:ffData>
              </w:fldChar>
            </w:r>
            <w:r w:rsidRPr="002D1D30">
              <w:rPr>
                <w:rFonts w:ascii="Arial Narrow" w:eastAsia="Calibri" w:hAnsi="Arial Narrow"/>
                <w:sz w:val="18"/>
                <w:szCs w:val="18"/>
                <w:lang w:eastAsia="en-US"/>
              </w:rPr>
              <w:instrText xml:space="preserve"> FORMCHECKBOX </w:instrText>
            </w:r>
            <w:r w:rsidR="00180107">
              <w:rPr>
                <w:rFonts w:ascii="Arial Narrow" w:eastAsia="Calibri" w:hAnsi="Arial Narrow"/>
                <w:sz w:val="18"/>
                <w:szCs w:val="18"/>
                <w:lang w:eastAsia="en-US"/>
              </w:rPr>
            </w:r>
            <w:r w:rsidR="00180107">
              <w:rPr>
                <w:rFonts w:ascii="Arial Narrow" w:eastAsia="Calibri" w:hAnsi="Arial Narrow"/>
                <w:sz w:val="18"/>
                <w:szCs w:val="18"/>
                <w:lang w:eastAsia="en-US"/>
              </w:rPr>
              <w:fldChar w:fldCharType="separate"/>
            </w:r>
            <w:r w:rsidRPr="002D1D30">
              <w:rPr>
                <w:rFonts w:ascii="Arial Narrow" w:eastAsia="Calibri" w:hAnsi="Arial Narrow"/>
                <w:sz w:val="18"/>
                <w:szCs w:val="18"/>
                <w:lang w:eastAsia="en-US"/>
              </w:rPr>
              <w:fldChar w:fldCharType="end"/>
            </w:r>
            <w:r w:rsidRPr="002D1D30">
              <w:rPr>
                <w:rFonts w:ascii="Arial Narrow" w:eastAsia="Calibri" w:hAnsi="Arial Narrow"/>
                <w:sz w:val="18"/>
                <w:szCs w:val="18"/>
                <w:lang w:eastAsia="en-US"/>
              </w:rPr>
              <w:t xml:space="preserve">Optometrists    </w:t>
            </w:r>
            <w:r w:rsidRPr="002D1D30">
              <w:rPr>
                <w:rFonts w:ascii="Arial Narrow" w:eastAsia="Calibri" w:hAnsi="Arial Narrow"/>
                <w:sz w:val="18"/>
                <w:szCs w:val="18"/>
                <w:lang w:eastAsia="en-US"/>
              </w:rPr>
              <w:fldChar w:fldCharType="begin">
                <w:ffData>
                  <w:name w:val="Check5"/>
                  <w:enabled/>
                  <w:calcOnExit w:val="0"/>
                  <w:checkBox>
                    <w:sizeAuto/>
                    <w:default w:val="0"/>
                  </w:checkBox>
                </w:ffData>
              </w:fldChar>
            </w:r>
            <w:r w:rsidRPr="002D1D30">
              <w:rPr>
                <w:rFonts w:ascii="Arial Narrow" w:eastAsia="Calibri" w:hAnsi="Arial Narrow"/>
                <w:sz w:val="18"/>
                <w:szCs w:val="18"/>
                <w:lang w:eastAsia="en-US"/>
              </w:rPr>
              <w:instrText xml:space="preserve"> FORMCHECKBOX </w:instrText>
            </w:r>
            <w:r w:rsidR="00180107">
              <w:rPr>
                <w:rFonts w:ascii="Arial Narrow" w:eastAsia="Calibri" w:hAnsi="Arial Narrow"/>
                <w:sz w:val="18"/>
                <w:szCs w:val="18"/>
                <w:lang w:eastAsia="en-US"/>
              </w:rPr>
            </w:r>
            <w:r w:rsidR="00180107">
              <w:rPr>
                <w:rFonts w:ascii="Arial Narrow" w:eastAsia="Calibri" w:hAnsi="Arial Narrow"/>
                <w:sz w:val="18"/>
                <w:szCs w:val="18"/>
                <w:lang w:eastAsia="en-US"/>
              </w:rPr>
              <w:fldChar w:fldCharType="separate"/>
            </w:r>
            <w:r w:rsidRPr="002D1D30">
              <w:rPr>
                <w:rFonts w:ascii="Arial Narrow" w:eastAsia="Calibri" w:hAnsi="Arial Narrow"/>
                <w:sz w:val="18"/>
                <w:szCs w:val="18"/>
                <w:lang w:eastAsia="en-US"/>
              </w:rPr>
              <w:fldChar w:fldCharType="end"/>
            </w:r>
            <w:r w:rsidRPr="002D1D30">
              <w:rPr>
                <w:rFonts w:ascii="Arial Narrow" w:eastAsia="Calibri" w:hAnsi="Arial Narrow"/>
                <w:sz w:val="18"/>
                <w:szCs w:val="18"/>
                <w:lang w:eastAsia="en-US"/>
              </w:rPr>
              <w:t>Midwives</w:t>
            </w:r>
          </w:p>
        </w:tc>
      </w:tr>
      <w:tr w:rsidR="004A0C3C" w:rsidRPr="002D1D30" w14:paraId="0B8EF475" w14:textId="77777777" w:rsidTr="004A0C3C">
        <w:tc>
          <w:tcPr>
            <w:tcW w:w="5000" w:type="pct"/>
            <w:tcBorders>
              <w:top w:val="single" w:sz="4" w:space="0" w:color="auto"/>
              <w:left w:val="single" w:sz="4" w:space="0" w:color="auto"/>
              <w:bottom w:val="single" w:sz="4" w:space="0" w:color="auto"/>
              <w:right w:val="single" w:sz="4" w:space="0" w:color="auto"/>
            </w:tcBorders>
          </w:tcPr>
          <w:p w14:paraId="1183E258" w14:textId="1B04E15D" w:rsidR="004A0C3C" w:rsidRPr="002D1D30" w:rsidRDefault="004A0C3C" w:rsidP="004A0C3C">
            <w:pPr>
              <w:rPr>
                <w:rFonts w:ascii="Arial Narrow" w:eastAsia="Calibri" w:hAnsi="Arial Narrow"/>
                <w:b/>
                <w:sz w:val="18"/>
                <w:szCs w:val="18"/>
                <w:lang w:eastAsia="en-US"/>
              </w:rPr>
            </w:pPr>
            <w:r w:rsidRPr="002D1D30">
              <w:rPr>
                <w:rFonts w:ascii="Arial Narrow" w:eastAsia="Calibri" w:hAnsi="Arial Narrow"/>
                <w:b/>
                <w:sz w:val="18"/>
                <w:szCs w:val="18"/>
                <w:lang w:eastAsia="en-US"/>
              </w:rPr>
              <w:t>Restriction Level / Method:</w:t>
            </w:r>
            <w:r w:rsidR="0041158C">
              <w:rPr>
                <w:rFonts w:ascii="Arial Narrow" w:eastAsia="Calibri" w:hAnsi="Arial Narrow"/>
                <w:b/>
                <w:sz w:val="18"/>
                <w:szCs w:val="18"/>
                <w:lang w:eastAsia="en-US"/>
              </w:rPr>
              <w:t xml:space="preserve"> </w:t>
            </w:r>
            <w:r w:rsidRPr="002D1D30">
              <w:rPr>
                <w:rFonts w:ascii="Arial Narrow" w:eastAsia="Calibri" w:hAnsi="Arial Narrow"/>
                <w:sz w:val="18"/>
                <w:szCs w:val="18"/>
                <w:lang w:eastAsia="en-US"/>
              </w:rPr>
              <w:fldChar w:fldCharType="begin">
                <w:ffData>
                  <w:name w:val=""/>
                  <w:enabled/>
                  <w:calcOnExit w:val="0"/>
                  <w:checkBox>
                    <w:sizeAuto/>
                    <w:default w:val="1"/>
                  </w:checkBox>
                </w:ffData>
              </w:fldChar>
            </w:r>
            <w:r w:rsidRPr="002D1D30">
              <w:rPr>
                <w:rFonts w:ascii="Arial Narrow" w:eastAsia="Calibri" w:hAnsi="Arial Narrow"/>
                <w:sz w:val="18"/>
                <w:szCs w:val="18"/>
                <w:lang w:eastAsia="en-US"/>
              </w:rPr>
              <w:instrText xml:space="preserve"> FORMCHECKBOX </w:instrText>
            </w:r>
            <w:r w:rsidR="00180107">
              <w:rPr>
                <w:rFonts w:ascii="Arial Narrow" w:eastAsia="Calibri" w:hAnsi="Arial Narrow"/>
                <w:sz w:val="18"/>
                <w:szCs w:val="18"/>
                <w:lang w:eastAsia="en-US"/>
              </w:rPr>
            </w:r>
            <w:r w:rsidR="00180107">
              <w:rPr>
                <w:rFonts w:ascii="Arial Narrow" w:eastAsia="Calibri" w:hAnsi="Arial Narrow"/>
                <w:sz w:val="18"/>
                <w:szCs w:val="18"/>
                <w:lang w:eastAsia="en-US"/>
              </w:rPr>
              <w:fldChar w:fldCharType="separate"/>
            </w:r>
            <w:r w:rsidRPr="002D1D30">
              <w:rPr>
                <w:rFonts w:ascii="Arial Narrow" w:eastAsia="Calibri" w:hAnsi="Arial Narrow"/>
                <w:sz w:val="18"/>
                <w:szCs w:val="18"/>
                <w:lang w:eastAsia="en-US"/>
              </w:rPr>
              <w:fldChar w:fldCharType="end"/>
            </w:r>
            <w:r w:rsidRPr="002D1D30">
              <w:rPr>
                <w:rFonts w:ascii="Arial Narrow" w:eastAsia="Calibri" w:hAnsi="Arial Narrow"/>
                <w:sz w:val="18"/>
                <w:szCs w:val="18"/>
                <w:lang w:eastAsia="en-US"/>
              </w:rPr>
              <w:t xml:space="preserve">  Authority Required – In Writing Only</w:t>
            </w:r>
          </w:p>
        </w:tc>
      </w:tr>
      <w:tr w:rsidR="004A0C3C" w:rsidRPr="002D1D30" w14:paraId="1B431281" w14:textId="77777777" w:rsidTr="004A0C3C">
        <w:tc>
          <w:tcPr>
            <w:tcW w:w="5000" w:type="pct"/>
            <w:tcBorders>
              <w:bottom w:val="single" w:sz="4" w:space="0" w:color="auto"/>
            </w:tcBorders>
            <w:vAlign w:val="center"/>
            <w:hideMark/>
          </w:tcPr>
          <w:p w14:paraId="0644DF9C" w14:textId="77777777" w:rsidR="004A0C3C" w:rsidRPr="002D1D30" w:rsidRDefault="004A0C3C" w:rsidP="003369DD">
            <w:pPr>
              <w:jc w:val="left"/>
              <w:rPr>
                <w:rFonts w:ascii="Arial Narrow" w:hAnsi="Arial Narrow" w:cs="Times New Roman"/>
                <w:iCs/>
                <w:color w:val="333333"/>
                <w:sz w:val="18"/>
                <w:szCs w:val="18"/>
              </w:rPr>
            </w:pPr>
            <w:r w:rsidRPr="002D1D30">
              <w:rPr>
                <w:rFonts w:ascii="Arial Narrow" w:hAnsi="Arial Narrow" w:cs="Times New Roman"/>
                <w:b/>
                <w:bCs/>
                <w:iCs/>
                <w:color w:val="333333"/>
                <w:sz w:val="18"/>
                <w:szCs w:val="18"/>
              </w:rPr>
              <w:t>Administrative Advice:</w:t>
            </w:r>
            <w:r w:rsidRPr="002D1D30">
              <w:rPr>
                <w:rFonts w:ascii="Arial Narrow" w:hAnsi="Arial Narrow" w:cs="Times New Roman"/>
                <w:iCs/>
                <w:color w:val="333333"/>
                <w:sz w:val="18"/>
                <w:szCs w:val="18"/>
              </w:rPr>
              <w:t xml:space="preserve"> Special Pricing Arrangements apply.</w:t>
            </w:r>
          </w:p>
        </w:tc>
      </w:tr>
      <w:tr w:rsidR="004A0C3C" w:rsidRPr="002D1D30" w14:paraId="13E5227E" w14:textId="77777777" w:rsidTr="004A0C3C">
        <w:tc>
          <w:tcPr>
            <w:tcW w:w="5000" w:type="pct"/>
            <w:tcBorders>
              <w:bottom w:val="nil"/>
            </w:tcBorders>
            <w:vAlign w:val="center"/>
            <w:hideMark/>
          </w:tcPr>
          <w:p w14:paraId="7729A67E" w14:textId="77777777" w:rsidR="004A0C3C" w:rsidRPr="002D1D30" w:rsidRDefault="004A0C3C" w:rsidP="00235671">
            <w:pPr>
              <w:jc w:val="left"/>
              <w:rPr>
                <w:rFonts w:ascii="Arial Narrow" w:hAnsi="Arial Narrow" w:cs="Times New Roman"/>
                <w:color w:val="333333"/>
                <w:sz w:val="18"/>
                <w:szCs w:val="18"/>
              </w:rPr>
            </w:pPr>
            <w:r w:rsidRPr="002D1D30">
              <w:rPr>
                <w:rFonts w:ascii="Arial Narrow" w:hAnsi="Arial Narrow" w:cs="Times New Roman"/>
                <w:b/>
                <w:bCs/>
                <w:color w:val="333333"/>
                <w:sz w:val="18"/>
                <w:szCs w:val="18"/>
              </w:rPr>
              <w:t>Indication:</w:t>
            </w:r>
            <w:r w:rsidRPr="002D1D30">
              <w:rPr>
                <w:rFonts w:ascii="Arial Narrow" w:hAnsi="Arial Narrow" w:cs="Times New Roman"/>
                <w:color w:val="333333"/>
                <w:sz w:val="18"/>
                <w:szCs w:val="18"/>
              </w:rPr>
              <w:t xml:space="preserve"> Stage IIIB (local advanced) or Stage IV (metastatic) non-small cell lung cancer (NSCLC)</w:t>
            </w:r>
          </w:p>
        </w:tc>
      </w:tr>
      <w:tr w:rsidR="004A0C3C" w:rsidRPr="002D1D30" w14:paraId="4D3935B7" w14:textId="77777777" w:rsidTr="004A0C3C">
        <w:tc>
          <w:tcPr>
            <w:tcW w:w="5000" w:type="pct"/>
            <w:tcBorders>
              <w:top w:val="nil"/>
              <w:bottom w:val="nil"/>
            </w:tcBorders>
            <w:vAlign w:val="center"/>
            <w:hideMark/>
          </w:tcPr>
          <w:p w14:paraId="5868F2D8" w14:textId="77777777" w:rsidR="004A0C3C" w:rsidRPr="002D1D30" w:rsidRDefault="004A0C3C" w:rsidP="00FA6C65">
            <w:pPr>
              <w:jc w:val="left"/>
              <w:rPr>
                <w:rFonts w:ascii="Arial Narrow" w:hAnsi="Arial Narrow" w:cs="Times New Roman"/>
                <w:color w:val="333333"/>
                <w:sz w:val="18"/>
                <w:szCs w:val="18"/>
              </w:rPr>
            </w:pPr>
            <w:r w:rsidRPr="002D1D30">
              <w:rPr>
                <w:rFonts w:ascii="Arial Narrow" w:hAnsi="Arial Narrow" w:cs="Times New Roman"/>
                <w:b/>
                <w:bCs/>
                <w:color w:val="333333"/>
                <w:sz w:val="18"/>
                <w:szCs w:val="18"/>
              </w:rPr>
              <w:t>Treatment Phase:</w:t>
            </w:r>
            <w:r w:rsidRPr="002D1D30">
              <w:rPr>
                <w:rFonts w:ascii="Arial Narrow" w:hAnsi="Arial Narrow" w:cs="Times New Roman"/>
                <w:color w:val="333333"/>
                <w:sz w:val="18"/>
                <w:szCs w:val="18"/>
              </w:rPr>
              <w:t xml:space="preserve"> Grandfather treatment</w:t>
            </w:r>
          </w:p>
        </w:tc>
      </w:tr>
      <w:tr w:rsidR="004A0C3C" w:rsidRPr="002D1D30" w14:paraId="5B32F195" w14:textId="77777777" w:rsidTr="004A0C3C">
        <w:tc>
          <w:tcPr>
            <w:tcW w:w="5000" w:type="pct"/>
            <w:tcBorders>
              <w:top w:val="nil"/>
              <w:bottom w:val="nil"/>
            </w:tcBorders>
            <w:vAlign w:val="center"/>
            <w:hideMark/>
          </w:tcPr>
          <w:p w14:paraId="26CE80E1" w14:textId="77777777" w:rsidR="004A0C3C" w:rsidRPr="002D1D30" w:rsidRDefault="004A0C3C" w:rsidP="003369DD">
            <w:pPr>
              <w:jc w:val="left"/>
              <w:rPr>
                <w:rFonts w:ascii="Arial Narrow" w:hAnsi="Arial Narrow" w:cs="Times New Roman"/>
                <w:color w:val="333333"/>
                <w:sz w:val="18"/>
                <w:szCs w:val="18"/>
              </w:rPr>
            </w:pPr>
            <w:r w:rsidRPr="002D1D30">
              <w:rPr>
                <w:rFonts w:ascii="Arial Narrow" w:hAnsi="Arial Narrow" w:cs="Times New Roman"/>
                <w:b/>
                <w:bCs/>
                <w:color w:val="333333"/>
                <w:sz w:val="18"/>
                <w:szCs w:val="18"/>
              </w:rPr>
              <w:t>Clinical criteria:</w:t>
            </w:r>
          </w:p>
        </w:tc>
      </w:tr>
      <w:tr w:rsidR="004A0C3C" w:rsidRPr="002D1D30" w14:paraId="36E0FEC4" w14:textId="77777777" w:rsidTr="004A0C3C">
        <w:trPr>
          <w:trHeight w:val="220"/>
        </w:trPr>
        <w:tc>
          <w:tcPr>
            <w:tcW w:w="5000" w:type="pct"/>
            <w:tcBorders>
              <w:top w:val="nil"/>
              <w:bottom w:val="nil"/>
            </w:tcBorders>
            <w:vAlign w:val="center"/>
            <w:hideMark/>
          </w:tcPr>
          <w:p w14:paraId="4C6AC3A9" w14:textId="77777777" w:rsidR="004A0C3C" w:rsidRPr="002D1D30" w:rsidRDefault="004A0C3C" w:rsidP="004A0C3C">
            <w:pPr>
              <w:pStyle w:val="ListParagraph"/>
              <w:numPr>
                <w:ilvl w:val="0"/>
                <w:numId w:val="25"/>
              </w:numPr>
              <w:spacing w:after="0"/>
              <w:ind w:left="714" w:hanging="357"/>
              <w:jc w:val="left"/>
              <w:rPr>
                <w:rFonts w:ascii="Arial Narrow" w:hAnsi="Arial Narrow" w:cs="Times New Roman"/>
                <w:color w:val="FF00FF"/>
                <w:sz w:val="18"/>
                <w:szCs w:val="18"/>
              </w:rPr>
            </w:pPr>
            <w:r w:rsidRPr="002D1D30">
              <w:rPr>
                <w:rFonts w:ascii="Arial Narrow" w:hAnsi="Arial Narrow" w:cs="Times New Roman"/>
                <w:color w:val="333333"/>
                <w:sz w:val="18"/>
                <w:szCs w:val="18"/>
              </w:rPr>
              <w:t xml:space="preserve">Patient must have previously received non-PBS-subsidised treatment with this drug for this condition prior to </w:t>
            </w:r>
            <w:r w:rsidRPr="002D1D30">
              <w:rPr>
                <w:rFonts w:ascii="Arial Narrow" w:hAnsi="Arial Narrow" w:cs="Times New Roman"/>
                <w:sz w:val="18"/>
                <w:szCs w:val="18"/>
              </w:rPr>
              <w:t>[insert listing date]</w:t>
            </w:r>
          </w:p>
        </w:tc>
      </w:tr>
      <w:tr w:rsidR="004A0C3C" w:rsidRPr="002D1D30" w14:paraId="6F50F9F6" w14:textId="77777777" w:rsidTr="004A0C3C">
        <w:tc>
          <w:tcPr>
            <w:tcW w:w="5000" w:type="pct"/>
            <w:tcBorders>
              <w:top w:val="nil"/>
              <w:bottom w:val="nil"/>
            </w:tcBorders>
            <w:vAlign w:val="center"/>
            <w:hideMark/>
          </w:tcPr>
          <w:p w14:paraId="709A6CE8" w14:textId="77777777" w:rsidR="004A0C3C" w:rsidRPr="002D1D30" w:rsidRDefault="004A0C3C" w:rsidP="004A0C3C">
            <w:pPr>
              <w:pStyle w:val="ListParagraph"/>
              <w:spacing w:after="0"/>
              <w:ind w:left="714"/>
              <w:jc w:val="left"/>
              <w:rPr>
                <w:rFonts w:ascii="Arial Narrow" w:hAnsi="Arial Narrow" w:cs="Times New Roman"/>
                <w:color w:val="333333"/>
                <w:sz w:val="18"/>
                <w:szCs w:val="18"/>
              </w:rPr>
            </w:pPr>
            <w:r w:rsidRPr="002D1D30">
              <w:rPr>
                <w:rFonts w:ascii="Arial Narrow" w:hAnsi="Arial Narrow" w:cs="Times New Roman"/>
                <w:b/>
                <w:bCs/>
                <w:color w:val="333333"/>
                <w:sz w:val="18"/>
                <w:szCs w:val="18"/>
              </w:rPr>
              <w:t>AND</w:t>
            </w:r>
          </w:p>
        </w:tc>
      </w:tr>
      <w:tr w:rsidR="004A0C3C" w:rsidRPr="002D1D30" w14:paraId="585F7DD2" w14:textId="77777777" w:rsidTr="004A0C3C">
        <w:tc>
          <w:tcPr>
            <w:tcW w:w="5000" w:type="pct"/>
            <w:tcBorders>
              <w:top w:val="nil"/>
              <w:bottom w:val="nil"/>
            </w:tcBorders>
            <w:vAlign w:val="center"/>
            <w:hideMark/>
          </w:tcPr>
          <w:p w14:paraId="109251F9" w14:textId="77777777" w:rsidR="004A0C3C" w:rsidRPr="002D1D30" w:rsidRDefault="004A0C3C" w:rsidP="004A0C3C">
            <w:pPr>
              <w:pStyle w:val="ListParagraph"/>
              <w:numPr>
                <w:ilvl w:val="0"/>
                <w:numId w:val="25"/>
              </w:numPr>
              <w:spacing w:after="0"/>
              <w:ind w:left="714" w:hanging="357"/>
              <w:jc w:val="left"/>
              <w:rPr>
                <w:rFonts w:ascii="Arial Narrow" w:hAnsi="Arial Narrow" w:cs="Times New Roman"/>
                <w:color w:val="333333"/>
                <w:sz w:val="18"/>
                <w:szCs w:val="18"/>
              </w:rPr>
            </w:pPr>
            <w:r w:rsidRPr="002D1D30">
              <w:rPr>
                <w:rFonts w:ascii="Arial Narrow" w:hAnsi="Arial Narrow" w:cs="Times New Roman"/>
                <w:color w:val="333333"/>
                <w:sz w:val="18"/>
                <w:szCs w:val="18"/>
              </w:rPr>
              <w:t>The condition must be non-squamous type non-small cell lung cancer (NSCLC) or not otherwise specified type NSCLC</w:t>
            </w:r>
          </w:p>
        </w:tc>
      </w:tr>
      <w:tr w:rsidR="004A0C3C" w:rsidRPr="002D1D30" w14:paraId="33C4D0B9" w14:textId="77777777" w:rsidTr="004A0C3C">
        <w:tc>
          <w:tcPr>
            <w:tcW w:w="5000" w:type="pct"/>
            <w:tcBorders>
              <w:top w:val="nil"/>
              <w:bottom w:val="nil"/>
            </w:tcBorders>
            <w:vAlign w:val="center"/>
            <w:hideMark/>
          </w:tcPr>
          <w:p w14:paraId="626ABC40" w14:textId="77777777" w:rsidR="004A0C3C" w:rsidRPr="002D1D30" w:rsidRDefault="004A0C3C" w:rsidP="004A0C3C">
            <w:pPr>
              <w:pStyle w:val="ListParagraph"/>
              <w:spacing w:after="0"/>
              <w:ind w:left="714"/>
              <w:jc w:val="left"/>
              <w:rPr>
                <w:rFonts w:ascii="Arial Narrow" w:hAnsi="Arial Narrow" w:cs="Times New Roman"/>
                <w:color w:val="333333"/>
                <w:sz w:val="18"/>
                <w:szCs w:val="18"/>
              </w:rPr>
            </w:pPr>
            <w:r w:rsidRPr="002D1D30">
              <w:rPr>
                <w:rFonts w:ascii="Arial Narrow" w:hAnsi="Arial Narrow" w:cs="Times New Roman"/>
                <w:b/>
                <w:bCs/>
                <w:color w:val="333333"/>
                <w:sz w:val="18"/>
                <w:szCs w:val="18"/>
              </w:rPr>
              <w:t>AND</w:t>
            </w:r>
          </w:p>
        </w:tc>
      </w:tr>
      <w:tr w:rsidR="004A0C3C" w:rsidRPr="002D1D30" w14:paraId="1E205E4A" w14:textId="77777777" w:rsidTr="004A0C3C">
        <w:tc>
          <w:tcPr>
            <w:tcW w:w="5000" w:type="pct"/>
            <w:tcBorders>
              <w:top w:val="nil"/>
              <w:bottom w:val="nil"/>
            </w:tcBorders>
            <w:vAlign w:val="center"/>
            <w:hideMark/>
          </w:tcPr>
          <w:p w14:paraId="20880B25" w14:textId="77777777" w:rsidR="004A0C3C" w:rsidRPr="002D1D30" w:rsidRDefault="004A0C3C" w:rsidP="004A0C3C">
            <w:pPr>
              <w:pStyle w:val="ListParagraph"/>
              <w:numPr>
                <w:ilvl w:val="0"/>
                <w:numId w:val="25"/>
              </w:numPr>
              <w:spacing w:after="0"/>
              <w:ind w:left="714" w:hanging="357"/>
              <w:jc w:val="left"/>
              <w:rPr>
                <w:rFonts w:ascii="Arial Narrow" w:hAnsi="Arial Narrow" w:cs="Times New Roman"/>
                <w:color w:val="333333"/>
                <w:sz w:val="18"/>
                <w:szCs w:val="18"/>
              </w:rPr>
            </w:pPr>
            <w:r w:rsidRPr="002D1D30">
              <w:rPr>
                <w:rFonts w:ascii="Arial Narrow" w:hAnsi="Arial Narrow" w:cs="Times New Roman"/>
                <w:color w:val="333333"/>
                <w:sz w:val="18"/>
                <w:szCs w:val="18"/>
              </w:rPr>
              <w:t>The treatment must be as monotherapy</w:t>
            </w:r>
          </w:p>
        </w:tc>
      </w:tr>
      <w:tr w:rsidR="004A0C3C" w:rsidRPr="002D1D30" w14:paraId="2B035A27" w14:textId="77777777" w:rsidTr="004A0C3C">
        <w:tc>
          <w:tcPr>
            <w:tcW w:w="5000" w:type="pct"/>
            <w:tcBorders>
              <w:top w:val="nil"/>
              <w:bottom w:val="nil"/>
            </w:tcBorders>
            <w:vAlign w:val="center"/>
            <w:hideMark/>
          </w:tcPr>
          <w:p w14:paraId="5ACDFA2C" w14:textId="77777777" w:rsidR="004A0C3C" w:rsidRPr="002D1D30" w:rsidRDefault="004A0C3C" w:rsidP="004A0C3C">
            <w:pPr>
              <w:pStyle w:val="ListParagraph"/>
              <w:spacing w:after="0"/>
              <w:ind w:left="714"/>
              <w:jc w:val="left"/>
              <w:rPr>
                <w:rFonts w:ascii="Arial Narrow" w:hAnsi="Arial Narrow" w:cs="Times New Roman"/>
                <w:color w:val="333333"/>
                <w:sz w:val="18"/>
                <w:szCs w:val="18"/>
              </w:rPr>
            </w:pPr>
            <w:r w:rsidRPr="002D1D30">
              <w:rPr>
                <w:rFonts w:ascii="Arial Narrow" w:hAnsi="Arial Narrow" w:cs="Times New Roman"/>
                <w:b/>
                <w:bCs/>
                <w:color w:val="333333"/>
                <w:sz w:val="18"/>
                <w:szCs w:val="18"/>
              </w:rPr>
              <w:t>AND</w:t>
            </w:r>
          </w:p>
        </w:tc>
      </w:tr>
      <w:tr w:rsidR="004A0C3C" w:rsidRPr="002D1D30" w14:paraId="1BDBD7F6" w14:textId="77777777" w:rsidTr="004A0C3C">
        <w:tc>
          <w:tcPr>
            <w:tcW w:w="5000" w:type="pct"/>
            <w:tcBorders>
              <w:top w:val="nil"/>
              <w:bottom w:val="nil"/>
            </w:tcBorders>
            <w:vAlign w:val="center"/>
            <w:hideMark/>
          </w:tcPr>
          <w:p w14:paraId="3AA660C9" w14:textId="77777777" w:rsidR="004A0C3C" w:rsidRPr="002D1D30" w:rsidRDefault="004A0C3C" w:rsidP="004A0C3C">
            <w:pPr>
              <w:pStyle w:val="ListParagraph"/>
              <w:numPr>
                <w:ilvl w:val="0"/>
                <w:numId w:val="25"/>
              </w:numPr>
              <w:spacing w:after="0"/>
              <w:ind w:left="714" w:hanging="357"/>
              <w:jc w:val="left"/>
              <w:rPr>
                <w:rFonts w:ascii="Arial Narrow" w:hAnsi="Arial Narrow" w:cs="Times New Roman"/>
                <w:color w:val="333333"/>
                <w:sz w:val="18"/>
                <w:szCs w:val="18"/>
              </w:rPr>
            </w:pPr>
            <w:r w:rsidRPr="002D1D30">
              <w:rPr>
                <w:rFonts w:ascii="Arial Narrow" w:hAnsi="Arial Narrow" w:cs="Times New Roman"/>
                <w:color w:val="333333"/>
                <w:sz w:val="18"/>
                <w:szCs w:val="18"/>
              </w:rPr>
              <w:t>Patient must have had a WHO performance status of 2 or less prior to initiating non-PBS-subsidised treatment with this drug for this condition</w:t>
            </w:r>
          </w:p>
        </w:tc>
      </w:tr>
      <w:tr w:rsidR="004A0C3C" w:rsidRPr="002D1D30" w14:paraId="716346EB" w14:textId="77777777" w:rsidTr="004A0C3C">
        <w:tc>
          <w:tcPr>
            <w:tcW w:w="5000" w:type="pct"/>
            <w:tcBorders>
              <w:top w:val="nil"/>
              <w:bottom w:val="nil"/>
            </w:tcBorders>
            <w:vAlign w:val="center"/>
          </w:tcPr>
          <w:p w14:paraId="5BF8C325" w14:textId="77777777" w:rsidR="004A0C3C" w:rsidRPr="002D1D30" w:rsidRDefault="004A0C3C" w:rsidP="004A0C3C">
            <w:pPr>
              <w:pStyle w:val="ListParagraph"/>
              <w:spacing w:after="0"/>
              <w:ind w:left="714"/>
              <w:jc w:val="left"/>
              <w:rPr>
                <w:rFonts w:ascii="Arial Narrow" w:hAnsi="Arial Narrow" w:cs="Times New Roman"/>
                <w:color w:val="333333"/>
                <w:sz w:val="18"/>
                <w:szCs w:val="18"/>
              </w:rPr>
            </w:pPr>
            <w:r w:rsidRPr="002D1D30">
              <w:rPr>
                <w:rFonts w:ascii="Arial Narrow" w:hAnsi="Arial Narrow" w:cs="Times New Roman"/>
                <w:b/>
                <w:bCs/>
                <w:color w:val="333333"/>
                <w:sz w:val="18"/>
                <w:szCs w:val="18"/>
              </w:rPr>
              <w:t>AND</w:t>
            </w:r>
          </w:p>
        </w:tc>
      </w:tr>
      <w:tr w:rsidR="004A0C3C" w:rsidRPr="002D1D30" w14:paraId="2D06C5E1" w14:textId="77777777" w:rsidTr="004A0C3C">
        <w:trPr>
          <w:trHeight w:val="238"/>
        </w:trPr>
        <w:tc>
          <w:tcPr>
            <w:tcW w:w="5000" w:type="pct"/>
            <w:tcBorders>
              <w:top w:val="nil"/>
              <w:bottom w:val="nil"/>
            </w:tcBorders>
            <w:vAlign w:val="center"/>
          </w:tcPr>
          <w:p w14:paraId="08A49578" w14:textId="77777777" w:rsidR="004A0C3C" w:rsidRPr="002D1D30" w:rsidRDefault="004A0C3C" w:rsidP="004A0C3C">
            <w:pPr>
              <w:pStyle w:val="ListParagraph"/>
              <w:numPr>
                <w:ilvl w:val="0"/>
                <w:numId w:val="25"/>
              </w:numPr>
              <w:spacing w:after="0"/>
              <w:ind w:left="714" w:hanging="357"/>
              <w:jc w:val="left"/>
              <w:rPr>
                <w:rFonts w:ascii="Arial Narrow" w:hAnsi="Arial Narrow" w:cs="Times New Roman"/>
                <w:iCs/>
                <w:color w:val="333333"/>
                <w:sz w:val="18"/>
                <w:szCs w:val="18"/>
              </w:rPr>
            </w:pPr>
            <w:r w:rsidRPr="002D1D30">
              <w:rPr>
                <w:rFonts w:ascii="Arial Narrow" w:hAnsi="Arial Narrow" w:cs="Times New Roman"/>
                <w:iCs/>
                <w:color w:val="333333"/>
                <w:sz w:val="18"/>
                <w:szCs w:val="18"/>
              </w:rPr>
              <w:t>Patient must not have developed disease progression while being treated with this drug for this condition</w:t>
            </w:r>
          </w:p>
        </w:tc>
      </w:tr>
      <w:tr w:rsidR="004A0C3C" w:rsidRPr="002D1D30" w14:paraId="39D0F3E1" w14:textId="77777777" w:rsidTr="004A0C3C">
        <w:tc>
          <w:tcPr>
            <w:tcW w:w="5000" w:type="pct"/>
            <w:tcBorders>
              <w:top w:val="nil"/>
              <w:bottom w:val="nil"/>
            </w:tcBorders>
            <w:vAlign w:val="center"/>
            <w:hideMark/>
          </w:tcPr>
          <w:p w14:paraId="77E225CC" w14:textId="77777777" w:rsidR="004A0C3C" w:rsidRPr="002D1D30" w:rsidRDefault="004A0C3C" w:rsidP="004A0C3C">
            <w:pPr>
              <w:pStyle w:val="ListParagraph"/>
              <w:spacing w:after="0"/>
              <w:ind w:left="714"/>
              <w:jc w:val="left"/>
              <w:rPr>
                <w:rFonts w:ascii="Arial Narrow" w:hAnsi="Arial Narrow" w:cs="Times New Roman"/>
                <w:color w:val="333333"/>
                <w:sz w:val="18"/>
                <w:szCs w:val="18"/>
              </w:rPr>
            </w:pPr>
            <w:r w:rsidRPr="002D1D30">
              <w:rPr>
                <w:rFonts w:ascii="Arial Narrow" w:hAnsi="Arial Narrow" w:cs="Times New Roman"/>
                <w:b/>
                <w:bCs/>
                <w:color w:val="333333"/>
                <w:sz w:val="18"/>
                <w:szCs w:val="18"/>
              </w:rPr>
              <w:t>AND</w:t>
            </w:r>
          </w:p>
        </w:tc>
      </w:tr>
      <w:tr w:rsidR="004A0C3C" w:rsidRPr="002D1D30" w14:paraId="566BE114" w14:textId="77777777" w:rsidTr="004A0C3C">
        <w:trPr>
          <w:trHeight w:val="727"/>
        </w:trPr>
        <w:tc>
          <w:tcPr>
            <w:tcW w:w="5000" w:type="pct"/>
            <w:tcBorders>
              <w:top w:val="nil"/>
            </w:tcBorders>
            <w:vAlign w:val="center"/>
            <w:hideMark/>
          </w:tcPr>
          <w:p w14:paraId="2028C074" w14:textId="77777777" w:rsidR="004A0C3C" w:rsidRPr="002D1D30" w:rsidRDefault="004A0C3C" w:rsidP="004A0C3C">
            <w:pPr>
              <w:pStyle w:val="ListParagraph"/>
              <w:numPr>
                <w:ilvl w:val="0"/>
                <w:numId w:val="25"/>
              </w:numPr>
              <w:spacing w:after="0"/>
              <w:ind w:left="714" w:hanging="357"/>
              <w:jc w:val="left"/>
              <w:rPr>
                <w:rFonts w:ascii="Arial Narrow" w:hAnsi="Arial Narrow" w:cs="Times New Roman"/>
                <w:color w:val="333333"/>
                <w:sz w:val="18"/>
                <w:szCs w:val="18"/>
              </w:rPr>
            </w:pPr>
            <w:r w:rsidRPr="002D1D30">
              <w:rPr>
                <w:rFonts w:ascii="Arial Narrow" w:hAnsi="Arial Narrow" w:cs="Times New Roman"/>
                <w:color w:val="333333"/>
                <w:sz w:val="18"/>
                <w:szCs w:val="18"/>
              </w:rPr>
              <w:t>Patient must have evidence of c-ROS proto-oncogene 1 (ROS1) gene rearrangement in tumour material, defined as 15% (or greater) positive cells by fluorescence in situ hybridisation (FISH) testing prior to initiating non-PBS subsidised treatment with this drug for this condition</w:t>
            </w:r>
          </w:p>
        </w:tc>
      </w:tr>
      <w:tr w:rsidR="004A0C3C" w:rsidRPr="002D1D30" w14:paraId="3112CE9A" w14:textId="77777777" w:rsidTr="005A52A3">
        <w:trPr>
          <w:trHeight w:val="1692"/>
        </w:trPr>
        <w:tc>
          <w:tcPr>
            <w:tcW w:w="5000" w:type="pct"/>
            <w:vAlign w:val="center"/>
            <w:hideMark/>
          </w:tcPr>
          <w:p w14:paraId="03A6AC4A" w14:textId="77777777" w:rsidR="004A0C3C" w:rsidRPr="002D1D30" w:rsidRDefault="004A0C3C" w:rsidP="003369DD">
            <w:pPr>
              <w:jc w:val="left"/>
              <w:rPr>
                <w:rFonts w:ascii="Arial Narrow" w:hAnsi="Arial Narrow" w:cs="Times New Roman"/>
                <w:color w:val="333333"/>
                <w:sz w:val="18"/>
                <w:szCs w:val="18"/>
              </w:rPr>
            </w:pPr>
            <w:r w:rsidRPr="002D1D30">
              <w:rPr>
                <w:rFonts w:ascii="Arial Narrow" w:hAnsi="Arial Narrow" w:cs="Times New Roman"/>
                <w:b/>
                <w:bCs/>
                <w:color w:val="333333"/>
                <w:sz w:val="18"/>
                <w:szCs w:val="18"/>
              </w:rPr>
              <w:t>Prescribing Instructions:</w:t>
            </w:r>
          </w:p>
          <w:p w14:paraId="2C2C3534" w14:textId="77777777" w:rsidR="004A0C3C" w:rsidRPr="002D1D30" w:rsidRDefault="004A0C3C" w:rsidP="003369DD">
            <w:pPr>
              <w:jc w:val="left"/>
              <w:rPr>
                <w:rFonts w:ascii="Arial Narrow" w:hAnsi="Arial Narrow" w:cs="Times New Roman"/>
                <w:color w:val="333333"/>
                <w:sz w:val="18"/>
                <w:szCs w:val="18"/>
              </w:rPr>
            </w:pPr>
            <w:r w:rsidRPr="002D1D30">
              <w:rPr>
                <w:rFonts w:ascii="Arial Narrow" w:hAnsi="Arial Narrow" w:cs="Times New Roman"/>
                <w:color w:val="333333"/>
                <w:sz w:val="18"/>
                <w:szCs w:val="18"/>
              </w:rPr>
              <w:t>The authority application must be made in writing and must include:</w:t>
            </w:r>
          </w:p>
          <w:p w14:paraId="3701C6B6" w14:textId="77777777" w:rsidR="004A0C3C" w:rsidRPr="002D1D30" w:rsidRDefault="004A0C3C" w:rsidP="003369DD">
            <w:pPr>
              <w:jc w:val="left"/>
              <w:rPr>
                <w:rFonts w:ascii="Arial Narrow" w:hAnsi="Arial Narrow" w:cs="Times New Roman"/>
                <w:color w:val="333333"/>
                <w:sz w:val="18"/>
                <w:szCs w:val="18"/>
              </w:rPr>
            </w:pPr>
            <w:r w:rsidRPr="002D1D30">
              <w:rPr>
                <w:rFonts w:ascii="Arial Narrow" w:hAnsi="Arial Narrow" w:cs="Times New Roman"/>
                <w:color w:val="333333"/>
                <w:sz w:val="18"/>
                <w:szCs w:val="18"/>
              </w:rPr>
              <w:t>(1) a completed authority prescription form; and</w:t>
            </w:r>
          </w:p>
          <w:p w14:paraId="5A30FE25" w14:textId="77777777" w:rsidR="004A0C3C" w:rsidRPr="002D1D30" w:rsidRDefault="004A0C3C" w:rsidP="003369DD">
            <w:pPr>
              <w:jc w:val="left"/>
              <w:rPr>
                <w:rFonts w:ascii="Arial Narrow" w:hAnsi="Arial Narrow" w:cs="Times New Roman"/>
                <w:color w:val="333333"/>
                <w:sz w:val="18"/>
                <w:szCs w:val="18"/>
              </w:rPr>
            </w:pPr>
            <w:r w:rsidRPr="002D1D30">
              <w:rPr>
                <w:rFonts w:ascii="Arial Narrow" w:hAnsi="Arial Narrow" w:cs="Times New Roman"/>
                <w:color w:val="333333"/>
                <w:sz w:val="18"/>
                <w:szCs w:val="18"/>
              </w:rPr>
              <w:t>(2) a completed ROS1-Positive Non-Small-Cell Lung Cancer Authority Application - Supporting Information Form, which includes details of ROS1 gene rearrangement in tumour material.</w:t>
            </w:r>
          </w:p>
          <w:p w14:paraId="2492BCF7" w14:textId="77777777" w:rsidR="004A0C3C" w:rsidRPr="002D1D30" w:rsidRDefault="004A0C3C" w:rsidP="003369DD">
            <w:pPr>
              <w:jc w:val="left"/>
              <w:rPr>
                <w:rFonts w:ascii="Arial Narrow" w:hAnsi="Arial Narrow" w:cs="Times New Roman"/>
                <w:color w:val="333333"/>
                <w:sz w:val="18"/>
                <w:szCs w:val="18"/>
              </w:rPr>
            </w:pPr>
          </w:p>
          <w:p w14:paraId="2C681C4F" w14:textId="77777777" w:rsidR="004A0C3C" w:rsidRPr="002D1D30" w:rsidRDefault="004A0C3C" w:rsidP="003369DD">
            <w:pPr>
              <w:jc w:val="left"/>
              <w:rPr>
                <w:rFonts w:ascii="Arial Narrow" w:hAnsi="Arial Narrow" w:cs="Times New Roman"/>
                <w:color w:val="333333"/>
                <w:sz w:val="18"/>
                <w:szCs w:val="18"/>
              </w:rPr>
            </w:pPr>
            <w:r w:rsidRPr="002D1D30">
              <w:rPr>
                <w:rFonts w:ascii="Arial Narrow" w:hAnsi="Arial Narrow" w:cs="Times New Roman"/>
                <w:color w:val="333333"/>
                <w:sz w:val="18"/>
                <w:szCs w:val="18"/>
              </w:rPr>
              <w:t xml:space="preserve">A patient may qualify for PBS-subsidised treatment under this restriction once only. </w:t>
            </w:r>
            <w:r w:rsidRPr="002D1D30">
              <w:rPr>
                <w:rFonts w:ascii="Arial Narrow" w:hAnsi="Arial Narrow" w:cs="Times New Roman"/>
                <w:color w:val="333333"/>
                <w:sz w:val="18"/>
                <w:szCs w:val="18"/>
              </w:rPr>
              <w:br/>
              <w:t>For continuing PBS-subsidised treatment, a Grandfathered patient must qualify under the Continuing treatment criteria.</w:t>
            </w:r>
          </w:p>
        </w:tc>
      </w:tr>
      <w:tr w:rsidR="004A0C3C" w:rsidRPr="002D1D30" w14:paraId="1437F468" w14:textId="77777777" w:rsidTr="005A52A3">
        <w:trPr>
          <w:trHeight w:val="3551"/>
        </w:trPr>
        <w:tc>
          <w:tcPr>
            <w:tcW w:w="5000" w:type="pct"/>
            <w:vAlign w:val="center"/>
          </w:tcPr>
          <w:p w14:paraId="398CC3DC" w14:textId="77777777" w:rsidR="004A0C3C" w:rsidRPr="002D1D30" w:rsidRDefault="004A0C3C" w:rsidP="000856B3">
            <w:pPr>
              <w:rPr>
                <w:rFonts w:ascii="Arial Narrow" w:hAnsi="Arial Narrow"/>
                <w:color w:val="333333"/>
                <w:sz w:val="18"/>
                <w:szCs w:val="18"/>
              </w:rPr>
            </w:pPr>
            <w:r w:rsidRPr="002D1D30">
              <w:rPr>
                <w:rFonts w:ascii="Arial Narrow" w:hAnsi="Arial Narrow"/>
                <w:b/>
                <w:color w:val="333333"/>
                <w:sz w:val="18"/>
                <w:szCs w:val="18"/>
              </w:rPr>
              <w:lastRenderedPageBreak/>
              <w:t>Administrative Advice:</w:t>
            </w:r>
            <w:r w:rsidRPr="002D1D30">
              <w:rPr>
                <w:rFonts w:ascii="Arial Narrow" w:hAnsi="Arial Narrow"/>
                <w:color w:val="333333"/>
                <w:sz w:val="18"/>
                <w:szCs w:val="18"/>
              </w:rPr>
              <w:t xml:space="preserve"> </w:t>
            </w:r>
          </w:p>
          <w:p w14:paraId="6842A78F" w14:textId="77777777" w:rsidR="004A0C3C" w:rsidRPr="002D1D30" w:rsidRDefault="004A0C3C" w:rsidP="000856B3">
            <w:pPr>
              <w:rPr>
                <w:rFonts w:ascii="Arial Narrow" w:hAnsi="Arial Narrow"/>
              </w:rPr>
            </w:pPr>
            <w:r w:rsidRPr="002D1D30">
              <w:rPr>
                <w:rFonts w:ascii="Arial Narrow" w:hAnsi="Arial Narrow"/>
                <w:color w:val="333333"/>
                <w:sz w:val="18"/>
                <w:szCs w:val="18"/>
              </w:rPr>
              <w:t>This grandfather restriction will cease to operate from 12 months after the date specified in the clinical criteria</w:t>
            </w:r>
          </w:p>
          <w:p w14:paraId="60231494" w14:textId="77777777" w:rsidR="004A0C3C" w:rsidRPr="002D1D30" w:rsidRDefault="004A0C3C" w:rsidP="00F81F38">
            <w:pPr>
              <w:jc w:val="left"/>
              <w:rPr>
                <w:rFonts w:ascii="Arial Narrow" w:hAnsi="Arial Narrow" w:cs="Times New Roman"/>
                <w:color w:val="333333"/>
                <w:sz w:val="18"/>
                <w:szCs w:val="18"/>
              </w:rPr>
            </w:pPr>
          </w:p>
          <w:p w14:paraId="3CD966BB" w14:textId="77777777" w:rsidR="004A0C3C" w:rsidRPr="002D1D30" w:rsidRDefault="004A0C3C" w:rsidP="00F81F38">
            <w:pPr>
              <w:jc w:val="left"/>
              <w:rPr>
                <w:rFonts w:ascii="Arial Narrow" w:hAnsi="Arial Narrow" w:cs="Times New Roman"/>
                <w:color w:val="333333"/>
                <w:sz w:val="18"/>
                <w:szCs w:val="18"/>
              </w:rPr>
            </w:pPr>
            <w:r w:rsidRPr="002D1D30">
              <w:rPr>
                <w:rFonts w:ascii="Arial Narrow" w:hAnsi="Arial Narrow" w:cs="Times New Roman"/>
                <w:color w:val="333333"/>
                <w:sz w:val="18"/>
                <w:szCs w:val="18"/>
              </w:rPr>
              <w:t>Any queries concerning the arrangements to prescribe may be directed to Services Australia on 1800 700 270 (hours of operation 8 a.m. to 5 p.m. EST Monday to Friday).</w:t>
            </w:r>
          </w:p>
          <w:p w14:paraId="7B46DC29" w14:textId="77777777" w:rsidR="004A0C3C" w:rsidRPr="002D1D30" w:rsidRDefault="004A0C3C" w:rsidP="00F81F38">
            <w:pPr>
              <w:jc w:val="left"/>
              <w:rPr>
                <w:rFonts w:ascii="Arial Narrow" w:hAnsi="Arial Narrow" w:cs="Times New Roman"/>
                <w:color w:val="333333"/>
                <w:sz w:val="18"/>
                <w:szCs w:val="18"/>
              </w:rPr>
            </w:pPr>
            <w:r w:rsidRPr="002D1D30">
              <w:rPr>
                <w:rFonts w:ascii="Arial Narrow" w:hAnsi="Arial Narrow" w:cs="Times New Roman"/>
                <w:color w:val="333333"/>
                <w:sz w:val="18"/>
                <w:szCs w:val="18"/>
              </w:rPr>
              <w:t xml:space="preserve"> </w:t>
            </w:r>
          </w:p>
          <w:p w14:paraId="687914FE" w14:textId="77777777" w:rsidR="004A0C3C" w:rsidRPr="002D1D30" w:rsidRDefault="004A0C3C" w:rsidP="00F81F38">
            <w:pPr>
              <w:jc w:val="left"/>
              <w:rPr>
                <w:rFonts w:ascii="Arial Narrow" w:hAnsi="Arial Narrow" w:cs="Times New Roman"/>
                <w:color w:val="333333"/>
                <w:sz w:val="18"/>
                <w:szCs w:val="18"/>
              </w:rPr>
            </w:pPr>
            <w:r w:rsidRPr="002D1D30">
              <w:rPr>
                <w:rFonts w:ascii="Arial Narrow" w:hAnsi="Arial Narrow" w:cs="Times New Roman"/>
                <w:color w:val="333333"/>
                <w:sz w:val="18"/>
                <w:szCs w:val="18"/>
              </w:rPr>
              <w:t>Prescribing information (including Authority Application forms and other relevant documentation as applicable) is available on the Services Australia website at www.servicesaustralia.gov.au</w:t>
            </w:r>
          </w:p>
          <w:p w14:paraId="0827371C" w14:textId="77777777" w:rsidR="004A0C3C" w:rsidRPr="002D1D30" w:rsidRDefault="004A0C3C" w:rsidP="00F81F38">
            <w:pPr>
              <w:jc w:val="left"/>
              <w:rPr>
                <w:rFonts w:ascii="Arial Narrow" w:hAnsi="Arial Narrow" w:cs="Times New Roman"/>
                <w:color w:val="333333"/>
                <w:sz w:val="18"/>
                <w:szCs w:val="18"/>
              </w:rPr>
            </w:pPr>
            <w:r w:rsidRPr="002D1D30">
              <w:rPr>
                <w:rFonts w:ascii="Arial Narrow" w:hAnsi="Arial Narrow" w:cs="Times New Roman"/>
                <w:color w:val="333333"/>
                <w:sz w:val="18"/>
                <w:szCs w:val="18"/>
              </w:rPr>
              <w:t xml:space="preserve"> </w:t>
            </w:r>
          </w:p>
          <w:p w14:paraId="6379D0B0" w14:textId="77777777" w:rsidR="004A0C3C" w:rsidRPr="002D1D30" w:rsidRDefault="004A0C3C" w:rsidP="00F81F38">
            <w:pPr>
              <w:jc w:val="left"/>
              <w:rPr>
                <w:rFonts w:ascii="Arial Narrow" w:hAnsi="Arial Narrow" w:cs="Times New Roman"/>
                <w:color w:val="333333"/>
                <w:sz w:val="18"/>
                <w:szCs w:val="18"/>
              </w:rPr>
            </w:pPr>
            <w:r w:rsidRPr="002D1D30">
              <w:rPr>
                <w:rFonts w:ascii="Arial Narrow" w:hAnsi="Arial Narrow" w:cs="Times New Roman"/>
                <w:color w:val="333333"/>
                <w:sz w:val="18"/>
                <w:szCs w:val="18"/>
              </w:rPr>
              <w:t xml:space="preserve">Applications for authority to prescribe should be submitted online using the form upload facility in Health Professional Online Services (HPOS) at www.servicesaustralia.gov.au/hpos </w:t>
            </w:r>
          </w:p>
          <w:p w14:paraId="5347CD86" w14:textId="77777777" w:rsidR="004A0C3C" w:rsidRPr="002D1D30" w:rsidRDefault="004A0C3C" w:rsidP="00F81F38">
            <w:pPr>
              <w:jc w:val="left"/>
              <w:rPr>
                <w:rFonts w:ascii="Arial Narrow" w:hAnsi="Arial Narrow" w:cs="Times New Roman"/>
                <w:color w:val="333333"/>
                <w:sz w:val="18"/>
                <w:szCs w:val="18"/>
              </w:rPr>
            </w:pPr>
            <w:r w:rsidRPr="002D1D30">
              <w:rPr>
                <w:rFonts w:ascii="Arial Narrow" w:hAnsi="Arial Narrow" w:cs="Times New Roman"/>
                <w:color w:val="333333"/>
                <w:sz w:val="18"/>
                <w:szCs w:val="18"/>
              </w:rPr>
              <w:t>Or mailed to:</w:t>
            </w:r>
          </w:p>
          <w:p w14:paraId="04A46281" w14:textId="77777777" w:rsidR="004A0C3C" w:rsidRPr="002D1D30" w:rsidRDefault="004A0C3C" w:rsidP="00F81F38">
            <w:pPr>
              <w:jc w:val="left"/>
              <w:rPr>
                <w:rFonts w:ascii="Arial Narrow" w:hAnsi="Arial Narrow" w:cs="Times New Roman"/>
                <w:color w:val="333333"/>
                <w:sz w:val="18"/>
                <w:szCs w:val="18"/>
              </w:rPr>
            </w:pPr>
            <w:r w:rsidRPr="002D1D30">
              <w:rPr>
                <w:rFonts w:ascii="Arial Narrow" w:hAnsi="Arial Narrow" w:cs="Times New Roman"/>
                <w:color w:val="333333"/>
                <w:sz w:val="18"/>
                <w:szCs w:val="18"/>
              </w:rPr>
              <w:t xml:space="preserve"> </w:t>
            </w:r>
          </w:p>
          <w:p w14:paraId="316393A7" w14:textId="77777777" w:rsidR="004A0C3C" w:rsidRPr="002D1D30" w:rsidRDefault="004A0C3C" w:rsidP="00F81F38">
            <w:pPr>
              <w:jc w:val="left"/>
              <w:rPr>
                <w:rFonts w:ascii="Arial Narrow" w:hAnsi="Arial Narrow" w:cs="Times New Roman"/>
                <w:color w:val="333333"/>
                <w:sz w:val="18"/>
                <w:szCs w:val="18"/>
              </w:rPr>
            </w:pPr>
            <w:r w:rsidRPr="002D1D30">
              <w:rPr>
                <w:rFonts w:ascii="Arial Narrow" w:hAnsi="Arial Narrow" w:cs="Times New Roman"/>
                <w:color w:val="333333"/>
                <w:sz w:val="18"/>
                <w:szCs w:val="18"/>
              </w:rPr>
              <w:t>Services Australia</w:t>
            </w:r>
          </w:p>
          <w:p w14:paraId="54244EA0" w14:textId="77777777" w:rsidR="004A0C3C" w:rsidRPr="002D1D30" w:rsidRDefault="004A0C3C" w:rsidP="00F81F38">
            <w:pPr>
              <w:jc w:val="left"/>
              <w:rPr>
                <w:rFonts w:ascii="Arial Narrow" w:hAnsi="Arial Narrow" w:cs="Times New Roman"/>
                <w:color w:val="333333"/>
                <w:sz w:val="18"/>
                <w:szCs w:val="18"/>
              </w:rPr>
            </w:pPr>
            <w:r w:rsidRPr="002D1D30">
              <w:rPr>
                <w:rFonts w:ascii="Arial Narrow" w:hAnsi="Arial Narrow" w:cs="Times New Roman"/>
                <w:color w:val="333333"/>
                <w:sz w:val="18"/>
                <w:szCs w:val="18"/>
              </w:rPr>
              <w:t>Complex Drugs</w:t>
            </w:r>
          </w:p>
          <w:p w14:paraId="0FE92B9E" w14:textId="77777777" w:rsidR="004A0C3C" w:rsidRPr="002D1D30" w:rsidRDefault="004A0C3C" w:rsidP="00F81F38">
            <w:pPr>
              <w:jc w:val="left"/>
              <w:rPr>
                <w:rFonts w:ascii="Arial Narrow" w:hAnsi="Arial Narrow" w:cs="Times New Roman"/>
                <w:color w:val="333333"/>
                <w:sz w:val="18"/>
                <w:szCs w:val="18"/>
              </w:rPr>
            </w:pPr>
            <w:r w:rsidRPr="002D1D30">
              <w:rPr>
                <w:rFonts w:ascii="Arial Narrow" w:hAnsi="Arial Narrow" w:cs="Times New Roman"/>
                <w:color w:val="333333"/>
                <w:sz w:val="18"/>
                <w:szCs w:val="18"/>
              </w:rPr>
              <w:t>Reply Paid 9826</w:t>
            </w:r>
          </w:p>
          <w:p w14:paraId="7F3AF78E" w14:textId="77777777" w:rsidR="004A0C3C" w:rsidRPr="002D1D30" w:rsidRDefault="004A0C3C" w:rsidP="00F81F38">
            <w:pPr>
              <w:jc w:val="left"/>
              <w:rPr>
                <w:rFonts w:ascii="Arial Narrow" w:hAnsi="Arial Narrow" w:cs="Times New Roman"/>
                <w:b/>
                <w:bCs/>
                <w:color w:val="333333"/>
                <w:sz w:val="18"/>
                <w:szCs w:val="18"/>
              </w:rPr>
            </w:pPr>
            <w:r w:rsidRPr="002D1D30">
              <w:rPr>
                <w:rFonts w:ascii="Arial Narrow" w:hAnsi="Arial Narrow" w:cs="Times New Roman"/>
                <w:color w:val="333333"/>
                <w:sz w:val="18"/>
                <w:szCs w:val="18"/>
              </w:rPr>
              <w:t>HOBART TAS 7001</w:t>
            </w:r>
          </w:p>
        </w:tc>
      </w:tr>
    </w:tbl>
    <w:p w14:paraId="41A7E9F6" w14:textId="0EE5679C" w:rsidR="00890FAF" w:rsidRPr="004A0C3C" w:rsidRDefault="00890FAF" w:rsidP="007016CB">
      <w:pPr>
        <w:pStyle w:val="3-BodyText"/>
        <w:spacing w:before="240"/>
        <w:rPr>
          <w:rFonts w:eastAsia="Calibri"/>
          <w:i/>
          <w:lang w:eastAsia="en-US"/>
        </w:rPr>
      </w:pPr>
      <w:r w:rsidRPr="004A0C3C">
        <w:rPr>
          <w:bCs/>
          <w:i/>
          <w:szCs w:val="22"/>
          <w:lang w:eastAsia="en-US"/>
        </w:rPr>
        <w:t>Flow-on chang</w:t>
      </w:r>
      <w:r w:rsidR="0041158C">
        <w:rPr>
          <w:bCs/>
          <w:i/>
          <w:szCs w:val="22"/>
          <w:lang w:eastAsia="en-US"/>
        </w:rPr>
        <w:t>es to crizotinib in ROS1-NSCLC:</w:t>
      </w:r>
    </w:p>
    <w:p w14:paraId="61C75456" w14:textId="77777777" w:rsidR="004A0C3C" w:rsidRPr="004A0C3C" w:rsidRDefault="004A0C3C" w:rsidP="007016CB">
      <w:pPr>
        <w:keepNext/>
        <w:spacing w:after="120" w:line="259" w:lineRule="auto"/>
        <w:ind w:left="720"/>
        <w:rPr>
          <w:rFonts w:eastAsia="Calibri" w:cs="Calibri"/>
          <w:bCs/>
          <w:i/>
          <w:lang w:eastAsia="en-US"/>
        </w:rPr>
      </w:pPr>
      <w:r w:rsidRPr="004A0C3C">
        <w:rPr>
          <w:rFonts w:eastAsia="Calibri" w:cs="Calibri"/>
          <w:bCs/>
          <w:i/>
          <w:lang w:eastAsia="en-US"/>
        </w:rPr>
        <w:t>Add the following clinical criterion into the initial treatment listing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4A0C3C" w:rsidRPr="0026039D" w14:paraId="6418A4F7" w14:textId="77777777" w:rsidTr="004A0C3C">
        <w:tc>
          <w:tcPr>
            <w:tcW w:w="5000" w:type="pct"/>
            <w:vAlign w:val="center"/>
          </w:tcPr>
          <w:p w14:paraId="36FB5C81" w14:textId="77777777" w:rsidR="004A0C3C" w:rsidRPr="0026039D" w:rsidRDefault="004A0C3C" w:rsidP="002514DD">
            <w:pPr>
              <w:jc w:val="left"/>
              <w:rPr>
                <w:rFonts w:ascii="Arial Narrow" w:hAnsi="Arial Narrow" w:cs="Times New Roman"/>
                <w:color w:val="333333"/>
                <w:sz w:val="18"/>
                <w:szCs w:val="18"/>
              </w:rPr>
            </w:pPr>
            <w:r w:rsidRPr="0026039D">
              <w:rPr>
                <w:rFonts w:ascii="Arial Narrow" w:hAnsi="Arial Narrow" w:cs="Times New Roman"/>
                <w:b/>
                <w:bCs/>
                <w:color w:val="333333"/>
                <w:sz w:val="18"/>
                <w:szCs w:val="18"/>
              </w:rPr>
              <w:t>Clinical criteria:</w:t>
            </w:r>
          </w:p>
        </w:tc>
      </w:tr>
      <w:tr w:rsidR="004A0C3C" w:rsidRPr="0026039D" w14:paraId="0B57933A" w14:textId="77777777" w:rsidTr="004A0C3C">
        <w:tc>
          <w:tcPr>
            <w:tcW w:w="5000" w:type="pct"/>
            <w:vAlign w:val="center"/>
          </w:tcPr>
          <w:p w14:paraId="207D8B59" w14:textId="77777777" w:rsidR="004A0C3C" w:rsidRPr="0026039D" w:rsidRDefault="004A0C3C" w:rsidP="002514DD">
            <w:pPr>
              <w:jc w:val="left"/>
              <w:rPr>
                <w:rFonts w:ascii="Arial Narrow" w:hAnsi="Arial Narrow" w:cs="Times New Roman"/>
                <w:b/>
                <w:color w:val="333333"/>
                <w:sz w:val="18"/>
                <w:szCs w:val="18"/>
              </w:rPr>
            </w:pPr>
            <w:r w:rsidRPr="0026039D">
              <w:rPr>
                <w:rFonts w:ascii="Arial Narrow" w:hAnsi="Arial Narrow" w:cs="Times New Roman"/>
                <w:color w:val="333333"/>
                <w:sz w:val="18"/>
                <w:szCs w:val="18"/>
              </w:rPr>
              <w:t>Patient must not have received prior treatment with a c-ROS proto-oncogene 1 (ROS1) receptor tyrosine kinase inhibitor for this condition; or</w:t>
            </w:r>
          </w:p>
        </w:tc>
      </w:tr>
      <w:tr w:rsidR="004A0C3C" w:rsidRPr="0026039D" w14:paraId="5B3C4934" w14:textId="77777777" w:rsidTr="004A0C3C">
        <w:trPr>
          <w:trHeight w:val="579"/>
        </w:trPr>
        <w:tc>
          <w:tcPr>
            <w:tcW w:w="5000" w:type="pct"/>
            <w:vAlign w:val="center"/>
          </w:tcPr>
          <w:p w14:paraId="39B7CCE5" w14:textId="77777777" w:rsidR="004A0C3C" w:rsidRPr="0026039D" w:rsidRDefault="004A0C3C" w:rsidP="002514DD">
            <w:pPr>
              <w:jc w:val="left"/>
              <w:rPr>
                <w:rFonts w:ascii="Arial Narrow" w:hAnsi="Arial Narrow" w:cs="Times New Roman"/>
                <w:color w:val="333333"/>
                <w:sz w:val="18"/>
                <w:szCs w:val="18"/>
              </w:rPr>
            </w:pPr>
            <w:r w:rsidRPr="0026039D">
              <w:rPr>
                <w:rFonts w:ascii="Arial Narrow" w:hAnsi="Arial Narrow" w:cs="Times New Roman"/>
                <w:color w:val="333333"/>
                <w:sz w:val="18"/>
                <w:szCs w:val="18"/>
              </w:rPr>
              <w:t>Patient must have developed intolerance to a c-ROS proto-oncogene 1 (ROS1) receptor tyrosine kinase inhibitor necessitating permanent treatment withdrawal.</w:t>
            </w:r>
          </w:p>
        </w:tc>
      </w:tr>
    </w:tbl>
    <w:p w14:paraId="32D12BD4" w14:textId="77777777" w:rsidR="003E7776" w:rsidRDefault="003F0E20" w:rsidP="007016CB">
      <w:pPr>
        <w:spacing w:before="240"/>
        <w:rPr>
          <w:b/>
          <w:i/>
        </w:rPr>
      </w:pPr>
      <w:r w:rsidRPr="00221377">
        <w:rPr>
          <w:b/>
          <w:i/>
        </w:rPr>
        <w:t>This restriction may be subject to further review. Should there be any changes made to the restriction the Sponsor will be informed.</w:t>
      </w:r>
    </w:p>
    <w:p w14:paraId="1D8B38FD" w14:textId="77777777" w:rsidR="000047C0" w:rsidRDefault="000047C0" w:rsidP="000047C0">
      <w:pPr>
        <w:pStyle w:val="2Sections"/>
        <w:numPr>
          <w:ilvl w:val="0"/>
          <w:numId w:val="1"/>
        </w:numPr>
        <w:rPr>
          <w:color w:val="1F497D"/>
        </w:rPr>
      </w:pPr>
      <w:r w:rsidRPr="00C07617">
        <w:t>Context for Decision</w:t>
      </w:r>
    </w:p>
    <w:p w14:paraId="0115F4A4" w14:textId="77777777" w:rsidR="000047C0" w:rsidRPr="007129F2" w:rsidRDefault="000047C0" w:rsidP="00B63290">
      <w:pPr>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256E9EE" w14:textId="77777777" w:rsidR="000047C0" w:rsidRPr="00C07617" w:rsidRDefault="000047C0" w:rsidP="000047C0">
      <w:pPr>
        <w:pStyle w:val="2Sections"/>
        <w:numPr>
          <w:ilvl w:val="0"/>
          <w:numId w:val="1"/>
        </w:numPr>
        <w:rPr>
          <w:b w:val="0"/>
        </w:rPr>
      </w:pPr>
      <w:r>
        <w:t>Sponsor’s Comment</w:t>
      </w:r>
    </w:p>
    <w:p w14:paraId="1B592BB4" w14:textId="77777777" w:rsidR="000047C0" w:rsidRPr="00221377" w:rsidRDefault="003C30BC" w:rsidP="007016CB">
      <w:pPr>
        <w:spacing w:before="240"/>
        <w:rPr>
          <w:b/>
          <w:i/>
        </w:rPr>
      </w:pPr>
      <w:r w:rsidRPr="00E5766A">
        <w:rPr>
          <w:rFonts w:asciiTheme="minorHAnsi" w:hAnsiTheme="minorHAnsi"/>
          <w:bCs/>
        </w:rPr>
        <w:t xml:space="preserve">Roche welcomes the PBAC’s decision to recommend </w:t>
      </w:r>
      <w:r>
        <w:rPr>
          <w:rFonts w:asciiTheme="minorHAnsi" w:hAnsiTheme="minorHAnsi"/>
          <w:bCs/>
        </w:rPr>
        <w:t>entrectinib</w:t>
      </w:r>
      <w:r w:rsidRPr="00E5766A">
        <w:rPr>
          <w:rFonts w:asciiTheme="minorHAnsi" w:hAnsiTheme="minorHAnsi"/>
          <w:bCs/>
        </w:rPr>
        <w:t xml:space="preserve"> for patients with advanced</w:t>
      </w:r>
      <w:r>
        <w:rPr>
          <w:rFonts w:asciiTheme="minorHAnsi" w:hAnsiTheme="minorHAnsi"/>
          <w:bCs/>
        </w:rPr>
        <w:t xml:space="preserve"> ROS1</w:t>
      </w:r>
      <w:r w:rsidRPr="00E5766A">
        <w:rPr>
          <w:rFonts w:asciiTheme="minorHAnsi" w:hAnsiTheme="minorHAnsi"/>
          <w:bCs/>
        </w:rPr>
        <w:t>-positive NSCLC and are working with the Department of Health towards a PBS listing at</w:t>
      </w:r>
      <w:r>
        <w:rPr>
          <w:rFonts w:asciiTheme="minorHAnsi" w:hAnsiTheme="minorHAnsi"/>
          <w:bCs/>
        </w:rPr>
        <w:t xml:space="preserve"> </w:t>
      </w:r>
      <w:r w:rsidRPr="00E5766A">
        <w:rPr>
          <w:rFonts w:asciiTheme="minorHAnsi" w:hAnsiTheme="minorHAnsi"/>
          <w:bCs/>
        </w:rPr>
        <w:t>the earliest opportunity</w:t>
      </w:r>
      <w:r>
        <w:rPr>
          <w:rFonts w:asciiTheme="minorHAnsi" w:hAnsiTheme="minorHAnsi"/>
          <w:bCs/>
        </w:rPr>
        <w:t>.</w:t>
      </w:r>
    </w:p>
    <w:sectPr w:rsidR="000047C0" w:rsidRPr="00221377" w:rsidSect="00302AA3">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A88463" w16cid:durableId="21FCD727"/>
  <w16cid:commentId w16cid:paraId="3E4B8654" w16cid:durableId="21FCD8C2"/>
  <w16cid:commentId w16cid:paraId="014F6D0B" w16cid:durableId="21FBE2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B85CD" w14:textId="77777777" w:rsidR="00180107" w:rsidRDefault="00180107" w:rsidP="00124A51">
      <w:r>
        <w:separator/>
      </w:r>
    </w:p>
    <w:p w14:paraId="6F38BD8C" w14:textId="77777777" w:rsidR="00180107" w:rsidRDefault="00180107"/>
  </w:endnote>
  <w:endnote w:type="continuationSeparator" w:id="0">
    <w:p w14:paraId="37609DF1" w14:textId="77777777" w:rsidR="00180107" w:rsidRDefault="00180107" w:rsidP="00124A51">
      <w:r>
        <w:continuationSeparator/>
      </w:r>
    </w:p>
    <w:p w14:paraId="109805CA" w14:textId="77777777" w:rsidR="00180107" w:rsidRDefault="00180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FB412" w14:textId="77777777" w:rsidR="00180107" w:rsidRDefault="00180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F67CF" w14:textId="77777777" w:rsidR="00180107" w:rsidRPr="00213A96" w:rsidRDefault="00180107">
    <w:pPr>
      <w:pStyle w:val="Footer"/>
      <w:jc w:val="center"/>
      <w:rPr>
        <w:b/>
      </w:rPr>
    </w:pPr>
  </w:p>
  <w:p w14:paraId="312E482B" w14:textId="334557F6" w:rsidR="00180107" w:rsidRDefault="00180107" w:rsidP="00E7785B">
    <w:pPr>
      <w:pStyle w:val="Footer"/>
      <w:jc w:val="center"/>
    </w:pPr>
    <w:sdt>
      <w:sdtPr>
        <w:rPr>
          <w:b/>
        </w:rPr>
        <w:id w:val="-1224518605"/>
        <w:docPartObj>
          <w:docPartGallery w:val="Page Numbers (Bottom of Page)"/>
          <w:docPartUnique/>
        </w:docPartObj>
      </w:sdtPr>
      <w:sdtEndPr>
        <w:rPr>
          <w:noProof/>
        </w:rPr>
      </w:sdtEndPr>
      <w:sdtContent>
        <w:r w:rsidRPr="00213A96">
          <w:rPr>
            <w:b/>
          </w:rPr>
          <w:fldChar w:fldCharType="begin"/>
        </w:r>
        <w:r w:rsidRPr="00213A96">
          <w:rPr>
            <w:b/>
          </w:rPr>
          <w:instrText xml:space="preserve"> PAGE   \* MERGEFORMAT </w:instrText>
        </w:r>
        <w:r w:rsidRPr="00213A96">
          <w:rPr>
            <w:b/>
          </w:rPr>
          <w:fldChar w:fldCharType="separate"/>
        </w:r>
        <w:r w:rsidR="00A4626B">
          <w:rPr>
            <w:b/>
            <w:noProof/>
          </w:rPr>
          <w:t>21</w:t>
        </w:r>
        <w:r w:rsidRPr="00213A96">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3BEA2" w14:textId="77777777" w:rsidR="00180107" w:rsidRDefault="00180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6C89D" w14:textId="77777777" w:rsidR="00180107" w:rsidRDefault="00180107" w:rsidP="00124A51">
      <w:r>
        <w:separator/>
      </w:r>
    </w:p>
    <w:p w14:paraId="693B1D8D" w14:textId="77777777" w:rsidR="00180107" w:rsidRDefault="00180107"/>
  </w:footnote>
  <w:footnote w:type="continuationSeparator" w:id="0">
    <w:p w14:paraId="6DC8EE71" w14:textId="77777777" w:rsidR="00180107" w:rsidRDefault="00180107" w:rsidP="00124A51">
      <w:r>
        <w:continuationSeparator/>
      </w:r>
    </w:p>
    <w:p w14:paraId="507049D4" w14:textId="77777777" w:rsidR="00180107" w:rsidRDefault="00180107"/>
  </w:footnote>
  <w:footnote w:id="1">
    <w:p w14:paraId="76105304" w14:textId="77777777" w:rsidR="00180107" w:rsidRDefault="00180107">
      <w:pPr>
        <w:pStyle w:val="FootnoteText"/>
      </w:pPr>
      <w:r>
        <w:rPr>
          <w:rStyle w:val="FootnoteReference"/>
        </w:rPr>
        <w:footnoteRef/>
      </w:r>
      <w:r>
        <w:t xml:space="preserve"> </w:t>
      </w:r>
      <w:r w:rsidRPr="003D68DE">
        <w:rPr>
          <w:rFonts w:ascii="Arial Narrow" w:hAnsi="Arial Narrow"/>
          <w:sz w:val="18"/>
          <w:szCs w:val="18"/>
        </w:rPr>
        <w:t>National Compre</w:t>
      </w:r>
      <w:r>
        <w:rPr>
          <w:rFonts w:ascii="Arial Narrow" w:hAnsi="Arial Narrow"/>
          <w:sz w:val="18"/>
          <w:szCs w:val="18"/>
        </w:rPr>
        <w:t>hen</w:t>
      </w:r>
      <w:r w:rsidRPr="003D68DE">
        <w:rPr>
          <w:rFonts w:ascii="Arial Narrow" w:hAnsi="Arial Narrow"/>
          <w:sz w:val="18"/>
          <w:szCs w:val="18"/>
        </w:rPr>
        <w:t xml:space="preserve">sive Cancer Network </w:t>
      </w:r>
      <w:r>
        <w:rPr>
          <w:rFonts w:ascii="Arial Narrow" w:hAnsi="Arial Narrow"/>
          <w:sz w:val="18"/>
          <w:szCs w:val="18"/>
        </w:rPr>
        <w:t>(</w:t>
      </w:r>
      <w:r w:rsidRPr="003D68DE">
        <w:rPr>
          <w:rFonts w:ascii="Arial Narrow" w:hAnsi="Arial Narrow"/>
          <w:sz w:val="18"/>
          <w:szCs w:val="18"/>
        </w:rPr>
        <w:t>Version 7.2019</w:t>
      </w:r>
      <w:r>
        <w:rPr>
          <w:rFonts w:ascii="Arial Narrow" w:hAnsi="Arial Narrow"/>
          <w:sz w:val="18"/>
          <w:szCs w:val="18"/>
        </w:rPr>
        <w:t>)</w:t>
      </w:r>
      <w:r w:rsidRPr="003D68DE">
        <w:rPr>
          <w:rFonts w:ascii="Arial Narrow" w:hAnsi="Arial Narrow"/>
          <w:sz w:val="18"/>
          <w:szCs w:val="18"/>
        </w:rPr>
        <w:t xml:space="preserve"> – Clinical Practice Guidelines in Oncology</w:t>
      </w:r>
      <w:r>
        <w:t xml:space="preserve"> </w:t>
      </w:r>
    </w:p>
  </w:footnote>
  <w:footnote w:id="2">
    <w:p w14:paraId="6B4DBDA8" w14:textId="77777777" w:rsidR="00180107" w:rsidRPr="003D68DE" w:rsidRDefault="00180107" w:rsidP="0013311B">
      <w:pPr>
        <w:pStyle w:val="FootnoteText"/>
        <w:ind w:left="142" w:hanging="142"/>
        <w:rPr>
          <w:rFonts w:ascii="Arial Narrow" w:hAnsi="Arial Narrow"/>
          <w:sz w:val="18"/>
          <w:szCs w:val="18"/>
        </w:rPr>
      </w:pPr>
      <w:r>
        <w:rPr>
          <w:rStyle w:val="FootnoteReference"/>
        </w:rPr>
        <w:footnoteRef/>
      </w:r>
      <w:r>
        <w:t xml:space="preserve"> </w:t>
      </w:r>
      <w:r w:rsidRPr="003D68DE">
        <w:rPr>
          <w:rFonts w:ascii="Arial Narrow" w:hAnsi="Arial Narrow"/>
          <w:sz w:val="18"/>
          <w:szCs w:val="18"/>
        </w:rPr>
        <w:t>Ku BM, Bae YH, et al. Entrectinib resistance mechanisms in ROS1-rearranged non-small cell lung cancer. Invest New Drugs. 2019.</w:t>
      </w:r>
    </w:p>
  </w:footnote>
  <w:footnote w:id="3">
    <w:p w14:paraId="2071C3F4" w14:textId="77777777" w:rsidR="00180107" w:rsidRDefault="00180107">
      <w:pPr>
        <w:pStyle w:val="FootnoteText"/>
      </w:pPr>
      <w:r>
        <w:rPr>
          <w:rStyle w:val="FootnoteReference"/>
        </w:rPr>
        <w:footnoteRef/>
      </w:r>
      <w:hyperlink r:id="rId1" w:history="1">
        <w:r w:rsidRPr="00113078">
          <w:rPr>
            <w:rStyle w:val="Hyperlink"/>
            <w:sz w:val="18"/>
          </w:rPr>
          <w:t>http://www.pbs.gov.au/industry/listing/elements/pbac-meetings/pbac-outcomes/2019-11/other-matters-11-2019.docx.pdf</w:t>
        </w:r>
      </w:hyperlink>
    </w:p>
  </w:footnote>
  <w:footnote w:id="4">
    <w:p w14:paraId="47772D19" w14:textId="77777777" w:rsidR="00180107" w:rsidRDefault="00180107">
      <w:pPr>
        <w:pStyle w:val="FootnoteText"/>
      </w:pPr>
      <w:r>
        <w:rPr>
          <w:rStyle w:val="FootnoteReference"/>
        </w:rPr>
        <w:footnoteRef/>
      </w:r>
      <w:r>
        <w:t xml:space="preserve"> </w:t>
      </w:r>
      <w:r w:rsidRPr="00821777">
        <w:rPr>
          <w:rFonts w:ascii="Arial Narrow" w:hAnsi="Arial Narrow"/>
          <w:sz w:val="18"/>
          <w:szCs w:val="18"/>
          <w:lang w:val="en-US"/>
        </w:rPr>
        <w:t>Drilon A, Siena S, Dziadziuszko R, et al: Entrectinib in ROS1 fusion-positive non-small-cell lung cancer: integrated analysis of three phase 1–2 trials. The Lancet Oncology, 2019</w:t>
      </w:r>
    </w:p>
  </w:footnote>
  <w:footnote w:id="5">
    <w:p w14:paraId="420A0088" w14:textId="77777777" w:rsidR="00180107" w:rsidRPr="005142FA" w:rsidRDefault="00180107">
      <w:pPr>
        <w:pStyle w:val="FootnoteText"/>
        <w:rPr>
          <w:rFonts w:ascii="Arial Narrow" w:hAnsi="Arial Narrow"/>
          <w:sz w:val="18"/>
          <w:szCs w:val="18"/>
        </w:rPr>
      </w:pPr>
      <w:r>
        <w:rPr>
          <w:rStyle w:val="FootnoteReference"/>
        </w:rPr>
        <w:footnoteRef/>
      </w:r>
      <w:r>
        <w:t xml:space="preserve"> </w:t>
      </w:r>
      <w:r w:rsidRPr="005142FA">
        <w:rPr>
          <w:rFonts w:ascii="Arial Narrow" w:hAnsi="Arial Narrow"/>
          <w:sz w:val="18"/>
          <w:szCs w:val="18"/>
          <w:lang w:val="en-US"/>
        </w:rPr>
        <w:t>Cherny NI, Dafni U, Bogaerts J, et al: ESMO-Magnitude of Clinical Benefit Scale version 1.1. Annals of Oncology 28:2340-2366, 2017</w:t>
      </w:r>
    </w:p>
  </w:footnote>
  <w:footnote w:id="6">
    <w:p w14:paraId="14C34331" w14:textId="77777777" w:rsidR="00180107" w:rsidRPr="00BA4537" w:rsidRDefault="00180107">
      <w:pPr>
        <w:pStyle w:val="FootnoteText"/>
        <w:rPr>
          <w:rFonts w:ascii="Arial Narrow" w:hAnsi="Arial Narrow"/>
          <w:sz w:val="18"/>
          <w:szCs w:val="18"/>
        </w:rPr>
      </w:pPr>
      <w:r>
        <w:rPr>
          <w:rStyle w:val="FootnoteReference"/>
        </w:rPr>
        <w:footnoteRef/>
      </w:r>
      <w:r>
        <w:t xml:space="preserve"> </w:t>
      </w:r>
      <w:r w:rsidRPr="00BA4537">
        <w:rPr>
          <w:rFonts w:ascii="Arial Narrow" w:hAnsi="Arial Narrow"/>
          <w:sz w:val="18"/>
          <w:szCs w:val="18"/>
        </w:rPr>
        <w:t>ESMO MCBS Form 3 used (orphan drug where PFS/ORR are outcomes in trial)</w:t>
      </w:r>
    </w:p>
  </w:footnote>
  <w:footnote w:id="7">
    <w:p w14:paraId="21F563DA" w14:textId="77777777" w:rsidR="00180107" w:rsidRDefault="00180107" w:rsidP="00DC01DB">
      <w:pPr>
        <w:pStyle w:val="FootnoteText"/>
        <w:ind w:left="142" w:hanging="142"/>
      </w:pPr>
      <w:r w:rsidRPr="005817ED">
        <w:rPr>
          <w:rStyle w:val="FootnoteReference"/>
        </w:rPr>
        <w:footnoteRef/>
      </w:r>
      <w:r w:rsidRPr="005817ED">
        <w:t xml:space="preserve"> </w:t>
      </w:r>
      <w:r w:rsidRPr="00142CDF">
        <w:rPr>
          <w:rFonts w:ascii="Arial Narrow" w:hAnsi="Arial Narrow"/>
          <w:sz w:val="18"/>
          <w:szCs w:val="18"/>
        </w:rPr>
        <w:t>The submission defined this analysis set a</w:t>
      </w:r>
      <w:r>
        <w:rPr>
          <w:rFonts w:ascii="Arial Narrow" w:hAnsi="Arial Narrow"/>
          <w:sz w:val="18"/>
          <w:szCs w:val="18"/>
        </w:rPr>
        <w:t>s</w:t>
      </w:r>
      <w:r w:rsidRPr="00142CDF">
        <w:rPr>
          <w:rFonts w:ascii="Arial Narrow" w:hAnsi="Arial Narrow"/>
          <w:sz w:val="18"/>
          <w:szCs w:val="18"/>
        </w:rPr>
        <w:t xml:space="preserve"> ROS1-positive</w:t>
      </w:r>
      <w:r>
        <w:rPr>
          <w:rFonts w:ascii="Arial Narrow" w:hAnsi="Arial Narrow"/>
          <w:sz w:val="18"/>
          <w:szCs w:val="18"/>
        </w:rPr>
        <w:t xml:space="preserve"> patients</w:t>
      </w:r>
      <w:r w:rsidRPr="00142CDF">
        <w:rPr>
          <w:rFonts w:ascii="Arial Narrow" w:hAnsi="Arial Narrow"/>
          <w:sz w:val="18"/>
          <w:szCs w:val="18"/>
        </w:rPr>
        <w:t xml:space="preserve">, </w:t>
      </w:r>
      <w:r>
        <w:rPr>
          <w:rFonts w:ascii="Arial Narrow" w:hAnsi="Arial Narrow"/>
          <w:sz w:val="18"/>
          <w:szCs w:val="18"/>
        </w:rPr>
        <w:t xml:space="preserve">and </w:t>
      </w:r>
      <w:r w:rsidRPr="00142CDF">
        <w:rPr>
          <w:rFonts w:ascii="Arial Narrow" w:hAnsi="Arial Narrow"/>
          <w:sz w:val="18"/>
          <w:szCs w:val="18"/>
        </w:rPr>
        <w:t xml:space="preserve">ROS1 inhibitor-naïve NSCLC patients with measurable disease at baseline and ≥12 months of follow-up from onset of response, but the TGA submission indicated that it included patients who had ≥12 months follow-up from onset of response, </w:t>
      </w:r>
      <w:r w:rsidRPr="00142CDF">
        <w:rPr>
          <w:rFonts w:ascii="Arial Narrow" w:hAnsi="Arial Narrow"/>
          <w:sz w:val="18"/>
          <w:szCs w:val="18"/>
          <w:u w:val="single"/>
        </w:rPr>
        <w:t>or had discontinued study treatment</w:t>
      </w:r>
      <w:r w:rsidRPr="00142CDF">
        <w:rPr>
          <w:rFonts w:ascii="Arial Narrow" w:hAnsi="Arial Narrow"/>
          <w:sz w:val="18"/>
          <w:szCs w:val="18"/>
        </w:rPr>
        <w:t xml:space="preserve"> at the CCOD (p13, TGA Submission Section 2.7.3, Summary of clinical efficacy (CCOD 31 May 2018).</w:t>
      </w:r>
    </w:p>
  </w:footnote>
  <w:footnote w:id="8">
    <w:p w14:paraId="5E046CBF" w14:textId="77777777" w:rsidR="00180107" w:rsidRDefault="00180107" w:rsidP="00DC01DB">
      <w:pPr>
        <w:pStyle w:val="FootnoteText"/>
        <w:ind w:left="142" w:hanging="142"/>
      </w:pPr>
      <w:r>
        <w:rPr>
          <w:rStyle w:val="FootnoteReference"/>
        </w:rPr>
        <w:footnoteRef/>
      </w:r>
      <w:r>
        <w:t xml:space="preserve"> 50 patients were included in the analysis set for the May 2014 data cut-off date. An additional 3 patients were included in the long-term follow-up data (data cut-off June 2018)</w:t>
      </w:r>
    </w:p>
  </w:footnote>
  <w:footnote w:id="9">
    <w:p w14:paraId="6ACCD152" w14:textId="77777777" w:rsidR="00180107" w:rsidRDefault="00180107" w:rsidP="003E5FA5">
      <w:pPr>
        <w:pStyle w:val="FootnoteText"/>
        <w:ind w:left="142" w:hanging="142"/>
      </w:pPr>
      <w:r>
        <w:rPr>
          <w:rStyle w:val="FootnoteReference"/>
        </w:rPr>
        <w:footnoteRef/>
      </w:r>
      <w:r>
        <w:t xml:space="preserve"> </w:t>
      </w:r>
      <w:r w:rsidRPr="003E5FA5">
        <w:t xml:space="preserve">Doebele RC, Perez L, et al. Time-to-treatment discontinuation (TTD) and real-world </w:t>
      </w:r>
      <w:r>
        <w:t>progression free</w:t>
      </w:r>
      <w:r w:rsidRPr="003E5FA5">
        <w:t xml:space="preserve"> survival (rwPFS) as endpoints for comparative efficacy analysis between entrectinib trial and crizotinib real-world ROS1 fusion-positive (ROS1+) NSCLC patients. Journal of Clinical Oncology. 2019; 37.</w:t>
      </w:r>
    </w:p>
  </w:footnote>
  <w:footnote w:id="10">
    <w:p w14:paraId="4E87333F" w14:textId="77777777" w:rsidR="00180107" w:rsidRDefault="00180107" w:rsidP="00B15D57">
      <w:pPr>
        <w:pStyle w:val="FootnoteText"/>
        <w:ind w:left="142" w:hanging="142"/>
      </w:pPr>
      <w:r>
        <w:rPr>
          <w:rStyle w:val="FootnoteReference"/>
        </w:rPr>
        <w:footnoteRef/>
      </w:r>
      <w:r>
        <w:t xml:space="preserve"> </w:t>
      </w:r>
      <w:r w:rsidRPr="00B15D57">
        <w:rPr>
          <w:noProof/>
        </w:rPr>
        <w:t xml:space="preserve">Zhou W, Christiani DC. East meets West: ethnic differences in epidemiology and clinical behaviors of lung cancer between East Asians and Caucasians. </w:t>
      </w:r>
      <w:r w:rsidRPr="00B15D57">
        <w:rPr>
          <w:i/>
          <w:noProof/>
        </w:rPr>
        <w:t>Chin J Cancer</w:t>
      </w:r>
      <w:r w:rsidRPr="00B15D57">
        <w:rPr>
          <w:noProof/>
        </w:rPr>
        <w:t>. 2011; 30 (5):287-92.</w:t>
      </w:r>
    </w:p>
  </w:footnote>
  <w:footnote w:id="11">
    <w:p w14:paraId="33C5C67D" w14:textId="77777777" w:rsidR="00180107" w:rsidRDefault="00180107" w:rsidP="00B10F52">
      <w:pPr>
        <w:pStyle w:val="FootnoteText"/>
      </w:pPr>
      <w:r>
        <w:rPr>
          <w:rStyle w:val="FootnoteReference"/>
        </w:rPr>
        <w:footnoteRef/>
      </w:r>
      <w:r>
        <w:t xml:space="preserve"> Available at:</w:t>
      </w:r>
      <w:r w:rsidRPr="00342F7C">
        <w:t xml:space="preserve"> </w:t>
      </w:r>
      <w:hyperlink r:id="rId2" w:anchor="assessment-history-section" w:history="1">
        <w:r w:rsidRPr="009C3580">
          <w:rPr>
            <w:rStyle w:val="Hyperlink"/>
          </w:rPr>
          <w:t>https://www.ema.europa.eu/en/medicines/human/EPAR/xalkori#assessment-history-section</w:t>
        </w:r>
      </w:hyperlink>
      <w:r>
        <w:t xml:space="preserve"> </w:t>
      </w:r>
    </w:p>
  </w:footnote>
  <w:footnote w:id="12">
    <w:p w14:paraId="455C71A4" w14:textId="77777777" w:rsidR="00180107" w:rsidRDefault="00180107" w:rsidP="008E1F1F">
      <w:pPr>
        <w:pStyle w:val="FootnoteText"/>
      </w:pPr>
      <w:r>
        <w:rPr>
          <w:rStyle w:val="FootnoteReference"/>
        </w:rPr>
        <w:footnoteRef/>
      </w:r>
      <w:r>
        <w:t xml:space="preserve"> Source: pp177-8 Safety update report for entrectinib CCOD October 2018 - supporting data.</w:t>
      </w:r>
    </w:p>
  </w:footnote>
  <w:footnote w:id="13">
    <w:p w14:paraId="06807E51" w14:textId="77777777" w:rsidR="00180107" w:rsidRDefault="00180107" w:rsidP="008E1F1F">
      <w:pPr>
        <w:pStyle w:val="FootnoteText"/>
      </w:pPr>
      <w:r>
        <w:rPr>
          <w:rStyle w:val="FootnoteReference"/>
        </w:rPr>
        <w:footnoteRef/>
      </w:r>
      <w:r>
        <w:t xml:space="preserve"> Source: </w:t>
      </w:r>
      <w:r w:rsidRPr="0073202A">
        <w:t>US Food and Drug Administration. Multi-disciplinary Review and Evaluation NDA 212725.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07784" w14:textId="77777777" w:rsidR="00180107" w:rsidRDefault="00180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16EE8" w14:textId="77777777" w:rsidR="00180107" w:rsidRDefault="00180107" w:rsidP="000047C0">
    <w:pPr>
      <w:pStyle w:val="Header"/>
      <w:rPr>
        <w:rFonts w:asciiTheme="minorHAnsi" w:hAnsiTheme="minorHAnsi" w:cstheme="minorHAnsi"/>
        <w:i/>
        <w:color w:val="808080"/>
      </w:rPr>
    </w:pPr>
    <w:r>
      <w:rPr>
        <w:rFonts w:asciiTheme="minorHAnsi" w:hAnsiTheme="minorHAnsi" w:cstheme="minorHAnsi"/>
        <w:i/>
        <w:color w:val="808080"/>
      </w:rPr>
      <w:t>Public Summary Document</w:t>
    </w:r>
    <w:r w:rsidRPr="007C13CC">
      <w:rPr>
        <w:rFonts w:asciiTheme="minorHAnsi" w:hAnsiTheme="minorHAnsi" w:cstheme="minorHAnsi"/>
        <w:i/>
        <w:color w:val="808080"/>
      </w:rPr>
      <w:t xml:space="preserve"> –</w:t>
    </w:r>
    <w:r>
      <w:rPr>
        <w:rFonts w:asciiTheme="minorHAnsi" w:hAnsiTheme="minorHAnsi" w:cstheme="minorHAnsi"/>
        <w:i/>
        <w:color w:val="808080"/>
      </w:rPr>
      <w:t xml:space="preserve"> March 2020</w:t>
    </w:r>
    <w:r w:rsidRPr="007C13CC">
      <w:rPr>
        <w:rFonts w:asciiTheme="minorHAnsi" w:hAnsiTheme="minorHAnsi" w:cstheme="minorHAnsi"/>
        <w:i/>
        <w:color w:val="808080"/>
      </w:rPr>
      <w:t xml:space="preserve"> PBAC Meeting</w:t>
    </w:r>
  </w:p>
  <w:p w14:paraId="5F1892D8" w14:textId="77777777" w:rsidR="00180107" w:rsidRPr="00DC769E" w:rsidRDefault="00180107" w:rsidP="00DC7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BB975" w14:textId="77777777" w:rsidR="00180107" w:rsidRDefault="00180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8B4EAD"/>
    <w:multiLevelType w:val="hybridMultilevel"/>
    <w:tmpl w:val="F55087F8"/>
    <w:lvl w:ilvl="0" w:tplc="B7D4C11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7979F6"/>
    <w:multiLevelType w:val="hybridMultilevel"/>
    <w:tmpl w:val="3BCEB3D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376C72"/>
    <w:multiLevelType w:val="hybridMultilevel"/>
    <w:tmpl w:val="26501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314F6"/>
    <w:multiLevelType w:val="hybridMultilevel"/>
    <w:tmpl w:val="C8786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8771D"/>
    <w:multiLevelType w:val="hybridMultilevel"/>
    <w:tmpl w:val="A362789C"/>
    <w:lvl w:ilvl="0" w:tplc="536CC076">
      <w:start w:val="1"/>
      <w:numFmt w:val="bullet"/>
      <w:lvlText w:val=""/>
      <w:lvlJc w:val="left"/>
      <w:pPr>
        <w:ind w:left="786" w:hanging="360"/>
      </w:pPr>
      <w:rPr>
        <w:rFonts w:ascii="Wingdings" w:hAnsi="Wingdings" w:hint="default"/>
        <w:color w:val="auto"/>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15:restartNumberingAfterBreak="0">
    <w:nsid w:val="496C7627"/>
    <w:multiLevelType w:val="hybridMultilevel"/>
    <w:tmpl w:val="C1AA3C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ACE7596"/>
    <w:multiLevelType w:val="hybridMultilevel"/>
    <w:tmpl w:val="AB92AFB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4D272056"/>
    <w:multiLevelType w:val="hybridMultilevel"/>
    <w:tmpl w:val="87C895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743D38"/>
    <w:multiLevelType w:val="hybridMultilevel"/>
    <w:tmpl w:val="77DC9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4D033C"/>
    <w:multiLevelType w:val="multilevel"/>
    <w:tmpl w:val="870E8730"/>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b w:val="0"/>
        <w:bCs w:val="0"/>
        <w:i w:val="0"/>
        <w:iCs w:val="0"/>
        <w:caps w:val="0"/>
        <w:smallCaps w:val="0"/>
        <w:strike w:val="0"/>
        <w:dstrike w:val="0"/>
        <w:outline w:val="0"/>
        <w:shadow w:val="0"/>
        <w:emboss w:val="0"/>
        <w:imprint w:val="0"/>
        <w:noProof w:val="0"/>
        <w:vanish w:val="0"/>
        <w:color w:val="auto"/>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ED15B6"/>
    <w:multiLevelType w:val="hybridMultilevel"/>
    <w:tmpl w:val="14EA9EB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0"/>
  </w:num>
  <w:num w:numId="4">
    <w:abstractNumId w:val="18"/>
  </w:num>
  <w:num w:numId="5">
    <w:abstractNumId w:val="8"/>
  </w:num>
  <w:num w:numId="6">
    <w:abstractNumId w:val="10"/>
  </w:num>
  <w:num w:numId="7">
    <w:abstractNumId w:val="13"/>
  </w:num>
  <w:num w:numId="8">
    <w:abstractNumId w:val="14"/>
  </w:num>
  <w:num w:numId="9">
    <w:abstractNumId w:val="3"/>
  </w:num>
  <w:num w:numId="10">
    <w:abstractNumId w:val="17"/>
  </w:num>
  <w:num w:numId="11">
    <w:abstractNumId w:val="16"/>
  </w:num>
  <w:num w:numId="12">
    <w:abstractNumId w:val="2"/>
  </w:num>
  <w:num w:numId="13">
    <w:abstractNumId w:val="1"/>
  </w:num>
  <w:num w:numId="14">
    <w:abstractNumId w:val="5"/>
  </w:num>
  <w:num w:numId="15">
    <w:abstractNumId w:val="7"/>
  </w:num>
  <w:num w:numId="16">
    <w:abstractNumId w:val="4"/>
  </w:num>
  <w:num w:numId="17">
    <w:abstractNumId w:val="18"/>
  </w:num>
  <w:num w:numId="18">
    <w:abstractNumId w:val="11"/>
  </w:num>
  <w:num w:numId="19">
    <w:abstractNumId w:val="15"/>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9"/>
  </w:num>
  <w:num w:numId="24">
    <w:abstractNumId w:val="6"/>
  </w:num>
  <w:num w:numId="2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fr-FR" w:vendorID="64" w:dllVersion="6" w:nlCheck="1" w:checkStyle="0"/>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I1MDY1M7I0sbSwNLZU0lEKTi0uzszPAymwqAUAmTHwMiwAAAA="/>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wwdsffmttv52errrmxz526af5dftrv9spv&quot;&gt;Entrectinib&lt;record-ids&gt;&lt;item&gt;8&lt;/item&gt;&lt;item&gt;9&lt;/item&gt;&lt;item&gt;17&lt;/item&gt;&lt;item&gt;170&lt;/item&gt;&lt;item&gt;175&lt;/item&gt;&lt;item&gt;246&lt;/item&gt;&lt;item&gt;249&lt;/item&gt;&lt;item&gt;250&lt;/item&gt;&lt;item&gt;252&lt;/item&gt;&lt;item&gt;258&lt;/item&gt;&lt;item&gt;338&lt;/item&gt;&lt;item&gt;339&lt;/item&gt;&lt;item&gt;346&lt;/item&gt;&lt;/record-ids&gt;&lt;/item&gt;&lt;/Libraries&gt;"/>
  </w:docVars>
  <w:rsids>
    <w:rsidRoot w:val="00E65E79"/>
    <w:rsid w:val="00000790"/>
    <w:rsid w:val="00000E4B"/>
    <w:rsid w:val="0000110B"/>
    <w:rsid w:val="00001A46"/>
    <w:rsid w:val="00002478"/>
    <w:rsid w:val="000029B9"/>
    <w:rsid w:val="000029F0"/>
    <w:rsid w:val="00003203"/>
    <w:rsid w:val="000033EA"/>
    <w:rsid w:val="00003499"/>
    <w:rsid w:val="000037A7"/>
    <w:rsid w:val="000039B7"/>
    <w:rsid w:val="00003FEC"/>
    <w:rsid w:val="000047C0"/>
    <w:rsid w:val="00004DCF"/>
    <w:rsid w:val="00004F77"/>
    <w:rsid w:val="00005D8C"/>
    <w:rsid w:val="0000639A"/>
    <w:rsid w:val="0000693F"/>
    <w:rsid w:val="00006D75"/>
    <w:rsid w:val="000121D6"/>
    <w:rsid w:val="0001224B"/>
    <w:rsid w:val="00013247"/>
    <w:rsid w:val="00013301"/>
    <w:rsid w:val="0001409C"/>
    <w:rsid w:val="000146C5"/>
    <w:rsid w:val="00015551"/>
    <w:rsid w:val="00015614"/>
    <w:rsid w:val="00015886"/>
    <w:rsid w:val="00015E9A"/>
    <w:rsid w:val="000162EF"/>
    <w:rsid w:val="000207C9"/>
    <w:rsid w:val="0002225F"/>
    <w:rsid w:val="00023763"/>
    <w:rsid w:val="00023FBF"/>
    <w:rsid w:val="00024161"/>
    <w:rsid w:val="0002437A"/>
    <w:rsid w:val="00025180"/>
    <w:rsid w:val="0002519E"/>
    <w:rsid w:val="00026079"/>
    <w:rsid w:val="0002639D"/>
    <w:rsid w:val="00026931"/>
    <w:rsid w:val="00026A18"/>
    <w:rsid w:val="000274B8"/>
    <w:rsid w:val="000301B7"/>
    <w:rsid w:val="00030A66"/>
    <w:rsid w:val="00030C0F"/>
    <w:rsid w:val="00030C11"/>
    <w:rsid w:val="00030CF1"/>
    <w:rsid w:val="00031558"/>
    <w:rsid w:val="00033863"/>
    <w:rsid w:val="00034E5F"/>
    <w:rsid w:val="00035DC0"/>
    <w:rsid w:val="00035E90"/>
    <w:rsid w:val="00036829"/>
    <w:rsid w:val="000400D9"/>
    <w:rsid w:val="00040895"/>
    <w:rsid w:val="0004116A"/>
    <w:rsid w:val="000423A5"/>
    <w:rsid w:val="00042B9A"/>
    <w:rsid w:val="000433EE"/>
    <w:rsid w:val="000435EE"/>
    <w:rsid w:val="000436F6"/>
    <w:rsid w:val="00043B89"/>
    <w:rsid w:val="00043C37"/>
    <w:rsid w:val="0004470A"/>
    <w:rsid w:val="00044889"/>
    <w:rsid w:val="00045017"/>
    <w:rsid w:val="0004519A"/>
    <w:rsid w:val="00045A2B"/>
    <w:rsid w:val="00045CA1"/>
    <w:rsid w:val="0004698F"/>
    <w:rsid w:val="000506D1"/>
    <w:rsid w:val="0005087B"/>
    <w:rsid w:val="00051B3A"/>
    <w:rsid w:val="00052522"/>
    <w:rsid w:val="00052EB1"/>
    <w:rsid w:val="000532BD"/>
    <w:rsid w:val="000539D0"/>
    <w:rsid w:val="00054621"/>
    <w:rsid w:val="000546D7"/>
    <w:rsid w:val="00054C57"/>
    <w:rsid w:val="00055839"/>
    <w:rsid w:val="000561C1"/>
    <w:rsid w:val="000563F9"/>
    <w:rsid w:val="00056ECF"/>
    <w:rsid w:val="00056F78"/>
    <w:rsid w:val="000574BB"/>
    <w:rsid w:val="00057CFE"/>
    <w:rsid w:val="000604DF"/>
    <w:rsid w:val="00060DB3"/>
    <w:rsid w:val="00061064"/>
    <w:rsid w:val="000621BA"/>
    <w:rsid w:val="000626DD"/>
    <w:rsid w:val="00062B5F"/>
    <w:rsid w:val="00063778"/>
    <w:rsid w:val="00064051"/>
    <w:rsid w:val="00064064"/>
    <w:rsid w:val="000653B5"/>
    <w:rsid w:val="00065450"/>
    <w:rsid w:val="0006577B"/>
    <w:rsid w:val="00066360"/>
    <w:rsid w:val="00066715"/>
    <w:rsid w:val="00066AF8"/>
    <w:rsid w:val="00071248"/>
    <w:rsid w:val="000720B9"/>
    <w:rsid w:val="00072B39"/>
    <w:rsid w:val="000731E9"/>
    <w:rsid w:val="000735A1"/>
    <w:rsid w:val="000737F7"/>
    <w:rsid w:val="00073FC6"/>
    <w:rsid w:val="00074C9B"/>
    <w:rsid w:val="00075326"/>
    <w:rsid w:val="00075F79"/>
    <w:rsid w:val="00076655"/>
    <w:rsid w:val="0007672F"/>
    <w:rsid w:val="00076A64"/>
    <w:rsid w:val="00076AAB"/>
    <w:rsid w:val="00076B54"/>
    <w:rsid w:val="00077206"/>
    <w:rsid w:val="000774E2"/>
    <w:rsid w:val="000774F0"/>
    <w:rsid w:val="0008045A"/>
    <w:rsid w:val="00080909"/>
    <w:rsid w:val="00080B23"/>
    <w:rsid w:val="000812CA"/>
    <w:rsid w:val="00081793"/>
    <w:rsid w:val="00081E63"/>
    <w:rsid w:val="0008258D"/>
    <w:rsid w:val="00082D81"/>
    <w:rsid w:val="00083E99"/>
    <w:rsid w:val="00084FA8"/>
    <w:rsid w:val="000856B3"/>
    <w:rsid w:val="000856C5"/>
    <w:rsid w:val="00085B92"/>
    <w:rsid w:val="00085C31"/>
    <w:rsid w:val="00086505"/>
    <w:rsid w:val="00086B44"/>
    <w:rsid w:val="0008715E"/>
    <w:rsid w:val="00087DA8"/>
    <w:rsid w:val="0009000E"/>
    <w:rsid w:val="000902D9"/>
    <w:rsid w:val="00090C7E"/>
    <w:rsid w:val="00090F3E"/>
    <w:rsid w:val="00091DF1"/>
    <w:rsid w:val="00092600"/>
    <w:rsid w:val="0009262B"/>
    <w:rsid w:val="00092968"/>
    <w:rsid w:val="00093040"/>
    <w:rsid w:val="000931F0"/>
    <w:rsid w:val="00093310"/>
    <w:rsid w:val="00093CAF"/>
    <w:rsid w:val="00093D0E"/>
    <w:rsid w:val="0009445C"/>
    <w:rsid w:val="00094935"/>
    <w:rsid w:val="00095200"/>
    <w:rsid w:val="00095427"/>
    <w:rsid w:val="00095FE5"/>
    <w:rsid w:val="0009611C"/>
    <w:rsid w:val="000961D7"/>
    <w:rsid w:val="00096284"/>
    <w:rsid w:val="00096897"/>
    <w:rsid w:val="00096D71"/>
    <w:rsid w:val="00097958"/>
    <w:rsid w:val="00097F52"/>
    <w:rsid w:val="000A0CF5"/>
    <w:rsid w:val="000A1841"/>
    <w:rsid w:val="000A18FB"/>
    <w:rsid w:val="000A1BC0"/>
    <w:rsid w:val="000A2EC5"/>
    <w:rsid w:val="000A3038"/>
    <w:rsid w:val="000A368C"/>
    <w:rsid w:val="000A5F61"/>
    <w:rsid w:val="000A6039"/>
    <w:rsid w:val="000A7453"/>
    <w:rsid w:val="000A7D08"/>
    <w:rsid w:val="000A7F02"/>
    <w:rsid w:val="000B0121"/>
    <w:rsid w:val="000B04D0"/>
    <w:rsid w:val="000B0670"/>
    <w:rsid w:val="000B0E75"/>
    <w:rsid w:val="000B1E94"/>
    <w:rsid w:val="000B232D"/>
    <w:rsid w:val="000B251B"/>
    <w:rsid w:val="000B2DCB"/>
    <w:rsid w:val="000B3602"/>
    <w:rsid w:val="000B4181"/>
    <w:rsid w:val="000B4C9E"/>
    <w:rsid w:val="000B4EEA"/>
    <w:rsid w:val="000B5CE0"/>
    <w:rsid w:val="000B6B40"/>
    <w:rsid w:val="000B6CAC"/>
    <w:rsid w:val="000B6E92"/>
    <w:rsid w:val="000B74AC"/>
    <w:rsid w:val="000B7612"/>
    <w:rsid w:val="000B78AE"/>
    <w:rsid w:val="000C03EF"/>
    <w:rsid w:val="000C058F"/>
    <w:rsid w:val="000C1090"/>
    <w:rsid w:val="000C1D2B"/>
    <w:rsid w:val="000C216C"/>
    <w:rsid w:val="000C24CF"/>
    <w:rsid w:val="000C26F8"/>
    <w:rsid w:val="000C2F69"/>
    <w:rsid w:val="000C2FE2"/>
    <w:rsid w:val="000C3DF9"/>
    <w:rsid w:val="000C48E3"/>
    <w:rsid w:val="000C5AFB"/>
    <w:rsid w:val="000C6713"/>
    <w:rsid w:val="000C75B5"/>
    <w:rsid w:val="000C7C07"/>
    <w:rsid w:val="000D0CE8"/>
    <w:rsid w:val="000D11EC"/>
    <w:rsid w:val="000D1BFC"/>
    <w:rsid w:val="000D1D5D"/>
    <w:rsid w:val="000D1E2A"/>
    <w:rsid w:val="000D266E"/>
    <w:rsid w:val="000D281A"/>
    <w:rsid w:val="000D2848"/>
    <w:rsid w:val="000D2850"/>
    <w:rsid w:val="000D2893"/>
    <w:rsid w:val="000D2E49"/>
    <w:rsid w:val="000D2F35"/>
    <w:rsid w:val="000D304B"/>
    <w:rsid w:val="000D326A"/>
    <w:rsid w:val="000D42BA"/>
    <w:rsid w:val="000D4827"/>
    <w:rsid w:val="000D4C82"/>
    <w:rsid w:val="000D51FB"/>
    <w:rsid w:val="000D644C"/>
    <w:rsid w:val="000D72B1"/>
    <w:rsid w:val="000D750A"/>
    <w:rsid w:val="000D75B6"/>
    <w:rsid w:val="000E0640"/>
    <w:rsid w:val="000E135D"/>
    <w:rsid w:val="000E3520"/>
    <w:rsid w:val="000E3B1B"/>
    <w:rsid w:val="000E3F33"/>
    <w:rsid w:val="000E446E"/>
    <w:rsid w:val="000E4D25"/>
    <w:rsid w:val="000E7281"/>
    <w:rsid w:val="000E7BF3"/>
    <w:rsid w:val="000F00BA"/>
    <w:rsid w:val="000F08DD"/>
    <w:rsid w:val="000F316A"/>
    <w:rsid w:val="000F324F"/>
    <w:rsid w:val="000F3979"/>
    <w:rsid w:val="000F3C3C"/>
    <w:rsid w:val="000F3C74"/>
    <w:rsid w:val="000F4BB8"/>
    <w:rsid w:val="000F4FA9"/>
    <w:rsid w:val="000F53FB"/>
    <w:rsid w:val="000F5E6A"/>
    <w:rsid w:val="000F5EFC"/>
    <w:rsid w:val="000F7127"/>
    <w:rsid w:val="000F7173"/>
    <w:rsid w:val="000F735A"/>
    <w:rsid w:val="000F7B54"/>
    <w:rsid w:val="00100F8A"/>
    <w:rsid w:val="00103376"/>
    <w:rsid w:val="0010452E"/>
    <w:rsid w:val="00104E4F"/>
    <w:rsid w:val="00105AE2"/>
    <w:rsid w:val="001060C6"/>
    <w:rsid w:val="0010658C"/>
    <w:rsid w:val="00106B80"/>
    <w:rsid w:val="00107740"/>
    <w:rsid w:val="0011032E"/>
    <w:rsid w:val="00113078"/>
    <w:rsid w:val="0011348B"/>
    <w:rsid w:val="00114044"/>
    <w:rsid w:val="001140BE"/>
    <w:rsid w:val="00114144"/>
    <w:rsid w:val="00114518"/>
    <w:rsid w:val="00115215"/>
    <w:rsid w:val="00115982"/>
    <w:rsid w:val="00115B0D"/>
    <w:rsid w:val="00116547"/>
    <w:rsid w:val="00116A80"/>
    <w:rsid w:val="00116C53"/>
    <w:rsid w:val="00121799"/>
    <w:rsid w:val="00121B59"/>
    <w:rsid w:val="0012225C"/>
    <w:rsid w:val="001222FC"/>
    <w:rsid w:val="00122376"/>
    <w:rsid w:val="001238AF"/>
    <w:rsid w:val="00123902"/>
    <w:rsid w:val="00123F78"/>
    <w:rsid w:val="0012400E"/>
    <w:rsid w:val="00124203"/>
    <w:rsid w:val="001248C9"/>
    <w:rsid w:val="00124A51"/>
    <w:rsid w:val="00124A71"/>
    <w:rsid w:val="00124A86"/>
    <w:rsid w:val="00126621"/>
    <w:rsid w:val="00126B1D"/>
    <w:rsid w:val="001301D4"/>
    <w:rsid w:val="001301E9"/>
    <w:rsid w:val="00130831"/>
    <w:rsid w:val="00131A75"/>
    <w:rsid w:val="00131D82"/>
    <w:rsid w:val="00132B22"/>
    <w:rsid w:val="0013311B"/>
    <w:rsid w:val="00133189"/>
    <w:rsid w:val="00133D36"/>
    <w:rsid w:val="00133F83"/>
    <w:rsid w:val="0013466A"/>
    <w:rsid w:val="001370B7"/>
    <w:rsid w:val="0013728E"/>
    <w:rsid w:val="00137645"/>
    <w:rsid w:val="00137D35"/>
    <w:rsid w:val="0014015A"/>
    <w:rsid w:val="001408F2"/>
    <w:rsid w:val="00140E99"/>
    <w:rsid w:val="00142CDF"/>
    <w:rsid w:val="00142E36"/>
    <w:rsid w:val="001437C1"/>
    <w:rsid w:val="00143E6C"/>
    <w:rsid w:val="00143F67"/>
    <w:rsid w:val="00145540"/>
    <w:rsid w:val="001456B0"/>
    <w:rsid w:val="00145B88"/>
    <w:rsid w:val="001500A3"/>
    <w:rsid w:val="00151758"/>
    <w:rsid w:val="0015249B"/>
    <w:rsid w:val="00152813"/>
    <w:rsid w:val="001564A9"/>
    <w:rsid w:val="00156F8F"/>
    <w:rsid w:val="00157130"/>
    <w:rsid w:val="001576B1"/>
    <w:rsid w:val="001601D9"/>
    <w:rsid w:val="0016047B"/>
    <w:rsid w:val="001605B5"/>
    <w:rsid w:val="001607E6"/>
    <w:rsid w:val="00160A4C"/>
    <w:rsid w:val="00161726"/>
    <w:rsid w:val="00162913"/>
    <w:rsid w:val="00162B7B"/>
    <w:rsid w:val="00163424"/>
    <w:rsid w:val="00163C7F"/>
    <w:rsid w:val="00163EFF"/>
    <w:rsid w:val="00163F66"/>
    <w:rsid w:val="001646A6"/>
    <w:rsid w:val="00164BC2"/>
    <w:rsid w:val="00165065"/>
    <w:rsid w:val="001661FB"/>
    <w:rsid w:val="001671A0"/>
    <w:rsid w:val="00167355"/>
    <w:rsid w:val="0016767F"/>
    <w:rsid w:val="00167A45"/>
    <w:rsid w:val="001709B9"/>
    <w:rsid w:val="00172A96"/>
    <w:rsid w:val="001733C8"/>
    <w:rsid w:val="00173565"/>
    <w:rsid w:val="00173B07"/>
    <w:rsid w:val="00174BC3"/>
    <w:rsid w:val="001751FA"/>
    <w:rsid w:val="001774CB"/>
    <w:rsid w:val="00180107"/>
    <w:rsid w:val="0018015C"/>
    <w:rsid w:val="00180FBD"/>
    <w:rsid w:val="00181241"/>
    <w:rsid w:val="001815BB"/>
    <w:rsid w:val="00181D9C"/>
    <w:rsid w:val="00181DB9"/>
    <w:rsid w:val="00181F44"/>
    <w:rsid w:val="00182364"/>
    <w:rsid w:val="00183BB7"/>
    <w:rsid w:val="00184696"/>
    <w:rsid w:val="00184B0E"/>
    <w:rsid w:val="001867BC"/>
    <w:rsid w:val="0018752F"/>
    <w:rsid w:val="00190250"/>
    <w:rsid w:val="00190378"/>
    <w:rsid w:val="00190E26"/>
    <w:rsid w:val="00191838"/>
    <w:rsid w:val="001923E6"/>
    <w:rsid w:val="00193838"/>
    <w:rsid w:val="00194094"/>
    <w:rsid w:val="00194AD8"/>
    <w:rsid w:val="00195222"/>
    <w:rsid w:val="00195380"/>
    <w:rsid w:val="00195AF0"/>
    <w:rsid w:val="00196B1C"/>
    <w:rsid w:val="001973AD"/>
    <w:rsid w:val="001975D8"/>
    <w:rsid w:val="00197A11"/>
    <w:rsid w:val="00197FF7"/>
    <w:rsid w:val="001A0BAD"/>
    <w:rsid w:val="001A0F97"/>
    <w:rsid w:val="001A10C3"/>
    <w:rsid w:val="001A178E"/>
    <w:rsid w:val="001A2EA1"/>
    <w:rsid w:val="001A3160"/>
    <w:rsid w:val="001A43FA"/>
    <w:rsid w:val="001A47C5"/>
    <w:rsid w:val="001A514A"/>
    <w:rsid w:val="001A534B"/>
    <w:rsid w:val="001A59FB"/>
    <w:rsid w:val="001A5E9E"/>
    <w:rsid w:val="001A6354"/>
    <w:rsid w:val="001A6366"/>
    <w:rsid w:val="001A7746"/>
    <w:rsid w:val="001A7AE8"/>
    <w:rsid w:val="001B0731"/>
    <w:rsid w:val="001B0CD3"/>
    <w:rsid w:val="001B1402"/>
    <w:rsid w:val="001B1950"/>
    <w:rsid w:val="001B1E93"/>
    <w:rsid w:val="001B204E"/>
    <w:rsid w:val="001B205D"/>
    <w:rsid w:val="001B2372"/>
    <w:rsid w:val="001B3338"/>
    <w:rsid w:val="001B3443"/>
    <w:rsid w:val="001B3493"/>
    <w:rsid w:val="001B4D20"/>
    <w:rsid w:val="001B5B87"/>
    <w:rsid w:val="001B640D"/>
    <w:rsid w:val="001B6C8E"/>
    <w:rsid w:val="001B75D5"/>
    <w:rsid w:val="001B77CF"/>
    <w:rsid w:val="001B7D3F"/>
    <w:rsid w:val="001C0A19"/>
    <w:rsid w:val="001C0ADC"/>
    <w:rsid w:val="001C13F0"/>
    <w:rsid w:val="001C2A9B"/>
    <w:rsid w:val="001C4299"/>
    <w:rsid w:val="001C4874"/>
    <w:rsid w:val="001C5F21"/>
    <w:rsid w:val="001C5F94"/>
    <w:rsid w:val="001C6707"/>
    <w:rsid w:val="001C6E66"/>
    <w:rsid w:val="001C7742"/>
    <w:rsid w:val="001C7B32"/>
    <w:rsid w:val="001D08BA"/>
    <w:rsid w:val="001D1100"/>
    <w:rsid w:val="001D1391"/>
    <w:rsid w:val="001D1693"/>
    <w:rsid w:val="001D1BC7"/>
    <w:rsid w:val="001D2063"/>
    <w:rsid w:val="001D25D7"/>
    <w:rsid w:val="001D358A"/>
    <w:rsid w:val="001D40FF"/>
    <w:rsid w:val="001D49D3"/>
    <w:rsid w:val="001D4E55"/>
    <w:rsid w:val="001D50B2"/>
    <w:rsid w:val="001D5EB2"/>
    <w:rsid w:val="001D601F"/>
    <w:rsid w:val="001D639C"/>
    <w:rsid w:val="001D686F"/>
    <w:rsid w:val="001D6BDD"/>
    <w:rsid w:val="001D7645"/>
    <w:rsid w:val="001E1E86"/>
    <w:rsid w:val="001E238E"/>
    <w:rsid w:val="001E2483"/>
    <w:rsid w:val="001E292E"/>
    <w:rsid w:val="001E2A03"/>
    <w:rsid w:val="001E2B1E"/>
    <w:rsid w:val="001E2CFF"/>
    <w:rsid w:val="001E2F24"/>
    <w:rsid w:val="001E30D4"/>
    <w:rsid w:val="001E34DF"/>
    <w:rsid w:val="001E360E"/>
    <w:rsid w:val="001E3776"/>
    <w:rsid w:val="001E3C2C"/>
    <w:rsid w:val="001E420F"/>
    <w:rsid w:val="001E46DE"/>
    <w:rsid w:val="001E52EB"/>
    <w:rsid w:val="001E61D2"/>
    <w:rsid w:val="001E6294"/>
    <w:rsid w:val="001E670A"/>
    <w:rsid w:val="001E6902"/>
    <w:rsid w:val="001E6C3F"/>
    <w:rsid w:val="001E6DA0"/>
    <w:rsid w:val="001E740C"/>
    <w:rsid w:val="001F1235"/>
    <w:rsid w:val="001F1258"/>
    <w:rsid w:val="001F13B5"/>
    <w:rsid w:val="001F1BF5"/>
    <w:rsid w:val="001F1CB3"/>
    <w:rsid w:val="001F1DD4"/>
    <w:rsid w:val="001F2BEF"/>
    <w:rsid w:val="001F38B5"/>
    <w:rsid w:val="001F4081"/>
    <w:rsid w:val="001F45DD"/>
    <w:rsid w:val="001F598A"/>
    <w:rsid w:val="001F6608"/>
    <w:rsid w:val="001F690B"/>
    <w:rsid w:val="001F6D58"/>
    <w:rsid w:val="001F6DD9"/>
    <w:rsid w:val="001F6E1A"/>
    <w:rsid w:val="001F7361"/>
    <w:rsid w:val="00200158"/>
    <w:rsid w:val="002005BC"/>
    <w:rsid w:val="00200903"/>
    <w:rsid w:val="00200B28"/>
    <w:rsid w:val="00200C8C"/>
    <w:rsid w:val="002011B0"/>
    <w:rsid w:val="00201D16"/>
    <w:rsid w:val="00202D4A"/>
    <w:rsid w:val="00203181"/>
    <w:rsid w:val="00203520"/>
    <w:rsid w:val="00203783"/>
    <w:rsid w:val="0020385F"/>
    <w:rsid w:val="00204310"/>
    <w:rsid w:val="002044CB"/>
    <w:rsid w:val="00205768"/>
    <w:rsid w:val="002068A0"/>
    <w:rsid w:val="00206D1C"/>
    <w:rsid w:val="00207021"/>
    <w:rsid w:val="0020732F"/>
    <w:rsid w:val="00207D00"/>
    <w:rsid w:val="002105C1"/>
    <w:rsid w:val="0021070F"/>
    <w:rsid w:val="00211450"/>
    <w:rsid w:val="00211C78"/>
    <w:rsid w:val="00212005"/>
    <w:rsid w:val="002125CC"/>
    <w:rsid w:val="00212E93"/>
    <w:rsid w:val="00213A96"/>
    <w:rsid w:val="00213EF5"/>
    <w:rsid w:val="0021646B"/>
    <w:rsid w:val="00216BF5"/>
    <w:rsid w:val="00217063"/>
    <w:rsid w:val="00217977"/>
    <w:rsid w:val="00221377"/>
    <w:rsid w:val="002215F8"/>
    <w:rsid w:val="00222DA9"/>
    <w:rsid w:val="002231A0"/>
    <w:rsid w:val="00223B49"/>
    <w:rsid w:val="00223D5A"/>
    <w:rsid w:val="00224B1E"/>
    <w:rsid w:val="00224DD4"/>
    <w:rsid w:val="00224E2D"/>
    <w:rsid w:val="0022781F"/>
    <w:rsid w:val="002278A0"/>
    <w:rsid w:val="002307AB"/>
    <w:rsid w:val="002309CC"/>
    <w:rsid w:val="00231B8F"/>
    <w:rsid w:val="0023209F"/>
    <w:rsid w:val="00232209"/>
    <w:rsid w:val="002329A5"/>
    <w:rsid w:val="00232E0E"/>
    <w:rsid w:val="00232FE2"/>
    <w:rsid w:val="00233141"/>
    <w:rsid w:val="00233652"/>
    <w:rsid w:val="00233C01"/>
    <w:rsid w:val="0023413C"/>
    <w:rsid w:val="002346F0"/>
    <w:rsid w:val="00235671"/>
    <w:rsid w:val="002357B7"/>
    <w:rsid w:val="00235C71"/>
    <w:rsid w:val="00235CCF"/>
    <w:rsid w:val="0023629D"/>
    <w:rsid w:val="0023698F"/>
    <w:rsid w:val="00236B3F"/>
    <w:rsid w:val="00237255"/>
    <w:rsid w:val="002404FE"/>
    <w:rsid w:val="00240F19"/>
    <w:rsid w:val="00241DE0"/>
    <w:rsid w:val="002424AF"/>
    <w:rsid w:val="002439DC"/>
    <w:rsid w:val="002441D2"/>
    <w:rsid w:val="00244DC8"/>
    <w:rsid w:val="002458BA"/>
    <w:rsid w:val="00245CE9"/>
    <w:rsid w:val="0024636C"/>
    <w:rsid w:val="00247712"/>
    <w:rsid w:val="00247925"/>
    <w:rsid w:val="00247F14"/>
    <w:rsid w:val="0025055C"/>
    <w:rsid w:val="00251006"/>
    <w:rsid w:val="002514DD"/>
    <w:rsid w:val="00251F1A"/>
    <w:rsid w:val="00251FE7"/>
    <w:rsid w:val="002524D5"/>
    <w:rsid w:val="00252781"/>
    <w:rsid w:val="00253B1D"/>
    <w:rsid w:val="00254B44"/>
    <w:rsid w:val="00254DCF"/>
    <w:rsid w:val="0025534B"/>
    <w:rsid w:val="002559DE"/>
    <w:rsid w:val="00255BB7"/>
    <w:rsid w:val="002561BC"/>
    <w:rsid w:val="002566C2"/>
    <w:rsid w:val="00256B0A"/>
    <w:rsid w:val="00257541"/>
    <w:rsid w:val="002579F0"/>
    <w:rsid w:val="00257A39"/>
    <w:rsid w:val="00257AC4"/>
    <w:rsid w:val="0026039D"/>
    <w:rsid w:val="002611FF"/>
    <w:rsid w:val="00261EEF"/>
    <w:rsid w:val="002625FC"/>
    <w:rsid w:val="00262A1A"/>
    <w:rsid w:val="00262A2F"/>
    <w:rsid w:val="00262A87"/>
    <w:rsid w:val="00263160"/>
    <w:rsid w:val="0026424D"/>
    <w:rsid w:val="00264C8A"/>
    <w:rsid w:val="00264D26"/>
    <w:rsid w:val="00264EFE"/>
    <w:rsid w:val="002655B3"/>
    <w:rsid w:val="00265F89"/>
    <w:rsid w:val="00267642"/>
    <w:rsid w:val="00267AEA"/>
    <w:rsid w:val="002700E6"/>
    <w:rsid w:val="00271821"/>
    <w:rsid w:val="00271851"/>
    <w:rsid w:val="00272652"/>
    <w:rsid w:val="0027294B"/>
    <w:rsid w:val="00272A6F"/>
    <w:rsid w:val="00272A75"/>
    <w:rsid w:val="00273CAD"/>
    <w:rsid w:val="00273EB4"/>
    <w:rsid w:val="00274098"/>
    <w:rsid w:val="00274682"/>
    <w:rsid w:val="002747AD"/>
    <w:rsid w:val="00274AF8"/>
    <w:rsid w:val="00275C5A"/>
    <w:rsid w:val="0027658F"/>
    <w:rsid w:val="00276C5F"/>
    <w:rsid w:val="00276E33"/>
    <w:rsid w:val="0027766D"/>
    <w:rsid w:val="00277EAE"/>
    <w:rsid w:val="00281014"/>
    <w:rsid w:val="0028520F"/>
    <w:rsid w:val="002859D5"/>
    <w:rsid w:val="0028665D"/>
    <w:rsid w:val="00286E45"/>
    <w:rsid w:val="00287B2C"/>
    <w:rsid w:val="00287F95"/>
    <w:rsid w:val="00290F67"/>
    <w:rsid w:val="00291E8B"/>
    <w:rsid w:val="00295E39"/>
    <w:rsid w:val="002968E4"/>
    <w:rsid w:val="00296C5C"/>
    <w:rsid w:val="002970C8"/>
    <w:rsid w:val="002A14AB"/>
    <w:rsid w:val="002A1BBC"/>
    <w:rsid w:val="002A2863"/>
    <w:rsid w:val="002A2ADE"/>
    <w:rsid w:val="002A2F50"/>
    <w:rsid w:val="002A5B85"/>
    <w:rsid w:val="002A61B5"/>
    <w:rsid w:val="002A6D62"/>
    <w:rsid w:val="002A752C"/>
    <w:rsid w:val="002B00AB"/>
    <w:rsid w:val="002B02A0"/>
    <w:rsid w:val="002B05A1"/>
    <w:rsid w:val="002B0661"/>
    <w:rsid w:val="002B09A4"/>
    <w:rsid w:val="002B101A"/>
    <w:rsid w:val="002B1C1F"/>
    <w:rsid w:val="002B2AF8"/>
    <w:rsid w:val="002B3689"/>
    <w:rsid w:val="002B399D"/>
    <w:rsid w:val="002B432F"/>
    <w:rsid w:val="002B44D9"/>
    <w:rsid w:val="002B45EE"/>
    <w:rsid w:val="002B4DAB"/>
    <w:rsid w:val="002B5AE7"/>
    <w:rsid w:val="002B62B3"/>
    <w:rsid w:val="002B6754"/>
    <w:rsid w:val="002B6A0A"/>
    <w:rsid w:val="002B6CCE"/>
    <w:rsid w:val="002B794E"/>
    <w:rsid w:val="002C0D3D"/>
    <w:rsid w:val="002C1FC8"/>
    <w:rsid w:val="002C2338"/>
    <w:rsid w:val="002C2510"/>
    <w:rsid w:val="002C2775"/>
    <w:rsid w:val="002C27C1"/>
    <w:rsid w:val="002C37F8"/>
    <w:rsid w:val="002C5099"/>
    <w:rsid w:val="002C5889"/>
    <w:rsid w:val="002C593D"/>
    <w:rsid w:val="002C71CE"/>
    <w:rsid w:val="002C7599"/>
    <w:rsid w:val="002D02C3"/>
    <w:rsid w:val="002D08AE"/>
    <w:rsid w:val="002D08F8"/>
    <w:rsid w:val="002D1D30"/>
    <w:rsid w:val="002D2ECD"/>
    <w:rsid w:val="002D347B"/>
    <w:rsid w:val="002D577C"/>
    <w:rsid w:val="002D7112"/>
    <w:rsid w:val="002E012C"/>
    <w:rsid w:val="002E1071"/>
    <w:rsid w:val="002E15B9"/>
    <w:rsid w:val="002E2158"/>
    <w:rsid w:val="002E2AA7"/>
    <w:rsid w:val="002E2CF4"/>
    <w:rsid w:val="002E352B"/>
    <w:rsid w:val="002E36C9"/>
    <w:rsid w:val="002E4F02"/>
    <w:rsid w:val="002E524C"/>
    <w:rsid w:val="002E5313"/>
    <w:rsid w:val="002E53ED"/>
    <w:rsid w:val="002E5EFA"/>
    <w:rsid w:val="002E7722"/>
    <w:rsid w:val="002F0537"/>
    <w:rsid w:val="002F07BA"/>
    <w:rsid w:val="002F0DA9"/>
    <w:rsid w:val="002F1014"/>
    <w:rsid w:val="002F18EB"/>
    <w:rsid w:val="002F1A8F"/>
    <w:rsid w:val="002F1C82"/>
    <w:rsid w:val="002F1DD5"/>
    <w:rsid w:val="002F2A01"/>
    <w:rsid w:val="002F31B4"/>
    <w:rsid w:val="002F3FE8"/>
    <w:rsid w:val="002F42F5"/>
    <w:rsid w:val="002F46B6"/>
    <w:rsid w:val="002F527B"/>
    <w:rsid w:val="002F5C03"/>
    <w:rsid w:val="002F643C"/>
    <w:rsid w:val="002F6724"/>
    <w:rsid w:val="002F70EF"/>
    <w:rsid w:val="002F71C0"/>
    <w:rsid w:val="002F74F1"/>
    <w:rsid w:val="002F78F6"/>
    <w:rsid w:val="002F7BB8"/>
    <w:rsid w:val="003000DE"/>
    <w:rsid w:val="00300B09"/>
    <w:rsid w:val="00300BBD"/>
    <w:rsid w:val="00301017"/>
    <w:rsid w:val="0030123C"/>
    <w:rsid w:val="0030155F"/>
    <w:rsid w:val="00301AD2"/>
    <w:rsid w:val="00302AA3"/>
    <w:rsid w:val="0030349F"/>
    <w:rsid w:val="0030353C"/>
    <w:rsid w:val="0030457B"/>
    <w:rsid w:val="00304732"/>
    <w:rsid w:val="00304EC0"/>
    <w:rsid w:val="0030587B"/>
    <w:rsid w:val="00306D98"/>
    <w:rsid w:val="0030775E"/>
    <w:rsid w:val="0030786C"/>
    <w:rsid w:val="00307A7F"/>
    <w:rsid w:val="00307A9C"/>
    <w:rsid w:val="0031031A"/>
    <w:rsid w:val="00310981"/>
    <w:rsid w:val="0031127B"/>
    <w:rsid w:val="00311FA1"/>
    <w:rsid w:val="0031245F"/>
    <w:rsid w:val="003124D9"/>
    <w:rsid w:val="00312594"/>
    <w:rsid w:val="00312DE9"/>
    <w:rsid w:val="00312F4F"/>
    <w:rsid w:val="00313333"/>
    <w:rsid w:val="003136E5"/>
    <w:rsid w:val="0031404E"/>
    <w:rsid w:val="00314A33"/>
    <w:rsid w:val="00315498"/>
    <w:rsid w:val="003159D7"/>
    <w:rsid w:val="00315F69"/>
    <w:rsid w:val="00316474"/>
    <w:rsid w:val="00317112"/>
    <w:rsid w:val="003172D3"/>
    <w:rsid w:val="00317331"/>
    <w:rsid w:val="00317352"/>
    <w:rsid w:val="003173DA"/>
    <w:rsid w:val="00320D09"/>
    <w:rsid w:val="00322107"/>
    <w:rsid w:val="00322355"/>
    <w:rsid w:val="00322846"/>
    <w:rsid w:val="00322AD4"/>
    <w:rsid w:val="00322FB2"/>
    <w:rsid w:val="00323224"/>
    <w:rsid w:val="003233E9"/>
    <w:rsid w:val="0032368E"/>
    <w:rsid w:val="00323F8A"/>
    <w:rsid w:val="003245EE"/>
    <w:rsid w:val="0032526A"/>
    <w:rsid w:val="003258EE"/>
    <w:rsid w:val="00326916"/>
    <w:rsid w:val="00326BED"/>
    <w:rsid w:val="00326DA7"/>
    <w:rsid w:val="003270E4"/>
    <w:rsid w:val="00330473"/>
    <w:rsid w:val="003305F0"/>
    <w:rsid w:val="00330638"/>
    <w:rsid w:val="00330DAA"/>
    <w:rsid w:val="00330F5C"/>
    <w:rsid w:val="003326E9"/>
    <w:rsid w:val="003328C5"/>
    <w:rsid w:val="00332D10"/>
    <w:rsid w:val="00333E12"/>
    <w:rsid w:val="0033487B"/>
    <w:rsid w:val="00334C17"/>
    <w:rsid w:val="003353C4"/>
    <w:rsid w:val="003366C9"/>
    <w:rsid w:val="003369DD"/>
    <w:rsid w:val="00336BD8"/>
    <w:rsid w:val="003371B0"/>
    <w:rsid w:val="0033737D"/>
    <w:rsid w:val="00337911"/>
    <w:rsid w:val="00340DF1"/>
    <w:rsid w:val="0034231E"/>
    <w:rsid w:val="00342AB7"/>
    <w:rsid w:val="00342DA5"/>
    <w:rsid w:val="00342ED2"/>
    <w:rsid w:val="00342F7C"/>
    <w:rsid w:val="00343563"/>
    <w:rsid w:val="0034409C"/>
    <w:rsid w:val="003446E8"/>
    <w:rsid w:val="003450A0"/>
    <w:rsid w:val="0034599B"/>
    <w:rsid w:val="00345BF4"/>
    <w:rsid w:val="003467EF"/>
    <w:rsid w:val="00351661"/>
    <w:rsid w:val="003517F9"/>
    <w:rsid w:val="003518B7"/>
    <w:rsid w:val="00351BA9"/>
    <w:rsid w:val="0035222E"/>
    <w:rsid w:val="00354F64"/>
    <w:rsid w:val="0035525A"/>
    <w:rsid w:val="003561E9"/>
    <w:rsid w:val="0035620E"/>
    <w:rsid w:val="0035626E"/>
    <w:rsid w:val="00356F61"/>
    <w:rsid w:val="0035733F"/>
    <w:rsid w:val="00360345"/>
    <w:rsid w:val="0036046D"/>
    <w:rsid w:val="003606BA"/>
    <w:rsid w:val="00360A04"/>
    <w:rsid w:val="003611E1"/>
    <w:rsid w:val="003618BA"/>
    <w:rsid w:val="00361A05"/>
    <w:rsid w:val="003624C4"/>
    <w:rsid w:val="00362B2D"/>
    <w:rsid w:val="00363B00"/>
    <w:rsid w:val="003640D5"/>
    <w:rsid w:val="00364730"/>
    <w:rsid w:val="00364909"/>
    <w:rsid w:val="00364C87"/>
    <w:rsid w:val="003654AC"/>
    <w:rsid w:val="0036660C"/>
    <w:rsid w:val="003678D6"/>
    <w:rsid w:val="00367987"/>
    <w:rsid w:val="003710CF"/>
    <w:rsid w:val="0037111B"/>
    <w:rsid w:val="0037214F"/>
    <w:rsid w:val="003733AF"/>
    <w:rsid w:val="0037358A"/>
    <w:rsid w:val="00374555"/>
    <w:rsid w:val="003750F6"/>
    <w:rsid w:val="003760FC"/>
    <w:rsid w:val="00376900"/>
    <w:rsid w:val="00377066"/>
    <w:rsid w:val="00377791"/>
    <w:rsid w:val="00380224"/>
    <w:rsid w:val="003806BD"/>
    <w:rsid w:val="00380E8E"/>
    <w:rsid w:val="00381148"/>
    <w:rsid w:val="00381387"/>
    <w:rsid w:val="0038329C"/>
    <w:rsid w:val="0038365C"/>
    <w:rsid w:val="0038369B"/>
    <w:rsid w:val="00383B78"/>
    <w:rsid w:val="0038401E"/>
    <w:rsid w:val="00384CF9"/>
    <w:rsid w:val="00385A9D"/>
    <w:rsid w:val="00385C0D"/>
    <w:rsid w:val="003860A4"/>
    <w:rsid w:val="00386186"/>
    <w:rsid w:val="00387B35"/>
    <w:rsid w:val="003902B1"/>
    <w:rsid w:val="003915F7"/>
    <w:rsid w:val="0039179C"/>
    <w:rsid w:val="00392C8D"/>
    <w:rsid w:val="00393F7A"/>
    <w:rsid w:val="00394458"/>
    <w:rsid w:val="00394913"/>
    <w:rsid w:val="00394B64"/>
    <w:rsid w:val="00395DBC"/>
    <w:rsid w:val="00395F99"/>
    <w:rsid w:val="00396263"/>
    <w:rsid w:val="00396896"/>
    <w:rsid w:val="00396EC3"/>
    <w:rsid w:val="00396ED4"/>
    <w:rsid w:val="00396FD0"/>
    <w:rsid w:val="00397390"/>
    <w:rsid w:val="00397488"/>
    <w:rsid w:val="00397608"/>
    <w:rsid w:val="003A013A"/>
    <w:rsid w:val="003A1A7A"/>
    <w:rsid w:val="003A2392"/>
    <w:rsid w:val="003A2700"/>
    <w:rsid w:val="003A2831"/>
    <w:rsid w:val="003A3CB6"/>
    <w:rsid w:val="003A3ED1"/>
    <w:rsid w:val="003A44DB"/>
    <w:rsid w:val="003A6022"/>
    <w:rsid w:val="003A7426"/>
    <w:rsid w:val="003A7F09"/>
    <w:rsid w:val="003B0221"/>
    <w:rsid w:val="003B1181"/>
    <w:rsid w:val="003B15A6"/>
    <w:rsid w:val="003B23E3"/>
    <w:rsid w:val="003B35FD"/>
    <w:rsid w:val="003B3971"/>
    <w:rsid w:val="003B55D1"/>
    <w:rsid w:val="003B5663"/>
    <w:rsid w:val="003B5B61"/>
    <w:rsid w:val="003B5F6C"/>
    <w:rsid w:val="003B60A4"/>
    <w:rsid w:val="003B65C9"/>
    <w:rsid w:val="003B75B6"/>
    <w:rsid w:val="003C016B"/>
    <w:rsid w:val="003C04F9"/>
    <w:rsid w:val="003C0FD4"/>
    <w:rsid w:val="003C1654"/>
    <w:rsid w:val="003C1ADA"/>
    <w:rsid w:val="003C24E1"/>
    <w:rsid w:val="003C30BC"/>
    <w:rsid w:val="003C35CF"/>
    <w:rsid w:val="003C46D2"/>
    <w:rsid w:val="003C5426"/>
    <w:rsid w:val="003C5542"/>
    <w:rsid w:val="003C69F6"/>
    <w:rsid w:val="003C7D19"/>
    <w:rsid w:val="003C7D2F"/>
    <w:rsid w:val="003D003D"/>
    <w:rsid w:val="003D1828"/>
    <w:rsid w:val="003D1DE4"/>
    <w:rsid w:val="003D1E9A"/>
    <w:rsid w:val="003D203A"/>
    <w:rsid w:val="003D2422"/>
    <w:rsid w:val="003D2939"/>
    <w:rsid w:val="003D39A1"/>
    <w:rsid w:val="003D3FBF"/>
    <w:rsid w:val="003D4136"/>
    <w:rsid w:val="003D4594"/>
    <w:rsid w:val="003D4A30"/>
    <w:rsid w:val="003D4B0D"/>
    <w:rsid w:val="003D54AC"/>
    <w:rsid w:val="003D594B"/>
    <w:rsid w:val="003D68DE"/>
    <w:rsid w:val="003D7107"/>
    <w:rsid w:val="003D7452"/>
    <w:rsid w:val="003D79BB"/>
    <w:rsid w:val="003D7C98"/>
    <w:rsid w:val="003D7D9D"/>
    <w:rsid w:val="003E0324"/>
    <w:rsid w:val="003E0543"/>
    <w:rsid w:val="003E0613"/>
    <w:rsid w:val="003E1F55"/>
    <w:rsid w:val="003E4F05"/>
    <w:rsid w:val="003E50C5"/>
    <w:rsid w:val="003E5253"/>
    <w:rsid w:val="003E5AF9"/>
    <w:rsid w:val="003E5FA5"/>
    <w:rsid w:val="003E711D"/>
    <w:rsid w:val="003E72CF"/>
    <w:rsid w:val="003E749E"/>
    <w:rsid w:val="003E7776"/>
    <w:rsid w:val="003F0E20"/>
    <w:rsid w:val="003F0F1E"/>
    <w:rsid w:val="003F1BB4"/>
    <w:rsid w:val="003F22EE"/>
    <w:rsid w:val="003F2501"/>
    <w:rsid w:val="003F2529"/>
    <w:rsid w:val="003F28FD"/>
    <w:rsid w:val="003F2EF1"/>
    <w:rsid w:val="003F2F23"/>
    <w:rsid w:val="003F3BDD"/>
    <w:rsid w:val="003F3D47"/>
    <w:rsid w:val="003F4156"/>
    <w:rsid w:val="003F47D3"/>
    <w:rsid w:val="003F57AA"/>
    <w:rsid w:val="003F5ADF"/>
    <w:rsid w:val="003F63F4"/>
    <w:rsid w:val="003F65FD"/>
    <w:rsid w:val="003F707B"/>
    <w:rsid w:val="003F70F0"/>
    <w:rsid w:val="00400B29"/>
    <w:rsid w:val="00400BC1"/>
    <w:rsid w:val="004015AD"/>
    <w:rsid w:val="0040282D"/>
    <w:rsid w:val="0040308D"/>
    <w:rsid w:val="00403EB9"/>
    <w:rsid w:val="004047BF"/>
    <w:rsid w:val="00404EC4"/>
    <w:rsid w:val="0040504B"/>
    <w:rsid w:val="004053FB"/>
    <w:rsid w:val="004056AD"/>
    <w:rsid w:val="004059F4"/>
    <w:rsid w:val="00406039"/>
    <w:rsid w:val="0040608C"/>
    <w:rsid w:val="00407060"/>
    <w:rsid w:val="00407B64"/>
    <w:rsid w:val="00407FE5"/>
    <w:rsid w:val="004101B0"/>
    <w:rsid w:val="00410326"/>
    <w:rsid w:val="00410708"/>
    <w:rsid w:val="00410E5E"/>
    <w:rsid w:val="00410EC7"/>
    <w:rsid w:val="0041158C"/>
    <w:rsid w:val="004115B3"/>
    <w:rsid w:val="00411B39"/>
    <w:rsid w:val="004127A7"/>
    <w:rsid w:val="00413613"/>
    <w:rsid w:val="0041398C"/>
    <w:rsid w:val="00413A1E"/>
    <w:rsid w:val="00414476"/>
    <w:rsid w:val="00414C2E"/>
    <w:rsid w:val="004150A2"/>
    <w:rsid w:val="004151CF"/>
    <w:rsid w:val="004153B6"/>
    <w:rsid w:val="00415BED"/>
    <w:rsid w:val="00416364"/>
    <w:rsid w:val="00416BAD"/>
    <w:rsid w:val="0042047F"/>
    <w:rsid w:val="0042064F"/>
    <w:rsid w:val="00420AA6"/>
    <w:rsid w:val="00420B69"/>
    <w:rsid w:val="00420B9F"/>
    <w:rsid w:val="00420C0B"/>
    <w:rsid w:val="0042192C"/>
    <w:rsid w:val="00421A0B"/>
    <w:rsid w:val="00422260"/>
    <w:rsid w:val="0042242C"/>
    <w:rsid w:val="004231D8"/>
    <w:rsid w:val="00423AAA"/>
    <w:rsid w:val="0042413F"/>
    <w:rsid w:val="004243FB"/>
    <w:rsid w:val="00424BAB"/>
    <w:rsid w:val="00426860"/>
    <w:rsid w:val="00426964"/>
    <w:rsid w:val="004269C1"/>
    <w:rsid w:val="00427F7E"/>
    <w:rsid w:val="004304D4"/>
    <w:rsid w:val="00430AC4"/>
    <w:rsid w:val="00431879"/>
    <w:rsid w:val="004319F8"/>
    <w:rsid w:val="00431E55"/>
    <w:rsid w:val="004321F6"/>
    <w:rsid w:val="00433044"/>
    <w:rsid w:val="00434088"/>
    <w:rsid w:val="00434720"/>
    <w:rsid w:val="004358E4"/>
    <w:rsid w:val="004360EA"/>
    <w:rsid w:val="0043658F"/>
    <w:rsid w:val="00436E59"/>
    <w:rsid w:val="00437341"/>
    <w:rsid w:val="004375B9"/>
    <w:rsid w:val="00437A4F"/>
    <w:rsid w:val="00440967"/>
    <w:rsid w:val="00440CCF"/>
    <w:rsid w:val="00441423"/>
    <w:rsid w:val="00441679"/>
    <w:rsid w:val="00441B13"/>
    <w:rsid w:val="004428D0"/>
    <w:rsid w:val="00442BC8"/>
    <w:rsid w:val="00444185"/>
    <w:rsid w:val="004443A7"/>
    <w:rsid w:val="0044442C"/>
    <w:rsid w:val="00444587"/>
    <w:rsid w:val="00444AF4"/>
    <w:rsid w:val="00444DAA"/>
    <w:rsid w:val="00444FFB"/>
    <w:rsid w:val="004456DB"/>
    <w:rsid w:val="004457E0"/>
    <w:rsid w:val="00445904"/>
    <w:rsid w:val="00445941"/>
    <w:rsid w:val="00445BFB"/>
    <w:rsid w:val="004464EB"/>
    <w:rsid w:val="00447D26"/>
    <w:rsid w:val="00447DFC"/>
    <w:rsid w:val="004504E5"/>
    <w:rsid w:val="0045072D"/>
    <w:rsid w:val="00451740"/>
    <w:rsid w:val="00452752"/>
    <w:rsid w:val="004527BC"/>
    <w:rsid w:val="00452E62"/>
    <w:rsid w:val="00452F46"/>
    <w:rsid w:val="00453B84"/>
    <w:rsid w:val="00454411"/>
    <w:rsid w:val="00454AF2"/>
    <w:rsid w:val="00455D45"/>
    <w:rsid w:val="00456A7C"/>
    <w:rsid w:val="004572D0"/>
    <w:rsid w:val="00457500"/>
    <w:rsid w:val="00460196"/>
    <w:rsid w:val="004617F8"/>
    <w:rsid w:val="0046270C"/>
    <w:rsid w:val="00462990"/>
    <w:rsid w:val="00463313"/>
    <w:rsid w:val="00463AE6"/>
    <w:rsid w:val="00463BD3"/>
    <w:rsid w:val="00463FA9"/>
    <w:rsid w:val="00464595"/>
    <w:rsid w:val="00464729"/>
    <w:rsid w:val="00464CBD"/>
    <w:rsid w:val="004658B5"/>
    <w:rsid w:val="00467797"/>
    <w:rsid w:val="00470C9A"/>
    <w:rsid w:val="00471EA5"/>
    <w:rsid w:val="0047256E"/>
    <w:rsid w:val="00472A79"/>
    <w:rsid w:val="00473A6E"/>
    <w:rsid w:val="00473F19"/>
    <w:rsid w:val="004740C5"/>
    <w:rsid w:val="0047446C"/>
    <w:rsid w:val="00474EE1"/>
    <w:rsid w:val="00475E22"/>
    <w:rsid w:val="00476357"/>
    <w:rsid w:val="004773C7"/>
    <w:rsid w:val="00477625"/>
    <w:rsid w:val="0047778E"/>
    <w:rsid w:val="00480140"/>
    <w:rsid w:val="0048088E"/>
    <w:rsid w:val="00480F2B"/>
    <w:rsid w:val="00481058"/>
    <w:rsid w:val="00482720"/>
    <w:rsid w:val="0048286D"/>
    <w:rsid w:val="00483168"/>
    <w:rsid w:val="0048332D"/>
    <w:rsid w:val="004834BE"/>
    <w:rsid w:val="004835E7"/>
    <w:rsid w:val="004843D1"/>
    <w:rsid w:val="00484D1B"/>
    <w:rsid w:val="00485FDA"/>
    <w:rsid w:val="004867E2"/>
    <w:rsid w:val="00490760"/>
    <w:rsid w:val="00490B17"/>
    <w:rsid w:val="00490BCF"/>
    <w:rsid w:val="00490FAE"/>
    <w:rsid w:val="00491B3A"/>
    <w:rsid w:val="00492109"/>
    <w:rsid w:val="00492CFD"/>
    <w:rsid w:val="00493F76"/>
    <w:rsid w:val="00494207"/>
    <w:rsid w:val="00494DD5"/>
    <w:rsid w:val="00495D0B"/>
    <w:rsid w:val="00495D55"/>
    <w:rsid w:val="004962D2"/>
    <w:rsid w:val="0049662E"/>
    <w:rsid w:val="004A03AD"/>
    <w:rsid w:val="004A0468"/>
    <w:rsid w:val="004A0C3C"/>
    <w:rsid w:val="004A0DA1"/>
    <w:rsid w:val="004A0E26"/>
    <w:rsid w:val="004A1112"/>
    <w:rsid w:val="004A13D6"/>
    <w:rsid w:val="004A2B63"/>
    <w:rsid w:val="004A2EB7"/>
    <w:rsid w:val="004A313C"/>
    <w:rsid w:val="004A3220"/>
    <w:rsid w:val="004A46C2"/>
    <w:rsid w:val="004A52E9"/>
    <w:rsid w:val="004A5EE9"/>
    <w:rsid w:val="004A6040"/>
    <w:rsid w:val="004A6533"/>
    <w:rsid w:val="004A6597"/>
    <w:rsid w:val="004A77BA"/>
    <w:rsid w:val="004A7848"/>
    <w:rsid w:val="004A7AF4"/>
    <w:rsid w:val="004B0281"/>
    <w:rsid w:val="004B0294"/>
    <w:rsid w:val="004B0C7F"/>
    <w:rsid w:val="004B1306"/>
    <w:rsid w:val="004B1CB4"/>
    <w:rsid w:val="004B2345"/>
    <w:rsid w:val="004B252C"/>
    <w:rsid w:val="004B2F18"/>
    <w:rsid w:val="004B35FA"/>
    <w:rsid w:val="004B3DDB"/>
    <w:rsid w:val="004B44FD"/>
    <w:rsid w:val="004B5CFC"/>
    <w:rsid w:val="004B6F79"/>
    <w:rsid w:val="004B774D"/>
    <w:rsid w:val="004B79DA"/>
    <w:rsid w:val="004C0645"/>
    <w:rsid w:val="004C14DF"/>
    <w:rsid w:val="004C161D"/>
    <w:rsid w:val="004C23A7"/>
    <w:rsid w:val="004C27A9"/>
    <w:rsid w:val="004C2FF0"/>
    <w:rsid w:val="004C38CD"/>
    <w:rsid w:val="004C3BB3"/>
    <w:rsid w:val="004C417A"/>
    <w:rsid w:val="004C46F3"/>
    <w:rsid w:val="004C4AED"/>
    <w:rsid w:val="004C501B"/>
    <w:rsid w:val="004C53EE"/>
    <w:rsid w:val="004C5E64"/>
    <w:rsid w:val="004C5E98"/>
    <w:rsid w:val="004C6CF2"/>
    <w:rsid w:val="004C7577"/>
    <w:rsid w:val="004D051F"/>
    <w:rsid w:val="004D0C85"/>
    <w:rsid w:val="004D12F4"/>
    <w:rsid w:val="004D13B0"/>
    <w:rsid w:val="004D2474"/>
    <w:rsid w:val="004D2C2D"/>
    <w:rsid w:val="004D31F6"/>
    <w:rsid w:val="004D389A"/>
    <w:rsid w:val="004D3928"/>
    <w:rsid w:val="004D4E70"/>
    <w:rsid w:val="004D621D"/>
    <w:rsid w:val="004D69B5"/>
    <w:rsid w:val="004D7227"/>
    <w:rsid w:val="004D76E5"/>
    <w:rsid w:val="004D775D"/>
    <w:rsid w:val="004E066E"/>
    <w:rsid w:val="004E0E7F"/>
    <w:rsid w:val="004E0EB8"/>
    <w:rsid w:val="004E18E9"/>
    <w:rsid w:val="004E1A2D"/>
    <w:rsid w:val="004E2ADC"/>
    <w:rsid w:val="004E3427"/>
    <w:rsid w:val="004E3918"/>
    <w:rsid w:val="004E39D7"/>
    <w:rsid w:val="004E4243"/>
    <w:rsid w:val="004E43B2"/>
    <w:rsid w:val="004E4F34"/>
    <w:rsid w:val="004E5337"/>
    <w:rsid w:val="004E5502"/>
    <w:rsid w:val="004E6EEB"/>
    <w:rsid w:val="004E7C65"/>
    <w:rsid w:val="004E7C93"/>
    <w:rsid w:val="004F1497"/>
    <w:rsid w:val="004F1D02"/>
    <w:rsid w:val="004F22E6"/>
    <w:rsid w:val="004F2679"/>
    <w:rsid w:val="004F2F21"/>
    <w:rsid w:val="004F3038"/>
    <w:rsid w:val="004F34B7"/>
    <w:rsid w:val="004F3DE5"/>
    <w:rsid w:val="004F3E75"/>
    <w:rsid w:val="004F520D"/>
    <w:rsid w:val="004F5B2E"/>
    <w:rsid w:val="004F61BE"/>
    <w:rsid w:val="004F6846"/>
    <w:rsid w:val="004F6913"/>
    <w:rsid w:val="004F6A0B"/>
    <w:rsid w:val="004F6C25"/>
    <w:rsid w:val="004F7865"/>
    <w:rsid w:val="004F7DF7"/>
    <w:rsid w:val="00500165"/>
    <w:rsid w:val="00500629"/>
    <w:rsid w:val="00500E85"/>
    <w:rsid w:val="005015A8"/>
    <w:rsid w:val="0050174E"/>
    <w:rsid w:val="00501854"/>
    <w:rsid w:val="00501DAD"/>
    <w:rsid w:val="0050219B"/>
    <w:rsid w:val="00502E7C"/>
    <w:rsid w:val="005030D7"/>
    <w:rsid w:val="00503B8A"/>
    <w:rsid w:val="00503F17"/>
    <w:rsid w:val="00504BAD"/>
    <w:rsid w:val="0050571B"/>
    <w:rsid w:val="00505CCF"/>
    <w:rsid w:val="00506928"/>
    <w:rsid w:val="005077EF"/>
    <w:rsid w:val="00507C40"/>
    <w:rsid w:val="00510FE3"/>
    <w:rsid w:val="00511AD5"/>
    <w:rsid w:val="00511DC7"/>
    <w:rsid w:val="00511F1E"/>
    <w:rsid w:val="00512269"/>
    <w:rsid w:val="00513AB9"/>
    <w:rsid w:val="00513D5B"/>
    <w:rsid w:val="00514012"/>
    <w:rsid w:val="005142C5"/>
    <w:rsid w:val="005142FA"/>
    <w:rsid w:val="005146ED"/>
    <w:rsid w:val="005148A8"/>
    <w:rsid w:val="0051501B"/>
    <w:rsid w:val="005152B5"/>
    <w:rsid w:val="005157A5"/>
    <w:rsid w:val="0052123C"/>
    <w:rsid w:val="00521319"/>
    <w:rsid w:val="005217DC"/>
    <w:rsid w:val="005224DB"/>
    <w:rsid w:val="00522BC8"/>
    <w:rsid w:val="00523A7D"/>
    <w:rsid w:val="00523C28"/>
    <w:rsid w:val="00525661"/>
    <w:rsid w:val="00525AD1"/>
    <w:rsid w:val="0052640D"/>
    <w:rsid w:val="00526894"/>
    <w:rsid w:val="00527AE2"/>
    <w:rsid w:val="00527C01"/>
    <w:rsid w:val="00527F71"/>
    <w:rsid w:val="005302D8"/>
    <w:rsid w:val="00530C5E"/>
    <w:rsid w:val="005311B8"/>
    <w:rsid w:val="0053176B"/>
    <w:rsid w:val="00531858"/>
    <w:rsid w:val="00532184"/>
    <w:rsid w:val="005335D6"/>
    <w:rsid w:val="00534575"/>
    <w:rsid w:val="00536F42"/>
    <w:rsid w:val="00537182"/>
    <w:rsid w:val="0053752D"/>
    <w:rsid w:val="00537531"/>
    <w:rsid w:val="00537647"/>
    <w:rsid w:val="0054048E"/>
    <w:rsid w:val="00541619"/>
    <w:rsid w:val="00541EDD"/>
    <w:rsid w:val="00542743"/>
    <w:rsid w:val="00542C2D"/>
    <w:rsid w:val="00542F22"/>
    <w:rsid w:val="00543F0F"/>
    <w:rsid w:val="00545F06"/>
    <w:rsid w:val="005478BD"/>
    <w:rsid w:val="005479E3"/>
    <w:rsid w:val="0055021D"/>
    <w:rsid w:val="005514EF"/>
    <w:rsid w:val="005517A8"/>
    <w:rsid w:val="00551985"/>
    <w:rsid w:val="00552BD3"/>
    <w:rsid w:val="00553142"/>
    <w:rsid w:val="005532A0"/>
    <w:rsid w:val="00554099"/>
    <w:rsid w:val="005550E9"/>
    <w:rsid w:val="00555109"/>
    <w:rsid w:val="00555498"/>
    <w:rsid w:val="0055568C"/>
    <w:rsid w:val="00555E1D"/>
    <w:rsid w:val="005560CA"/>
    <w:rsid w:val="00556379"/>
    <w:rsid w:val="00556B35"/>
    <w:rsid w:val="0055741A"/>
    <w:rsid w:val="005576DA"/>
    <w:rsid w:val="00557AD8"/>
    <w:rsid w:val="00561115"/>
    <w:rsid w:val="005611B7"/>
    <w:rsid w:val="00561722"/>
    <w:rsid w:val="005618D4"/>
    <w:rsid w:val="005626ED"/>
    <w:rsid w:val="00562FE1"/>
    <w:rsid w:val="0056325B"/>
    <w:rsid w:val="00563711"/>
    <w:rsid w:val="0056432E"/>
    <w:rsid w:val="005650AC"/>
    <w:rsid w:val="00565A41"/>
    <w:rsid w:val="00565C08"/>
    <w:rsid w:val="00565DF0"/>
    <w:rsid w:val="00566142"/>
    <w:rsid w:val="0056696F"/>
    <w:rsid w:val="005677AE"/>
    <w:rsid w:val="0057135D"/>
    <w:rsid w:val="00572269"/>
    <w:rsid w:val="0057244A"/>
    <w:rsid w:val="00572A17"/>
    <w:rsid w:val="00572BF6"/>
    <w:rsid w:val="00572F26"/>
    <w:rsid w:val="005749F4"/>
    <w:rsid w:val="005750C5"/>
    <w:rsid w:val="005752DE"/>
    <w:rsid w:val="00575D8D"/>
    <w:rsid w:val="00575DA1"/>
    <w:rsid w:val="00575F5A"/>
    <w:rsid w:val="00576972"/>
    <w:rsid w:val="00576CD0"/>
    <w:rsid w:val="00577828"/>
    <w:rsid w:val="0057788A"/>
    <w:rsid w:val="00577F36"/>
    <w:rsid w:val="005806B1"/>
    <w:rsid w:val="00580B55"/>
    <w:rsid w:val="00580D43"/>
    <w:rsid w:val="0058134D"/>
    <w:rsid w:val="005817ED"/>
    <w:rsid w:val="00581B64"/>
    <w:rsid w:val="00581C08"/>
    <w:rsid w:val="00582460"/>
    <w:rsid w:val="00582662"/>
    <w:rsid w:val="00582E24"/>
    <w:rsid w:val="00583699"/>
    <w:rsid w:val="00584374"/>
    <w:rsid w:val="00585B45"/>
    <w:rsid w:val="00585BC3"/>
    <w:rsid w:val="00585CDD"/>
    <w:rsid w:val="00587058"/>
    <w:rsid w:val="005874CC"/>
    <w:rsid w:val="00587644"/>
    <w:rsid w:val="00587A90"/>
    <w:rsid w:val="00590982"/>
    <w:rsid w:val="00590E76"/>
    <w:rsid w:val="00590EF4"/>
    <w:rsid w:val="00590FFA"/>
    <w:rsid w:val="00591646"/>
    <w:rsid w:val="00591957"/>
    <w:rsid w:val="00592A69"/>
    <w:rsid w:val="00592BC4"/>
    <w:rsid w:val="00593484"/>
    <w:rsid w:val="005938E6"/>
    <w:rsid w:val="00593EDD"/>
    <w:rsid w:val="005974D7"/>
    <w:rsid w:val="00597769"/>
    <w:rsid w:val="0059796D"/>
    <w:rsid w:val="00597BF9"/>
    <w:rsid w:val="005A0E08"/>
    <w:rsid w:val="005A1D20"/>
    <w:rsid w:val="005A1EF4"/>
    <w:rsid w:val="005A22D8"/>
    <w:rsid w:val="005A28E0"/>
    <w:rsid w:val="005A2DFE"/>
    <w:rsid w:val="005A2F5B"/>
    <w:rsid w:val="005A309A"/>
    <w:rsid w:val="005A373D"/>
    <w:rsid w:val="005A3905"/>
    <w:rsid w:val="005A3CE2"/>
    <w:rsid w:val="005A44DD"/>
    <w:rsid w:val="005A52A3"/>
    <w:rsid w:val="005A5358"/>
    <w:rsid w:val="005A5AEB"/>
    <w:rsid w:val="005A5C6C"/>
    <w:rsid w:val="005A6885"/>
    <w:rsid w:val="005A6AD5"/>
    <w:rsid w:val="005A6F1B"/>
    <w:rsid w:val="005A7EA9"/>
    <w:rsid w:val="005B0B58"/>
    <w:rsid w:val="005B1EA5"/>
    <w:rsid w:val="005B26B1"/>
    <w:rsid w:val="005B2D06"/>
    <w:rsid w:val="005B3245"/>
    <w:rsid w:val="005B348F"/>
    <w:rsid w:val="005B378C"/>
    <w:rsid w:val="005B3B15"/>
    <w:rsid w:val="005B445A"/>
    <w:rsid w:val="005B4E53"/>
    <w:rsid w:val="005B5857"/>
    <w:rsid w:val="005B5B5B"/>
    <w:rsid w:val="005B69E1"/>
    <w:rsid w:val="005B74D7"/>
    <w:rsid w:val="005C0404"/>
    <w:rsid w:val="005C0933"/>
    <w:rsid w:val="005C09A3"/>
    <w:rsid w:val="005C167E"/>
    <w:rsid w:val="005C1B1C"/>
    <w:rsid w:val="005C1B83"/>
    <w:rsid w:val="005C1BC1"/>
    <w:rsid w:val="005C1F1D"/>
    <w:rsid w:val="005C25FF"/>
    <w:rsid w:val="005C2D55"/>
    <w:rsid w:val="005C346B"/>
    <w:rsid w:val="005C46A7"/>
    <w:rsid w:val="005C7481"/>
    <w:rsid w:val="005D044D"/>
    <w:rsid w:val="005D0ABD"/>
    <w:rsid w:val="005D0CD9"/>
    <w:rsid w:val="005D18AD"/>
    <w:rsid w:val="005D26B4"/>
    <w:rsid w:val="005D3F02"/>
    <w:rsid w:val="005D45CC"/>
    <w:rsid w:val="005D5585"/>
    <w:rsid w:val="005D5623"/>
    <w:rsid w:val="005D6472"/>
    <w:rsid w:val="005D6FB6"/>
    <w:rsid w:val="005E00AB"/>
    <w:rsid w:val="005E0288"/>
    <w:rsid w:val="005E0E7A"/>
    <w:rsid w:val="005E16BB"/>
    <w:rsid w:val="005E2167"/>
    <w:rsid w:val="005E228A"/>
    <w:rsid w:val="005E2430"/>
    <w:rsid w:val="005E2F50"/>
    <w:rsid w:val="005E3304"/>
    <w:rsid w:val="005E396C"/>
    <w:rsid w:val="005E3C23"/>
    <w:rsid w:val="005E4DCA"/>
    <w:rsid w:val="005E518A"/>
    <w:rsid w:val="005E56FF"/>
    <w:rsid w:val="005E60DD"/>
    <w:rsid w:val="005E63E4"/>
    <w:rsid w:val="005E6CBC"/>
    <w:rsid w:val="005E70A2"/>
    <w:rsid w:val="005E72FF"/>
    <w:rsid w:val="005E73C0"/>
    <w:rsid w:val="005F00E4"/>
    <w:rsid w:val="005F2706"/>
    <w:rsid w:val="005F30DA"/>
    <w:rsid w:val="005F47E9"/>
    <w:rsid w:val="005F4DD7"/>
    <w:rsid w:val="005F5B26"/>
    <w:rsid w:val="005F65A6"/>
    <w:rsid w:val="005F6A8F"/>
    <w:rsid w:val="005F6BB7"/>
    <w:rsid w:val="005F6EC6"/>
    <w:rsid w:val="005F7588"/>
    <w:rsid w:val="006017FF"/>
    <w:rsid w:val="006031F4"/>
    <w:rsid w:val="00603DB9"/>
    <w:rsid w:val="00604918"/>
    <w:rsid w:val="00604C54"/>
    <w:rsid w:val="00605819"/>
    <w:rsid w:val="0060669A"/>
    <w:rsid w:val="00606FBA"/>
    <w:rsid w:val="00607669"/>
    <w:rsid w:val="006076F4"/>
    <w:rsid w:val="006078A0"/>
    <w:rsid w:val="00607AFD"/>
    <w:rsid w:val="00607E93"/>
    <w:rsid w:val="006100A9"/>
    <w:rsid w:val="00610227"/>
    <w:rsid w:val="00610AD7"/>
    <w:rsid w:val="00610CAA"/>
    <w:rsid w:val="006116D3"/>
    <w:rsid w:val="006116F7"/>
    <w:rsid w:val="00611F4E"/>
    <w:rsid w:val="0061246F"/>
    <w:rsid w:val="00612F97"/>
    <w:rsid w:val="00613312"/>
    <w:rsid w:val="0061345D"/>
    <w:rsid w:val="00614F1D"/>
    <w:rsid w:val="00615387"/>
    <w:rsid w:val="0061549B"/>
    <w:rsid w:val="00616802"/>
    <w:rsid w:val="00617BCC"/>
    <w:rsid w:val="00617E12"/>
    <w:rsid w:val="006209F7"/>
    <w:rsid w:val="00620C25"/>
    <w:rsid w:val="00620E99"/>
    <w:rsid w:val="00621477"/>
    <w:rsid w:val="00621ADA"/>
    <w:rsid w:val="00623F7B"/>
    <w:rsid w:val="00625A23"/>
    <w:rsid w:val="0063158F"/>
    <w:rsid w:val="00631D6B"/>
    <w:rsid w:val="00632183"/>
    <w:rsid w:val="00632A1E"/>
    <w:rsid w:val="00632D78"/>
    <w:rsid w:val="006330A1"/>
    <w:rsid w:val="0063479F"/>
    <w:rsid w:val="0063520C"/>
    <w:rsid w:val="006353F0"/>
    <w:rsid w:val="006357B5"/>
    <w:rsid w:val="00635E71"/>
    <w:rsid w:val="00636287"/>
    <w:rsid w:val="006364A1"/>
    <w:rsid w:val="0063678E"/>
    <w:rsid w:val="00637BFD"/>
    <w:rsid w:val="00641C4E"/>
    <w:rsid w:val="00641FB3"/>
    <w:rsid w:val="00642B01"/>
    <w:rsid w:val="00642C5F"/>
    <w:rsid w:val="00643DCB"/>
    <w:rsid w:val="0064434C"/>
    <w:rsid w:val="0064496F"/>
    <w:rsid w:val="006464DF"/>
    <w:rsid w:val="00646C2A"/>
    <w:rsid w:val="006471CC"/>
    <w:rsid w:val="00647A29"/>
    <w:rsid w:val="0065078F"/>
    <w:rsid w:val="0065079F"/>
    <w:rsid w:val="0065094A"/>
    <w:rsid w:val="00650A32"/>
    <w:rsid w:val="00651B0F"/>
    <w:rsid w:val="006524BC"/>
    <w:rsid w:val="00652A28"/>
    <w:rsid w:val="006532D0"/>
    <w:rsid w:val="006533D2"/>
    <w:rsid w:val="0065379F"/>
    <w:rsid w:val="00653A2D"/>
    <w:rsid w:val="00654154"/>
    <w:rsid w:val="0065449A"/>
    <w:rsid w:val="00654723"/>
    <w:rsid w:val="00655073"/>
    <w:rsid w:val="00655324"/>
    <w:rsid w:val="00655433"/>
    <w:rsid w:val="00655DA3"/>
    <w:rsid w:val="00655FF0"/>
    <w:rsid w:val="006560A4"/>
    <w:rsid w:val="00656188"/>
    <w:rsid w:val="00657051"/>
    <w:rsid w:val="0065715A"/>
    <w:rsid w:val="00657A88"/>
    <w:rsid w:val="00660C17"/>
    <w:rsid w:val="006610F1"/>
    <w:rsid w:val="00661491"/>
    <w:rsid w:val="00661C6B"/>
    <w:rsid w:val="00661E28"/>
    <w:rsid w:val="00663BE6"/>
    <w:rsid w:val="00664F03"/>
    <w:rsid w:val="0066555C"/>
    <w:rsid w:val="0066573B"/>
    <w:rsid w:val="00666FF0"/>
    <w:rsid w:val="00667D2A"/>
    <w:rsid w:val="006707BE"/>
    <w:rsid w:val="00671004"/>
    <w:rsid w:val="00671206"/>
    <w:rsid w:val="00672646"/>
    <w:rsid w:val="00672C05"/>
    <w:rsid w:val="00672EAB"/>
    <w:rsid w:val="00672F49"/>
    <w:rsid w:val="006735AF"/>
    <w:rsid w:val="00673CB4"/>
    <w:rsid w:val="00674E42"/>
    <w:rsid w:val="00676F48"/>
    <w:rsid w:val="00680316"/>
    <w:rsid w:val="0068074B"/>
    <w:rsid w:val="00681012"/>
    <w:rsid w:val="006810FB"/>
    <w:rsid w:val="006813C0"/>
    <w:rsid w:val="006813F8"/>
    <w:rsid w:val="00681664"/>
    <w:rsid w:val="00681953"/>
    <w:rsid w:val="00681BC8"/>
    <w:rsid w:val="00681EFC"/>
    <w:rsid w:val="00682112"/>
    <w:rsid w:val="00682B32"/>
    <w:rsid w:val="00682BA6"/>
    <w:rsid w:val="00682BBC"/>
    <w:rsid w:val="00683919"/>
    <w:rsid w:val="00686957"/>
    <w:rsid w:val="006872BA"/>
    <w:rsid w:val="0068756B"/>
    <w:rsid w:val="00687804"/>
    <w:rsid w:val="006878B7"/>
    <w:rsid w:val="00690402"/>
    <w:rsid w:val="00690795"/>
    <w:rsid w:val="006915CD"/>
    <w:rsid w:val="00691648"/>
    <w:rsid w:val="006917D7"/>
    <w:rsid w:val="00691D38"/>
    <w:rsid w:val="006937B4"/>
    <w:rsid w:val="006940E4"/>
    <w:rsid w:val="0069434C"/>
    <w:rsid w:val="00694F44"/>
    <w:rsid w:val="00695C15"/>
    <w:rsid w:val="00696F51"/>
    <w:rsid w:val="006979A5"/>
    <w:rsid w:val="006A2CE9"/>
    <w:rsid w:val="006A40C4"/>
    <w:rsid w:val="006A498F"/>
    <w:rsid w:val="006A4DDA"/>
    <w:rsid w:val="006A53E5"/>
    <w:rsid w:val="006A5C79"/>
    <w:rsid w:val="006A6A31"/>
    <w:rsid w:val="006A6B99"/>
    <w:rsid w:val="006A7E5F"/>
    <w:rsid w:val="006B0075"/>
    <w:rsid w:val="006B10B1"/>
    <w:rsid w:val="006B182C"/>
    <w:rsid w:val="006B1B77"/>
    <w:rsid w:val="006B261B"/>
    <w:rsid w:val="006B2C90"/>
    <w:rsid w:val="006B2D98"/>
    <w:rsid w:val="006B35E6"/>
    <w:rsid w:val="006B465A"/>
    <w:rsid w:val="006B57A0"/>
    <w:rsid w:val="006B602B"/>
    <w:rsid w:val="006B6331"/>
    <w:rsid w:val="006B63CF"/>
    <w:rsid w:val="006B6DD0"/>
    <w:rsid w:val="006B716B"/>
    <w:rsid w:val="006C0399"/>
    <w:rsid w:val="006C1874"/>
    <w:rsid w:val="006C2203"/>
    <w:rsid w:val="006C27F0"/>
    <w:rsid w:val="006C2A8E"/>
    <w:rsid w:val="006C304E"/>
    <w:rsid w:val="006C30CF"/>
    <w:rsid w:val="006C3255"/>
    <w:rsid w:val="006C3F26"/>
    <w:rsid w:val="006C4786"/>
    <w:rsid w:val="006C592D"/>
    <w:rsid w:val="006C60B0"/>
    <w:rsid w:val="006C68AB"/>
    <w:rsid w:val="006C696C"/>
    <w:rsid w:val="006C76DB"/>
    <w:rsid w:val="006C7902"/>
    <w:rsid w:val="006D01D8"/>
    <w:rsid w:val="006D0D17"/>
    <w:rsid w:val="006D135E"/>
    <w:rsid w:val="006D2C42"/>
    <w:rsid w:val="006D3788"/>
    <w:rsid w:val="006D3C7D"/>
    <w:rsid w:val="006D4659"/>
    <w:rsid w:val="006D46E2"/>
    <w:rsid w:val="006D47C7"/>
    <w:rsid w:val="006D5A4C"/>
    <w:rsid w:val="006D5D5F"/>
    <w:rsid w:val="006D6035"/>
    <w:rsid w:val="006D6103"/>
    <w:rsid w:val="006D68FB"/>
    <w:rsid w:val="006E01E0"/>
    <w:rsid w:val="006E02B7"/>
    <w:rsid w:val="006E13BE"/>
    <w:rsid w:val="006E141F"/>
    <w:rsid w:val="006E1B51"/>
    <w:rsid w:val="006E1C21"/>
    <w:rsid w:val="006E25D0"/>
    <w:rsid w:val="006E2674"/>
    <w:rsid w:val="006E2868"/>
    <w:rsid w:val="006E2A15"/>
    <w:rsid w:val="006E2BD5"/>
    <w:rsid w:val="006E33C2"/>
    <w:rsid w:val="006E3D68"/>
    <w:rsid w:val="006E3F42"/>
    <w:rsid w:val="006E4000"/>
    <w:rsid w:val="006E4021"/>
    <w:rsid w:val="006E64AD"/>
    <w:rsid w:val="006E6887"/>
    <w:rsid w:val="006E6C18"/>
    <w:rsid w:val="006E7FEA"/>
    <w:rsid w:val="006F075A"/>
    <w:rsid w:val="006F0F8C"/>
    <w:rsid w:val="006F306C"/>
    <w:rsid w:val="006F338C"/>
    <w:rsid w:val="006F5794"/>
    <w:rsid w:val="006F63A5"/>
    <w:rsid w:val="006F7636"/>
    <w:rsid w:val="006F78E6"/>
    <w:rsid w:val="007011A9"/>
    <w:rsid w:val="0070142B"/>
    <w:rsid w:val="00701660"/>
    <w:rsid w:val="007016CB"/>
    <w:rsid w:val="00701EDF"/>
    <w:rsid w:val="0070276E"/>
    <w:rsid w:val="00702E10"/>
    <w:rsid w:val="00702F8F"/>
    <w:rsid w:val="00703364"/>
    <w:rsid w:val="00703CA8"/>
    <w:rsid w:val="00704F07"/>
    <w:rsid w:val="00704F0D"/>
    <w:rsid w:val="00706347"/>
    <w:rsid w:val="007063AF"/>
    <w:rsid w:val="00706DDD"/>
    <w:rsid w:val="007072A3"/>
    <w:rsid w:val="007077FF"/>
    <w:rsid w:val="007079FC"/>
    <w:rsid w:val="00710199"/>
    <w:rsid w:val="00711346"/>
    <w:rsid w:val="00711A36"/>
    <w:rsid w:val="007125FF"/>
    <w:rsid w:val="00714994"/>
    <w:rsid w:val="00714A65"/>
    <w:rsid w:val="00714C26"/>
    <w:rsid w:val="00714FD3"/>
    <w:rsid w:val="007151A3"/>
    <w:rsid w:val="0071529C"/>
    <w:rsid w:val="00715AE3"/>
    <w:rsid w:val="00715B8B"/>
    <w:rsid w:val="007170DA"/>
    <w:rsid w:val="007171D7"/>
    <w:rsid w:val="007172AD"/>
    <w:rsid w:val="00717525"/>
    <w:rsid w:val="0071797D"/>
    <w:rsid w:val="00720801"/>
    <w:rsid w:val="00721017"/>
    <w:rsid w:val="00721352"/>
    <w:rsid w:val="00722B1B"/>
    <w:rsid w:val="0072416F"/>
    <w:rsid w:val="00726E8D"/>
    <w:rsid w:val="00727A88"/>
    <w:rsid w:val="00727BBC"/>
    <w:rsid w:val="00727C94"/>
    <w:rsid w:val="00727CA9"/>
    <w:rsid w:val="00731B0A"/>
    <w:rsid w:val="00731EAE"/>
    <w:rsid w:val="0073202A"/>
    <w:rsid w:val="00733073"/>
    <w:rsid w:val="007330A4"/>
    <w:rsid w:val="00733F61"/>
    <w:rsid w:val="007347E7"/>
    <w:rsid w:val="00735033"/>
    <w:rsid w:val="00735328"/>
    <w:rsid w:val="00735843"/>
    <w:rsid w:val="007361A1"/>
    <w:rsid w:val="0073624E"/>
    <w:rsid w:val="0073685B"/>
    <w:rsid w:val="00737732"/>
    <w:rsid w:val="00737DC4"/>
    <w:rsid w:val="0074059F"/>
    <w:rsid w:val="00740ED5"/>
    <w:rsid w:val="0074203F"/>
    <w:rsid w:val="007449BF"/>
    <w:rsid w:val="00744F14"/>
    <w:rsid w:val="00745437"/>
    <w:rsid w:val="0074583B"/>
    <w:rsid w:val="00745F68"/>
    <w:rsid w:val="00746203"/>
    <w:rsid w:val="00746BC0"/>
    <w:rsid w:val="00747D81"/>
    <w:rsid w:val="00750943"/>
    <w:rsid w:val="00750F75"/>
    <w:rsid w:val="007510B4"/>
    <w:rsid w:val="0075126B"/>
    <w:rsid w:val="0075148D"/>
    <w:rsid w:val="00751956"/>
    <w:rsid w:val="00751EAD"/>
    <w:rsid w:val="00752142"/>
    <w:rsid w:val="007523F9"/>
    <w:rsid w:val="007529A3"/>
    <w:rsid w:val="00752AAC"/>
    <w:rsid w:val="0075357E"/>
    <w:rsid w:val="00753676"/>
    <w:rsid w:val="0075386F"/>
    <w:rsid w:val="00754521"/>
    <w:rsid w:val="00754B8C"/>
    <w:rsid w:val="007573E8"/>
    <w:rsid w:val="00757977"/>
    <w:rsid w:val="007603E7"/>
    <w:rsid w:val="00760A94"/>
    <w:rsid w:val="00760BB2"/>
    <w:rsid w:val="00760C4E"/>
    <w:rsid w:val="00760E7C"/>
    <w:rsid w:val="00760F9E"/>
    <w:rsid w:val="007627BE"/>
    <w:rsid w:val="00762F80"/>
    <w:rsid w:val="007632D0"/>
    <w:rsid w:val="00763F16"/>
    <w:rsid w:val="00764335"/>
    <w:rsid w:val="007647E4"/>
    <w:rsid w:val="00764F03"/>
    <w:rsid w:val="00765B1A"/>
    <w:rsid w:val="00765BBA"/>
    <w:rsid w:val="00765BE8"/>
    <w:rsid w:val="00765DEC"/>
    <w:rsid w:val="00766D97"/>
    <w:rsid w:val="0076701D"/>
    <w:rsid w:val="00767FA9"/>
    <w:rsid w:val="007714B7"/>
    <w:rsid w:val="00771D16"/>
    <w:rsid w:val="00775A48"/>
    <w:rsid w:val="007769FC"/>
    <w:rsid w:val="00776A0D"/>
    <w:rsid w:val="007771AD"/>
    <w:rsid w:val="00777335"/>
    <w:rsid w:val="007806AE"/>
    <w:rsid w:val="007807B2"/>
    <w:rsid w:val="00781801"/>
    <w:rsid w:val="00782292"/>
    <w:rsid w:val="00783307"/>
    <w:rsid w:val="007843F2"/>
    <w:rsid w:val="00784C1B"/>
    <w:rsid w:val="00785A9F"/>
    <w:rsid w:val="00787A7E"/>
    <w:rsid w:val="007925DF"/>
    <w:rsid w:val="00792918"/>
    <w:rsid w:val="00793299"/>
    <w:rsid w:val="00793CDB"/>
    <w:rsid w:val="0079762E"/>
    <w:rsid w:val="00797633"/>
    <w:rsid w:val="00797910"/>
    <w:rsid w:val="00797AB2"/>
    <w:rsid w:val="007A08AA"/>
    <w:rsid w:val="007A0A12"/>
    <w:rsid w:val="007A0DE0"/>
    <w:rsid w:val="007A132D"/>
    <w:rsid w:val="007A1345"/>
    <w:rsid w:val="007A1D91"/>
    <w:rsid w:val="007A2C52"/>
    <w:rsid w:val="007A2DDB"/>
    <w:rsid w:val="007A3BD7"/>
    <w:rsid w:val="007A4C29"/>
    <w:rsid w:val="007A4F21"/>
    <w:rsid w:val="007A5654"/>
    <w:rsid w:val="007A5712"/>
    <w:rsid w:val="007A5E41"/>
    <w:rsid w:val="007A70BA"/>
    <w:rsid w:val="007A7F3A"/>
    <w:rsid w:val="007B0D68"/>
    <w:rsid w:val="007B12EC"/>
    <w:rsid w:val="007B1A70"/>
    <w:rsid w:val="007B1E70"/>
    <w:rsid w:val="007B2217"/>
    <w:rsid w:val="007B251D"/>
    <w:rsid w:val="007B3067"/>
    <w:rsid w:val="007B3563"/>
    <w:rsid w:val="007B36BE"/>
    <w:rsid w:val="007B3FC2"/>
    <w:rsid w:val="007B4160"/>
    <w:rsid w:val="007B4A18"/>
    <w:rsid w:val="007B4A3B"/>
    <w:rsid w:val="007B4F58"/>
    <w:rsid w:val="007B528D"/>
    <w:rsid w:val="007B546E"/>
    <w:rsid w:val="007B5CA0"/>
    <w:rsid w:val="007B63CA"/>
    <w:rsid w:val="007B6E46"/>
    <w:rsid w:val="007B77D1"/>
    <w:rsid w:val="007B7FE9"/>
    <w:rsid w:val="007C07C7"/>
    <w:rsid w:val="007C07D9"/>
    <w:rsid w:val="007C1CD9"/>
    <w:rsid w:val="007C1D04"/>
    <w:rsid w:val="007C1E7A"/>
    <w:rsid w:val="007C32EF"/>
    <w:rsid w:val="007C361D"/>
    <w:rsid w:val="007C3701"/>
    <w:rsid w:val="007C3D3F"/>
    <w:rsid w:val="007C4B84"/>
    <w:rsid w:val="007C5442"/>
    <w:rsid w:val="007C6557"/>
    <w:rsid w:val="007C70FF"/>
    <w:rsid w:val="007C7260"/>
    <w:rsid w:val="007C7357"/>
    <w:rsid w:val="007C7C25"/>
    <w:rsid w:val="007D004F"/>
    <w:rsid w:val="007D0B38"/>
    <w:rsid w:val="007D122E"/>
    <w:rsid w:val="007D197E"/>
    <w:rsid w:val="007D1AB5"/>
    <w:rsid w:val="007D1CA7"/>
    <w:rsid w:val="007D2EDF"/>
    <w:rsid w:val="007D3859"/>
    <w:rsid w:val="007D4052"/>
    <w:rsid w:val="007D4670"/>
    <w:rsid w:val="007D4A87"/>
    <w:rsid w:val="007D4ABE"/>
    <w:rsid w:val="007D5440"/>
    <w:rsid w:val="007D57D0"/>
    <w:rsid w:val="007D64E5"/>
    <w:rsid w:val="007D69EB"/>
    <w:rsid w:val="007E01BE"/>
    <w:rsid w:val="007E03F0"/>
    <w:rsid w:val="007E128F"/>
    <w:rsid w:val="007E19DE"/>
    <w:rsid w:val="007E3628"/>
    <w:rsid w:val="007E38DF"/>
    <w:rsid w:val="007E3AA4"/>
    <w:rsid w:val="007E3D2A"/>
    <w:rsid w:val="007E6965"/>
    <w:rsid w:val="007E72FA"/>
    <w:rsid w:val="007F1017"/>
    <w:rsid w:val="007F2484"/>
    <w:rsid w:val="007F2BEB"/>
    <w:rsid w:val="007F3720"/>
    <w:rsid w:val="007F39EF"/>
    <w:rsid w:val="007F4A3F"/>
    <w:rsid w:val="007F4A61"/>
    <w:rsid w:val="007F4BFE"/>
    <w:rsid w:val="007F4C8A"/>
    <w:rsid w:val="007F5255"/>
    <w:rsid w:val="007F56CC"/>
    <w:rsid w:val="007F57F9"/>
    <w:rsid w:val="007F6137"/>
    <w:rsid w:val="007F61C2"/>
    <w:rsid w:val="007F6472"/>
    <w:rsid w:val="007F6530"/>
    <w:rsid w:val="007F6CAB"/>
    <w:rsid w:val="007F6D3A"/>
    <w:rsid w:val="008005DD"/>
    <w:rsid w:val="00800FA7"/>
    <w:rsid w:val="008019E3"/>
    <w:rsid w:val="00801C98"/>
    <w:rsid w:val="0080234D"/>
    <w:rsid w:val="008037B2"/>
    <w:rsid w:val="008042FF"/>
    <w:rsid w:val="008044D9"/>
    <w:rsid w:val="00804A30"/>
    <w:rsid w:val="00805055"/>
    <w:rsid w:val="00805142"/>
    <w:rsid w:val="0080531E"/>
    <w:rsid w:val="00805C51"/>
    <w:rsid w:val="00805F6E"/>
    <w:rsid w:val="00805FCE"/>
    <w:rsid w:val="00806B6E"/>
    <w:rsid w:val="00807A8B"/>
    <w:rsid w:val="00811383"/>
    <w:rsid w:val="00811610"/>
    <w:rsid w:val="008117EB"/>
    <w:rsid w:val="00812149"/>
    <w:rsid w:val="00812CAC"/>
    <w:rsid w:val="0081308A"/>
    <w:rsid w:val="0081348C"/>
    <w:rsid w:val="00814D14"/>
    <w:rsid w:val="008153E6"/>
    <w:rsid w:val="008154BF"/>
    <w:rsid w:val="00815909"/>
    <w:rsid w:val="00816361"/>
    <w:rsid w:val="008166EF"/>
    <w:rsid w:val="00816FEF"/>
    <w:rsid w:val="00817410"/>
    <w:rsid w:val="0081777E"/>
    <w:rsid w:val="008206DF"/>
    <w:rsid w:val="00820A8C"/>
    <w:rsid w:val="00821378"/>
    <w:rsid w:val="008215FB"/>
    <w:rsid w:val="00821777"/>
    <w:rsid w:val="0082180C"/>
    <w:rsid w:val="00822134"/>
    <w:rsid w:val="008221CD"/>
    <w:rsid w:val="00823174"/>
    <w:rsid w:val="00823D6B"/>
    <w:rsid w:val="00825751"/>
    <w:rsid w:val="0082600A"/>
    <w:rsid w:val="008264EB"/>
    <w:rsid w:val="00826F3E"/>
    <w:rsid w:val="00827541"/>
    <w:rsid w:val="00827B27"/>
    <w:rsid w:val="00827B9E"/>
    <w:rsid w:val="00830367"/>
    <w:rsid w:val="00830E0A"/>
    <w:rsid w:val="00831BEE"/>
    <w:rsid w:val="00832360"/>
    <w:rsid w:val="00832B12"/>
    <w:rsid w:val="00833607"/>
    <w:rsid w:val="00833B05"/>
    <w:rsid w:val="00834059"/>
    <w:rsid w:val="008348C0"/>
    <w:rsid w:val="00835C40"/>
    <w:rsid w:val="00835F46"/>
    <w:rsid w:val="008362B4"/>
    <w:rsid w:val="00836929"/>
    <w:rsid w:val="0083746D"/>
    <w:rsid w:val="00837C0C"/>
    <w:rsid w:val="00837FED"/>
    <w:rsid w:val="008409A8"/>
    <w:rsid w:val="00840CA2"/>
    <w:rsid w:val="00840F25"/>
    <w:rsid w:val="00841F58"/>
    <w:rsid w:val="00842934"/>
    <w:rsid w:val="00842E84"/>
    <w:rsid w:val="008432BD"/>
    <w:rsid w:val="008436F1"/>
    <w:rsid w:val="0084374F"/>
    <w:rsid w:val="00844A22"/>
    <w:rsid w:val="008454EB"/>
    <w:rsid w:val="00845F73"/>
    <w:rsid w:val="00846F1D"/>
    <w:rsid w:val="00847703"/>
    <w:rsid w:val="00847705"/>
    <w:rsid w:val="00847DF5"/>
    <w:rsid w:val="00850308"/>
    <w:rsid w:val="008508BE"/>
    <w:rsid w:val="00851035"/>
    <w:rsid w:val="00851319"/>
    <w:rsid w:val="0085199C"/>
    <w:rsid w:val="00852FFC"/>
    <w:rsid w:val="00853065"/>
    <w:rsid w:val="0085309D"/>
    <w:rsid w:val="00854246"/>
    <w:rsid w:val="00854947"/>
    <w:rsid w:val="008553A9"/>
    <w:rsid w:val="008553CE"/>
    <w:rsid w:val="00855A37"/>
    <w:rsid w:val="00856716"/>
    <w:rsid w:val="00856897"/>
    <w:rsid w:val="00856E9A"/>
    <w:rsid w:val="0085732D"/>
    <w:rsid w:val="00857FC9"/>
    <w:rsid w:val="0086008E"/>
    <w:rsid w:val="0086059E"/>
    <w:rsid w:val="0086075D"/>
    <w:rsid w:val="008615D2"/>
    <w:rsid w:val="00862502"/>
    <w:rsid w:val="00862927"/>
    <w:rsid w:val="00862CC1"/>
    <w:rsid w:val="00863FFD"/>
    <w:rsid w:val="008660D4"/>
    <w:rsid w:val="00866197"/>
    <w:rsid w:val="0086718B"/>
    <w:rsid w:val="00870A9A"/>
    <w:rsid w:val="00870CB1"/>
    <w:rsid w:val="00871462"/>
    <w:rsid w:val="00871FA9"/>
    <w:rsid w:val="0087287B"/>
    <w:rsid w:val="008728E9"/>
    <w:rsid w:val="008729AC"/>
    <w:rsid w:val="0087556E"/>
    <w:rsid w:val="0087569D"/>
    <w:rsid w:val="00875FF3"/>
    <w:rsid w:val="00880C24"/>
    <w:rsid w:val="00880F21"/>
    <w:rsid w:val="00881AAF"/>
    <w:rsid w:val="00881C5A"/>
    <w:rsid w:val="00881FC9"/>
    <w:rsid w:val="00882060"/>
    <w:rsid w:val="00882240"/>
    <w:rsid w:val="0088247E"/>
    <w:rsid w:val="0088279D"/>
    <w:rsid w:val="00882874"/>
    <w:rsid w:val="00882B4A"/>
    <w:rsid w:val="00882E3C"/>
    <w:rsid w:val="00883378"/>
    <w:rsid w:val="00883787"/>
    <w:rsid w:val="008839B3"/>
    <w:rsid w:val="00883CE0"/>
    <w:rsid w:val="00884873"/>
    <w:rsid w:val="00884BD7"/>
    <w:rsid w:val="00885016"/>
    <w:rsid w:val="0088512C"/>
    <w:rsid w:val="008852E4"/>
    <w:rsid w:val="008855E4"/>
    <w:rsid w:val="00886CD2"/>
    <w:rsid w:val="00887A2E"/>
    <w:rsid w:val="00887A41"/>
    <w:rsid w:val="0089024A"/>
    <w:rsid w:val="00890335"/>
    <w:rsid w:val="00890728"/>
    <w:rsid w:val="00890FAF"/>
    <w:rsid w:val="00891C65"/>
    <w:rsid w:val="00891E6F"/>
    <w:rsid w:val="008924BA"/>
    <w:rsid w:val="0089275D"/>
    <w:rsid w:val="00892A36"/>
    <w:rsid w:val="00893239"/>
    <w:rsid w:val="00894489"/>
    <w:rsid w:val="00894755"/>
    <w:rsid w:val="00895367"/>
    <w:rsid w:val="00895E3A"/>
    <w:rsid w:val="008963A5"/>
    <w:rsid w:val="008965CD"/>
    <w:rsid w:val="00896D07"/>
    <w:rsid w:val="00896D5D"/>
    <w:rsid w:val="008A17D2"/>
    <w:rsid w:val="008A222D"/>
    <w:rsid w:val="008A325F"/>
    <w:rsid w:val="008A3363"/>
    <w:rsid w:val="008A3371"/>
    <w:rsid w:val="008A3AF5"/>
    <w:rsid w:val="008A3C3E"/>
    <w:rsid w:val="008A79DE"/>
    <w:rsid w:val="008B0B3E"/>
    <w:rsid w:val="008B0CF1"/>
    <w:rsid w:val="008B16E2"/>
    <w:rsid w:val="008B1757"/>
    <w:rsid w:val="008B2423"/>
    <w:rsid w:val="008B2A1D"/>
    <w:rsid w:val="008B2E39"/>
    <w:rsid w:val="008B51D6"/>
    <w:rsid w:val="008B7992"/>
    <w:rsid w:val="008B7D7E"/>
    <w:rsid w:val="008C1D1E"/>
    <w:rsid w:val="008C2270"/>
    <w:rsid w:val="008C286E"/>
    <w:rsid w:val="008C3007"/>
    <w:rsid w:val="008C39CC"/>
    <w:rsid w:val="008C3EE4"/>
    <w:rsid w:val="008C422D"/>
    <w:rsid w:val="008C4388"/>
    <w:rsid w:val="008C4D68"/>
    <w:rsid w:val="008C5610"/>
    <w:rsid w:val="008C5739"/>
    <w:rsid w:val="008C6645"/>
    <w:rsid w:val="008C6895"/>
    <w:rsid w:val="008C6C79"/>
    <w:rsid w:val="008C7EB5"/>
    <w:rsid w:val="008C7ECB"/>
    <w:rsid w:val="008D060F"/>
    <w:rsid w:val="008D0EC2"/>
    <w:rsid w:val="008D2330"/>
    <w:rsid w:val="008D254A"/>
    <w:rsid w:val="008D2563"/>
    <w:rsid w:val="008D28A3"/>
    <w:rsid w:val="008D290A"/>
    <w:rsid w:val="008D2C8F"/>
    <w:rsid w:val="008D2CEB"/>
    <w:rsid w:val="008D2EEE"/>
    <w:rsid w:val="008D35FA"/>
    <w:rsid w:val="008D3913"/>
    <w:rsid w:val="008D3B86"/>
    <w:rsid w:val="008D4755"/>
    <w:rsid w:val="008D4A7B"/>
    <w:rsid w:val="008D4C3D"/>
    <w:rsid w:val="008D4E4D"/>
    <w:rsid w:val="008D6433"/>
    <w:rsid w:val="008D7081"/>
    <w:rsid w:val="008D743C"/>
    <w:rsid w:val="008D78C2"/>
    <w:rsid w:val="008E0D3C"/>
    <w:rsid w:val="008E19DD"/>
    <w:rsid w:val="008E1B9E"/>
    <w:rsid w:val="008E1F1F"/>
    <w:rsid w:val="008E27DD"/>
    <w:rsid w:val="008E2C67"/>
    <w:rsid w:val="008E4F1C"/>
    <w:rsid w:val="008E55AB"/>
    <w:rsid w:val="008E6AC4"/>
    <w:rsid w:val="008E78F7"/>
    <w:rsid w:val="008F120A"/>
    <w:rsid w:val="008F12FD"/>
    <w:rsid w:val="008F1E57"/>
    <w:rsid w:val="008F1FF5"/>
    <w:rsid w:val="008F20C8"/>
    <w:rsid w:val="008F27E0"/>
    <w:rsid w:val="008F2F90"/>
    <w:rsid w:val="008F48EB"/>
    <w:rsid w:val="008F4942"/>
    <w:rsid w:val="008F4F0B"/>
    <w:rsid w:val="008F522D"/>
    <w:rsid w:val="008F5DE0"/>
    <w:rsid w:val="008F5F16"/>
    <w:rsid w:val="008F7B73"/>
    <w:rsid w:val="009007DF"/>
    <w:rsid w:val="00900D2B"/>
    <w:rsid w:val="0090110D"/>
    <w:rsid w:val="009019FA"/>
    <w:rsid w:val="009041EC"/>
    <w:rsid w:val="009046C4"/>
    <w:rsid w:val="00905851"/>
    <w:rsid w:val="00905E0B"/>
    <w:rsid w:val="009062A5"/>
    <w:rsid w:val="0091000A"/>
    <w:rsid w:val="00910FA7"/>
    <w:rsid w:val="00911085"/>
    <w:rsid w:val="00911272"/>
    <w:rsid w:val="00911883"/>
    <w:rsid w:val="009119B9"/>
    <w:rsid w:val="00911B4B"/>
    <w:rsid w:val="009125F1"/>
    <w:rsid w:val="00912CA7"/>
    <w:rsid w:val="009135D6"/>
    <w:rsid w:val="00913845"/>
    <w:rsid w:val="00914C77"/>
    <w:rsid w:val="009162AF"/>
    <w:rsid w:val="00917497"/>
    <w:rsid w:val="0091799A"/>
    <w:rsid w:val="00921ACB"/>
    <w:rsid w:val="009232E6"/>
    <w:rsid w:val="0092369B"/>
    <w:rsid w:val="0092460B"/>
    <w:rsid w:val="00924FA2"/>
    <w:rsid w:val="00925756"/>
    <w:rsid w:val="009258B9"/>
    <w:rsid w:val="00925910"/>
    <w:rsid w:val="009260DE"/>
    <w:rsid w:val="0092637C"/>
    <w:rsid w:val="0092656E"/>
    <w:rsid w:val="0092786F"/>
    <w:rsid w:val="00927B45"/>
    <w:rsid w:val="00930DE5"/>
    <w:rsid w:val="00930F0F"/>
    <w:rsid w:val="00931309"/>
    <w:rsid w:val="00931820"/>
    <w:rsid w:val="00932613"/>
    <w:rsid w:val="00932958"/>
    <w:rsid w:val="00933C2E"/>
    <w:rsid w:val="009348B5"/>
    <w:rsid w:val="00934988"/>
    <w:rsid w:val="009352E4"/>
    <w:rsid w:val="00937089"/>
    <w:rsid w:val="00937588"/>
    <w:rsid w:val="00940087"/>
    <w:rsid w:val="0094054E"/>
    <w:rsid w:val="00940BC4"/>
    <w:rsid w:val="0094154B"/>
    <w:rsid w:val="00941B7D"/>
    <w:rsid w:val="00941E5F"/>
    <w:rsid w:val="009421DE"/>
    <w:rsid w:val="009440A7"/>
    <w:rsid w:val="00944F8A"/>
    <w:rsid w:val="0094650C"/>
    <w:rsid w:val="00950D33"/>
    <w:rsid w:val="009510A2"/>
    <w:rsid w:val="00953257"/>
    <w:rsid w:val="00953C8B"/>
    <w:rsid w:val="0095474C"/>
    <w:rsid w:val="009556D1"/>
    <w:rsid w:val="00955D0C"/>
    <w:rsid w:val="00955DA2"/>
    <w:rsid w:val="009572B4"/>
    <w:rsid w:val="009575CF"/>
    <w:rsid w:val="009579BF"/>
    <w:rsid w:val="0096078D"/>
    <w:rsid w:val="00960C03"/>
    <w:rsid w:val="009619CA"/>
    <w:rsid w:val="00961D04"/>
    <w:rsid w:val="009625D3"/>
    <w:rsid w:val="00962CB9"/>
    <w:rsid w:val="0096329D"/>
    <w:rsid w:val="00963528"/>
    <w:rsid w:val="00963B12"/>
    <w:rsid w:val="00963F29"/>
    <w:rsid w:val="009641BE"/>
    <w:rsid w:val="00964312"/>
    <w:rsid w:val="00965B8A"/>
    <w:rsid w:val="00966566"/>
    <w:rsid w:val="0096669E"/>
    <w:rsid w:val="00967170"/>
    <w:rsid w:val="0097071F"/>
    <w:rsid w:val="00970CD4"/>
    <w:rsid w:val="009717AC"/>
    <w:rsid w:val="00971CE8"/>
    <w:rsid w:val="00972FE0"/>
    <w:rsid w:val="00973835"/>
    <w:rsid w:val="009739C3"/>
    <w:rsid w:val="009751C1"/>
    <w:rsid w:val="00977898"/>
    <w:rsid w:val="009802A8"/>
    <w:rsid w:val="009805B7"/>
    <w:rsid w:val="009811F1"/>
    <w:rsid w:val="009819E5"/>
    <w:rsid w:val="0098228E"/>
    <w:rsid w:val="0098234C"/>
    <w:rsid w:val="00982E44"/>
    <w:rsid w:val="009833AE"/>
    <w:rsid w:val="00983E57"/>
    <w:rsid w:val="009841F4"/>
    <w:rsid w:val="009842BF"/>
    <w:rsid w:val="009847DE"/>
    <w:rsid w:val="00985DE2"/>
    <w:rsid w:val="0098675D"/>
    <w:rsid w:val="009907B0"/>
    <w:rsid w:val="009907B9"/>
    <w:rsid w:val="00990A85"/>
    <w:rsid w:val="0099147F"/>
    <w:rsid w:val="0099203B"/>
    <w:rsid w:val="009926E0"/>
    <w:rsid w:val="009932E8"/>
    <w:rsid w:val="00993F78"/>
    <w:rsid w:val="0099451E"/>
    <w:rsid w:val="009946B4"/>
    <w:rsid w:val="009947A8"/>
    <w:rsid w:val="00994A17"/>
    <w:rsid w:val="00994F24"/>
    <w:rsid w:val="0099610E"/>
    <w:rsid w:val="00996B1A"/>
    <w:rsid w:val="0099722E"/>
    <w:rsid w:val="00997404"/>
    <w:rsid w:val="00997617"/>
    <w:rsid w:val="009A0545"/>
    <w:rsid w:val="009A0CA9"/>
    <w:rsid w:val="009A21D2"/>
    <w:rsid w:val="009A2257"/>
    <w:rsid w:val="009A266F"/>
    <w:rsid w:val="009A2DCC"/>
    <w:rsid w:val="009A38B8"/>
    <w:rsid w:val="009A53A3"/>
    <w:rsid w:val="009A5ABC"/>
    <w:rsid w:val="009A69F6"/>
    <w:rsid w:val="009A7F10"/>
    <w:rsid w:val="009A7FF7"/>
    <w:rsid w:val="009B188F"/>
    <w:rsid w:val="009B3272"/>
    <w:rsid w:val="009B3377"/>
    <w:rsid w:val="009B3E26"/>
    <w:rsid w:val="009B40D2"/>
    <w:rsid w:val="009B6949"/>
    <w:rsid w:val="009B7244"/>
    <w:rsid w:val="009B77A8"/>
    <w:rsid w:val="009C10CA"/>
    <w:rsid w:val="009C2757"/>
    <w:rsid w:val="009C2996"/>
    <w:rsid w:val="009C29A6"/>
    <w:rsid w:val="009C3706"/>
    <w:rsid w:val="009C378F"/>
    <w:rsid w:val="009C3A3A"/>
    <w:rsid w:val="009C4D61"/>
    <w:rsid w:val="009C5690"/>
    <w:rsid w:val="009C5EEF"/>
    <w:rsid w:val="009C6CEA"/>
    <w:rsid w:val="009C79AB"/>
    <w:rsid w:val="009C7B2F"/>
    <w:rsid w:val="009C7B85"/>
    <w:rsid w:val="009C7E43"/>
    <w:rsid w:val="009D0254"/>
    <w:rsid w:val="009D0558"/>
    <w:rsid w:val="009D1A64"/>
    <w:rsid w:val="009D1FE3"/>
    <w:rsid w:val="009D2A99"/>
    <w:rsid w:val="009D2D26"/>
    <w:rsid w:val="009D390B"/>
    <w:rsid w:val="009D5B47"/>
    <w:rsid w:val="009D5B91"/>
    <w:rsid w:val="009D63F1"/>
    <w:rsid w:val="009D7639"/>
    <w:rsid w:val="009D792E"/>
    <w:rsid w:val="009E0DFE"/>
    <w:rsid w:val="009E1AB4"/>
    <w:rsid w:val="009E31F6"/>
    <w:rsid w:val="009E4061"/>
    <w:rsid w:val="009E485B"/>
    <w:rsid w:val="009E4C07"/>
    <w:rsid w:val="009E534A"/>
    <w:rsid w:val="009E5787"/>
    <w:rsid w:val="009E7242"/>
    <w:rsid w:val="009F04EC"/>
    <w:rsid w:val="009F0B69"/>
    <w:rsid w:val="009F0BBD"/>
    <w:rsid w:val="009F1134"/>
    <w:rsid w:val="009F1E9A"/>
    <w:rsid w:val="009F221D"/>
    <w:rsid w:val="009F2DAA"/>
    <w:rsid w:val="009F32D5"/>
    <w:rsid w:val="009F3531"/>
    <w:rsid w:val="009F37CA"/>
    <w:rsid w:val="009F4247"/>
    <w:rsid w:val="009F491E"/>
    <w:rsid w:val="009F5BDB"/>
    <w:rsid w:val="009F6255"/>
    <w:rsid w:val="009F6682"/>
    <w:rsid w:val="009F6778"/>
    <w:rsid w:val="009F7DA3"/>
    <w:rsid w:val="00A01184"/>
    <w:rsid w:val="00A01777"/>
    <w:rsid w:val="00A026B4"/>
    <w:rsid w:val="00A037C2"/>
    <w:rsid w:val="00A03D43"/>
    <w:rsid w:val="00A03FF5"/>
    <w:rsid w:val="00A041BA"/>
    <w:rsid w:val="00A04380"/>
    <w:rsid w:val="00A044DF"/>
    <w:rsid w:val="00A05472"/>
    <w:rsid w:val="00A05803"/>
    <w:rsid w:val="00A05B50"/>
    <w:rsid w:val="00A05C32"/>
    <w:rsid w:val="00A06530"/>
    <w:rsid w:val="00A0653F"/>
    <w:rsid w:val="00A10EDF"/>
    <w:rsid w:val="00A11CD0"/>
    <w:rsid w:val="00A13948"/>
    <w:rsid w:val="00A14108"/>
    <w:rsid w:val="00A14D9D"/>
    <w:rsid w:val="00A1555B"/>
    <w:rsid w:val="00A15582"/>
    <w:rsid w:val="00A155C5"/>
    <w:rsid w:val="00A15DBA"/>
    <w:rsid w:val="00A16AD8"/>
    <w:rsid w:val="00A1760F"/>
    <w:rsid w:val="00A17C89"/>
    <w:rsid w:val="00A200AB"/>
    <w:rsid w:val="00A20A96"/>
    <w:rsid w:val="00A21C95"/>
    <w:rsid w:val="00A21CF3"/>
    <w:rsid w:val="00A222D4"/>
    <w:rsid w:val="00A22E75"/>
    <w:rsid w:val="00A22F6C"/>
    <w:rsid w:val="00A23E73"/>
    <w:rsid w:val="00A24813"/>
    <w:rsid w:val="00A24A6B"/>
    <w:rsid w:val="00A2522E"/>
    <w:rsid w:val="00A27AEC"/>
    <w:rsid w:val="00A302A9"/>
    <w:rsid w:val="00A31F5F"/>
    <w:rsid w:val="00A320DB"/>
    <w:rsid w:val="00A32694"/>
    <w:rsid w:val="00A3342C"/>
    <w:rsid w:val="00A34669"/>
    <w:rsid w:val="00A3535E"/>
    <w:rsid w:val="00A353EA"/>
    <w:rsid w:val="00A35D16"/>
    <w:rsid w:val="00A35FD6"/>
    <w:rsid w:val="00A3690D"/>
    <w:rsid w:val="00A370B3"/>
    <w:rsid w:val="00A3763E"/>
    <w:rsid w:val="00A376F6"/>
    <w:rsid w:val="00A37BCD"/>
    <w:rsid w:val="00A37FF3"/>
    <w:rsid w:val="00A40CF0"/>
    <w:rsid w:val="00A41280"/>
    <w:rsid w:val="00A41689"/>
    <w:rsid w:val="00A41AF8"/>
    <w:rsid w:val="00A41D9B"/>
    <w:rsid w:val="00A41EC9"/>
    <w:rsid w:val="00A41F13"/>
    <w:rsid w:val="00A42592"/>
    <w:rsid w:val="00A428B4"/>
    <w:rsid w:val="00A42A06"/>
    <w:rsid w:val="00A42A6C"/>
    <w:rsid w:val="00A42F8F"/>
    <w:rsid w:val="00A43267"/>
    <w:rsid w:val="00A43C59"/>
    <w:rsid w:val="00A43F73"/>
    <w:rsid w:val="00A43F8A"/>
    <w:rsid w:val="00A4454D"/>
    <w:rsid w:val="00A45261"/>
    <w:rsid w:val="00A4626B"/>
    <w:rsid w:val="00A4745F"/>
    <w:rsid w:val="00A474F6"/>
    <w:rsid w:val="00A47671"/>
    <w:rsid w:val="00A47CBB"/>
    <w:rsid w:val="00A47D17"/>
    <w:rsid w:val="00A47EFF"/>
    <w:rsid w:val="00A50ECD"/>
    <w:rsid w:val="00A518F3"/>
    <w:rsid w:val="00A523F0"/>
    <w:rsid w:val="00A52729"/>
    <w:rsid w:val="00A53350"/>
    <w:rsid w:val="00A53675"/>
    <w:rsid w:val="00A54808"/>
    <w:rsid w:val="00A54E9C"/>
    <w:rsid w:val="00A555B8"/>
    <w:rsid w:val="00A563DF"/>
    <w:rsid w:val="00A564D7"/>
    <w:rsid w:val="00A56B6A"/>
    <w:rsid w:val="00A578DC"/>
    <w:rsid w:val="00A57F2D"/>
    <w:rsid w:val="00A6025C"/>
    <w:rsid w:val="00A61118"/>
    <w:rsid w:val="00A611CE"/>
    <w:rsid w:val="00A61D35"/>
    <w:rsid w:val="00A62623"/>
    <w:rsid w:val="00A6352E"/>
    <w:rsid w:val="00A640E2"/>
    <w:rsid w:val="00A641BB"/>
    <w:rsid w:val="00A64D65"/>
    <w:rsid w:val="00A64E32"/>
    <w:rsid w:val="00A658CC"/>
    <w:rsid w:val="00A6657E"/>
    <w:rsid w:val="00A66C56"/>
    <w:rsid w:val="00A671A1"/>
    <w:rsid w:val="00A6725B"/>
    <w:rsid w:val="00A70166"/>
    <w:rsid w:val="00A70605"/>
    <w:rsid w:val="00A717EB"/>
    <w:rsid w:val="00A71CE5"/>
    <w:rsid w:val="00A7214C"/>
    <w:rsid w:val="00A7272A"/>
    <w:rsid w:val="00A7275D"/>
    <w:rsid w:val="00A72CDF"/>
    <w:rsid w:val="00A72E13"/>
    <w:rsid w:val="00A73134"/>
    <w:rsid w:val="00A73204"/>
    <w:rsid w:val="00A743CE"/>
    <w:rsid w:val="00A74B53"/>
    <w:rsid w:val="00A74E8D"/>
    <w:rsid w:val="00A758C1"/>
    <w:rsid w:val="00A759EF"/>
    <w:rsid w:val="00A76001"/>
    <w:rsid w:val="00A76411"/>
    <w:rsid w:val="00A76D49"/>
    <w:rsid w:val="00A775E5"/>
    <w:rsid w:val="00A777B2"/>
    <w:rsid w:val="00A8043F"/>
    <w:rsid w:val="00A80613"/>
    <w:rsid w:val="00A8067C"/>
    <w:rsid w:val="00A81549"/>
    <w:rsid w:val="00A81B79"/>
    <w:rsid w:val="00A821DC"/>
    <w:rsid w:val="00A825D4"/>
    <w:rsid w:val="00A828F6"/>
    <w:rsid w:val="00A82A49"/>
    <w:rsid w:val="00A82B73"/>
    <w:rsid w:val="00A83918"/>
    <w:rsid w:val="00A86E8B"/>
    <w:rsid w:val="00A87164"/>
    <w:rsid w:val="00A872C4"/>
    <w:rsid w:val="00A8760F"/>
    <w:rsid w:val="00A90569"/>
    <w:rsid w:val="00A91092"/>
    <w:rsid w:val="00A92A3A"/>
    <w:rsid w:val="00A93072"/>
    <w:rsid w:val="00A9353D"/>
    <w:rsid w:val="00A938BD"/>
    <w:rsid w:val="00A93953"/>
    <w:rsid w:val="00A955E3"/>
    <w:rsid w:val="00A959D8"/>
    <w:rsid w:val="00A96353"/>
    <w:rsid w:val="00AA06F2"/>
    <w:rsid w:val="00AA113D"/>
    <w:rsid w:val="00AA1754"/>
    <w:rsid w:val="00AA18E2"/>
    <w:rsid w:val="00AA1DCD"/>
    <w:rsid w:val="00AA20D0"/>
    <w:rsid w:val="00AA3971"/>
    <w:rsid w:val="00AA3A6A"/>
    <w:rsid w:val="00AA49A6"/>
    <w:rsid w:val="00AA4A4A"/>
    <w:rsid w:val="00AA6BD5"/>
    <w:rsid w:val="00AA6BD8"/>
    <w:rsid w:val="00AA6C7D"/>
    <w:rsid w:val="00AA6DE1"/>
    <w:rsid w:val="00AA73D9"/>
    <w:rsid w:val="00AA7FD6"/>
    <w:rsid w:val="00AB042A"/>
    <w:rsid w:val="00AB0A1C"/>
    <w:rsid w:val="00AB10D9"/>
    <w:rsid w:val="00AB19EF"/>
    <w:rsid w:val="00AB1C23"/>
    <w:rsid w:val="00AB256D"/>
    <w:rsid w:val="00AB258A"/>
    <w:rsid w:val="00AB2D34"/>
    <w:rsid w:val="00AB3430"/>
    <w:rsid w:val="00AB37B9"/>
    <w:rsid w:val="00AB3C30"/>
    <w:rsid w:val="00AB42C8"/>
    <w:rsid w:val="00AB4AD1"/>
    <w:rsid w:val="00AB5E07"/>
    <w:rsid w:val="00AB61FC"/>
    <w:rsid w:val="00AB62E1"/>
    <w:rsid w:val="00AB6E75"/>
    <w:rsid w:val="00AB7074"/>
    <w:rsid w:val="00AB7CFA"/>
    <w:rsid w:val="00AB7F0E"/>
    <w:rsid w:val="00AC0660"/>
    <w:rsid w:val="00AC247E"/>
    <w:rsid w:val="00AC2699"/>
    <w:rsid w:val="00AC358E"/>
    <w:rsid w:val="00AC57CD"/>
    <w:rsid w:val="00AC5913"/>
    <w:rsid w:val="00AC5B48"/>
    <w:rsid w:val="00AC5B49"/>
    <w:rsid w:val="00AC7601"/>
    <w:rsid w:val="00AC7F96"/>
    <w:rsid w:val="00AD03D3"/>
    <w:rsid w:val="00AD05E6"/>
    <w:rsid w:val="00AD08F3"/>
    <w:rsid w:val="00AD1450"/>
    <w:rsid w:val="00AD1A10"/>
    <w:rsid w:val="00AD2126"/>
    <w:rsid w:val="00AD223F"/>
    <w:rsid w:val="00AD3B90"/>
    <w:rsid w:val="00AD3C7D"/>
    <w:rsid w:val="00AD45D2"/>
    <w:rsid w:val="00AD5D67"/>
    <w:rsid w:val="00AD6502"/>
    <w:rsid w:val="00AD6CE6"/>
    <w:rsid w:val="00AE0695"/>
    <w:rsid w:val="00AE0BC6"/>
    <w:rsid w:val="00AE0FA5"/>
    <w:rsid w:val="00AE1243"/>
    <w:rsid w:val="00AE1B99"/>
    <w:rsid w:val="00AE395B"/>
    <w:rsid w:val="00AE3E7E"/>
    <w:rsid w:val="00AE440E"/>
    <w:rsid w:val="00AE450B"/>
    <w:rsid w:val="00AE4C57"/>
    <w:rsid w:val="00AE4F39"/>
    <w:rsid w:val="00AF02AE"/>
    <w:rsid w:val="00AF1315"/>
    <w:rsid w:val="00AF1734"/>
    <w:rsid w:val="00AF19BF"/>
    <w:rsid w:val="00AF203D"/>
    <w:rsid w:val="00AF2577"/>
    <w:rsid w:val="00AF2CA4"/>
    <w:rsid w:val="00AF2DC3"/>
    <w:rsid w:val="00AF3318"/>
    <w:rsid w:val="00AF374A"/>
    <w:rsid w:val="00AF4362"/>
    <w:rsid w:val="00AF4837"/>
    <w:rsid w:val="00AF4D08"/>
    <w:rsid w:val="00AF4D09"/>
    <w:rsid w:val="00AF53FC"/>
    <w:rsid w:val="00AF593F"/>
    <w:rsid w:val="00AF70C4"/>
    <w:rsid w:val="00B002C8"/>
    <w:rsid w:val="00B002CF"/>
    <w:rsid w:val="00B0054A"/>
    <w:rsid w:val="00B0166A"/>
    <w:rsid w:val="00B01AD5"/>
    <w:rsid w:val="00B01B98"/>
    <w:rsid w:val="00B02806"/>
    <w:rsid w:val="00B028F9"/>
    <w:rsid w:val="00B02D95"/>
    <w:rsid w:val="00B033E5"/>
    <w:rsid w:val="00B03A63"/>
    <w:rsid w:val="00B03C1A"/>
    <w:rsid w:val="00B0493F"/>
    <w:rsid w:val="00B0652C"/>
    <w:rsid w:val="00B07561"/>
    <w:rsid w:val="00B079AE"/>
    <w:rsid w:val="00B07E5D"/>
    <w:rsid w:val="00B105D5"/>
    <w:rsid w:val="00B10F52"/>
    <w:rsid w:val="00B12A15"/>
    <w:rsid w:val="00B14411"/>
    <w:rsid w:val="00B14938"/>
    <w:rsid w:val="00B156AE"/>
    <w:rsid w:val="00B15D57"/>
    <w:rsid w:val="00B16AFF"/>
    <w:rsid w:val="00B16B40"/>
    <w:rsid w:val="00B16DDE"/>
    <w:rsid w:val="00B17050"/>
    <w:rsid w:val="00B17983"/>
    <w:rsid w:val="00B201A4"/>
    <w:rsid w:val="00B201D1"/>
    <w:rsid w:val="00B2030D"/>
    <w:rsid w:val="00B20A5E"/>
    <w:rsid w:val="00B213A6"/>
    <w:rsid w:val="00B22446"/>
    <w:rsid w:val="00B22D59"/>
    <w:rsid w:val="00B235B0"/>
    <w:rsid w:val="00B23766"/>
    <w:rsid w:val="00B2409E"/>
    <w:rsid w:val="00B24DF6"/>
    <w:rsid w:val="00B25284"/>
    <w:rsid w:val="00B25426"/>
    <w:rsid w:val="00B27332"/>
    <w:rsid w:val="00B2795C"/>
    <w:rsid w:val="00B30813"/>
    <w:rsid w:val="00B31E52"/>
    <w:rsid w:val="00B330B6"/>
    <w:rsid w:val="00B34C66"/>
    <w:rsid w:val="00B34D97"/>
    <w:rsid w:val="00B34FE2"/>
    <w:rsid w:val="00B35166"/>
    <w:rsid w:val="00B357D8"/>
    <w:rsid w:val="00B358FA"/>
    <w:rsid w:val="00B35A96"/>
    <w:rsid w:val="00B360F4"/>
    <w:rsid w:val="00B36A00"/>
    <w:rsid w:val="00B36CEB"/>
    <w:rsid w:val="00B372CF"/>
    <w:rsid w:val="00B3751C"/>
    <w:rsid w:val="00B37BFC"/>
    <w:rsid w:val="00B37D9D"/>
    <w:rsid w:val="00B40358"/>
    <w:rsid w:val="00B40A78"/>
    <w:rsid w:val="00B40E43"/>
    <w:rsid w:val="00B41614"/>
    <w:rsid w:val="00B4161D"/>
    <w:rsid w:val="00B416D5"/>
    <w:rsid w:val="00B418D3"/>
    <w:rsid w:val="00B41A01"/>
    <w:rsid w:val="00B427D5"/>
    <w:rsid w:val="00B42851"/>
    <w:rsid w:val="00B42F80"/>
    <w:rsid w:val="00B4339F"/>
    <w:rsid w:val="00B435CB"/>
    <w:rsid w:val="00B45282"/>
    <w:rsid w:val="00B47305"/>
    <w:rsid w:val="00B4745A"/>
    <w:rsid w:val="00B47A09"/>
    <w:rsid w:val="00B5023D"/>
    <w:rsid w:val="00B505C8"/>
    <w:rsid w:val="00B50DB8"/>
    <w:rsid w:val="00B52533"/>
    <w:rsid w:val="00B530DC"/>
    <w:rsid w:val="00B53654"/>
    <w:rsid w:val="00B53905"/>
    <w:rsid w:val="00B5396C"/>
    <w:rsid w:val="00B53E52"/>
    <w:rsid w:val="00B53FEA"/>
    <w:rsid w:val="00B546A6"/>
    <w:rsid w:val="00B54B5B"/>
    <w:rsid w:val="00B5562E"/>
    <w:rsid w:val="00B5575A"/>
    <w:rsid w:val="00B55D65"/>
    <w:rsid w:val="00B56085"/>
    <w:rsid w:val="00B57000"/>
    <w:rsid w:val="00B57358"/>
    <w:rsid w:val="00B604BD"/>
    <w:rsid w:val="00B60939"/>
    <w:rsid w:val="00B60AFD"/>
    <w:rsid w:val="00B60CA2"/>
    <w:rsid w:val="00B610EE"/>
    <w:rsid w:val="00B61C46"/>
    <w:rsid w:val="00B61F8F"/>
    <w:rsid w:val="00B62715"/>
    <w:rsid w:val="00B63290"/>
    <w:rsid w:val="00B6355A"/>
    <w:rsid w:val="00B64290"/>
    <w:rsid w:val="00B65461"/>
    <w:rsid w:val="00B65611"/>
    <w:rsid w:val="00B65981"/>
    <w:rsid w:val="00B65D27"/>
    <w:rsid w:val="00B66A1E"/>
    <w:rsid w:val="00B67146"/>
    <w:rsid w:val="00B67D3E"/>
    <w:rsid w:val="00B7014A"/>
    <w:rsid w:val="00B70E8E"/>
    <w:rsid w:val="00B741EC"/>
    <w:rsid w:val="00B74DEC"/>
    <w:rsid w:val="00B7543A"/>
    <w:rsid w:val="00B7598E"/>
    <w:rsid w:val="00B761F8"/>
    <w:rsid w:val="00B76C92"/>
    <w:rsid w:val="00B7736E"/>
    <w:rsid w:val="00B8015E"/>
    <w:rsid w:val="00B818A4"/>
    <w:rsid w:val="00B818E5"/>
    <w:rsid w:val="00B81B33"/>
    <w:rsid w:val="00B825D3"/>
    <w:rsid w:val="00B82A05"/>
    <w:rsid w:val="00B832D9"/>
    <w:rsid w:val="00B83EFC"/>
    <w:rsid w:val="00B84117"/>
    <w:rsid w:val="00B857E6"/>
    <w:rsid w:val="00B858F0"/>
    <w:rsid w:val="00B85AA2"/>
    <w:rsid w:val="00B860BC"/>
    <w:rsid w:val="00B8649C"/>
    <w:rsid w:val="00B8695D"/>
    <w:rsid w:val="00B87564"/>
    <w:rsid w:val="00B87F0A"/>
    <w:rsid w:val="00B9086E"/>
    <w:rsid w:val="00B9131A"/>
    <w:rsid w:val="00B91D10"/>
    <w:rsid w:val="00B924B2"/>
    <w:rsid w:val="00B9267C"/>
    <w:rsid w:val="00B92D0B"/>
    <w:rsid w:val="00B92D36"/>
    <w:rsid w:val="00B93559"/>
    <w:rsid w:val="00B9467B"/>
    <w:rsid w:val="00B94945"/>
    <w:rsid w:val="00B94ADD"/>
    <w:rsid w:val="00B94DD6"/>
    <w:rsid w:val="00B958C5"/>
    <w:rsid w:val="00B95F4D"/>
    <w:rsid w:val="00B95F51"/>
    <w:rsid w:val="00B96541"/>
    <w:rsid w:val="00B96797"/>
    <w:rsid w:val="00B96FA0"/>
    <w:rsid w:val="00BA01A0"/>
    <w:rsid w:val="00BA14BD"/>
    <w:rsid w:val="00BA1FCF"/>
    <w:rsid w:val="00BA2720"/>
    <w:rsid w:val="00BA2BA7"/>
    <w:rsid w:val="00BA322D"/>
    <w:rsid w:val="00BA41F6"/>
    <w:rsid w:val="00BA4537"/>
    <w:rsid w:val="00BA4BE5"/>
    <w:rsid w:val="00BA4D22"/>
    <w:rsid w:val="00BA57E9"/>
    <w:rsid w:val="00BA5D73"/>
    <w:rsid w:val="00BA63FA"/>
    <w:rsid w:val="00BA6925"/>
    <w:rsid w:val="00BA698F"/>
    <w:rsid w:val="00BA6DF3"/>
    <w:rsid w:val="00BA6EE9"/>
    <w:rsid w:val="00BB00B3"/>
    <w:rsid w:val="00BB04B9"/>
    <w:rsid w:val="00BB0BDD"/>
    <w:rsid w:val="00BB11E8"/>
    <w:rsid w:val="00BB151F"/>
    <w:rsid w:val="00BB176C"/>
    <w:rsid w:val="00BB2A73"/>
    <w:rsid w:val="00BB2E11"/>
    <w:rsid w:val="00BB3612"/>
    <w:rsid w:val="00BB3A45"/>
    <w:rsid w:val="00BB411A"/>
    <w:rsid w:val="00BB4314"/>
    <w:rsid w:val="00BB43DD"/>
    <w:rsid w:val="00BB4515"/>
    <w:rsid w:val="00BB4ACC"/>
    <w:rsid w:val="00BB55BA"/>
    <w:rsid w:val="00BB5AFD"/>
    <w:rsid w:val="00BB5F31"/>
    <w:rsid w:val="00BB703E"/>
    <w:rsid w:val="00BB732D"/>
    <w:rsid w:val="00BB7405"/>
    <w:rsid w:val="00BB7FF8"/>
    <w:rsid w:val="00BC0F57"/>
    <w:rsid w:val="00BC25E2"/>
    <w:rsid w:val="00BC2614"/>
    <w:rsid w:val="00BC3299"/>
    <w:rsid w:val="00BC3631"/>
    <w:rsid w:val="00BC3873"/>
    <w:rsid w:val="00BC46A9"/>
    <w:rsid w:val="00BC46BB"/>
    <w:rsid w:val="00BC591F"/>
    <w:rsid w:val="00BC5943"/>
    <w:rsid w:val="00BC6A07"/>
    <w:rsid w:val="00BC6E25"/>
    <w:rsid w:val="00BC7D6D"/>
    <w:rsid w:val="00BD05B7"/>
    <w:rsid w:val="00BD0D85"/>
    <w:rsid w:val="00BD1422"/>
    <w:rsid w:val="00BD2108"/>
    <w:rsid w:val="00BD2CD4"/>
    <w:rsid w:val="00BD323F"/>
    <w:rsid w:val="00BD4B1E"/>
    <w:rsid w:val="00BD5292"/>
    <w:rsid w:val="00BD5DD6"/>
    <w:rsid w:val="00BD68A3"/>
    <w:rsid w:val="00BD6938"/>
    <w:rsid w:val="00BD6CF3"/>
    <w:rsid w:val="00BD7013"/>
    <w:rsid w:val="00BD7014"/>
    <w:rsid w:val="00BD7BD6"/>
    <w:rsid w:val="00BE0ECA"/>
    <w:rsid w:val="00BE1484"/>
    <w:rsid w:val="00BE1726"/>
    <w:rsid w:val="00BE2180"/>
    <w:rsid w:val="00BE21F2"/>
    <w:rsid w:val="00BE2716"/>
    <w:rsid w:val="00BE2A31"/>
    <w:rsid w:val="00BE3702"/>
    <w:rsid w:val="00BE393D"/>
    <w:rsid w:val="00BE4275"/>
    <w:rsid w:val="00BE6830"/>
    <w:rsid w:val="00BE76CE"/>
    <w:rsid w:val="00BE78C2"/>
    <w:rsid w:val="00BF06AE"/>
    <w:rsid w:val="00BF0F95"/>
    <w:rsid w:val="00BF12B3"/>
    <w:rsid w:val="00BF1C89"/>
    <w:rsid w:val="00BF2433"/>
    <w:rsid w:val="00BF2D31"/>
    <w:rsid w:val="00BF2DC3"/>
    <w:rsid w:val="00BF37FF"/>
    <w:rsid w:val="00BF61C9"/>
    <w:rsid w:val="00BF6758"/>
    <w:rsid w:val="00BF6C94"/>
    <w:rsid w:val="00BF7E9D"/>
    <w:rsid w:val="00C00424"/>
    <w:rsid w:val="00C00BE6"/>
    <w:rsid w:val="00C01514"/>
    <w:rsid w:val="00C01567"/>
    <w:rsid w:val="00C01D5D"/>
    <w:rsid w:val="00C024C8"/>
    <w:rsid w:val="00C0330F"/>
    <w:rsid w:val="00C033D8"/>
    <w:rsid w:val="00C035DC"/>
    <w:rsid w:val="00C04DE3"/>
    <w:rsid w:val="00C04DF6"/>
    <w:rsid w:val="00C07393"/>
    <w:rsid w:val="00C077B3"/>
    <w:rsid w:val="00C1038B"/>
    <w:rsid w:val="00C1179F"/>
    <w:rsid w:val="00C11801"/>
    <w:rsid w:val="00C1234A"/>
    <w:rsid w:val="00C12C14"/>
    <w:rsid w:val="00C1324F"/>
    <w:rsid w:val="00C13A50"/>
    <w:rsid w:val="00C141FE"/>
    <w:rsid w:val="00C14659"/>
    <w:rsid w:val="00C15F04"/>
    <w:rsid w:val="00C15F6C"/>
    <w:rsid w:val="00C16558"/>
    <w:rsid w:val="00C16B74"/>
    <w:rsid w:val="00C179B3"/>
    <w:rsid w:val="00C17E3F"/>
    <w:rsid w:val="00C200AA"/>
    <w:rsid w:val="00C20F44"/>
    <w:rsid w:val="00C210F6"/>
    <w:rsid w:val="00C213E0"/>
    <w:rsid w:val="00C2169B"/>
    <w:rsid w:val="00C22699"/>
    <w:rsid w:val="00C22B19"/>
    <w:rsid w:val="00C23710"/>
    <w:rsid w:val="00C237ED"/>
    <w:rsid w:val="00C24632"/>
    <w:rsid w:val="00C25418"/>
    <w:rsid w:val="00C25D9C"/>
    <w:rsid w:val="00C2645C"/>
    <w:rsid w:val="00C26F26"/>
    <w:rsid w:val="00C272B6"/>
    <w:rsid w:val="00C274DA"/>
    <w:rsid w:val="00C2778B"/>
    <w:rsid w:val="00C27AB7"/>
    <w:rsid w:val="00C27CC4"/>
    <w:rsid w:val="00C27FCF"/>
    <w:rsid w:val="00C3019C"/>
    <w:rsid w:val="00C31649"/>
    <w:rsid w:val="00C3300B"/>
    <w:rsid w:val="00C33261"/>
    <w:rsid w:val="00C335D8"/>
    <w:rsid w:val="00C33BF6"/>
    <w:rsid w:val="00C33E95"/>
    <w:rsid w:val="00C3434C"/>
    <w:rsid w:val="00C34F42"/>
    <w:rsid w:val="00C35993"/>
    <w:rsid w:val="00C36617"/>
    <w:rsid w:val="00C36D3F"/>
    <w:rsid w:val="00C36D7B"/>
    <w:rsid w:val="00C37155"/>
    <w:rsid w:val="00C373A3"/>
    <w:rsid w:val="00C3752D"/>
    <w:rsid w:val="00C40385"/>
    <w:rsid w:val="00C40E82"/>
    <w:rsid w:val="00C40EBC"/>
    <w:rsid w:val="00C41768"/>
    <w:rsid w:val="00C41F05"/>
    <w:rsid w:val="00C42C52"/>
    <w:rsid w:val="00C43631"/>
    <w:rsid w:val="00C452DE"/>
    <w:rsid w:val="00C45985"/>
    <w:rsid w:val="00C45B73"/>
    <w:rsid w:val="00C46C8E"/>
    <w:rsid w:val="00C475AA"/>
    <w:rsid w:val="00C5181E"/>
    <w:rsid w:val="00C53A1B"/>
    <w:rsid w:val="00C53C98"/>
    <w:rsid w:val="00C547E1"/>
    <w:rsid w:val="00C55E16"/>
    <w:rsid w:val="00C55EF7"/>
    <w:rsid w:val="00C568AC"/>
    <w:rsid w:val="00C56FCF"/>
    <w:rsid w:val="00C57803"/>
    <w:rsid w:val="00C57A6A"/>
    <w:rsid w:val="00C57B6C"/>
    <w:rsid w:val="00C6003C"/>
    <w:rsid w:val="00C60A90"/>
    <w:rsid w:val="00C60E6A"/>
    <w:rsid w:val="00C61D7C"/>
    <w:rsid w:val="00C628A6"/>
    <w:rsid w:val="00C63A66"/>
    <w:rsid w:val="00C6414D"/>
    <w:rsid w:val="00C64344"/>
    <w:rsid w:val="00C64B6B"/>
    <w:rsid w:val="00C65108"/>
    <w:rsid w:val="00C65576"/>
    <w:rsid w:val="00C65DE2"/>
    <w:rsid w:val="00C66165"/>
    <w:rsid w:val="00C7060A"/>
    <w:rsid w:val="00C70CDD"/>
    <w:rsid w:val="00C7151A"/>
    <w:rsid w:val="00C716B4"/>
    <w:rsid w:val="00C717E3"/>
    <w:rsid w:val="00C71F60"/>
    <w:rsid w:val="00C721B2"/>
    <w:rsid w:val="00C72241"/>
    <w:rsid w:val="00C74380"/>
    <w:rsid w:val="00C750C8"/>
    <w:rsid w:val="00C7560F"/>
    <w:rsid w:val="00C76AB2"/>
    <w:rsid w:val="00C80A0E"/>
    <w:rsid w:val="00C81C9E"/>
    <w:rsid w:val="00C8213F"/>
    <w:rsid w:val="00C82B73"/>
    <w:rsid w:val="00C844A9"/>
    <w:rsid w:val="00C85154"/>
    <w:rsid w:val="00C85211"/>
    <w:rsid w:val="00C85812"/>
    <w:rsid w:val="00C85838"/>
    <w:rsid w:val="00C85B95"/>
    <w:rsid w:val="00C8756D"/>
    <w:rsid w:val="00C87876"/>
    <w:rsid w:val="00C8797A"/>
    <w:rsid w:val="00C900B8"/>
    <w:rsid w:val="00C90C71"/>
    <w:rsid w:val="00C90E19"/>
    <w:rsid w:val="00C90ED2"/>
    <w:rsid w:val="00C91042"/>
    <w:rsid w:val="00C91F90"/>
    <w:rsid w:val="00C91FD1"/>
    <w:rsid w:val="00C931CF"/>
    <w:rsid w:val="00C93271"/>
    <w:rsid w:val="00C938CF"/>
    <w:rsid w:val="00C94053"/>
    <w:rsid w:val="00C943D5"/>
    <w:rsid w:val="00C94642"/>
    <w:rsid w:val="00C948AF"/>
    <w:rsid w:val="00C94C05"/>
    <w:rsid w:val="00C9567E"/>
    <w:rsid w:val="00C9596F"/>
    <w:rsid w:val="00C9624D"/>
    <w:rsid w:val="00C969DA"/>
    <w:rsid w:val="00C96E15"/>
    <w:rsid w:val="00C96F25"/>
    <w:rsid w:val="00C973D7"/>
    <w:rsid w:val="00CA1B35"/>
    <w:rsid w:val="00CA2407"/>
    <w:rsid w:val="00CA2C77"/>
    <w:rsid w:val="00CA31C7"/>
    <w:rsid w:val="00CA444F"/>
    <w:rsid w:val="00CA503E"/>
    <w:rsid w:val="00CA5245"/>
    <w:rsid w:val="00CA615D"/>
    <w:rsid w:val="00CA71F4"/>
    <w:rsid w:val="00CA787E"/>
    <w:rsid w:val="00CA7B09"/>
    <w:rsid w:val="00CA7DF9"/>
    <w:rsid w:val="00CB12A5"/>
    <w:rsid w:val="00CB1476"/>
    <w:rsid w:val="00CB15D1"/>
    <w:rsid w:val="00CB1CAC"/>
    <w:rsid w:val="00CB2F2A"/>
    <w:rsid w:val="00CB42DE"/>
    <w:rsid w:val="00CB57E1"/>
    <w:rsid w:val="00CB5B1A"/>
    <w:rsid w:val="00CB692D"/>
    <w:rsid w:val="00CB6B22"/>
    <w:rsid w:val="00CB7749"/>
    <w:rsid w:val="00CB7F5F"/>
    <w:rsid w:val="00CC1B39"/>
    <w:rsid w:val="00CC1ED1"/>
    <w:rsid w:val="00CC20C0"/>
    <w:rsid w:val="00CC2398"/>
    <w:rsid w:val="00CC2D33"/>
    <w:rsid w:val="00CC35EA"/>
    <w:rsid w:val="00CC3848"/>
    <w:rsid w:val="00CC3D76"/>
    <w:rsid w:val="00CC45A5"/>
    <w:rsid w:val="00CC510D"/>
    <w:rsid w:val="00CC5534"/>
    <w:rsid w:val="00CC560B"/>
    <w:rsid w:val="00CC5BFE"/>
    <w:rsid w:val="00CC6553"/>
    <w:rsid w:val="00CC6D72"/>
    <w:rsid w:val="00CD0C00"/>
    <w:rsid w:val="00CD0D87"/>
    <w:rsid w:val="00CD11F1"/>
    <w:rsid w:val="00CD1C9E"/>
    <w:rsid w:val="00CD21BF"/>
    <w:rsid w:val="00CD3F77"/>
    <w:rsid w:val="00CD44DB"/>
    <w:rsid w:val="00CD4B2C"/>
    <w:rsid w:val="00CD4B3D"/>
    <w:rsid w:val="00CD4EC2"/>
    <w:rsid w:val="00CD51D0"/>
    <w:rsid w:val="00CD584B"/>
    <w:rsid w:val="00CD6ADC"/>
    <w:rsid w:val="00CD7193"/>
    <w:rsid w:val="00CD7D03"/>
    <w:rsid w:val="00CD7D0F"/>
    <w:rsid w:val="00CE1287"/>
    <w:rsid w:val="00CE1D83"/>
    <w:rsid w:val="00CE1EDA"/>
    <w:rsid w:val="00CE3635"/>
    <w:rsid w:val="00CE38C8"/>
    <w:rsid w:val="00CE3DE1"/>
    <w:rsid w:val="00CE462D"/>
    <w:rsid w:val="00CE4E03"/>
    <w:rsid w:val="00CE4F1C"/>
    <w:rsid w:val="00CE514E"/>
    <w:rsid w:val="00CE59F1"/>
    <w:rsid w:val="00CE6274"/>
    <w:rsid w:val="00CE6A3B"/>
    <w:rsid w:val="00CE77B6"/>
    <w:rsid w:val="00CE7FB1"/>
    <w:rsid w:val="00CF0064"/>
    <w:rsid w:val="00CF25F8"/>
    <w:rsid w:val="00CF2B8D"/>
    <w:rsid w:val="00CF2B92"/>
    <w:rsid w:val="00CF3925"/>
    <w:rsid w:val="00CF456B"/>
    <w:rsid w:val="00CF5A22"/>
    <w:rsid w:val="00CF5C2F"/>
    <w:rsid w:val="00D00042"/>
    <w:rsid w:val="00D01F3C"/>
    <w:rsid w:val="00D0262E"/>
    <w:rsid w:val="00D02827"/>
    <w:rsid w:val="00D049CA"/>
    <w:rsid w:val="00D05E3D"/>
    <w:rsid w:val="00D05EAF"/>
    <w:rsid w:val="00D06139"/>
    <w:rsid w:val="00D06AC4"/>
    <w:rsid w:val="00D06FC6"/>
    <w:rsid w:val="00D075D2"/>
    <w:rsid w:val="00D1003E"/>
    <w:rsid w:val="00D110BD"/>
    <w:rsid w:val="00D11571"/>
    <w:rsid w:val="00D13322"/>
    <w:rsid w:val="00D13675"/>
    <w:rsid w:val="00D13878"/>
    <w:rsid w:val="00D141E1"/>
    <w:rsid w:val="00D14BBB"/>
    <w:rsid w:val="00D15314"/>
    <w:rsid w:val="00D16D06"/>
    <w:rsid w:val="00D17096"/>
    <w:rsid w:val="00D1762C"/>
    <w:rsid w:val="00D17D6C"/>
    <w:rsid w:val="00D20E38"/>
    <w:rsid w:val="00D2155B"/>
    <w:rsid w:val="00D21CD5"/>
    <w:rsid w:val="00D220CB"/>
    <w:rsid w:val="00D22B92"/>
    <w:rsid w:val="00D22E92"/>
    <w:rsid w:val="00D23D11"/>
    <w:rsid w:val="00D242E2"/>
    <w:rsid w:val="00D244B6"/>
    <w:rsid w:val="00D24B87"/>
    <w:rsid w:val="00D24B89"/>
    <w:rsid w:val="00D2611D"/>
    <w:rsid w:val="00D26214"/>
    <w:rsid w:val="00D2754D"/>
    <w:rsid w:val="00D27B27"/>
    <w:rsid w:val="00D30D70"/>
    <w:rsid w:val="00D3221A"/>
    <w:rsid w:val="00D33BE9"/>
    <w:rsid w:val="00D33F93"/>
    <w:rsid w:val="00D34925"/>
    <w:rsid w:val="00D34B44"/>
    <w:rsid w:val="00D355FB"/>
    <w:rsid w:val="00D357FF"/>
    <w:rsid w:val="00D3580B"/>
    <w:rsid w:val="00D35C29"/>
    <w:rsid w:val="00D36D53"/>
    <w:rsid w:val="00D372D9"/>
    <w:rsid w:val="00D37936"/>
    <w:rsid w:val="00D4015D"/>
    <w:rsid w:val="00D40270"/>
    <w:rsid w:val="00D40A82"/>
    <w:rsid w:val="00D417D2"/>
    <w:rsid w:val="00D41F3B"/>
    <w:rsid w:val="00D4202A"/>
    <w:rsid w:val="00D424C7"/>
    <w:rsid w:val="00D43B2A"/>
    <w:rsid w:val="00D43D83"/>
    <w:rsid w:val="00D43F04"/>
    <w:rsid w:val="00D44267"/>
    <w:rsid w:val="00D4638A"/>
    <w:rsid w:val="00D464F3"/>
    <w:rsid w:val="00D46720"/>
    <w:rsid w:val="00D472B3"/>
    <w:rsid w:val="00D47575"/>
    <w:rsid w:val="00D47756"/>
    <w:rsid w:val="00D47F6A"/>
    <w:rsid w:val="00D50095"/>
    <w:rsid w:val="00D50E75"/>
    <w:rsid w:val="00D51CF5"/>
    <w:rsid w:val="00D5243B"/>
    <w:rsid w:val="00D52D9A"/>
    <w:rsid w:val="00D533EC"/>
    <w:rsid w:val="00D54604"/>
    <w:rsid w:val="00D5510C"/>
    <w:rsid w:val="00D55AD6"/>
    <w:rsid w:val="00D567AB"/>
    <w:rsid w:val="00D56A95"/>
    <w:rsid w:val="00D61077"/>
    <w:rsid w:val="00D61589"/>
    <w:rsid w:val="00D617F1"/>
    <w:rsid w:val="00D61F52"/>
    <w:rsid w:val="00D6287A"/>
    <w:rsid w:val="00D63968"/>
    <w:rsid w:val="00D649F8"/>
    <w:rsid w:val="00D661C8"/>
    <w:rsid w:val="00D70085"/>
    <w:rsid w:val="00D701E2"/>
    <w:rsid w:val="00D702A4"/>
    <w:rsid w:val="00D70F16"/>
    <w:rsid w:val="00D7156F"/>
    <w:rsid w:val="00D71E9C"/>
    <w:rsid w:val="00D7223B"/>
    <w:rsid w:val="00D72ED6"/>
    <w:rsid w:val="00D72F57"/>
    <w:rsid w:val="00D72FC3"/>
    <w:rsid w:val="00D73581"/>
    <w:rsid w:val="00D73A00"/>
    <w:rsid w:val="00D73C10"/>
    <w:rsid w:val="00D73C96"/>
    <w:rsid w:val="00D753FC"/>
    <w:rsid w:val="00D756CB"/>
    <w:rsid w:val="00D7588B"/>
    <w:rsid w:val="00D76717"/>
    <w:rsid w:val="00D76A44"/>
    <w:rsid w:val="00D76CC6"/>
    <w:rsid w:val="00D774D2"/>
    <w:rsid w:val="00D802E1"/>
    <w:rsid w:val="00D80F71"/>
    <w:rsid w:val="00D811ED"/>
    <w:rsid w:val="00D815EF"/>
    <w:rsid w:val="00D81F26"/>
    <w:rsid w:val="00D8259F"/>
    <w:rsid w:val="00D83537"/>
    <w:rsid w:val="00D83673"/>
    <w:rsid w:val="00D84BCA"/>
    <w:rsid w:val="00D84DC4"/>
    <w:rsid w:val="00D85813"/>
    <w:rsid w:val="00D86231"/>
    <w:rsid w:val="00D9018E"/>
    <w:rsid w:val="00D90730"/>
    <w:rsid w:val="00D907A3"/>
    <w:rsid w:val="00D90B70"/>
    <w:rsid w:val="00D91070"/>
    <w:rsid w:val="00D91923"/>
    <w:rsid w:val="00D92EB6"/>
    <w:rsid w:val="00D931C0"/>
    <w:rsid w:val="00D9354F"/>
    <w:rsid w:val="00D93753"/>
    <w:rsid w:val="00D950CA"/>
    <w:rsid w:val="00D955F4"/>
    <w:rsid w:val="00D95C4E"/>
    <w:rsid w:val="00D9641B"/>
    <w:rsid w:val="00D96D72"/>
    <w:rsid w:val="00D96DB0"/>
    <w:rsid w:val="00D97D11"/>
    <w:rsid w:val="00DA16AF"/>
    <w:rsid w:val="00DA27DB"/>
    <w:rsid w:val="00DA2A95"/>
    <w:rsid w:val="00DA30E4"/>
    <w:rsid w:val="00DA3167"/>
    <w:rsid w:val="00DA3191"/>
    <w:rsid w:val="00DA3B65"/>
    <w:rsid w:val="00DA4031"/>
    <w:rsid w:val="00DA458B"/>
    <w:rsid w:val="00DA4BC1"/>
    <w:rsid w:val="00DA4DC3"/>
    <w:rsid w:val="00DA5190"/>
    <w:rsid w:val="00DA716F"/>
    <w:rsid w:val="00DA77A5"/>
    <w:rsid w:val="00DA798E"/>
    <w:rsid w:val="00DB01FC"/>
    <w:rsid w:val="00DB07C1"/>
    <w:rsid w:val="00DB07E1"/>
    <w:rsid w:val="00DB0EDA"/>
    <w:rsid w:val="00DB1D60"/>
    <w:rsid w:val="00DB1FAD"/>
    <w:rsid w:val="00DB3325"/>
    <w:rsid w:val="00DB3DBF"/>
    <w:rsid w:val="00DB44EA"/>
    <w:rsid w:val="00DB484F"/>
    <w:rsid w:val="00DB5AA2"/>
    <w:rsid w:val="00DB5AF2"/>
    <w:rsid w:val="00DB5D07"/>
    <w:rsid w:val="00DB65B7"/>
    <w:rsid w:val="00DB6BB5"/>
    <w:rsid w:val="00DB71EE"/>
    <w:rsid w:val="00DB75B6"/>
    <w:rsid w:val="00DC01DB"/>
    <w:rsid w:val="00DC04F6"/>
    <w:rsid w:val="00DC0690"/>
    <w:rsid w:val="00DC0695"/>
    <w:rsid w:val="00DC1297"/>
    <w:rsid w:val="00DC134A"/>
    <w:rsid w:val="00DC1D65"/>
    <w:rsid w:val="00DC30A8"/>
    <w:rsid w:val="00DC35E2"/>
    <w:rsid w:val="00DC36AC"/>
    <w:rsid w:val="00DC3A52"/>
    <w:rsid w:val="00DC3C57"/>
    <w:rsid w:val="00DC4D28"/>
    <w:rsid w:val="00DC51DA"/>
    <w:rsid w:val="00DC5501"/>
    <w:rsid w:val="00DC58C1"/>
    <w:rsid w:val="00DC62E7"/>
    <w:rsid w:val="00DC6EA6"/>
    <w:rsid w:val="00DC702D"/>
    <w:rsid w:val="00DC7154"/>
    <w:rsid w:val="00DC769E"/>
    <w:rsid w:val="00DC7722"/>
    <w:rsid w:val="00DC7E8A"/>
    <w:rsid w:val="00DD0F78"/>
    <w:rsid w:val="00DD273C"/>
    <w:rsid w:val="00DD3B59"/>
    <w:rsid w:val="00DD3F28"/>
    <w:rsid w:val="00DD404F"/>
    <w:rsid w:val="00DD4537"/>
    <w:rsid w:val="00DD4709"/>
    <w:rsid w:val="00DD47EE"/>
    <w:rsid w:val="00DD4A1A"/>
    <w:rsid w:val="00DD4E15"/>
    <w:rsid w:val="00DD4F98"/>
    <w:rsid w:val="00DD6979"/>
    <w:rsid w:val="00DD6FE7"/>
    <w:rsid w:val="00DD75F1"/>
    <w:rsid w:val="00DE2304"/>
    <w:rsid w:val="00DE2CE8"/>
    <w:rsid w:val="00DE2FE4"/>
    <w:rsid w:val="00DE3138"/>
    <w:rsid w:val="00DE37F8"/>
    <w:rsid w:val="00DE468C"/>
    <w:rsid w:val="00DE4FCB"/>
    <w:rsid w:val="00DE5D07"/>
    <w:rsid w:val="00DE6489"/>
    <w:rsid w:val="00DE6AD8"/>
    <w:rsid w:val="00DE72A7"/>
    <w:rsid w:val="00DE7832"/>
    <w:rsid w:val="00DE7B90"/>
    <w:rsid w:val="00DE7DC4"/>
    <w:rsid w:val="00DF0F8A"/>
    <w:rsid w:val="00DF13AE"/>
    <w:rsid w:val="00DF18FC"/>
    <w:rsid w:val="00DF3E60"/>
    <w:rsid w:val="00DF3F17"/>
    <w:rsid w:val="00DF4964"/>
    <w:rsid w:val="00DF4D84"/>
    <w:rsid w:val="00DF566B"/>
    <w:rsid w:val="00DF578F"/>
    <w:rsid w:val="00DF5D2B"/>
    <w:rsid w:val="00DF6A1B"/>
    <w:rsid w:val="00DF6B58"/>
    <w:rsid w:val="00DF6CD5"/>
    <w:rsid w:val="00DF7346"/>
    <w:rsid w:val="00DF78EF"/>
    <w:rsid w:val="00E00348"/>
    <w:rsid w:val="00E00E8E"/>
    <w:rsid w:val="00E020CE"/>
    <w:rsid w:val="00E02158"/>
    <w:rsid w:val="00E02E24"/>
    <w:rsid w:val="00E02EFC"/>
    <w:rsid w:val="00E02FEB"/>
    <w:rsid w:val="00E03001"/>
    <w:rsid w:val="00E037E3"/>
    <w:rsid w:val="00E05630"/>
    <w:rsid w:val="00E0677C"/>
    <w:rsid w:val="00E06DBB"/>
    <w:rsid w:val="00E07483"/>
    <w:rsid w:val="00E10149"/>
    <w:rsid w:val="00E101C2"/>
    <w:rsid w:val="00E10559"/>
    <w:rsid w:val="00E11340"/>
    <w:rsid w:val="00E11F5D"/>
    <w:rsid w:val="00E122A1"/>
    <w:rsid w:val="00E127B9"/>
    <w:rsid w:val="00E12F99"/>
    <w:rsid w:val="00E12FD6"/>
    <w:rsid w:val="00E13D9F"/>
    <w:rsid w:val="00E13FA7"/>
    <w:rsid w:val="00E1485D"/>
    <w:rsid w:val="00E14FC8"/>
    <w:rsid w:val="00E151CA"/>
    <w:rsid w:val="00E15C80"/>
    <w:rsid w:val="00E15EB9"/>
    <w:rsid w:val="00E16372"/>
    <w:rsid w:val="00E16850"/>
    <w:rsid w:val="00E16DD1"/>
    <w:rsid w:val="00E1743F"/>
    <w:rsid w:val="00E205C4"/>
    <w:rsid w:val="00E20E4D"/>
    <w:rsid w:val="00E20ED6"/>
    <w:rsid w:val="00E21358"/>
    <w:rsid w:val="00E21BD6"/>
    <w:rsid w:val="00E2249B"/>
    <w:rsid w:val="00E22A0D"/>
    <w:rsid w:val="00E241C9"/>
    <w:rsid w:val="00E244F6"/>
    <w:rsid w:val="00E24962"/>
    <w:rsid w:val="00E2496D"/>
    <w:rsid w:val="00E24FAA"/>
    <w:rsid w:val="00E255A8"/>
    <w:rsid w:val="00E26BEC"/>
    <w:rsid w:val="00E272C3"/>
    <w:rsid w:val="00E2771E"/>
    <w:rsid w:val="00E3028F"/>
    <w:rsid w:val="00E30496"/>
    <w:rsid w:val="00E3111C"/>
    <w:rsid w:val="00E311EF"/>
    <w:rsid w:val="00E319B0"/>
    <w:rsid w:val="00E31CA0"/>
    <w:rsid w:val="00E31DE1"/>
    <w:rsid w:val="00E32180"/>
    <w:rsid w:val="00E3228D"/>
    <w:rsid w:val="00E32E08"/>
    <w:rsid w:val="00E33F27"/>
    <w:rsid w:val="00E34948"/>
    <w:rsid w:val="00E34CCF"/>
    <w:rsid w:val="00E369DE"/>
    <w:rsid w:val="00E37569"/>
    <w:rsid w:val="00E3765F"/>
    <w:rsid w:val="00E37BC7"/>
    <w:rsid w:val="00E37D58"/>
    <w:rsid w:val="00E401B2"/>
    <w:rsid w:val="00E41769"/>
    <w:rsid w:val="00E41E30"/>
    <w:rsid w:val="00E42F73"/>
    <w:rsid w:val="00E4309D"/>
    <w:rsid w:val="00E430B7"/>
    <w:rsid w:val="00E43106"/>
    <w:rsid w:val="00E433F0"/>
    <w:rsid w:val="00E43D70"/>
    <w:rsid w:val="00E44149"/>
    <w:rsid w:val="00E466A1"/>
    <w:rsid w:val="00E466F3"/>
    <w:rsid w:val="00E47189"/>
    <w:rsid w:val="00E47B2C"/>
    <w:rsid w:val="00E47C5E"/>
    <w:rsid w:val="00E51560"/>
    <w:rsid w:val="00E52D87"/>
    <w:rsid w:val="00E53A49"/>
    <w:rsid w:val="00E53F1E"/>
    <w:rsid w:val="00E53FC8"/>
    <w:rsid w:val="00E540FD"/>
    <w:rsid w:val="00E54347"/>
    <w:rsid w:val="00E54758"/>
    <w:rsid w:val="00E55176"/>
    <w:rsid w:val="00E55424"/>
    <w:rsid w:val="00E55915"/>
    <w:rsid w:val="00E55A42"/>
    <w:rsid w:val="00E55BB5"/>
    <w:rsid w:val="00E5600C"/>
    <w:rsid w:val="00E5617E"/>
    <w:rsid w:val="00E56587"/>
    <w:rsid w:val="00E57478"/>
    <w:rsid w:val="00E57EAC"/>
    <w:rsid w:val="00E61B3F"/>
    <w:rsid w:val="00E6269C"/>
    <w:rsid w:val="00E633E2"/>
    <w:rsid w:val="00E64244"/>
    <w:rsid w:val="00E645AF"/>
    <w:rsid w:val="00E64F0F"/>
    <w:rsid w:val="00E656D5"/>
    <w:rsid w:val="00E65E79"/>
    <w:rsid w:val="00E66096"/>
    <w:rsid w:val="00E66BA2"/>
    <w:rsid w:val="00E67416"/>
    <w:rsid w:val="00E67A86"/>
    <w:rsid w:val="00E67C0F"/>
    <w:rsid w:val="00E7146E"/>
    <w:rsid w:val="00E718B6"/>
    <w:rsid w:val="00E7200E"/>
    <w:rsid w:val="00E723BA"/>
    <w:rsid w:val="00E726E7"/>
    <w:rsid w:val="00E73581"/>
    <w:rsid w:val="00E7380D"/>
    <w:rsid w:val="00E73A21"/>
    <w:rsid w:val="00E7524F"/>
    <w:rsid w:val="00E752EC"/>
    <w:rsid w:val="00E75C10"/>
    <w:rsid w:val="00E7625B"/>
    <w:rsid w:val="00E765E4"/>
    <w:rsid w:val="00E76D0F"/>
    <w:rsid w:val="00E76EF7"/>
    <w:rsid w:val="00E7756C"/>
    <w:rsid w:val="00E7785B"/>
    <w:rsid w:val="00E80488"/>
    <w:rsid w:val="00E80691"/>
    <w:rsid w:val="00E80AB6"/>
    <w:rsid w:val="00E8253A"/>
    <w:rsid w:val="00E825E3"/>
    <w:rsid w:val="00E828B7"/>
    <w:rsid w:val="00E83394"/>
    <w:rsid w:val="00E833F7"/>
    <w:rsid w:val="00E83A94"/>
    <w:rsid w:val="00E83BDF"/>
    <w:rsid w:val="00E83EBA"/>
    <w:rsid w:val="00E84DB3"/>
    <w:rsid w:val="00E8621B"/>
    <w:rsid w:val="00E866AB"/>
    <w:rsid w:val="00E87A1D"/>
    <w:rsid w:val="00E87F10"/>
    <w:rsid w:val="00E90016"/>
    <w:rsid w:val="00E9094A"/>
    <w:rsid w:val="00E91D35"/>
    <w:rsid w:val="00E91EB1"/>
    <w:rsid w:val="00E922A2"/>
    <w:rsid w:val="00E926A5"/>
    <w:rsid w:val="00E93BAF"/>
    <w:rsid w:val="00E9456B"/>
    <w:rsid w:val="00EA08F1"/>
    <w:rsid w:val="00EA0A08"/>
    <w:rsid w:val="00EA14B2"/>
    <w:rsid w:val="00EA17C3"/>
    <w:rsid w:val="00EA1C3A"/>
    <w:rsid w:val="00EA2CAA"/>
    <w:rsid w:val="00EA2DC1"/>
    <w:rsid w:val="00EA3864"/>
    <w:rsid w:val="00EA4176"/>
    <w:rsid w:val="00EA4C81"/>
    <w:rsid w:val="00EA4D37"/>
    <w:rsid w:val="00EA5047"/>
    <w:rsid w:val="00EA588A"/>
    <w:rsid w:val="00EA5D2D"/>
    <w:rsid w:val="00EA7782"/>
    <w:rsid w:val="00EA7932"/>
    <w:rsid w:val="00EA7B16"/>
    <w:rsid w:val="00EA7F1C"/>
    <w:rsid w:val="00EB0214"/>
    <w:rsid w:val="00EB06CF"/>
    <w:rsid w:val="00EB15AC"/>
    <w:rsid w:val="00EB15B6"/>
    <w:rsid w:val="00EB27E7"/>
    <w:rsid w:val="00EB2CBC"/>
    <w:rsid w:val="00EB3D06"/>
    <w:rsid w:val="00EB3DDC"/>
    <w:rsid w:val="00EB4916"/>
    <w:rsid w:val="00EB5331"/>
    <w:rsid w:val="00EB59E6"/>
    <w:rsid w:val="00EB63C0"/>
    <w:rsid w:val="00EB6823"/>
    <w:rsid w:val="00EC00C9"/>
    <w:rsid w:val="00EC0DD9"/>
    <w:rsid w:val="00EC0ED8"/>
    <w:rsid w:val="00EC0F87"/>
    <w:rsid w:val="00EC2649"/>
    <w:rsid w:val="00EC31ED"/>
    <w:rsid w:val="00EC34FF"/>
    <w:rsid w:val="00EC44A6"/>
    <w:rsid w:val="00EC53DB"/>
    <w:rsid w:val="00EC5836"/>
    <w:rsid w:val="00EC5AC2"/>
    <w:rsid w:val="00EC688C"/>
    <w:rsid w:val="00EC6CF8"/>
    <w:rsid w:val="00EC78E2"/>
    <w:rsid w:val="00ED0035"/>
    <w:rsid w:val="00ED0AED"/>
    <w:rsid w:val="00ED1447"/>
    <w:rsid w:val="00ED1A84"/>
    <w:rsid w:val="00ED1A8A"/>
    <w:rsid w:val="00ED24BE"/>
    <w:rsid w:val="00ED2D6D"/>
    <w:rsid w:val="00ED2EC5"/>
    <w:rsid w:val="00ED3F2A"/>
    <w:rsid w:val="00ED57EA"/>
    <w:rsid w:val="00ED5BD4"/>
    <w:rsid w:val="00ED6350"/>
    <w:rsid w:val="00ED6A33"/>
    <w:rsid w:val="00ED726C"/>
    <w:rsid w:val="00EE07D3"/>
    <w:rsid w:val="00EE094A"/>
    <w:rsid w:val="00EE1572"/>
    <w:rsid w:val="00EE1996"/>
    <w:rsid w:val="00EE1C01"/>
    <w:rsid w:val="00EE1F22"/>
    <w:rsid w:val="00EE22AF"/>
    <w:rsid w:val="00EE340C"/>
    <w:rsid w:val="00EE3C27"/>
    <w:rsid w:val="00EE3CD2"/>
    <w:rsid w:val="00EE5BB2"/>
    <w:rsid w:val="00EE654C"/>
    <w:rsid w:val="00EE6654"/>
    <w:rsid w:val="00EE70C1"/>
    <w:rsid w:val="00EE7128"/>
    <w:rsid w:val="00EF0171"/>
    <w:rsid w:val="00EF15A6"/>
    <w:rsid w:val="00EF1B1B"/>
    <w:rsid w:val="00EF1B25"/>
    <w:rsid w:val="00EF1DA0"/>
    <w:rsid w:val="00EF279E"/>
    <w:rsid w:val="00EF310D"/>
    <w:rsid w:val="00EF3C46"/>
    <w:rsid w:val="00EF407E"/>
    <w:rsid w:val="00EF4747"/>
    <w:rsid w:val="00EF4BF8"/>
    <w:rsid w:val="00EF56EA"/>
    <w:rsid w:val="00EF5BE7"/>
    <w:rsid w:val="00EF5BF2"/>
    <w:rsid w:val="00EF6E28"/>
    <w:rsid w:val="00EF6FDD"/>
    <w:rsid w:val="00EF7053"/>
    <w:rsid w:val="00EF7ACC"/>
    <w:rsid w:val="00EF7D8C"/>
    <w:rsid w:val="00F004E6"/>
    <w:rsid w:val="00F006F0"/>
    <w:rsid w:val="00F0086D"/>
    <w:rsid w:val="00F00A80"/>
    <w:rsid w:val="00F0126F"/>
    <w:rsid w:val="00F02253"/>
    <w:rsid w:val="00F0326F"/>
    <w:rsid w:val="00F037B0"/>
    <w:rsid w:val="00F03853"/>
    <w:rsid w:val="00F03C2E"/>
    <w:rsid w:val="00F04687"/>
    <w:rsid w:val="00F04A66"/>
    <w:rsid w:val="00F04B4B"/>
    <w:rsid w:val="00F04ECA"/>
    <w:rsid w:val="00F0516C"/>
    <w:rsid w:val="00F055E9"/>
    <w:rsid w:val="00F067A2"/>
    <w:rsid w:val="00F0714E"/>
    <w:rsid w:val="00F0760C"/>
    <w:rsid w:val="00F07655"/>
    <w:rsid w:val="00F07B9E"/>
    <w:rsid w:val="00F07E9A"/>
    <w:rsid w:val="00F10304"/>
    <w:rsid w:val="00F1116F"/>
    <w:rsid w:val="00F11BEE"/>
    <w:rsid w:val="00F1263A"/>
    <w:rsid w:val="00F12EB0"/>
    <w:rsid w:val="00F1321A"/>
    <w:rsid w:val="00F13679"/>
    <w:rsid w:val="00F14ADD"/>
    <w:rsid w:val="00F15476"/>
    <w:rsid w:val="00F15546"/>
    <w:rsid w:val="00F15B77"/>
    <w:rsid w:val="00F15E65"/>
    <w:rsid w:val="00F16015"/>
    <w:rsid w:val="00F16476"/>
    <w:rsid w:val="00F1648C"/>
    <w:rsid w:val="00F169EF"/>
    <w:rsid w:val="00F16AD6"/>
    <w:rsid w:val="00F22860"/>
    <w:rsid w:val="00F22B0E"/>
    <w:rsid w:val="00F22D02"/>
    <w:rsid w:val="00F22DC9"/>
    <w:rsid w:val="00F2308A"/>
    <w:rsid w:val="00F243B6"/>
    <w:rsid w:val="00F24837"/>
    <w:rsid w:val="00F2575F"/>
    <w:rsid w:val="00F25E7C"/>
    <w:rsid w:val="00F2604E"/>
    <w:rsid w:val="00F263FC"/>
    <w:rsid w:val="00F2703C"/>
    <w:rsid w:val="00F27565"/>
    <w:rsid w:val="00F27A54"/>
    <w:rsid w:val="00F27C06"/>
    <w:rsid w:val="00F27E36"/>
    <w:rsid w:val="00F310D4"/>
    <w:rsid w:val="00F31203"/>
    <w:rsid w:val="00F3124D"/>
    <w:rsid w:val="00F31A3B"/>
    <w:rsid w:val="00F31D5A"/>
    <w:rsid w:val="00F31F4A"/>
    <w:rsid w:val="00F3284F"/>
    <w:rsid w:val="00F3341E"/>
    <w:rsid w:val="00F33975"/>
    <w:rsid w:val="00F33B1A"/>
    <w:rsid w:val="00F33DE9"/>
    <w:rsid w:val="00F349CE"/>
    <w:rsid w:val="00F35E6D"/>
    <w:rsid w:val="00F3619A"/>
    <w:rsid w:val="00F3640D"/>
    <w:rsid w:val="00F40AAA"/>
    <w:rsid w:val="00F40BA7"/>
    <w:rsid w:val="00F40F9D"/>
    <w:rsid w:val="00F41ACD"/>
    <w:rsid w:val="00F420A3"/>
    <w:rsid w:val="00F42334"/>
    <w:rsid w:val="00F42D62"/>
    <w:rsid w:val="00F43334"/>
    <w:rsid w:val="00F4442D"/>
    <w:rsid w:val="00F446C6"/>
    <w:rsid w:val="00F44C79"/>
    <w:rsid w:val="00F4547D"/>
    <w:rsid w:val="00F455B1"/>
    <w:rsid w:val="00F46CB6"/>
    <w:rsid w:val="00F4756D"/>
    <w:rsid w:val="00F47DE8"/>
    <w:rsid w:val="00F47E05"/>
    <w:rsid w:val="00F47E0B"/>
    <w:rsid w:val="00F50289"/>
    <w:rsid w:val="00F50F0F"/>
    <w:rsid w:val="00F5287B"/>
    <w:rsid w:val="00F53F60"/>
    <w:rsid w:val="00F542C1"/>
    <w:rsid w:val="00F54F94"/>
    <w:rsid w:val="00F55224"/>
    <w:rsid w:val="00F55E73"/>
    <w:rsid w:val="00F55EDA"/>
    <w:rsid w:val="00F56808"/>
    <w:rsid w:val="00F56C80"/>
    <w:rsid w:val="00F60092"/>
    <w:rsid w:val="00F605F8"/>
    <w:rsid w:val="00F60C9B"/>
    <w:rsid w:val="00F615A6"/>
    <w:rsid w:val="00F61B70"/>
    <w:rsid w:val="00F61C18"/>
    <w:rsid w:val="00F61EB0"/>
    <w:rsid w:val="00F62AE1"/>
    <w:rsid w:val="00F62F09"/>
    <w:rsid w:val="00F644F0"/>
    <w:rsid w:val="00F647F4"/>
    <w:rsid w:val="00F65F4B"/>
    <w:rsid w:val="00F67A69"/>
    <w:rsid w:val="00F67A89"/>
    <w:rsid w:val="00F700D0"/>
    <w:rsid w:val="00F70BFF"/>
    <w:rsid w:val="00F70C9D"/>
    <w:rsid w:val="00F70CC1"/>
    <w:rsid w:val="00F71DBE"/>
    <w:rsid w:val="00F71F84"/>
    <w:rsid w:val="00F732CE"/>
    <w:rsid w:val="00F73724"/>
    <w:rsid w:val="00F74306"/>
    <w:rsid w:val="00F74CD9"/>
    <w:rsid w:val="00F758C7"/>
    <w:rsid w:val="00F75923"/>
    <w:rsid w:val="00F764AD"/>
    <w:rsid w:val="00F7707C"/>
    <w:rsid w:val="00F80A7B"/>
    <w:rsid w:val="00F80E5D"/>
    <w:rsid w:val="00F814C3"/>
    <w:rsid w:val="00F81E78"/>
    <w:rsid w:val="00F81F38"/>
    <w:rsid w:val="00F82416"/>
    <w:rsid w:val="00F82D77"/>
    <w:rsid w:val="00F84477"/>
    <w:rsid w:val="00F8454E"/>
    <w:rsid w:val="00F851CE"/>
    <w:rsid w:val="00F87432"/>
    <w:rsid w:val="00F87D6D"/>
    <w:rsid w:val="00F87DE6"/>
    <w:rsid w:val="00F91219"/>
    <w:rsid w:val="00F92118"/>
    <w:rsid w:val="00F92444"/>
    <w:rsid w:val="00F9393E"/>
    <w:rsid w:val="00F950EB"/>
    <w:rsid w:val="00F95E8C"/>
    <w:rsid w:val="00F96FD0"/>
    <w:rsid w:val="00F97A78"/>
    <w:rsid w:val="00F97E3A"/>
    <w:rsid w:val="00F97E4A"/>
    <w:rsid w:val="00FA0B20"/>
    <w:rsid w:val="00FA0D07"/>
    <w:rsid w:val="00FA0DE5"/>
    <w:rsid w:val="00FA12DB"/>
    <w:rsid w:val="00FA199C"/>
    <w:rsid w:val="00FA24E7"/>
    <w:rsid w:val="00FA2758"/>
    <w:rsid w:val="00FA340B"/>
    <w:rsid w:val="00FA5EE6"/>
    <w:rsid w:val="00FA6BDF"/>
    <w:rsid w:val="00FA6C65"/>
    <w:rsid w:val="00FA7956"/>
    <w:rsid w:val="00FB00C0"/>
    <w:rsid w:val="00FB05EF"/>
    <w:rsid w:val="00FB0F5F"/>
    <w:rsid w:val="00FB217B"/>
    <w:rsid w:val="00FB2D7D"/>
    <w:rsid w:val="00FB2FCB"/>
    <w:rsid w:val="00FB3C38"/>
    <w:rsid w:val="00FB4061"/>
    <w:rsid w:val="00FB41B9"/>
    <w:rsid w:val="00FB477B"/>
    <w:rsid w:val="00FB47C5"/>
    <w:rsid w:val="00FB4A4D"/>
    <w:rsid w:val="00FB5A17"/>
    <w:rsid w:val="00FB6619"/>
    <w:rsid w:val="00FB7587"/>
    <w:rsid w:val="00FB7C55"/>
    <w:rsid w:val="00FC01F7"/>
    <w:rsid w:val="00FC1074"/>
    <w:rsid w:val="00FC1884"/>
    <w:rsid w:val="00FC2FD4"/>
    <w:rsid w:val="00FC320A"/>
    <w:rsid w:val="00FC371D"/>
    <w:rsid w:val="00FC4023"/>
    <w:rsid w:val="00FC5AE5"/>
    <w:rsid w:val="00FC5F0B"/>
    <w:rsid w:val="00FC6287"/>
    <w:rsid w:val="00FC7B0D"/>
    <w:rsid w:val="00FD15E7"/>
    <w:rsid w:val="00FD2100"/>
    <w:rsid w:val="00FD2DAA"/>
    <w:rsid w:val="00FD3B93"/>
    <w:rsid w:val="00FD40F7"/>
    <w:rsid w:val="00FD4201"/>
    <w:rsid w:val="00FD436C"/>
    <w:rsid w:val="00FD446D"/>
    <w:rsid w:val="00FD4F2C"/>
    <w:rsid w:val="00FD632A"/>
    <w:rsid w:val="00FD6394"/>
    <w:rsid w:val="00FD6883"/>
    <w:rsid w:val="00FD69D0"/>
    <w:rsid w:val="00FD738A"/>
    <w:rsid w:val="00FE01FF"/>
    <w:rsid w:val="00FE0E6C"/>
    <w:rsid w:val="00FE167D"/>
    <w:rsid w:val="00FE1CDC"/>
    <w:rsid w:val="00FE2241"/>
    <w:rsid w:val="00FE2315"/>
    <w:rsid w:val="00FE253A"/>
    <w:rsid w:val="00FE3DC0"/>
    <w:rsid w:val="00FE4645"/>
    <w:rsid w:val="00FE4B3F"/>
    <w:rsid w:val="00FE525D"/>
    <w:rsid w:val="00FE5697"/>
    <w:rsid w:val="00FE64B7"/>
    <w:rsid w:val="00FE70C3"/>
    <w:rsid w:val="00FE7F45"/>
    <w:rsid w:val="00FF0627"/>
    <w:rsid w:val="00FF0E01"/>
    <w:rsid w:val="00FF2671"/>
    <w:rsid w:val="00FF2AD9"/>
    <w:rsid w:val="00FF3378"/>
    <w:rsid w:val="00FF359F"/>
    <w:rsid w:val="00FF3DCF"/>
    <w:rsid w:val="00FF492C"/>
    <w:rsid w:val="00FF4A21"/>
    <w:rsid w:val="00FF4BAE"/>
    <w:rsid w:val="00FF51EC"/>
    <w:rsid w:val="00FF5AA3"/>
    <w:rsid w:val="00FF5AD8"/>
    <w:rsid w:val="00FF6D24"/>
    <w:rsid w:val="00FF79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DA8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2"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caption,Bayer Caption,IB Caption,Medical Caption,CSR Caption,Caption Char1,Caption Char Char,Medical Caption + Arial Narrow,Bayer Caption1,IB Caption1,Medical Caption1,Medical Caption + Arial Narrow1,Bayer Caption2,IB Caption2"/>
    <w:basedOn w:val="Normal"/>
    <w:next w:val="Normal"/>
    <w:link w:val="CaptionChar"/>
    <w:uiPriority w:val="2"/>
    <w:unhideWhenUsed/>
    <w:rsid w:val="00124A51"/>
    <w:pPr>
      <w:spacing w:after="200"/>
    </w:pPr>
    <w:rPr>
      <w:b/>
      <w:bCs/>
      <w:color w:val="4F81BD" w:themeColor="accent1"/>
      <w:sz w:val="18"/>
      <w:szCs w:val="18"/>
    </w:rPr>
  </w:style>
  <w:style w:type="character" w:customStyle="1" w:styleId="CaptionChar">
    <w:name w:val="Caption Char"/>
    <w:aliases w:val="Table caption Char,Bayer Caption Char,IB Caption Char,Medical Caption Char,CSR Caption Char,Caption Char1 Char,Caption Char Char Char,Medical Caption + Arial Narrow Char,Bayer Caption1 Char,IB Caption1 Char,Medical Caption1 Char"/>
    <w:link w:val="Caption"/>
    <w:uiPriority w:val="2"/>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L1 Bulleted List,Summary Bullets,L,列出段落"/>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7D197E"/>
    <w:pPr>
      <w:numPr>
        <w:ilvl w:val="1"/>
        <w:numId w:val="1"/>
      </w:numPr>
    </w:pPr>
  </w:style>
  <w:style w:type="character" w:customStyle="1" w:styleId="3-BodyTextChar">
    <w:name w:val="3-Body Text Char"/>
    <w:basedOn w:val="ListParagraphChar"/>
    <w:link w:val="3-BodyText"/>
    <w:rsid w:val="007D197E"/>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styleId="FootnoteText">
    <w:name w:val="footnote text"/>
    <w:basedOn w:val="Normal"/>
    <w:link w:val="FootnoteTextChar"/>
    <w:semiHidden/>
    <w:unhideWhenUsed/>
    <w:rsid w:val="00235CCF"/>
    <w:rPr>
      <w:sz w:val="20"/>
      <w:szCs w:val="20"/>
    </w:rPr>
  </w:style>
  <w:style w:type="character" w:customStyle="1" w:styleId="FootnoteTextChar">
    <w:name w:val="Footnote Text Char"/>
    <w:basedOn w:val="DefaultParagraphFont"/>
    <w:link w:val="FootnoteText"/>
    <w:semiHidden/>
    <w:rsid w:val="00235CCF"/>
    <w:rPr>
      <w:rFonts w:ascii="Calibri" w:hAnsi="Calibri" w:cs="Arial"/>
    </w:rPr>
  </w:style>
  <w:style w:type="character" w:styleId="FootnoteReference">
    <w:name w:val="footnote reference"/>
    <w:basedOn w:val="DefaultParagraphFont"/>
    <w:semiHidden/>
    <w:unhideWhenUsed/>
    <w:rsid w:val="00235CCF"/>
    <w:rPr>
      <w:vertAlign w:val="superscript"/>
    </w:rPr>
  </w:style>
  <w:style w:type="paragraph" w:customStyle="1" w:styleId="TableText1">
    <w:name w:val="TableText"/>
    <w:basedOn w:val="Normal"/>
    <w:link w:val="TableTextChar1"/>
    <w:uiPriority w:val="3"/>
    <w:rsid w:val="00A7214C"/>
    <w:pPr>
      <w:spacing w:before="20" w:after="20"/>
      <w:jc w:val="left"/>
    </w:pPr>
    <w:rPr>
      <w:rFonts w:cs="Calibri"/>
      <w:bCs/>
      <w:sz w:val="20"/>
      <w:szCs w:val="20"/>
      <w:lang w:eastAsia="zh-CN"/>
    </w:rPr>
  </w:style>
  <w:style w:type="character" w:customStyle="1" w:styleId="TableTextChar1">
    <w:name w:val="TableText Char"/>
    <w:basedOn w:val="DefaultParagraphFont"/>
    <w:link w:val="TableText1"/>
    <w:uiPriority w:val="3"/>
    <w:rsid w:val="00A7214C"/>
    <w:rPr>
      <w:rFonts w:ascii="Calibri" w:hAnsi="Calibri" w:cs="Calibri"/>
      <w:bCs/>
      <w:lang w:eastAsia="zh-CN"/>
    </w:rPr>
  </w:style>
  <w:style w:type="paragraph" w:customStyle="1" w:styleId="EndNoteBibliographyTitle">
    <w:name w:val="EndNote Bibliography Title"/>
    <w:basedOn w:val="Normal"/>
    <w:link w:val="EndNoteBibliographyTitleChar"/>
    <w:rsid w:val="006A6A31"/>
    <w:pPr>
      <w:spacing w:line="264" w:lineRule="auto"/>
      <w:jc w:val="center"/>
    </w:pPr>
    <w:rPr>
      <w:rFonts w:eastAsiaTheme="minorEastAsia" w:cs="Calibri"/>
      <w:noProof/>
      <w:szCs w:val="22"/>
      <w:lang w:eastAsia="zh-CN"/>
    </w:rPr>
  </w:style>
  <w:style w:type="character" w:customStyle="1" w:styleId="EndNoteBibliographyTitleChar">
    <w:name w:val="EndNote Bibliography Title Char"/>
    <w:basedOn w:val="DefaultParagraphFont"/>
    <w:link w:val="EndNoteBibliographyTitle"/>
    <w:rsid w:val="006A6A31"/>
    <w:rPr>
      <w:rFonts w:ascii="Calibri" w:eastAsiaTheme="minorEastAsia" w:hAnsi="Calibri" w:cs="Calibri"/>
      <w:noProof/>
      <w:sz w:val="24"/>
      <w:szCs w:val="22"/>
      <w:lang w:eastAsia="zh-CN"/>
    </w:rPr>
  </w:style>
  <w:style w:type="paragraph" w:customStyle="1" w:styleId="TableHeadingRow">
    <w:name w:val="TableHeadingRow"/>
    <w:basedOn w:val="TableText1"/>
    <w:uiPriority w:val="3"/>
    <w:rsid w:val="00F16AD6"/>
    <w:pPr>
      <w:keepNext/>
      <w:spacing w:before="40" w:after="40"/>
      <w:jc w:val="center"/>
    </w:pPr>
    <w:rPr>
      <w:b/>
      <w:bCs w:val="0"/>
    </w:rPr>
  </w:style>
  <w:style w:type="paragraph" w:customStyle="1" w:styleId="ReferenceList">
    <w:name w:val="ReferenceList"/>
    <w:basedOn w:val="Normal"/>
    <w:link w:val="ReferenceListChar"/>
    <w:uiPriority w:val="8"/>
    <w:rsid w:val="00116547"/>
    <w:pPr>
      <w:tabs>
        <w:tab w:val="num" w:pos="567"/>
      </w:tabs>
      <w:spacing w:before="40" w:after="40"/>
      <w:ind w:left="567" w:hanging="567"/>
    </w:pPr>
    <w:rPr>
      <w:rFonts w:eastAsia="SimSun" w:cs="Calibri"/>
      <w:sz w:val="20"/>
      <w:szCs w:val="20"/>
      <w:lang w:eastAsia="zh-CN"/>
    </w:rPr>
  </w:style>
  <w:style w:type="character" w:customStyle="1" w:styleId="ReferenceListChar">
    <w:name w:val="ReferenceList Char"/>
    <w:basedOn w:val="DefaultParagraphFont"/>
    <w:link w:val="ReferenceList"/>
    <w:uiPriority w:val="8"/>
    <w:rsid w:val="00116547"/>
    <w:rPr>
      <w:rFonts w:ascii="Calibri" w:eastAsia="SimSun" w:hAnsi="Calibri" w:cs="Calibri"/>
      <w:lang w:eastAsia="zh-CN"/>
    </w:rPr>
  </w:style>
  <w:style w:type="paragraph" w:customStyle="1" w:styleId="EndNoteBibliography">
    <w:name w:val="EndNote Bibliography"/>
    <w:basedOn w:val="Normal"/>
    <w:link w:val="EndNoteBibliographyChar"/>
    <w:rsid w:val="00556379"/>
    <w:rPr>
      <w:rFonts w:cs="Calibri"/>
      <w:noProof/>
    </w:rPr>
  </w:style>
  <w:style w:type="character" w:customStyle="1" w:styleId="EndNoteBibliographyChar">
    <w:name w:val="EndNote Bibliography Char"/>
    <w:basedOn w:val="3-BodyTextChar"/>
    <w:link w:val="EndNoteBibliography"/>
    <w:rsid w:val="00556379"/>
    <w:rPr>
      <w:rFonts w:ascii="Calibri" w:hAnsi="Calibri" w:cs="Calibri"/>
      <w:noProof/>
      <w:snapToGrid/>
      <w:sz w:val="24"/>
      <w:szCs w:val="24"/>
    </w:rPr>
  </w:style>
  <w:style w:type="character" w:customStyle="1" w:styleId="Heading1Char">
    <w:name w:val="Heading 1 Char"/>
    <w:basedOn w:val="DefaultParagraphFont"/>
    <w:link w:val="Heading1"/>
    <w:uiPriority w:val="1"/>
    <w:rsid w:val="00B10F52"/>
    <w:rPr>
      <w:rFonts w:ascii="Calibri" w:hAnsi="Calibri" w:cs="Arial"/>
      <w:b/>
      <w:caps/>
      <w:sz w:val="32"/>
      <w:szCs w:val="24"/>
    </w:rPr>
  </w:style>
  <w:style w:type="character" w:customStyle="1" w:styleId="Heading3Char">
    <w:name w:val="Heading 3 Char"/>
    <w:basedOn w:val="DefaultParagraphFont"/>
    <w:link w:val="Heading3"/>
    <w:rsid w:val="00B10F52"/>
    <w:rPr>
      <w:rFonts w:ascii="Calibri" w:hAnsi="Calibri" w:cs="Arial"/>
      <w:sz w:val="24"/>
      <w:szCs w:val="24"/>
      <w:u w:val="single"/>
    </w:rPr>
  </w:style>
  <w:style w:type="character" w:customStyle="1" w:styleId="Heading4Char">
    <w:name w:val="Heading 4 Char"/>
    <w:basedOn w:val="DefaultParagraphFont"/>
    <w:link w:val="Heading4"/>
    <w:rsid w:val="00B10F52"/>
    <w:rPr>
      <w:rFonts w:ascii="Calibri" w:hAnsi="Calibri" w:cs="Arial"/>
      <w:b/>
      <w:bCs/>
      <w:i/>
      <w:sz w:val="26"/>
      <w:szCs w:val="28"/>
    </w:rPr>
  </w:style>
  <w:style w:type="character" w:customStyle="1" w:styleId="Heading5Char">
    <w:name w:val="Heading 5 Char"/>
    <w:basedOn w:val="DefaultParagraphFont"/>
    <w:link w:val="Heading5"/>
    <w:rsid w:val="00B10F52"/>
    <w:rPr>
      <w:rFonts w:ascii="Calibri" w:hAnsi="Calibri" w:cs="Arial"/>
      <w:b/>
      <w:bCs/>
      <w:iCs/>
      <w:sz w:val="26"/>
      <w:szCs w:val="26"/>
    </w:rPr>
  </w:style>
  <w:style w:type="character" w:customStyle="1" w:styleId="Heading6Char">
    <w:name w:val="Heading 6 Char"/>
    <w:basedOn w:val="DefaultParagraphFont"/>
    <w:link w:val="Heading6"/>
    <w:rsid w:val="00B10F52"/>
    <w:rPr>
      <w:rFonts w:ascii="Calibri" w:hAnsi="Calibri" w:cs="Arial"/>
      <w:b/>
      <w:bCs/>
      <w:i/>
      <w:sz w:val="24"/>
      <w:szCs w:val="24"/>
    </w:rPr>
  </w:style>
  <w:style w:type="paragraph" w:customStyle="1" w:styleId="TableNotes">
    <w:name w:val="TableNotes"/>
    <w:basedOn w:val="Normal"/>
    <w:next w:val="Normal"/>
    <w:link w:val="TableNotesChar"/>
    <w:uiPriority w:val="3"/>
    <w:rsid w:val="00D13322"/>
    <w:pPr>
      <w:tabs>
        <w:tab w:val="left" w:pos="1134"/>
      </w:tabs>
      <w:ind w:left="1134" w:hanging="1134"/>
    </w:pPr>
    <w:rPr>
      <w:rFonts w:eastAsiaTheme="minorEastAsia" w:cstheme="minorBidi"/>
      <w:sz w:val="18"/>
      <w:szCs w:val="18"/>
      <w:lang w:eastAsia="zh-CN"/>
    </w:rPr>
  </w:style>
  <w:style w:type="character" w:customStyle="1" w:styleId="TableNotesChar">
    <w:name w:val="TableNotes Char"/>
    <w:basedOn w:val="DefaultParagraphFont"/>
    <w:link w:val="TableNotes"/>
    <w:uiPriority w:val="3"/>
    <w:rsid w:val="00D13322"/>
    <w:rPr>
      <w:rFonts w:ascii="Calibri" w:eastAsiaTheme="minorEastAsia" w:hAnsi="Calibri" w:cstheme="minorBidi"/>
      <w:sz w:val="18"/>
      <w:szCs w:val="18"/>
      <w:lang w:eastAsia="zh-CN"/>
    </w:rPr>
  </w:style>
  <w:style w:type="paragraph" w:customStyle="1" w:styleId="2Sections">
    <w:name w:val="2. Sections"/>
    <w:qFormat/>
    <w:rsid w:val="000047C0"/>
    <w:pPr>
      <w:spacing w:before="240" w:after="120"/>
      <w:ind w:left="720" w:hanging="720"/>
      <w:outlineLvl w:val="0"/>
    </w:pPr>
    <w:rPr>
      <w:rFonts w:asciiTheme="minorHAnsi" w:hAnsiTheme="minorHAnsi" w:cs="Arial"/>
      <w:b/>
      <w:snapToGrid w:val="0"/>
      <w:sz w:val="32"/>
      <w:szCs w:val="32"/>
      <w:lang w:eastAsia="en-US"/>
    </w:rPr>
  </w:style>
  <w:style w:type="paragraph" w:customStyle="1" w:styleId="3Bodytext">
    <w:name w:val="3. Body text"/>
    <w:basedOn w:val="ListParagraph"/>
    <w:qFormat/>
    <w:rsid w:val="000047C0"/>
    <w:pPr>
      <w:ind w:left="720" w:hanging="720"/>
    </w:pPr>
    <w:rPr>
      <w:rFonts w:eastAsiaTheme="minorHAnsi" w:cstheme="minorBidi"/>
      <w:snapToGrid/>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09083625">
      <w:bodyDiv w:val="1"/>
      <w:marLeft w:val="0"/>
      <w:marRight w:val="0"/>
      <w:marTop w:val="0"/>
      <w:marBottom w:val="0"/>
      <w:divBdr>
        <w:top w:val="none" w:sz="0" w:space="0" w:color="auto"/>
        <w:left w:val="none" w:sz="0" w:space="0" w:color="auto"/>
        <w:bottom w:val="none" w:sz="0" w:space="0" w:color="auto"/>
        <w:right w:val="none" w:sz="0" w:space="0" w:color="auto"/>
      </w:divBdr>
    </w:div>
    <w:div w:id="783619545">
      <w:bodyDiv w:val="1"/>
      <w:marLeft w:val="0"/>
      <w:marRight w:val="0"/>
      <w:marTop w:val="0"/>
      <w:marBottom w:val="0"/>
      <w:divBdr>
        <w:top w:val="none" w:sz="0" w:space="0" w:color="auto"/>
        <w:left w:val="none" w:sz="0" w:space="0" w:color="auto"/>
        <w:bottom w:val="none" w:sz="0" w:space="0" w:color="auto"/>
        <w:right w:val="none" w:sz="0" w:space="0" w:color="auto"/>
      </w:divBdr>
    </w:div>
    <w:div w:id="827748220">
      <w:bodyDiv w:val="1"/>
      <w:marLeft w:val="0"/>
      <w:marRight w:val="0"/>
      <w:marTop w:val="0"/>
      <w:marBottom w:val="0"/>
      <w:divBdr>
        <w:top w:val="none" w:sz="0" w:space="0" w:color="auto"/>
        <w:left w:val="none" w:sz="0" w:space="0" w:color="auto"/>
        <w:bottom w:val="none" w:sz="0" w:space="0" w:color="auto"/>
        <w:right w:val="none" w:sz="0" w:space="0" w:color="auto"/>
      </w:divBdr>
    </w:div>
    <w:div w:id="102232011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7007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ema.europa.eu/en/medicines/human/EPAR/xalkori" TargetMode="External"/><Relationship Id="rId1" Type="http://schemas.openxmlformats.org/officeDocument/2006/relationships/hyperlink" Target="http://www.pbs.gov.au/industry/listing/elements/pbac-meetings/pbac-outcomes/2019-11/other-matters-11-2019.doc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93D06-B650-4AC5-988F-49F5A7B0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10023</Words>
  <Characters>57376</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2020-06-18T05:32:00Z</dcterms:created>
  <dcterms:modified xsi:type="dcterms:W3CDTF">2020-06-19T05:18:00Z</dcterms:modified>
</cp:coreProperties>
</file>