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D41" w:rsidRPr="00BF27A0" w:rsidRDefault="001B7D41" w:rsidP="004155EC">
      <w:pPr>
        <w:pStyle w:val="1-MainHeading"/>
        <w:spacing w:after="120"/>
        <w:rPr>
          <w:rFonts w:eastAsia="Calibri"/>
          <w:lang w:eastAsia="en-US"/>
        </w:rPr>
      </w:pPr>
      <w:bookmarkStart w:id="0" w:name="_GoBack"/>
      <w:bookmarkEnd w:id="0"/>
      <w:r>
        <w:rPr>
          <w:rFonts w:eastAsia="Calibri"/>
          <w:lang w:eastAsia="en-US"/>
        </w:rPr>
        <w:t>4.01</w:t>
      </w:r>
      <w:r>
        <w:rPr>
          <w:rFonts w:eastAsia="Calibri"/>
          <w:lang w:eastAsia="en-US"/>
        </w:rPr>
        <w:tab/>
        <w:t>FREMANEZUMAB</w:t>
      </w:r>
      <w:r w:rsidRPr="00BF27A0">
        <w:rPr>
          <w:rFonts w:eastAsia="Calibri"/>
          <w:lang w:eastAsia="en-US"/>
        </w:rPr>
        <w:t>,</w:t>
      </w:r>
    </w:p>
    <w:p w:rsidR="001B7D41" w:rsidRPr="00F845EB" w:rsidRDefault="001B7D41" w:rsidP="00BA76EE">
      <w:pPr>
        <w:pStyle w:val="1-MainHeading"/>
        <w:outlineLvl w:val="9"/>
      </w:pPr>
      <w:r w:rsidRPr="00701C6C">
        <w:tab/>
      </w:r>
      <w:r w:rsidRPr="006258D8">
        <w:t xml:space="preserve">Injection 225 mg in 1.5 mL pre-filled syringe, </w:t>
      </w:r>
      <w:r w:rsidRPr="006258D8">
        <w:br/>
      </w:r>
      <w:r w:rsidRPr="00F845EB">
        <w:t>Ajovy®,</w:t>
      </w:r>
      <w:r w:rsidRPr="006258D8">
        <w:t xml:space="preserve"> </w:t>
      </w:r>
      <w:r>
        <w:br/>
      </w:r>
      <w:r w:rsidRPr="00F845EB">
        <w:t>Teva Pharma Australia Pty Ltd</w:t>
      </w:r>
    </w:p>
    <w:p w:rsidR="008A50F1" w:rsidRPr="00D4572C" w:rsidRDefault="00CE10C4" w:rsidP="00951590">
      <w:pPr>
        <w:pStyle w:val="2Sections"/>
        <w:numPr>
          <w:ilvl w:val="0"/>
          <w:numId w:val="13"/>
        </w:numPr>
      </w:pPr>
      <w:r w:rsidRPr="0033263D">
        <w:t xml:space="preserve">Purpose of </w:t>
      </w:r>
      <w:r w:rsidR="0004240E" w:rsidRPr="0033263D">
        <w:t>Application</w:t>
      </w:r>
      <w:r w:rsidR="00034905">
        <w:t xml:space="preserve"> </w:t>
      </w:r>
    </w:p>
    <w:p w:rsidR="001B7D41" w:rsidRDefault="001B7D41" w:rsidP="00951590">
      <w:pPr>
        <w:pStyle w:val="ListParagraph"/>
        <w:numPr>
          <w:ilvl w:val="1"/>
          <w:numId w:val="2"/>
        </w:numPr>
        <w:jc w:val="both"/>
        <w:rPr>
          <w:rFonts w:eastAsiaTheme="minorHAnsi" w:cstheme="minorBidi"/>
          <w:snapToGrid/>
          <w:szCs w:val="22"/>
        </w:rPr>
      </w:pPr>
      <w:r>
        <w:rPr>
          <w:rFonts w:eastAsiaTheme="minorHAnsi" w:cstheme="minorBidi"/>
          <w:snapToGrid/>
          <w:szCs w:val="22"/>
        </w:rPr>
        <w:t>At its November 2019 meeting, the PBAC deferred making a recommendation for fremanezumab for the treatment of chronic migraine</w:t>
      </w:r>
      <w:r w:rsidRPr="00644C5A">
        <w:t xml:space="preserve"> </w:t>
      </w:r>
      <w:r w:rsidRPr="00644C5A">
        <w:rPr>
          <w:rFonts w:eastAsiaTheme="minorHAnsi" w:cstheme="minorBidi"/>
          <w:snapToGrid/>
          <w:szCs w:val="22"/>
        </w:rPr>
        <w:t>in patients who have experienced an inadequate response, intolerance or a contraindication to at least three prophylactic migraine medications</w:t>
      </w:r>
      <w:r>
        <w:rPr>
          <w:rFonts w:eastAsiaTheme="minorHAnsi" w:cstheme="minorBidi"/>
          <w:snapToGrid/>
          <w:szCs w:val="22"/>
        </w:rPr>
        <w:t>.</w:t>
      </w:r>
    </w:p>
    <w:p w:rsidR="001B7D41" w:rsidRPr="0004350C" w:rsidRDefault="001B7D41" w:rsidP="00951590">
      <w:pPr>
        <w:pStyle w:val="ListParagraph"/>
        <w:numPr>
          <w:ilvl w:val="1"/>
          <w:numId w:val="2"/>
        </w:numPr>
        <w:jc w:val="both"/>
        <w:rPr>
          <w:rFonts w:eastAsiaTheme="minorHAnsi"/>
        </w:rPr>
      </w:pPr>
      <w:r w:rsidRPr="006135E8">
        <w:rPr>
          <w:rFonts w:eastAsiaTheme="minorHAnsi" w:cstheme="minorBidi"/>
          <w:snapToGrid/>
          <w:szCs w:val="22"/>
        </w:rPr>
        <w:t xml:space="preserve">The PBAC considered fremanezumab was an alternative treatment to </w:t>
      </w:r>
      <w:r w:rsidR="00072697">
        <w:rPr>
          <w:rFonts w:eastAsiaTheme="minorHAnsi" w:cstheme="minorBidi"/>
          <w:snapToGrid/>
          <w:szCs w:val="22"/>
        </w:rPr>
        <w:t xml:space="preserve">botulinum toxin type A (herein referred to as </w:t>
      </w:r>
      <w:r w:rsidRPr="006135E8">
        <w:rPr>
          <w:rFonts w:eastAsiaTheme="minorHAnsi" w:cstheme="minorBidi"/>
          <w:snapToGrid/>
          <w:szCs w:val="22"/>
        </w:rPr>
        <w:t>Botox</w:t>
      </w:r>
      <w:r w:rsidR="00072697">
        <w:rPr>
          <w:rFonts w:eastAsiaTheme="minorHAnsi" w:cstheme="minorBidi"/>
          <w:snapToGrid/>
          <w:szCs w:val="22"/>
        </w:rPr>
        <w:t>)</w:t>
      </w:r>
      <w:r>
        <w:rPr>
          <w:rFonts w:eastAsiaTheme="minorHAnsi" w:cstheme="minorBidi"/>
          <w:snapToGrid/>
          <w:szCs w:val="22"/>
        </w:rPr>
        <w:t xml:space="preserve"> (currently listed) </w:t>
      </w:r>
      <w:r w:rsidRPr="006135E8">
        <w:rPr>
          <w:rFonts w:eastAsiaTheme="minorHAnsi" w:cstheme="minorBidi"/>
          <w:snapToGrid/>
          <w:szCs w:val="22"/>
        </w:rPr>
        <w:t xml:space="preserve">and galcanezumab </w:t>
      </w:r>
      <w:r>
        <w:rPr>
          <w:rFonts w:eastAsiaTheme="minorHAnsi" w:cstheme="minorBidi"/>
          <w:snapToGrid/>
          <w:szCs w:val="22"/>
        </w:rPr>
        <w:t xml:space="preserve">(recommended for listing in July 2019) </w:t>
      </w:r>
      <w:r w:rsidRPr="006135E8">
        <w:rPr>
          <w:rFonts w:eastAsiaTheme="minorHAnsi" w:cstheme="minorBidi"/>
          <w:snapToGrid/>
          <w:szCs w:val="22"/>
        </w:rPr>
        <w:t>for patients with chronic migraine and provided a similar reduction in monthly migraine days. The PBAC was of a mind to recommend fremanezumab for listing on the basis of cost-minimisation to Botox or galcanezumab but deferred making a recommendation to address the uncertainties regarding the number of patients who would be treated and the net financial cost of listing fremanezumab on the PBS</w:t>
      </w:r>
      <w:r>
        <w:rPr>
          <w:rFonts w:eastAsiaTheme="minorHAnsi" w:cstheme="minorBidi"/>
          <w:snapToGrid/>
          <w:szCs w:val="22"/>
        </w:rPr>
        <w:t xml:space="preserve"> (p</w:t>
      </w:r>
      <w:r w:rsidR="00AF7991">
        <w:rPr>
          <w:rFonts w:eastAsiaTheme="minorHAnsi" w:cstheme="minorBidi"/>
          <w:snapToGrid/>
          <w:szCs w:val="22"/>
        </w:rPr>
        <w:t>aragraph 7.1, fremanezumab</w:t>
      </w:r>
      <w:r w:rsidR="00407265">
        <w:rPr>
          <w:rFonts w:eastAsiaTheme="minorHAnsi" w:cstheme="minorBidi"/>
          <w:snapToGrid/>
          <w:szCs w:val="22"/>
        </w:rPr>
        <w:t xml:space="preserve"> public summary document (PSD)</w:t>
      </w:r>
      <w:r>
        <w:rPr>
          <w:rFonts w:eastAsiaTheme="minorHAnsi" w:cstheme="minorBidi"/>
          <w:snapToGrid/>
          <w:szCs w:val="22"/>
        </w:rPr>
        <w:t>, November 2019 PBAC meeting).</w:t>
      </w:r>
    </w:p>
    <w:p w:rsidR="001B7D41" w:rsidRPr="0004350C" w:rsidRDefault="001B7D41" w:rsidP="00951590">
      <w:pPr>
        <w:pStyle w:val="ListParagraph"/>
        <w:numPr>
          <w:ilvl w:val="1"/>
          <w:numId w:val="2"/>
        </w:numPr>
        <w:jc w:val="both"/>
        <w:rPr>
          <w:rFonts w:eastAsiaTheme="minorHAnsi"/>
        </w:rPr>
      </w:pPr>
      <w:r>
        <w:rPr>
          <w:rFonts w:eastAsiaTheme="minorHAnsi" w:cstheme="minorBidi"/>
          <w:snapToGrid/>
          <w:szCs w:val="22"/>
        </w:rPr>
        <w:t xml:space="preserve">The </w:t>
      </w:r>
      <w:r w:rsidR="00A63E5B">
        <w:rPr>
          <w:rFonts w:eastAsiaTheme="minorHAnsi" w:cstheme="minorBidi"/>
          <w:snapToGrid/>
          <w:szCs w:val="22"/>
        </w:rPr>
        <w:t xml:space="preserve">Sponsor </w:t>
      </w:r>
      <w:r w:rsidR="00BF1945">
        <w:rPr>
          <w:rFonts w:eastAsiaTheme="minorHAnsi" w:cstheme="minorBidi"/>
          <w:snapToGrid/>
          <w:szCs w:val="22"/>
        </w:rPr>
        <w:t>provided the following information to address the PBAC’s concerns</w:t>
      </w:r>
      <w:r w:rsidR="00CB750B">
        <w:rPr>
          <w:rFonts w:eastAsiaTheme="minorHAnsi" w:cstheme="minorBidi"/>
          <w:snapToGrid/>
          <w:szCs w:val="22"/>
        </w:rPr>
        <w:t xml:space="preserve"> (paragraph 7.11</w:t>
      </w:r>
      <w:r w:rsidR="00EA19C9" w:rsidRPr="00EA19C9">
        <w:rPr>
          <w:rFonts w:eastAsiaTheme="minorHAnsi" w:cstheme="minorBidi"/>
          <w:snapToGrid/>
          <w:szCs w:val="22"/>
        </w:rPr>
        <w:t xml:space="preserve"> </w:t>
      </w:r>
      <w:r w:rsidR="00AF7991">
        <w:rPr>
          <w:rFonts w:eastAsiaTheme="minorHAnsi" w:cstheme="minorBidi"/>
          <w:snapToGrid/>
          <w:szCs w:val="22"/>
        </w:rPr>
        <w:t>fremanezumab</w:t>
      </w:r>
      <w:r w:rsidR="00407265">
        <w:rPr>
          <w:rFonts w:eastAsiaTheme="minorHAnsi" w:cstheme="minorBidi"/>
          <w:snapToGrid/>
          <w:szCs w:val="22"/>
        </w:rPr>
        <w:t xml:space="preserve"> PSD</w:t>
      </w:r>
      <w:r w:rsidR="00EA19C9">
        <w:rPr>
          <w:rFonts w:eastAsiaTheme="minorHAnsi" w:cstheme="minorBidi"/>
          <w:snapToGrid/>
          <w:szCs w:val="22"/>
        </w:rPr>
        <w:t>, November 2019 PBAC meeting</w:t>
      </w:r>
      <w:r w:rsidR="00CB750B">
        <w:rPr>
          <w:rFonts w:eastAsiaTheme="minorHAnsi" w:cstheme="minorBidi"/>
          <w:snapToGrid/>
          <w:szCs w:val="22"/>
        </w:rPr>
        <w:t>)</w:t>
      </w:r>
      <w:r w:rsidRPr="0004350C">
        <w:rPr>
          <w:rFonts w:eastAsiaTheme="minorHAnsi" w:cstheme="minorBidi"/>
          <w:snapToGrid/>
          <w:szCs w:val="22"/>
        </w:rPr>
        <w:t>:</w:t>
      </w:r>
    </w:p>
    <w:p w:rsidR="00CB750B" w:rsidRPr="00CB750B" w:rsidRDefault="00CB750B" w:rsidP="00CB750B">
      <w:pPr>
        <w:pStyle w:val="ListBullet"/>
        <w:numPr>
          <w:ilvl w:val="0"/>
          <w:numId w:val="16"/>
        </w:numPr>
        <w:rPr>
          <w:rFonts w:eastAsiaTheme="minorHAnsi"/>
        </w:rPr>
      </w:pPr>
      <w:r w:rsidRPr="00CB750B">
        <w:rPr>
          <w:rFonts w:eastAsiaTheme="minorHAnsi"/>
        </w:rPr>
        <w:t xml:space="preserve">A revised </w:t>
      </w:r>
      <w:r w:rsidR="003A21C5">
        <w:rPr>
          <w:rFonts w:eastAsiaTheme="minorHAnsi"/>
        </w:rPr>
        <w:t>cost-minimisation analysis (</w:t>
      </w:r>
      <w:r w:rsidRPr="00CB750B">
        <w:rPr>
          <w:rFonts w:eastAsiaTheme="minorHAnsi"/>
        </w:rPr>
        <w:t>CMA</w:t>
      </w:r>
      <w:r w:rsidR="003A21C5">
        <w:rPr>
          <w:rFonts w:eastAsiaTheme="minorHAnsi"/>
        </w:rPr>
        <w:t>)</w:t>
      </w:r>
      <w:r w:rsidRPr="00CB750B">
        <w:rPr>
          <w:rFonts w:eastAsiaTheme="minorHAnsi"/>
        </w:rPr>
        <w:t xml:space="preserve"> versus Botox </w:t>
      </w:r>
      <w:r w:rsidR="002D1920">
        <w:rPr>
          <w:rFonts w:eastAsiaTheme="minorHAnsi"/>
        </w:rPr>
        <w:t xml:space="preserve">with </w:t>
      </w:r>
      <w:r>
        <w:rPr>
          <w:rFonts w:eastAsiaTheme="minorHAnsi"/>
        </w:rPr>
        <w:t xml:space="preserve">equi-effective </w:t>
      </w:r>
      <w:r w:rsidRPr="00CB750B">
        <w:rPr>
          <w:rFonts w:eastAsiaTheme="minorHAnsi"/>
        </w:rPr>
        <w:t>doses of fremanezumab 225 mg every mont</w:t>
      </w:r>
      <w:r>
        <w:rPr>
          <w:rFonts w:eastAsiaTheme="minorHAnsi"/>
        </w:rPr>
        <w:t xml:space="preserve">h </w:t>
      </w:r>
      <w:r w:rsidRPr="00CB750B">
        <w:rPr>
          <w:rFonts w:eastAsiaTheme="minorHAnsi"/>
        </w:rPr>
        <w:t>a</w:t>
      </w:r>
      <w:r w:rsidR="00BD041F">
        <w:rPr>
          <w:rFonts w:eastAsiaTheme="minorHAnsi"/>
        </w:rPr>
        <w:t>nd 164U of Botox every 12 weeks</w:t>
      </w:r>
      <w:r w:rsidR="00182F22">
        <w:rPr>
          <w:rFonts w:eastAsiaTheme="minorHAnsi"/>
        </w:rPr>
        <w:t>;</w:t>
      </w:r>
    </w:p>
    <w:p w:rsidR="00CB750B" w:rsidRPr="00CB750B" w:rsidRDefault="00CB750B" w:rsidP="00CB750B">
      <w:pPr>
        <w:pStyle w:val="ListBullet"/>
        <w:numPr>
          <w:ilvl w:val="0"/>
          <w:numId w:val="16"/>
        </w:numPr>
        <w:rPr>
          <w:rFonts w:eastAsiaTheme="minorHAnsi"/>
        </w:rPr>
      </w:pPr>
      <w:r w:rsidRPr="00CB750B">
        <w:rPr>
          <w:rFonts w:eastAsiaTheme="minorHAnsi"/>
        </w:rPr>
        <w:t>A revised estimate of patient numbers</w:t>
      </w:r>
      <w:r w:rsidR="00182F22">
        <w:rPr>
          <w:rFonts w:eastAsiaTheme="minorHAnsi"/>
        </w:rPr>
        <w:t>;</w:t>
      </w:r>
      <w:r w:rsidRPr="00CB750B">
        <w:rPr>
          <w:rFonts w:eastAsiaTheme="minorHAnsi"/>
        </w:rPr>
        <w:t xml:space="preserve"> </w:t>
      </w:r>
    </w:p>
    <w:p w:rsidR="00CB750B" w:rsidRPr="00CB750B" w:rsidRDefault="00CB750B" w:rsidP="00CB750B">
      <w:pPr>
        <w:pStyle w:val="ListBullet"/>
        <w:numPr>
          <w:ilvl w:val="0"/>
          <w:numId w:val="16"/>
        </w:numPr>
        <w:rPr>
          <w:rFonts w:eastAsiaTheme="minorHAnsi"/>
        </w:rPr>
      </w:pPr>
      <w:r w:rsidRPr="00CB750B">
        <w:rPr>
          <w:rFonts w:eastAsiaTheme="minorHAnsi"/>
        </w:rPr>
        <w:t>A revised estimate of the net financial cos</w:t>
      </w:r>
      <w:r>
        <w:rPr>
          <w:rFonts w:eastAsiaTheme="minorHAnsi"/>
        </w:rPr>
        <w:t>t of listing fremanezumab</w:t>
      </w:r>
      <w:r w:rsidR="00182F22">
        <w:rPr>
          <w:rFonts w:eastAsiaTheme="minorHAnsi"/>
        </w:rPr>
        <w:t>; and</w:t>
      </w:r>
      <w:r>
        <w:rPr>
          <w:rFonts w:eastAsiaTheme="minorHAnsi"/>
        </w:rPr>
        <w:t xml:space="preserve"> </w:t>
      </w:r>
    </w:p>
    <w:p w:rsidR="00CB750B" w:rsidRDefault="00CB750B" w:rsidP="00A24AA1">
      <w:pPr>
        <w:pStyle w:val="ListBullet"/>
        <w:numPr>
          <w:ilvl w:val="0"/>
          <w:numId w:val="16"/>
        </w:numPr>
        <w:spacing w:after="240"/>
        <w:rPr>
          <w:rFonts w:eastAsiaTheme="minorHAnsi"/>
        </w:rPr>
      </w:pPr>
      <w:r w:rsidRPr="00CB750B">
        <w:rPr>
          <w:rFonts w:eastAsiaTheme="minorHAnsi"/>
        </w:rPr>
        <w:t>Details regarding a risk share arrangement</w:t>
      </w:r>
      <w:r w:rsidR="00D87597">
        <w:rPr>
          <w:rFonts w:eastAsiaTheme="minorHAnsi"/>
        </w:rPr>
        <w:t xml:space="preserve"> (RSA)</w:t>
      </w:r>
      <w:r w:rsidRPr="00CB750B">
        <w:rPr>
          <w:rFonts w:eastAsiaTheme="minorHAnsi"/>
        </w:rPr>
        <w:t xml:space="preserve"> </w:t>
      </w:r>
      <w:r w:rsidR="00182F22">
        <w:rPr>
          <w:rFonts w:eastAsiaTheme="minorHAnsi"/>
        </w:rPr>
        <w:t>to</w:t>
      </w:r>
      <w:r>
        <w:rPr>
          <w:rFonts w:eastAsiaTheme="minorHAnsi"/>
        </w:rPr>
        <w:t xml:space="preserve"> manage the </w:t>
      </w:r>
      <w:r w:rsidRPr="00CB750B">
        <w:rPr>
          <w:rFonts w:eastAsiaTheme="minorHAnsi"/>
        </w:rPr>
        <w:t>uncertainty regarding the size of the patient popul</w:t>
      </w:r>
      <w:r>
        <w:rPr>
          <w:rFonts w:eastAsiaTheme="minorHAnsi"/>
        </w:rPr>
        <w:t>ation</w:t>
      </w:r>
      <w:r w:rsidRPr="00CB750B">
        <w:rPr>
          <w:rFonts w:eastAsiaTheme="minorHAnsi"/>
        </w:rPr>
        <w:t xml:space="preserve">. </w:t>
      </w:r>
    </w:p>
    <w:p w:rsidR="00B17EE5" w:rsidRDefault="00B17EE5" w:rsidP="00951590">
      <w:pPr>
        <w:pStyle w:val="2Sections"/>
        <w:numPr>
          <w:ilvl w:val="0"/>
          <w:numId w:val="13"/>
        </w:numPr>
      </w:pPr>
      <w:r w:rsidRPr="002B5596">
        <w:t>Requested listing</w:t>
      </w:r>
    </w:p>
    <w:p w:rsidR="00A331D9" w:rsidRPr="00A331D9" w:rsidRDefault="00A331D9" w:rsidP="00303755">
      <w:pPr>
        <w:rPr>
          <w:rFonts w:eastAsiaTheme="minorHAnsi"/>
        </w:rPr>
      </w:pPr>
    </w:p>
    <w:tbl>
      <w:tblPr>
        <w:tblW w:w="9236" w:type="dxa"/>
        <w:tblBorders>
          <w:top w:val="single" w:sz="4" w:space="0" w:color="auto"/>
          <w:bottom w:val="single" w:sz="4" w:space="0" w:color="auto"/>
          <w:insideH w:val="single" w:sz="4" w:space="0" w:color="auto"/>
        </w:tblBorders>
        <w:tblLook w:val="04A0" w:firstRow="1" w:lastRow="0" w:firstColumn="1" w:lastColumn="0" w:noHBand="0" w:noVBand="1"/>
      </w:tblPr>
      <w:tblGrid>
        <w:gridCol w:w="2271"/>
        <w:gridCol w:w="1330"/>
        <w:gridCol w:w="1310"/>
        <w:gridCol w:w="940"/>
        <w:gridCol w:w="1647"/>
        <w:gridCol w:w="1738"/>
      </w:tblGrid>
      <w:tr w:rsidR="0080066A" w:rsidRPr="006258D8" w:rsidTr="002D07FE">
        <w:tc>
          <w:tcPr>
            <w:tcW w:w="0" w:type="auto"/>
            <w:vAlign w:val="center"/>
          </w:tcPr>
          <w:p w:rsidR="0080066A" w:rsidRPr="00951590" w:rsidRDefault="0080066A" w:rsidP="002D07FE">
            <w:pPr>
              <w:pStyle w:val="Tabletext"/>
              <w:rPr>
                <w:rFonts w:ascii="Arial Narrow" w:hAnsi="Arial Narrow"/>
                <w:b/>
                <w:bCs/>
              </w:rPr>
            </w:pPr>
            <w:r w:rsidRPr="00951590">
              <w:rPr>
                <w:rFonts w:ascii="Arial Narrow" w:hAnsi="Arial Narrow"/>
                <w:b/>
              </w:rPr>
              <w:t>Name, restriction, manner of administration, form</w:t>
            </w:r>
          </w:p>
        </w:tc>
        <w:tc>
          <w:tcPr>
            <w:tcW w:w="0" w:type="auto"/>
            <w:vAlign w:val="center"/>
          </w:tcPr>
          <w:p w:rsidR="0080066A" w:rsidRPr="00951590" w:rsidRDefault="0080066A" w:rsidP="002D07FE">
            <w:pPr>
              <w:pStyle w:val="Tabletext"/>
              <w:jc w:val="center"/>
              <w:rPr>
                <w:rFonts w:ascii="Arial Narrow" w:hAnsi="Arial Narrow"/>
                <w:b/>
                <w:bCs/>
              </w:rPr>
            </w:pPr>
            <w:r w:rsidRPr="00951590">
              <w:rPr>
                <w:rFonts w:ascii="Arial Narrow" w:hAnsi="Arial Narrow"/>
                <w:b/>
              </w:rPr>
              <w:t>Maximum quantity (packs)</w:t>
            </w:r>
          </w:p>
        </w:tc>
        <w:tc>
          <w:tcPr>
            <w:tcW w:w="0" w:type="auto"/>
            <w:vAlign w:val="center"/>
          </w:tcPr>
          <w:p w:rsidR="0080066A" w:rsidRPr="00951590" w:rsidRDefault="0080066A" w:rsidP="002D07FE">
            <w:pPr>
              <w:pStyle w:val="Tabletext"/>
              <w:jc w:val="center"/>
              <w:rPr>
                <w:rFonts w:ascii="Arial Narrow" w:hAnsi="Arial Narrow"/>
                <w:b/>
                <w:bCs/>
              </w:rPr>
            </w:pPr>
            <w:r w:rsidRPr="00951590">
              <w:rPr>
                <w:rFonts w:ascii="Arial Narrow" w:hAnsi="Arial Narrow"/>
                <w:b/>
              </w:rPr>
              <w:t>Maximum quantity (units)</w:t>
            </w:r>
          </w:p>
        </w:tc>
        <w:tc>
          <w:tcPr>
            <w:tcW w:w="0" w:type="auto"/>
            <w:vAlign w:val="center"/>
          </w:tcPr>
          <w:p w:rsidR="0080066A" w:rsidRPr="00951590" w:rsidRDefault="0080066A" w:rsidP="002D07FE">
            <w:pPr>
              <w:pStyle w:val="Tabletext"/>
              <w:jc w:val="center"/>
              <w:rPr>
                <w:rFonts w:ascii="Arial Narrow" w:hAnsi="Arial Narrow"/>
                <w:b/>
                <w:bCs/>
              </w:rPr>
            </w:pPr>
            <w:r w:rsidRPr="00951590">
              <w:rPr>
                <w:rFonts w:ascii="Arial Narrow" w:hAnsi="Arial Narrow"/>
                <w:b/>
              </w:rPr>
              <w:t>No. of repeats</w:t>
            </w:r>
          </w:p>
        </w:tc>
        <w:tc>
          <w:tcPr>
            <w:tcW w:w="0" w:type="auto"/>
            <w:vAlign w:val="center"/>
          </w:tcPr>
          <w:p w:rsidR="0080066A" w:rsidRPr="00951590" w:rsidRDefault="0080066A" w:rsidP="002D07FE">
            <w:pPr>
              <w:pStyle w:val="Tabletext"/>
              <w:jc w:val="center"/>
              <w:rPr>
                <w:rFonts w:ascii="Arial Narrow" w:hAnsi="Arial Narrow"/>
                <w:b/>
                <w:bCs/>
              </w:rPr>
            </w:pPr>
            <w:r w:rsidRPr="00951590">
              <w:rPr>
                <w:rFonts w:ascii="Arial Narrow" w:hAnsi="Arial Narrow"/>
                <w:b/>
              </w:rPr>
              <w:t>Dispensed price for maximum quantity</w:t>
            </w:r>
          </w:p>
        </w:tc>
        <w:tc>
          <w:tcPr>
            <w:tcW w:w="0" w:type="auto"/>
            <w:vAlign w:val="center"/>
          </w:tcPr>
          <w:p w:rsidR="0080066A" w:rsidRPr="00951590" w:rsidRDefault="0080066A" w:rsidP="002D07FE">
            <w:pPr>
              <w:pStyle w:val="Tabletext"/>
              <w:jc w:val="center"/>
              <w:rPr>
                <w:rFonts w:ascii="Arial Narrow" w:hAnsi="Arial Narrow"/>
                <w:b/>
                <w:bCs/>
              </w:rPr>
            </w:pPr>
            <w:r w:rsidRPr="00951590">
              <w:rPr>
                <w:rFonts w:ascii="Arial Narrow" w:hAnsi="Arial Narrow"/>
                <w:b/>
              </w:rPr>
              <w:t>Proprietary name and manufacturer</w:t>
            </w:r>
          </w:p>
        </w:tc>
      </w:tr>
      <w:tr w:rsidR="0080066A" w:rsidRPr="006258D8" w:rsidTr="002D07FE">
        <w:tc>
          <w:tcPr>
            <w:tcW w:w="0" w:type="auto"/>
            <w:vAlign w:val="center"/>
          </w:tcPr>
          <w:p w:rsidR="0080066A" w:rsidRPr="00951590" w:rsidRDefault="0080066A" w:rsidP="002D07FE">
            <w:pPr>
              <w:pStyle w:val="Tabletext"/>
              <w:rPr>
                <w:rFonts w:ascii="Arial Narrow" w:hAnsi="Arial Narrow"/>
              </w:rPr>
            </w:pPr>
            <w:r w:rsidRPr="00951590">
              <w:rPr>
                <w:rFonts w:ascii="Arial Narrow" w:hAnsi="Arial Narrow"/>
              </w:rPr>
              <w:t>FREMANEZUMAB</w:t>
            </w:r>
          </w:p>
          <w:p w:rsidR="0080066A" w:rsidRPr="00951590" w:rsidRDefault="0080066A" w:rsidP="002D07FE">
            <w:pPr>
              <w:pStyle w:val="Tabletext"/>
              <w:rPr>
                <w:rFonts w:ascii="Arial Narrow" w:hAnsi="Arial Narrow"/>
                <w:b/>
                <w:bCs/>
              </w:rPr>
            </w:pPr>
            <w:r w:rsidRPr="00D074CC">
              <w:rPr>
                <w:rFonts w:ascii="Arial Narrow" w:hAnsi="Arial Narrow"/>
              </w:rPr>
              <w:t>225 mg/1.5 mL injection, 1.5 mL syringe.</w:t>
            </w:r>
          </w:p>
        </w:tc>
        <w:tc>
          <w:tcPr>
            <w:tcW w:w="0" w:type="auto"/>
            <w:vAlign w:val="center"/>
          </w:tcPr>
          <w:p w:rsidR="0080066A" w:rsidRPr="00951590" w:rsidRDefault="0080066A" w:rsidP="002D07FE">
            <w:pPr>
              <w:pStyle w:val="Tabletext"/>
              <w:jc w:val="center"/>
              <w:rPr>
                <w:rFonts w:ascii="Arial Narrow" w:hAnsi="Arial Narrow"/>
              </w:rPr>
            </w:pPr>
            <w:r w:rsidRPr="00951590">
              <w:rPr>
                <w:rFonts w:ascii="Arial Narrow" w:hAnsi="Arial Narrow"/>
              </w:rPr>
              <w:t>1</w:t>
            </w:r>
          </w:p>
        </w:tc>
        <w:tc>
          <w:tcPr>
            <w:tcW w:w="0" w:type="auto"/>
            <w:vAlign w:val="center"/>
          </w:tcPr>
          <w:p w:rsidR="0080066A" w:rsidRPr="00951590" w:rsidRDefault="0080066A" w:rsidP="002D07FE">
            <w:pPr>
              <w:pStyle w:val="Tabletext"/>
              <w:jc w:val="center"/>
              <w:rPr>
                <w:rFonts w:ascii="Arial Narrow" w:hAnsi="Arial Narrow"/>
              </w:rPr>
            </w:pPr>
            <w:r w:rsidRPr="00951590">
              <w:rPr>
                <w:rFonts w:ascii="Arial Narrow" w:hAnsi="Arial Narrow"/>
              </w:rPr>
              <w:t>1</w:t>
            </w:r>
          </w:p>
        </w:tc>
        <w:tc>
          <w:tcPr>
            <w:tcW w:w="0" w:type="auto"/>
            <w:vAlign w:val="center"/>
          </w:tcPr>
          <w:p w:rsidR="0080066A" w:rsidRPr="00951590" w:rsidRDefault="0080066A" w:rsidP="002D07FE">
            <w:pPr>
              <w:pStyle w:val="Tabletext"/>
              <w:jc w:val="center"/>
              <w:rPr>
                <w:rFonts w:ascii="Arial Narrow" w:hAnsi="Arial Narrow"/>
              </w:rPr>
            </w:pPr>
            <w:r w:rsidRPr="00951590">
              <w:rPr>
                <w:rFonts w:ascii="Arial Narrow" w:hAnsi="Arial Narrow"/>
              </w:rPr>
              <w:t>2</w:t>
            </w:r>
          </w:p>
        </w:tc>
        <w:tc>
          <w:tcPr>
            <w:tcW w:w="0" w:type="auto"/>
            <w:vAlign w:val="center"/>
          </w:tcPr>
          <w:p w:rsidR="0080066A" w:rsidRPr="00951590" w:rsidRDefault="0080066A" w:rsidP="002D07FE">
            <w:pPr>
              <w:pStyle w:val="Tabletext"/>
              <w:jc w:val="left"/>
              <w:rPr>
                <w:rFonts w:ascii="Arial Narrow" w:hAnsi="Arial Narrow"/>
              </w:rPr>
            </w:pPr>
            <w:r>
              <w:rPr>
                <w:rFonts w:ascii="Arial Narrow" w:hAnsi="Arial Narrow"/>
              </w:rPr>
              <w:t>Published: $</w:t>
            </w:r>
            <w:r w:rsidR="00920C75">
              <w:rPr>
                <w:rFonts w:ascii="Arial Narrow" w:hAnsi="Arial Narrow"/>
                <w:noProof/>
                <w:color w:val="000000"/>
                <w:highlight w:val="black"/>
              </w:rPr>
              <w:t>'''''''''''''''</w:t>
            </w:r>
          </w:p>
          <w:p w:rsidR="0080066A" w:rsidRDefault="0080066A" w:rsidP="002D07FE">
            <w:pPr>
              <w:pStyle w:val="Tabletext"/>
              <w:jc w:val="left"/>
              <w:rPr>
                <w:rFonts w:ascii="Arial Narrow" w:hAnsi="Arial Narrow"/>
              </w:rPr>
            </w:pPr>
            <w:r w:rsidRPr="00951590">
              <w:rPr>
                <w:rFonts w:ascii="Arial Narrow" w:hAnsi="Arial Narrow"/>
              </w:rPr>
              <w:t xml:space="preserve">Effective: </w:t>
            </w:r>
            <w:r w:rsidR="002A6548" w:rsidRPr="00951590">
              <w:rPr>
                <w:rFonts w:ascii="Arial Narrow" w:hAnsi="Arial Narrow"/>
              </w:rPr>
              <w:t>$</w:t>
            </w:r>
            <w:r w:rsidR="00920C75">
              <w:rPr>
                <w:rFonts w:ascii="Arial Narrow" w:hAnsi="Arial Narrow"/>
                <w:noProof/>
                <w:color w:val="000000"/>
                <w:highlight w:val="black"/>
              </w:rPr>
              <w:t>'''''''''''''''</w:t>
            </w:r>
          </w:p>
          <w:p w:rsidR="0080066A" w:rsidRPr="00951590" w:rsidRDefault="0080066A" w:rsidP="002D07FE">
            <w:pPr>
              <w:pStyle w:val="Tabletext"/>
              <w:jc w:val="left"/>
              <w:rPr>
                <w:rFonts w:ascii="Arial Narrow" w:hAnsi="Arial Narrow"/>
              </w:rPr>
            </w:pPr>
          </w:p>
        </w:tc>
        <w:tc>
          <w:tcPr>
            <w:tcW w:w="0" w:type="auto"/>
            <w:vAlign w:val="center"/>
          </w:tcPr>
          <w:p w:rsidR="0080066A" w:rsidRPr="00951590" w:rsidRDefault="0080066A" w:rsidP="002D07FE">
            <w:pPr>
              <w:pStyle w:val="Tabletext"/>
              <w:rPr>
                <w:rFonts w:ascii="Arial Narrow" w:hAnsi="Arial Narrow"/>
              </w:rPr>
            </w:pPr>
            <w:r w:rsidRPr="00951590">
              <w:rPr>
                <w:rFonts w:ascii="Arial Narrow" w:hAnsi="Arial Narrow"/>
              </w:rPr>
              <w:t>Ajovy</w:t>
            </w:r>
            <w:r w:rsidRPr="00951590">
              <w:rPr>
                <w:rFonts w:ascii="Arial Narrow" w:hAnsi="Arial Narrow"/>
                <w:vertAlign w:val="superscript"/>
              </w:rPr>
              <w:t>®</w:t>
            </w:r>
            <w:r w:rsidRPr="00951590">
              <w:rPr>
                <w:rFonts w:ascii="Arial Narrow" w:hAnsi="Arial Narrow"/>
              </w:rPr>
              <w:t>,</w:t>
            </w:r>
          </w:p>
          <w:p w:rsidR="0080066A" w:rsidRPr="00951590" w:rsidRDefault="0080066A" w:rsidP="002D07FE">
            <w:pPr>
              <w:pStyle w:val="Tabletext"/>
              <w:rPr>
                <w:rFonts w:ascii="Arial Narrow" w:hAnsi="Arial Narrow"/>
              </w:rPr>
            </w:pPr>
            <w:r w:rsidRPr="00951590">
              <w:rPr>
                <w:rFonts w:ascii="Arial Narrow" w:hAnsi="Arial Narrow"/>
              </w:rPr>
              <w:t>TEVA</w:t>
            </w:r>
          </w:p>
        </w:tc>
      </w:tr>
    </w:tbl>
    <w:p w:rsidR="0080066A" w:rsidRDefault="0080066A" w:rsidP="0080066A">
      <w:pPr>
        <w:rPr>
          <w:rStyle w:val="CommentReference"/>
        </w:rPr>
      </w:pPr>
    </w:p>
    <w:tbl>
      <w:tblPr>
        <w:tblW w:w="9101" w:type="dxa"/>
        <w:tblInd w:w="108" w:type="dxa"/>
        <w:tblLayout w:type="fixed"/>
        <w:tblLook w:val="0000" w:firstRow="0" w:lastRow="0" w:firstColumn="0" w:lastColumn="0" w:noHBand="0" w:noVBand="0"/>
      </w:tblPr>
      <w:tblGrid>
        <w:gridCol w:w="1872"/>
        <w:gridCol w:w="7229"/>
      </w:tblGrid>
      <w:tr w:rsidR="00214CD1" w:rsidRPr="004612D6" w:rsidTr="00CB4A59">
        <w:trPr>
          <w:cantSplit/>
          <w:trHeight w:val="360"/>
        </w:trPr>
        <w:tc>
          <w:tcPr>
            <w:tcW w:w="1872" w:type="dxa"/>
            <w:tcBorders>
              <w:top w:val="single" w:sz="4" w:space="0" w:color="auto"/>
              <w:left w:val="single" w:sz="4" w:space="0" w:color="auto"/>
              <w:bottom w:val="single" w:sz="4" w:space="0" w:color="auto"/>
              <w:right w:val="single" w:sz="4" w:space="0" w:color="auto"/>
            </w:tcBorders>
          </w:tcPr>
          <w:p w:rsidR="00214CD1" w:rsidRPr="004612D6" w:rsidRDefault="00214CD1" w:rsidP="00CB4A59">
            <w:pPr>
              <w:rPr>
                <w:rFonts w:ascii="Arial Narrow" w:hAnsi="Arial Narrow"/>
                <w:b/>
                <w:sz w:val="20"/>
                <w:szCs w:val="20"/>
              </w:rPr>
            </w:pPr>
            <w:r w:rsidRPr="004612D6">
              <w:rPr>
                <w:rFonts w:ascii="Arial Narrow" w:hAnsi="Arial Narrow"/>
                <w:b/>
                <w:sz w:val="20"/>
                <w:szCs w:val="20"/>
              </w:rPr>
              <w:t>PBS Indication:</w:t>
            </w:r>
          </w:p>
        </w:tc>
        <w:tc>
          <w:tcPr>
            <w:tcW w:w="7229" w:type="dxa"/>
            <w:tcBorders>
              <w:top w:val="single" w:sz="4" w:space="0" w:color="auto"/>
              <w:left w:val="single" w:sz="4" w:space="0" w:color="auto"/>
              <w:bottom w:val="single" w:sz="4" w:space="0" w:color="auto"/>
              <w:right w:val="single" w:sz="4" w:space="0" w:color="auto"/>
            </w:tcBorders>
          </w:tcPr>
          <w:p w:rsidR="00214CD1" w:rsidRPr="004612D6" w:rsidRDefault="00214CD1" w:rsidP="00CB4A59">
            <w:pPr>
              <w:rPr>
                <w:rFonts w:ascii="Arial Narrow" w:hAnsi="Arial Narrow"/>
                <w:sz w:val="20"/>
                <w:szCs w:val="20"/>
              </w:rPr>
            </w:pPr>
            <w:r w:rsidRPr="004612D6">
              <w:rPr>
                <w:rFonts w:ascii="Arial Narrow" w:hAnsi="Arial Narrow"/>
                <w:sz w:val="20"/>
                <w:szCs w:val="20"/>
              </w:rPr>
              <w:t xml:space="preserve">Chronic migraine </w:t>
            </w:r>
          </w:p>
        </w:tc>
      </w:tr>
      <w:tr w:rsidR="00214CD1" w:rsidRPr="004612D6" w:rsidTr="00CB4A59">
        <w:trPr>
          <w:cantSplit/>
          <w:trHeight w:val="360"/>
        </w:trPr>
        <w:tc>
          <w:tcPr>
            <w:tcW w:w="1872" w:type="dxa"/>
            <w:tcBorders>
              <w:top w:val="single" w:sz="4" w:space="0" w:color="auto"/>
              <w:left w:val="single" w:sz="4" w:space="0" w:color="auto"/>
              <w:bottom w:val="single" w:sz="4" w:space="0" w:color="auto"/>
              <w:right w:val="single" w:sz="4" w:space="0" w:color="auto"/>
            </w:tcBorders>
          </w:tcPr>
          <w:p w:rsidR="00214CD1" w:rsidRPr="004612D6" w:rsidRDefault="00214CD1" w:rsidP="00CB4A59">
            <w:pPr>
              <w:rPr>
                <w:rFonts w:ascii="Arial Narrow" w:hAnsi="Arial Narrow"/>
                <w:b/>
                <w:sz w:val="20"/>
                <w:szCs w:val="20"/>
              </w:rPr>
            </w:pPr>
            <w:r w:rsidRPr="004612D6">
              <w:rPr>
                <w:rFonts w:ascii="Arial Narrow" w:hAnsi="Arial Narrow"/>
                <w:b/>
                <w:sz w:val="20"/>
                <w:szCs w:val="20"/>
              </w:rPr>
              <w:lastRenderedPageBreak/>
              <w:t>Treatment phase:</w:t>
            </w:r>
          </w:p>
        </w:tc>
        <w:tc>
          <w:tcPr>
            <w:tcW w:w="7229" w:type="dxa"/>
            <w:tcBorders>
              <w:top w:val="single" w:sz="4" w:space="0" w:color="auto"/>
              <w:left w:val="single" w:sz="4" w:space="0" w:color="auto"/>
              <w:bottom w:val="single" w:sz="4" w:space="0" w:color="auto"/>
              <w:right w:val="single" w:sz="4" w:space="0" w:color="auto"/>
            </w:tcBorders>
          </w:tcPr>
          <w:p w:rsidR="00214CD1" w:rsidRPr="004612D6" w:rsidRDefault="00214CD1" w:rsidP="00CB4A59">
            <w:pPr>
              <w:rPr>
                <w:rFonts w:ascii="Arial Narrow" w:hAnsi="Arial Narrow"/>
                <w:sz w:val="20"/>
                <w:szCs w:val="20"/>
              </w:rPr>
            </w:pPr>
            <w:r w:rsidRPr="004612D6">
              <w:rPr>
                <w:rFonts w:ascii="Arial Narrow" w:hAnsi="Arial Narrow"/>
                <w:sz w:val="20"/>
                <w:szCs w:val="20"/>
              </w:rPr>
              <w:t>Initial</w:t>
            </w:r>
            <w:r w:rsidRPr="0036079E">
              <w:rPr>
                <w:rFonts w:ascii="Arial Narrow" w:hAnsi="Arial Narrow"/>
                <w:sz w:val="20"/>
                <w:szCs w:val="20"/>
              </w:rPr>
              <w:t xml:space="preserve"> treatment</w:t>
            </w:r>
            <w:r w:rsidRPr="004612D6">
              <w:rPr>
                <w:rFonts w:ascii="Arial Narrow" w:hAnsi="Arial Narrow"/>
                <w:sz w:val="20"/>
                <w:szCs w:val="20"/>
              </w:rPr>
              <w:t xml:space="preserve"> </w:t>
            </w:r>
          </w:p>
        </w:tc>
      </w:tr>
      <w:tr w:rsidR="00214CD1" w:rsidRPr="004612D6" w:rsidTr="00CB4A59">
        <w:trPr>
          <w:cantSplit/>
          <w:trHeight w:val="360"/>
        </w:trPr>
        <w:tc>
          <w:tcPr>
            <w:tcW w:w="1872" w:type="dxa"/>
            <w:tcBorders>
              <w:top w:val="single" w:sz="4" w:space="0" w:color="auto"/>
              <w:left w:val="single" w:sz="4" w:space="0" w:color="auto"/>
              <w:bottom w:val="single" w:sz="4" w:space="0" w:color="auto"/>
              <w:right w:val="single" w:sz="4" w:space="0" w:color="auto"/>
            </w:tcBorders>
          </w:tcPr>
          <w:p w:rsidR="00214CD1" w:rsidRPr="004612D6" w:rsidRDefault="00214CD1" w:rsidP="00CB4A59">
            <w:pPr>
              <w:rPr>
                <w:rFonts w:ascii="Arial Narrow" w:hAnsi="Arial Narrow"/>
                <w:b/>
                <w:sz w:val="20"/>
                <w:szCs w:val="20"/>
              </w:rPr>
            </w:pPr>
            <w:r w:rsidRPr="004612D6">
              <w:rPr>
                <w:rFonts w:ascii="Arial Narrow" w:hAnsi="Arial Narrow"/>
                <w:b/>
                <w:sz w:val="20"/>
                <w:szCs w:val="20"/>
              </w:rPr>
              <w:t>Restriction:</w:t>
            </w:r>
          </w:p>
          <w:p w:rsidR="00214CD1" w:rsidRPr="004612D6" w:rsidRDefault="00214CD1" w:rsidP="00CB4A59">
            <w:pPr>
              <w:rPr>
                <w:rFonts w:ascii="Arial Narrow" w:hAnsi="Arial Narrow"/>
                <w:sz w:val="20"/>
                <w:szCs w:val="20"/>
              </w:rPr>
            </w:pPr>
          </w:p>
        </w:tc>
        <w:tc>
          <w:tcPr>
            <w:tcW w:w="7229" w:type="dxa"/>
            <w:tcBorders>
              <w:top w:val="single" w:sz="4" w:space="0" w:color="auto"/>
              <w:left w:val="single" w:sz="4" w:space="0" w:color="auto"/>
              <w:bottom w:val="single" w:sz="4" w:space="0" w:color="auto"/>
              <w:right w:val="single" w:sz="4" w:space="0" w:color="auto"/>
            </w:tcBorders>
          </w:tcPr>
          <w:p w:rsidR="00214CD1" w:rsidRPr="004612D6" w:rsidRDefault="00214CD1" w:rsidP="00CB4A59">
            <w:pPr>
              <w:spacing w:line="360" w:lineRule="auto"/>
              <w:rPr>
                <w:rFonts w:ascii="Arial Narrow" w:hAnsi="Arial Narrow"/>
                <w:sz w:val="20"/>
                <w:szCs w:val="20"/>
              </w:rPr>
            </w:pPr>
            <w:r w:rsidRPr="004612D6">
              <w:rPr>
                <w:rFonts w:ascii="Arial Narrow" w:hAnsi="Arial Narrow"/>
                <w:sz w:val="20"/>
                <w:szCs w:val="20"/>
              </w:rPr>
              <w:fldChar w:fldCharType="begin">
                <w:ffData>
                  <w:name w:val="Check5"/>
                  <w:enabled/>
                  <w:calcOnExit w:val="0"/>
                  <w:checkBox>
                    <w:sizeAuto/>
                    <w:default w:val="1"/>
                  </w:checkBox>
                </w:ffData>
              </w:fldChar>
            </w:r>
            <w:r w:rsidRPr="004612D6">
              <w:rPr>
                <w:rFonts w:ascii="Arial Narrow" w:hAnsi="Arial Narrow"/>
                <w:sz w:val="20"/>
                <w:szCs w:val="20"/>
              </w:rPr>
              <w:instrText xml:space="preserve"> FORMCHECKBOX </w:instrText>
            </w:r>
            <w:r w:rsidR="008A5CBB">
              <w:rPr>
                <w:rFonts w:ascii="Arial Narrow" w:hAnsi="Arial Narrow"/>
                <w:sz w:val="20"/>
                <w:szCs w:val="20"/>
              </w:rPr>
            </w:r>
            <w:r w:rsidR="008A5CBB">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Streamlined</w:t>
            </w:r>
          </w:p>
        </w:tc>
      </w:tr>
      <w:tr w:rsidR="00214CD1" w:rsidRPr="004612D6" w:rsidTr="00CB4A59">
        <w:trPr>
          <w:cantSplit/>
          <w:trHeight w:val="360"/>
        </w:trPr>
        <w:tc>
          <w:tcPr>
            <w:tcW w:w="1872" w:type="dxa"/>
            <w:tcBorders>
              <w:top w:val="single" w:sz="4" w:space="0" w:color="auto"/>
              <w:left w:val="single" w:sz="4" w:space="0" w:color="auto"/>
              <w:bottom w:val="single" w:sz="4" w:space="0" w:color="auto"/>
              <w:right w:val="single" w:sz="4" w:space="0" w:color="auto"/>
            </w:tcBorders>
          </w:tcPr>
          <w:p w:rsidR="00214CD1" w:rsidRPr="004612D6" w:rsidRDefault="00214CD1" w:rsidP="00CB4A59">
            <w:pPr>
              <w:rPr>
                <w:rFonts w:ascii="Arial Narrow" w:hAnsi="Arial Narrow"/>
                <w:b/>
                <w:sz w:val="20"/>
                <w:szCs w:val="20"/>
              </w:rPr>
            </w:pPr>
            <w:r w:rsidRPr="004612D6">
              <w:rPr>
                <w:rFonts w:ascii="Arial Narrow" w:hAnsi="Arial Narrow"/>
                <w:b/>
                <w:sz w:val="20"/>
                <w:szCs w:val="20"/>
              </w:rPr>
              <w:t>Treatment criteria:</w:t>
            </w:r>
          </w:p>
        </w:tc>
        <w:tc>
          <w:tcPr>
            <w:tcW w:w="7229" w:type="dxa"/>
            <w:tcBorders>
              <w:top w:val="single" w:sz="4" w:space="0" w:color="auto"/>
              <w:left w:val="single" w:sz="4" w:space="0" w:color="auto"/>
              <w:bottom w:val="single" w:sz="4" w:space="0" w:color="auto"/>
              <w:right w:val="single" w:sz="4" w:space="0" w:color="auto"/>
            </w:tcBorders>
          </w:tcPr>
          <w:p w:rsidR="00214CD1" w:rsidRDefault="00214CD1" w:rsidP="00CB4A59">
            <w:pPr>
              <w:rPr>
                <w:rFonts w:ascii="Arial Narrow" w:hAnsi="Arial Narrow"/>
                <w:sz w:val="20"/>
                <w:szCs w:val="20"/>
              </w:rPr>
            </w:pPr>
            <w:r w:rsidRPr="004612D6">
              <w:rPr>
                <w:rFonts w:ascii="Arial Narrow" w:hAnsi="Arial Narrow"/>
                <w:color w:val="000000"/>
                <w:sz w:val="20"/>
                <w:szCs w:val="20"/>
              </w:rPr>
              <w:t xml:space="preserve">Must be treated by a </w:t>
            </w:r>
            <w:r w:rsidRPr="004612D6">
              <w:rPr>
                <w:rFonts w:ascii="Arial Narrow" w:hAnsi="Arial Narrow"/>
                <w:sz w:val="20"/>
                <w:szCs w:val="20"/>
              </w:rPr>
              <w:t>neurologist</w:t>
            </w:r>
          </w:p>
          <w:p w:rsidR="00214CD1" w:rsidRPr="004612D6" w:rsidRDefault="00214CD1" w:rsidP="00CB4A59">
            <w:pPr>
              <w:rPr>
                <w:rFonts w:ascii="Arial Narrow" w:hAnsi="Arial Narrow"/>
                <w:sz w:val="20"/>
                <w:szCs w:val="20"/>
              </w:rPr>
            </w:pPr>
          </w:p>
        </w:tc>
      </w:tr>
      <w:tr w:rsidR="00214CD1" w:rsidRPr="004612D6" w:rsidTr="00CB4A59">
        <w:trPr>
          <w:cantSplit/>
          <w:trHeight w:val="360"/>
        </w:trPr>
        <w:tc>
          <w:tcPr>
            <w:tcW w:w="1872" w:type="dxa"/>
            <w:tcBorders>
              <w:top w:val="single" w:sz="4" w:space="0" w:color="auto"/>
              <w:left w:val="single" w:sz="4" w:space="0" w:color="auto"/>
              <w:bottom w:val="single" w:sz="4" w:space="0" w:color="auto"/>
              <w:right w:val="single" w:sz="4" w:space="0" w:color="auto"/>
            </w:tcBorders>
          </w:tcPr>
          <w:p w:rsidR="00214CD1" w:rsidRPr="004612D6" w:rsidRDefault="00214CD1" w:rsidP="00CB4A59">
            <w:pPr>
              <w:rPr>
                <w:rFonts w:ascii="Arial Narrow" w:hAnsi="Arial Narrow"/>
                <w:b/>
                <w:sz w:val="20"/>
                <w:szCs w:val="20"/>
              </w:rPr>
            </w:pPr>
            <w:r w:rsidRPr="004612D6">
              <w:rPr>
                <w:rFonts w:ascii="Arial Narrow" w:hAnsi="Arial Narrow"/>
                <w:b/>
                <w:sz w:val="20"/>
                <w:szCs w:val="20"/>
              </w:rPr>
              <w:t>Clinical criteria:</w:t>
            </w:r>
          </w:p>
          <w:p w:rsidR="00214CD1" w:rsidRPr="004612D6" w:rsidRDefault="00214CD1" w:rsidP="00CB4A59">
            <w:pPr>
              <w:rPr>
                <w:rFonts w:ascii="Arial Narrow" w:hAnsi="Arial Narrow"/>
                <w:i/>
                <w:sz w:val="20"/>
                <w:szCs w:val="20"/>
              </w:rPr>
            </w:pPr>
          </w:p>
          <w:p w:rsidR="00214CD1" w:rsidRPr="004612D6" w:rsidRDefault="00214CD1" w:rsidP="00CB4A59">
            <w:pPr>
              <w:rPr>
                <w:rFonts w:ascii="Arial Narrow" w:hAnsi="Arial Narrow"/>
                <w:sz w:val="20"/>
                <w:szCs w:val="20"/>
              </w:rPr>
            </w:pPr>
          </w:p>
        </w:tc>
        <w:tc>
          <w:tcPr>
            <w:tcW w:w="7229" w:type="dxa"/>
            <w:tcBorders>
              <w:top w:val="single" w:sz="4" w:space="0" w:color="auto"/>
              <w:left w:val="single" w:sz="4" w:space="0" w:color="auto"/>
              <w:bottom w:val="single" w:sz="4" w:space="0" w:color="auto"/>
              <w:right w:val="single" w:sz="4" w:space="0" w:color="auto"/>
            </w:tcBorders>
          </w:tcPr>
          <w:p w:rsidR="00214CD1" w:rsidRPr="004612D6" w:rsidRDefault="00214CD1" w:rsidP="00CB4A59">
            <w:pPr>
              <w:rPr>
                <w:rFonts w:ascii="Arial Narrow" w:hAnsi="Arial Narrow"/>
                <w:sz w:val="20"/>
                <w:szCs w:val="20"/>
              </w:rPr>
            </w:pPr>
            <w:r w:rsidRPr="0036079E">
              <w:rPr>
                <w:rFonts w:ascii="Arial Narrow" w:hAnsi="Arial Narrow"/>
                <w:sz w:val="20"/>
                <w:szCs w:val="20"/>
              </w:rPr>
              <w:t>Patient must have experienced an average of 15 or more headache days per month, with at least 8 days of migraine, over a period of at least 6 months, prior to commencement of treatment with this medicine for this condition</w:t>
            </w:r>
          </w:p>
          <w:p w:rsidR="00214CD1" w:rsidRPr="004612D6" w:rsidRDefault="00214CD1" w:rsidP="00CB4A59">
            <w:pPr>
              <w:rPr>
                <w:rFonts w:ascii="Arial Narrow" w:hAnsi="Arial Narrow"/>
                <w:sz w:val="20"/>
                <w:szCs w:val="20"/>
              </w:rPr>
            </w:pPr>
            <w:r w:rsidRPr="004612D6">
              <w:rPr>
                <w:rFonts w:ascii="Arial Narrow" w:hAnsi="Arial Narrow"/>
                <w:sz w:val="20"/>
                <w:szCs w:val="20"/>
              </w:rPr>
              <w:t>AND</w:t>
            </w:r>
          </w:p>
          <w:p w:rsidR="00214CD1" w:rsidRPr="0036079E" w:rsidRDefault="00214CD1" w:rsidP="00CB4A59">
            <w:pPr>
              <w:rPr>
                <w:rFonts w:ascii="Arial Narrow" w:hAnsi="Arial Narrow"/>
                <w:sz w:val="20"/>
                <w:szCs w:val="20"/>
              </w:rPr>
            </w:pPr>
            <w:r w:rsidRPr="0036079E">
              <w:rPr>
                <w:rFonts w:ascii="Arial Narrow" w:hAnsi="Arial Narrow"/>
                <w:sz w:val="20"/>
                <w:szCs w:val="20"/>
              </w:rPr>
              <w:t>Patient must have experienced an inadequate response, intolerance or a contraindication to at least three prophylactic migraine medications prior to commencement of treatment with medicine for this condition</w:t>
            </w:r>
          </w:p>
          <w:p w:rsidR="00214CD1" w:rsidRPr="0036079E" w:rsidRDefault="00214CD1" w:rsidP="00CB4A59">
            <w:pPr>
              <w:rPr>
                <w:rFonts w:ascii="Arial Narrow" w:hAnsi="Arial Narrow"/>
                <w:sz w:val="20"/>
                <w:szCs w:val="20"/>
              </w:rPr>
            </w:pPr>
            <w:r w:rsidRPr="0036079E">
              <w:rPr>
                <w:rFonts w:ascii="Arial Narrow" w:hAnsi="Arial Narrow"/>
                <w:sz w:val="20"/>
                <w:szCs w:val="20"/>
              </w:rPr>
              <w:t>AND</w:t>
            </w:r>
          </w:p>
          <w:p w:rsidR="00214CD1" w:rsidRPr="0036079E" w:rsidRDefault="00214CD1" w:rsidP="00CB4A59">
            <w:pPr>
              <w:rPr>
                <w:rFonts w:ascii="Arial Narrow" w:hAnsi="Arial Narrow"/>
                <w:sz w:val="20"/>
                <w:szCs w:val="20"/>
              </w:rPr>
            </w:pPr>
            <w:r w:rsidRPr="0036079E">
              <w:rPr>
                <w:rFonts w:ascii="Arial Narrow" w:hAnsi="Arial Narrow"/>
                <w:sz w:val="20"/>
                <w:szCs w:val="20"/>
              </w:rPr>
              <w:t>Patient must be appropriately managed for medication overuse headache, prior to initiation of treatment with this medicine for this condition</w:t>
            </w:r>
          </w:p>
          <w:p w:rsidR="00214CD1" w:rsidRPr="0036079E" w:rsidRDefault="00214CD1" w:rsidP="00CB4A59">
            <w:pPr>
              <w:rPr>
                <w:rFonts w:ascii="Arial Narrow" w:hAnsi="Arial Narrow"/>
                <w:sz w:val="20"/>
                <w:szCs w:val="20"/>
              </w:rPr>
            </w:pPr>
            <w:r w:rsidRPr="0036079E">
              <w:rPr>
                <w:rFonts w:ascii="Arial Narrow" w:hAnsi="Arial Narrow"/>
                <w:sz w:val="20"/>
                <w:szCs w:val="20"/>
              </w:rPr>
              <w:t>AND</w:t>
            </w:r>
          </w:p>
          <w:p w:rsidR="00214CD1" w:rsidRPr="0036079E" w:rsidRDefault="00214CD1" w:rsidP="00CB4A59">
            <w:pPr>
              <w:rPr>
                <w:rFonts w:ascii="Arial Narrow" w:hAnsi="Arial Narrow"/>
                <w:sz w:val="20"/>
                <w:szCs w:val="20"/>
              </w:rPr>
            </w:pPr>
            <w:r w:rsidRPr="0036079E">
              <w:rPr>
                <w:rFonts w:ascii="Arial Narrow" w:hAnsi="Arial Narrow"/>
                <w:sz w:val="20"/>
                <w:szCs w:val="20"/>
              </w:rPr>
              <w:t>The treatment must not be in combination with PBS-subsidised botulinum toxin type A</w:t>
            </w:r>
          </w:p>
          <w:p w:rsidR="00214CD1" w:rsidRPr="0036079E" w:rsidRDefault="00214CD1" w:rsidP="00CB4A59">
            <w:pPr>
              <w:rPr>
                <w:rFonts w:ascii="Arial Narrow" w:hAnsi="Arial Narrow"/>
                <w:sz w:val="20"/>
                <w:szCs w:val="20"/>
              </w:rPr>
            </w:pPr>
            <w:r w:rsidRPr="0036079E">
              <w:rPr>
                <w:rFonts w:ascii="Arial Narrow" w:hAnsi="Arial Narrow"/>
                <w:sz w:val="20"/>
                <w:szCs w:val="20"/>
              </w:rPr>
              <w:t>AND</w:t>
            </w:r>
          </w:p>
          <w:p w:rsidR="00214CD1" w:rsidRPr="004612D6" w:rsidRDefault="00214CD1" w:rsidP="00CB4A59">
            <w:pPr>
              <w:rPr>
                <w:rFonts w:ascii="Arial Narrow" w:hAnsi="Arial Narrow"/>
                <w:sz w:val="20"/>
                <w:szCs w:val="20"/>
              </w:rPr>
            </w:pPr>
            <w:r w:rsidRPr="0036079E">
              <w:rPr>
                <w:rFonts w:ascii="Arial Narrow" w:hAnsi="Arial Narrow"/>
                <w:sz w:val="20"/>
                <w:szCs w:val="20"/>
              </w:rPr>
              <w:t>Patient must not have previously received PBS-subsidised treatment with this drug for this condition</w:t>
            </w:r>
          </w:p>
        </w:tc>
      </w:tr>
      <w:tr w:rsidR="00214CD1" w:rsidRPr="0036079E" w:rsidTr="00CB4A59">
        <w:trPr>
          <w:cantSplit/>
          <w:trHeight w:val="360"/>
        </w:trPr>
        <w:tc>
          <w:tcPr>
            <w:tcW w:w="1872" w:type="dxa"/>
            <w:tcBorders>
              <w:top w:val="single" w:sz="4" w:space="0" w:color="auto"/>
              <w:left w:val="single" w:sz="4" w:space="0" w:color="auto"/>
              <w:bottom w:val="single" w:sz="4" w:space="0" w:color="auto"/>
              <w:right w:val="single" w:sz="4" w:space="0" w:color="auto"/>
            </w:tcBorders>
          </w:tcPr>
          <w:p w:rsidR="00214CD1" w:rsidRPr="004612D6" w:rsidRDefault="00214CD1" w:rsidP="00CB4A59">
            <w:pPr>
              <w:rPr>
                <w:rFonts w:ascii="Arial Narrow" w:hAnsi="Arial Narrow"/>
                <w:b/>
                <w:sz w:val="20"/>
                <w:szCs w:val="20"/>
              </w:rPr>
            </w:pPr>
            <w:r>
              <w:rPr>
                <w:rFonts w:ascii="Arial Narrow" w:hAnsi="Arial Narrow"/>
                <w:b/>
                <w:sz w:val="20"/>
                <w:szCs w:val="20"/>
              </w:rPr>
              <w:t>Population criteria:</w:t>
            </w:r>
          </w:p>
        </w:tc>
        <w:tc>
          <w:tcPr>
            <w:tcW w:w="7229" w:type="dxa"/>
            <w:tcBorders>
              <w:top w:val="single" w:sz="4" w:space="0" w:color="auto"/>
              <w:left w:val="single" w:sz="4" w:space="0" w:color="auto"/>
              <w:bottom w:val="single" w:sz="4" w:space="0" w:color="auto"/>
              <w:right w:val="single" w:sz="4" w:space="0" w:color="auto"/>
            </w:tcBorders>
          </w:tcPr>
          <w:p w:rsidR="00214CD1" w:rsidRPr="0036079E" w:rsidRDefault="00214CD1" w:rsidP="00CB4A59">
            <w:pPr>
              <w:rPr>
                <w:rFonts w:ascii="Arial Narrow" w:hAnsi="Arial Narrow"/>
                <w:sz w:val="20"/>
                <w:szCs w:val="20"/>
              </w:rPr>
            </w:pPr>
            <w:r w:rsidRPr="0036079E">
              <w:rPr>
                <w:rFonts w:ascii="Arial Narrow" w:hAnsi="Arial Narrow"/>
                <w:sz w:val="20"/>
                <w:szCs w:val="20"/>
              </w:rPr>
              <w:t>Patient must be aged 18 years or older</w:t>
            </w:r>
          </w:p>
        </w:tc>
      </w:tr>
      <w:tr w:rsidR="00214CD1" w:rsidRPr="004612D6" w:rsidTr="00CB4A59">
        <w:trPr>
          <w:cantSplit/>
          <w:trHeight w:val="360"/>
        </w:trPr>
        <w:tc>
          <w:tcPr>
            <w:tcW w:w="1872" w:type="dxa"/>
            <w:tcBorders>
              <w:top w:val="single" w:sz="4" w:space="0" w:color="auto"/>
              <w:left w:val="single" w:sz="4" w:space="0" w:color="auto"/>
              <w:bottom w:val="single" w:sz="4" w:space="0" w:color="auto"/>
              <w:right w:val="single" w:sz="4" w:space="0" w:color="auto"/>
            </w:tcBorders>
          </w:tcPr>
          <w:p w:rsidR="00214CD1" w:rsidRPr="004612D6" w:rsidRDefault="00214CD1" w:rsidP="00CB4A59">
            <w:pPr>
              <w:rPr>
                <w:rFonts w:ascii="Arial Narrow" w:hAnsi="Arial Narrow"/>
                <w:b/>
                <w:sz w:val="20"/>
                <w:szCs w:val="20"/>
              </w:rPr>
            </w:pPr>
            <w:r w:rsidRPr="004612D6">
              <w:rPr>
                <w:rFonts w:ascii="Arial Narrow" w:hAnsi="Arial Narrow"/>
                <w:b/>
                <w:sz w:val="20"/>
                <w:szCs w:val="20"/>
              </w:rPr>
              <w:t>Prescriber instructions:</w:t>
            </w:r>
          </w:p>
        </w:tc>
        <w:tc>
          <w:tcPr>
            <w:tcW w:w="7229" w:type="dxa"/>
            <w:tcBorders>
              <w:top w:val="single" w:sz="4" w:space="0" w:color="auto"/>
              <w:left w:val="single" w:sz="4" w:space="0" w:color="auto"/>
              <w:bottom w:val="single" w:sz="4" w:space="0" w:color="auto"/>
              <w:right w:val="single" w:sz="4" w:space="0" w:color="auto"/>
            </w:tcBorders>
          </w:tcPr>
          <w:p w:rsidR="00214CD1" w:rsidRPr="0036079E" w:rsidRDefault="00214CD1" w:rsidP="00CB4A59">
            <w:pPr>
              <w:rPr>
                <w:rFonts w:ascii="Arial Narrow" w:hAnsi="Arial Narrow"/>
                <w:sz w:val="20"/>
                <w:szCs w:val="20"/>
              </w:rPr>
            </w:pPr>
            <w:r w:rsidRPr="0036079E">
              <w:rPr>
                <w:rFonts w:ascii="Arial Narrow" w:hAnsi="Arial Narrow"/>
                <w:sz w:val="20"/>
                <w:szCs w:val="20"/>
              </w:rPr>
              <w:t>Prophylactic migraine medications are propanolol, amitriptyline, pizotifen, candesartan, verapamil, nortriptyline, sodium valproate or topiramate</w:t>
            </w:r>
          </w:p>
          <w:p w:rsidR="00214CD1" w:rsidRPr="004612D6" w:rsidRDefault="00214CD1" w:rsidP="00CB4A59">
            <w:pPr>
              <w:rPr>
                <w:rFonts w:ascii="Arial Narrow" w:hAnsi="Arial Narrow"/>
                <w:sz w:val="20"/>
                <w:szCs w:val="20"/>
              </w:rPr>
            </w:pPr>
            <w:r w:rsidRPr="0036079E">
              <w:rPr>
                <w:rFonts w:ascii="Arial Narrow" w:hAnsi="Arial Narrow"/>
                <w:sz w:val="20"/>
                <w:szCs w:val="20"/>
              </w:rPr>
              <w:t>Patient must have a baseline measurement of the number of migraine days per month documented in their medical records</w:t>
            </w:r>
          </w:p>
        </w:tc>
      </w:tr>
      <w:tr w:rsidR="00214CD1" w:rsidRPr="004612D6" w:rsidTr="00CB4A59">
        <w:trPr>
          <w:cantSplit/>
          <w:trHeight w:val="360"/>
        </w:trPr>
        <w:tc>
          <w:tcPr>
            <w:tcW w:w="1872" w:type="dxa"/>
            <w:tcBorders>
              <w:top w:val="single" w:sz="4" w:space="0" w:color="auto"/>
              <w:left w:val="single" w:sz="4" w:space="0" w:color="auto"/>
              <w:bottom w:val="single" w:sz="4" w:space="0" w:color="auto"/>
              <w:right w:val="single" w:sz="4" w:space="0" w:color="auto"/>
            </w:tcBorders>
          </w:tcPr>
          <w:p w:rsidR="00214CD1" w:rsidRPr="004612D6" w:rsidRDefault="00214CD1" w:rsidP="00CB4A59">
            <w:pPr>
              <w:rPr>
                <w:rFonts w:ascii="Arial Narrow" w:hAnsi="Arial Narrow"/>
                <w:b/>
                <w:sz w:val="20"/>
                <w:szCs w:val="20"/>
              </w:rPr>
            </w:pPr>
            <w:r w:rsidRPr="004612D6">
              <w:rPr>
                <w:rFonts w:ascii="Arial Narrow" w:hAnsi="Arial Narrow"/>
                <w:b/>
                <w:sz w:val="20"/>
                <w:szCs w:val="20"/>
              </w:rPr>
              <w:t>Administrative Advice</w:t>
            </w:r>
          </w:p>
        </w:tc>
        <w:tc>
          <w:tcPr>
            <w:tcW w:w="7229" w:type="dxa"/>
            <w:tcBorders>
              <w:top w:val="single" w:sz="4" w:space="0" w:color="auto"/>
              <w:left w:val="single" w:sz="4" w:space="0" w:color="auto"/>
              <w:bottom w:val="single" w:sz="4" w:space="0" w:color="auto"/>
              <w:right w:val="single" w:sz="4" w:space="0" w:color="auto"/>
            </w:tcBorders>
          </w:tcPr>
          <w:p w:rsidR="00214CD1" w:rsidRPr="0036079E" w:rsidRDefault="00214CD1" w:rsidP="00CB4A59">
            <w:pPr>
              <w:rPr>
                <w:rFonts w:ascii="Arial Narrow" w:hAnsi="Arial Narrow"/>
                <w:sz w:val="20"/>
                <w:szCs w:val="20"/>
              </w:rPr>
            </w:pPr>
            <w:r w:rsidRPr="0036079E">
              <w:rPr>
                <w:rFonts w:ascii="Arial Narrow" w:hAnsi="Arial Narrow"/>
                <w:sz w:val="20"/>
                <w:szCs w:val="20"/>
              </w:rPr>
              <w:t>No increase in the maximum quantity or number of units may be authorised</w:t>
            </w:r>
          </w:p>
          <w:p w:rsidR="00214CD1" w:rsidRPr="0036079E" w:rsidRDefault="00214CD1" w:rsidP="00CB4A59">
            <w:pPr>
              <w:rPr>
                <w:rFonts w:ascii="Arial Narrow" w:hAnsi="Arial Narrow"/>
                <w:sz w:val="20"/>
                <w:szCs w:val="20"/>
              </w:rPr>
            </w:pPr>
            <w:r w:rsidRPr="0036079E">
              <w:rPr>
                <w:rFonts w:ascii="Arial Narrow" w:hAnsi="Arial Narrow"/>
                <w:sz w:val="20"/>
                <w:szCs w:val="20"/>
              </w:rPr>
              <w:t>No increase in the maximum number of repeats may be authorised.</w:t>
            </w:r>
          </w:p>
          <w:p w:rsidR="00214CD1" w:rsidRPr="004612D6" w:rsidRDefault="00214CD1" w:rsidP="00CB4A59">
            <w:pPr>
              <w:rPr>
                <w:rFonts w:ascii="Arial Narrow" w:hAnsi="Arial Narrow"/>
                <w:sz w:val="20"/>
                <w:szCs w:val="20"/>
              </w:rPr>
            </w:pPr>
            <w:r w:rsidRPr="0036079E">
              <w:rPr>
                <w:rFonts w:ascii="Arial Narrow" w:hAnsi="Arial Narrow"/>
                <w:sz w:val="20"/>
                <w:szCs w:val="20"/>
              </w:rPr>
              <w:t>Special Pricing Arrangement apply</w:t>
            </w:r>
          </w:p>
        </w:tc>
      </w:tr>
    </w:tbl>
    <w:p w:rsidR="00214CD1" w:rsidRDefault="00214CD1" w:rsidP="0080066A">
      <w:pPr>
        <w:rPr>
          <w:rStyle w:val="CommentReference"/>
        </w:rPr>
      </w:pPr>
    </w:p>
    <w:p w:rsidR="00A24017" w:rsidRPr="00A24017" w:rsidRDefault="00A24017" w:rsidP="00D279F1">
      <w:pPr>
        <w:rPr>
          <w:rFonts w:eastAsiaTheme="minorHAnsi" w:cstheme="minorBidi"/>
          <w:szCs w:val="22"/>
        </w:rPr>
      </w:pPr>
    </w:p>
    <w:tbl>
      <w:tblPr>
        <w:tblW w:w="9236" w:type="dxa"/>
        <w:tblBorders>
          <w:top w:val="single" w:sz="4" w:space="0" w:color="auto"/>
          <w:bottom w:val="single" w:sz="4" w:space="0" w:color="auto"/>
          <w:insideH w:val="single" w:sz="4" w:space="0" w:color="auto"/>
        </w:tblBorders>
        <w:tblLook w:val="04A0" w:firstRow="1" w:lastRow="0" w:firstColumn="1" w:lastColumn="0" w:noHBand="0" w:noVBand="1"/>
      </w:tblPr>
      <w:tblGrid>
        <w:gridCol w:w="2271"/>
        <w:gridCol w:w="1330"/>
        <w:gridCol w:w="1310"/>
        <w:gridCol w:w="940"/>
        <w:gridCol w:w="1647"/>
        <w:gridCol w:w="1738"/>
      </w:tblGrid>
      <w:tr w:rsidR="00214CD1" w:rsidRPr="00951590" w:rsidTr="00CB4A59">
        <w:tc>
          <w:tcPr>
            <w:tcW w:w="0" w:type="auto"/>
            <w:vAlign w:val="center"/>
          </w:tcPr>
          <w:p w:rsidR="00214CD1" w:rsidRPr="00951590" w:rsidRDefault="00214CD1" w:rsidP="00CB4A59">
            <w:pPr>
              <w:pStyle w:val="Tabletext"/>
              <w:rPr>
                <w:rFonts w:ascii="Arial Narrow" w:hAnsi="Arial Narrow"/>
                <w:b/>
                <w:bCs/>
              </w:rPr>
            </w:pPr>
            <w:r w:rsidRPr="00951590">
              <w:rPr>
                <w:rFonts w:ascii="Arial Narrow" w:hAnsi="Arial Narrow"/>
                <w:b/>
              </w:rPr>
              <w:t>Name, restriction, manner of administration, form</w:t>
            </w:r>
          </w:p>
        </w:tc>
        <w:tc>
          <w:tcPr>
            <w:tcW w:w="0" w:type="auto"/>
            <w:vAlign w:val="center"/>
          </w:tcPr>
          <w:p w:rsidR="00214CD1" w:rsidRPr="00951590" w:rsidRDefault="00214CD1" w:rsidP="00CB4A59">
            <w:pPr>
              <w:pStyle w:val="Tabletext"/>
              <w:jc w:val="center"/>
              <w:rPr>
                <w:rFonts w:ascii="Arial Narrow" w:hAnsi="Arial Narrow"/>
                <w:b/>
                <w:bCs/>
              </w:rPr>
            </w:pPr>
            <w:r w:rsidRPr="00951590">
              <w:rPr>
                <w:rFonts w:ascii="Arial Narrow" w:hAnsi="Arial Narrow"/>
                <w:b/>
              </w:rPr>
              <w:t>Maximum quantity (packs)</w:t>
            </w:r>
          </w:p>
        </w:tc>
        <w:tc>
          <w:tcPr>
            <w:tcW w:w="0" w:type="auto"/>
            <w:vAlign w:val="center"/>
          </w:tcPr>
          <w:p w:rsidR="00214CD1" w:rsidRPr="00951590" w:rsidRDefault="00214CD1" w:rsidP="00CB4A59">
            <w:pPr>
              <w:pStyle w:val="Tabletext"/>
              <w:jc w:val="center"/>
              <w:rPr>
                <w:rFonts w:ascii="Arial Narrow" w:hAnsi="Arial Narrow"/>
                <w:b/>
                <w:bCs/>
              </w:rPr>
            </w:pPr>
            <w:r w:rsidRPr="00951590">
              <w:rPr>
                <w:rFonts w:ascii="Arial Narrow" w:hAnsi="Arial Narrow"/>
                <w:b/>
              </w:rPr>
              <w:t>Maximum quantity (units)</w:t>
            </w:r>
          </w:p>
        </w:tc>
        <w:tc>
          <w:tcPr>
            <w:tcW w:w="0" w:type="auto"/>
            <w:vAlign w:val="center"/>
          </w:tcPr>
          <w:p w:rsidR="00214CD1" w:rsidRPr="00951590" w:rsidRDefault="00214CD1" w:rsidP="00CB4A59">
            <w:pPr>
              <w:pStyle w:val="Tabletext"/>
              <w:jc w:val="center"/>
              <w:rPr>
                <w:rFonts w:ascii="Arial Narrow" w:hAnsi="Arial Narrow"/>
                <w:b/>
                <w:bCs/>
              </w:rPr>
            </w:pPr>
            <w:r w:rsidRPr="00951590">
              <w:rPr>
                <w:rFonts w:ascii="Arial Narrow" w:hAnsi="Arial Narrow"/>
                <w:b/>
              </w:rPr>
              <w:t>No. of repeats</w:t>
            </w:r>
          </w:p>
        </w:tc>
        <w:tc>
          <w:tcPr>
            <w:tcW w:w="0" w:type="auto"/>
            <w:vAlign w:val="center"/>
          </w:tcPr>
          <w:p w:rsidR="00214CD1" w:rsidRPr="00951590" w:rsidRDefault="00214CD1" w:rsidP="00CB4A59">
            <w:pPr>
              <w:pStyle w:val="Tabletext"/>
              <w:jc w:val="center"/>
              <w:rPr>
                <w:rFonts w:ascii="Arial Narrow" w:hAnsi="Arial Narrow"/>
                <w:b/>
                <w:bCs/>
              </w:rPr>
            </w:pPr>
            <w:r w:rsidRPr="00951590">
              <w:rPr>
                <w:rFonts w:ascii="Arial Narrow" w:hAnsi="Arial Narrow"/>
                <w:b/>
              </w:rPr>
              <w:t>Dispensed price for maximum quantity</w:t>
            </w:r>
          </w:p>
        </w:tc>
        <w:tc>
          <w:tcPr>
            <w:tcW w:w="0" w:type="auto"/>
            <w:vAlign w:val="center"/>
          </w:tcPr>
          <w:p w:rsidR="00214CD1" w:rsidRPr="00951590" w:rsidRDefault="00214CD1" w:rsidP="00CB4A59">
            <w:pPr>
              <w:pStyle w:val="Tabletext"/>
              <w:jc w:val="center"/>
              <w:rPr>
                <w:rFonts w:ascii="Arial Narrow" w:hAnsi="Arial Narrow"/>
                <w:b/>
                <w:bCs/>
              </w:rPr>
            </w:pPr>
            <w:r w:rsidRPr="00951590">
              <w:rPr>
                <w:rFonts w:ascii="Arial Narrow" w:hAnsi="Arial Narrow"/>
                <w:b/>
              </w:rPr>
              <w:t>Proprietary name and manufacturer</w:t>
            </w:r>
          </w:p>
        </w:tc>
      </w:tr>
      <w:tr w:rsidR="00214CD1" w:rsidRPr="00951590" w:rsidTr="00CB4A59">
        <w:tc>
          <w:tcPr>
            <w:tcW w:w="0" w:type="auto"/>
            <w:vAlign w:val="center"/>
          </w:tcPr>
          <w:p w:rsidR="00214CD1" w:rsidRPr="00951590" w:rsidRDefault="00214CD1" w:rsidP="00CB4A59">
            <w:pPr>
              <w:pStyle w:val="Tabletext"/>
              <w:rPr>
                <w:rFonts w:ascii="Arial Narrow" w:hAnsi="Arial Narrow"/>
              </w:rPr>
            </w:pPr>
            <w:r w:rsidRPr="00951590">
              <w:rPr>
                <w:rFonts w:ascii="Arial Narrow" w:hAnsi="Arial Narrow"/>
              </w:rPr>
              <w:t>FREMANEZUMAB</w:t>
            </w:r>
          </w:p>
          <w:p w:rsidR="00214CD1" w:rsidRPr="00951590" w:rsidRDefault="00214CD1" w:rsidP="00CB4A59">
            <w:pPr>
              <w:pStyle w:val="Tabletext"/>
              <w:rPr>
                <w:rFonts w:ascii="Arial Narrow" w:hAnsi="Arial Narrow"/>
              </w:rPr>
            </w:pPr>
            <w:r w:rsidRPr="00D074CC">
              <w:rPr>
                <w:rFonts w:ascii="Arial Narrow" w:hAnsi="Arial Narrow"/>
              </w:rPr>
              <w:t>225 mg/1.5 mL injection, 1.5 mL syringe.</w:t>
            </w:r>
          </w:p>
        </w:tc>
        <w:tc>
          <w:tcPr>
            <w:tcW w:w="0" w:type="auto"/>
            <w:vAlign w:val="center"/>
          </w:tcPr>
          <w:p w:rsidR="00214CD1" w:rsidRPr="00951590" w:rsidRDefault="00214CD1" w:rsidP="00CB4A59">
            <w:pPr>
              <w:pStyle w:val="Tabletext"/>
              <w:jc w:val="center"/>
              <w:rPr>
                <w:rFonts w:ascii="Arial Narrow" w:hAnsi="Arial Narrow"/>
              </w:rPr>
            </w:pPr>
            <w:r w:rsidRPr="00951590">
              <w:rPr>
                <w:rFonts w:ascii="Arial Narrow" w:hAnsi="Arial Narrow"/>
              </w:rPr>
              <w:t>1</w:t>
            </w:r>
          </w:p>
        </w:tc>
        <w:tc>
          <w:tcPr>
            <w:tcW w:w="0" w:type="auto"/>
            <w:vAlign w:val="center"/>
          </w:tcPr>
          <w:p w:rsidR="00214CD1" w:rsidRPr="00951590" w:rsidRDefault="00214CD1" w:rsidP="00CB4A59">
            <w:pPr>
              <w:pStyle w:val="Tabletext"/>
              <w:jc w:val="center"/>
              <w:rPr>
                <w:rFonts w:ascii="Arial Narrow" w:hAnsi="Arial Narrow"/>
              </w:rPr>
            </w:pPr>
            <w:r w:rsidRPr="00951590">
              <w:rPr>
                <w:rFonts w:ascii="Arial Narrow" w:hAnsi="Arial Narrow"/>
              </w:rPr>
              <w:t>1</w:t>
            </w:r>
          </w:p>
        </w:tc>
        <w:tc>
          <w:tcPr>
            <w:tcW w:w="0" w:type="auto"/>
            <w:vAlign w:val="center"/>
          </w:tcPr>
          <w:p w:rsidR="00214CD1" w:rsidRPr="00951590" w:rsidRDefault="00214CD1" w:rsidP="00CB4A59">
            <w:pPr>
              <w:pStyle w:val="Tabletext"/>
              <w:jc w:val="center"/>
              <w:rPr>
                <w:rFonts w:ascii="Arial Narrow" w:hAnsi="Arial Narrow"/>
              </w:rPr>
            </w:pPr>
            <w:r>
              <w:rPr>
                <w:rFonts w:ascii="Arial Narrow" w:hAnsi="Arial Narrow"/>
              </w:rPr>
              <w:t>5</w:t>
            </w:r>
          </w:p>
        </w:tc>
        <w:tc>
          <w:tcPr>
            <w:tcW w:w="0" w:type="auto"/>
            <w:vAlign w:val="center"/>
          </w:tcPr>
          <w:p w:rsidR="00214CD1" w:rsidRPr="00920C75" w:rsidRDefault="00214CD1" w:rsidP="00CB4A59">
            <w:pPr>
              <w:pStyle w:val="Tabletext"/>
              <w:jc w:val="left"/>
              <w:rPr>
                <w:rFonts w:ascii="Arial Narrow" w:hAnsi="Arial Narrow"/>
              </w:rPr>
            </w:pPr>
            <w:r>
              <w:rPr>
                <w:rFonts w:ascii="Arial Narrow" w:hAnsi="Arial Narrow"/>
              </w:rPr>
              <w:t>Published: $</w:t>
            </w:r>
            <w:r w:rsidR="00920C75">
              <w:rPr>
                <w:rFonts w:ascii="Arial Narrow" w:hAnsi="Arial Narrow"/>
                <w:noProof/>
                <w:color w:val="000000"/>
                <w:highlight w:val="black"/>
              </w:rPr>
              <w:t>''''''''''''''''</w:t>
            </w:r>
          </w:p>
          <w:p w:rsidR="00214CD1" w:rsidRDefault="00214CD1" w:rsidP="00CB4A59">
            <w:pPr>
              <w:pStyle w:val="Tabletext"/>
              <w:jc w:val="left"/>
              <w:rPr>
                <w:rFonts w:ascii="Arial Narrow" w:hAnsi="Arial Narrow"/>
              </w:rPr>
            </w:pPr>
            <w:r w:rsidRPr="00951590">
              <w:rPr>
                <w:rFonts w:ascii="Arial Narrow" w:hAnsi="Arial Narrow"/>
              </w:rPr>
              <w:t>Effective: $</w:t>
            </w:r>
            <w:r w:rsidR="00920C75">
              <w:rPr>
                <w:rFonts w:ascii="Arial Narrow" w:hAnsi="Arial Narrow"/>
                <w:noProof/>
                <w:color w:val="000000"/>
                <w:highlight w:val="black"/>
              </w:rPr>
              <w:t>''''''''''''''''</w:t>
            </w:r>
          </w:p>
          <w:p w:rsidR="00214CD1" w:rsidRDefault="00214CD1" w:rsidP="00CB4A59">
            <w:pPr>
              <w:pStyle w:val="Tabletext"/>
              <w:jc w:val="left"/>
              <w:rPr>
                <w:rFonts w:ascii="Arial Narrow" w:hAnsi="Arial Narrow"/>
              </w:rPr>
            </w:pPr>
          </w:p>
        </w:tc>
        <w:tc>
          <w:tcPr>
            <w:tcW w:w="0" w:type="auto"/>
            <w:vAlign w:val="center"/>
          </w:tcPr>
          <w:p w:rsidR="00214CD1" w:rsidRPr="00951590" w:rsidRDefault="00214CD1" w:rsidP="00CB4A59">
            <w:pPr>
              <w:pStyle w:val="Tabletext"/>
              <w:rPr>
                <w:rFonts w:ascii="Arial Narrow" w:hAnsi="Arial Narrow"/>
              </w:rPr>
            </w:pPr>
            <w:r w:rsidRPr="00951590">
              <w:rPr>
                <w:rFonts w:ascii="Arial Narrow" w:hAnsi="Arial Narrow"/>
              </w:rPr>
              <w:t>Ajovy</w:t>
            </w:r>
            <w:r w:rsidRPr="00951590">
              <w:rPr>
                <w:rFonts w:ascii="Arial Narrow" w:hAnsi="Arial Narrow"/>
                <w:vertAlign w:val="superscript"/>
              </w:rPr>
              <w:t>®</w:t>
            </w:r>
            <w:r w:rsidRPr="00951590">
              <w:rPr>
                <w:rFonts w:ascii="Arial Narrow" w:hAnsi="Arial Narrow"/>
              </w:rPr>
              <w:t>,</w:t>
            </w:r>
          </w:p>
          <w:p w:rsidR="00214CD1" w:rsidRPr="00951590" w:rsidRDefault="00214CD1" w:rsidP="00CB4A59">
            <w:pPr>
              <w:pStyle w:val="Tabletext"/>
              <w:rPr>
                <w:rFonts w:ascii="Arial Narrow" w:hAnsi="Arial Narrow"/>
              </w:rPr>
            </w:pPr>
            <w:r w:rsidRPr="00951590">
              <w:rPr>
                <w:rFonts w:ascii="Arial Narrow" w:hAnsi="Arial Narrow"/>
              </w:rPr>
              <w:t>TEVA</w:t>
            </w:r>
          </w:p>
        </w:tc>
      </w:tr>
    </w:tbl>
    <w:p w:rsidR="00214CD1" w:rsidRDefault="00214CD1" w:rsidP="003B650A">
      <w:pPr>
        <w:pStyle w:val="ListParagraph"/>
        <w:ind w:left="720" w:firstLine="0"/>
        <w:jc w:val="both"/>
        <w:rPr>
          <w:rFonts w:eastAsiaTheme="minorHAnsi" w:cstheme="minorBidi"/>
          <w:snapToGrid/>
          <w:szCs w:val="22"/>
        </w:rPr>
      </w:pPr>
    </w:p>
    <w:tbl>
      <w:tblPr>
        <w:tblW w:w="9101" w:type="dxa"/>
        <w:tblInd w:w="108" w:type="dxa"/>
        <w:tblLayout w:type="fixed"/>
        <w:tblLook w:val="0000" w:firstRow="0" w:lastRow="0" w:firstColumn="0" w:lastColumn="0" w:noHBand="0" w:noVBand="0"/>
      </w:tblPr>
      <w:tblGrid>
        <w:gridCol w:w="1872"/>
        <w:gridCol w:w="7200"/>
        <w:gridCol w:w="29"/>
      </w:tblGrid>
      <w:tr w:rsidR="003B650A" w:rsidRPr="004612D6" w:rsidTr="00CB4A59">
        <w:trPr>
          <w:gridAfter w:val="1"/>
          <w:wAfter w:w="29" w:type="dxa"/>
          <w:cantSplit/>
          <w:trHeight w:val="360"/>
        </w:trPr>
        <w:tc>
          <w:tcPr>
            <w:tcW w:w="1872" w:type="dxa"/>
            <w:tcBorders>
              <w:top w:val="single" w:sz="4" w:space="0" w:color="auto"/>
              <w:left w:val="single" w:sz="4" w:space="0" w:color="auto"/>
              <w:bottom w:val="single" w:sz="4" w:space="0" w:color="auto"/>
              <w:right w:val="single" w:sz="4" w:space="0" w:color="auto"/>
            </w:tcBorders>
          </w:tcPr>
          <w:p w:rsidR="003B650A" w:rsidRPr="004612D6" w:rsidRDefault="003B650A" w:rsidP="003B650A">
            <w:r w:rsidRPr="003B650A">
              <w:rPr>
                <w:rFonts w:ascii="Arial Narrow" w:hAnsi="Arial Narrow"/>
                <w:b/>
                <w:sz w:val="20"/>
                <w:szCs w:val="20"/>
              </w:rPr>
              <w:t>PBS Indication:</w:t>
            </w:r>
          </w:p>
        </w:tc>
        <w:tc>
          <w:tcPr>
            <w:tcW w:w="7200" w:type="dxa"/>
            <w:tcBorders>
              <w:top w:val="single" w:sz="4" w:space="0" w:color="auto"/>
              <w:left w:val="single" w:sz="4" w:space="0" w:color="auto"/>
              <w:bottom w:val="single" w:sz="4" w:space="0" w:color="auto"/>
              <w:right w:val="single" w:sz="4" w:space="0" w:color="auto"/>
            </w:tcBorders>
          </w:tcPr>
          <w:p w:rsidR="003B650A" w:rsidRPr="004612D6" w:rsidRDefault="003B650A" w:rsidP="00CB4A59">
            <w:pPr>
              <w:rPr>
                <w:rFonts w:ascii="Arial Narrow" w:hAnsi="Arial Narrow"/>
                <w:sz w:val="20"/>
                <w:szCs w:val="20"/>
              </w:rPr>
            </w:pPr>
            <w:r w:rsidRPr="004612D6">
              <w:rPr>
                <w:rFonts w:ascii="Arial Narrow" w:hAnsi="Arial Narrow"/>
                <w:sz w:val="20"/>
                <w:szCs w:val="20"/>
              </w:rPr>
              <w:t xml:space="preserve">Chronic migraine </w:t>
            </w:r>
          </w:p>
        </w:tc>
      </w:tr>
      <w:tr w:rsidR="003B650A" w:rsidRPr="004612D6" w:rsidTr="00CB4A59">
        <w:trPr>
          <w:gridAfter w:val="1"/>
          <w:wAfter w:w="29" w:type="dxa"/>
          <w:cantSplit/>
          <w:trHeight w:val="360"/>
        </w:trPr>
        <w:tc>
          <w:tcPr>
            <w:tcW w:w="1872" w:type="dxa"/>
            <w:tcBorders>
              <w:top w:val="single" w:sz="4" w:space="0" w:color="auto"/>
              <w:left w:val="single" w:sz="4" w:space="0" w:color="auto"/>
              <w:bottom w:val="single" w:sz="4" w:space="0" w:color="auto"/>
              <w:right w:val="single" w:sz="4" w:space="0" w:color="auto"/>
            </w:tcBorders>
          </w:tcPr>
          <w:p w:rsidR="003B650A" w:rsidRPr="004612D6" w:rsidRDefault="003B650A" w:rsidP="00CB4A59">
            <w:pPr>
              <w:rPr>
                <w:rFonts w:ascii="Arial Narrow" w:hAnsi="Arial Narrow"/>
                <w:b/>
                <w:sz w:val="20"/>
                <w:szCs w:val="20"/>
              </w:rPr>
            </w:pPr>
            <w:r w:rsidRPr="004612D6">
              <w:rPr>
                <w:rFonts w:ascii="Arial Narrow" w:hAnsi="Arial Narrow"/>
                <w:b/>
                <w:sz w:val="20"/>
                <w:szCs w:val="20"/>
              </w:rPr>
              <w:t>Treatment phase:</w:t>
            </w:r>
          </w:p>
        </w:tc>
        <w:tc>
          <w:tcPr>
            <w:tcW w:w="7200" w:type="dxa"/>
            <w:tcBorders>
              <w:top w:val="single" w:sz="4" w:space="0" w:color="auto"/>
              <w:left w:val="single" w:sz="4" w:space="0" w:color="auto"/>
              <w:bottom w:val="single" w:sz="4" w:space="0" w:color="auto"/>
              <w:right w:val="single" w:sz="4" w:space="0" w:color="auto"/>
            </w:tcBorders>
          </w:tcPr>
          <w:p w:rsidR="003B650A" w:rsidRPr="0036079E" w:rsidRDefault="003B650A" w:rsidP="003B650A">
            <w:pPr>
              <w:rPr>
                <w:rFonts w:ascii="Arial Narrow" w:hAnsi="Arial Narrow"/>
                <w:sz w:val="20"/>
                <w:szCs w:val="20"/>
              </w:rPr>
            </w:pPr>
            <w:r w:rsidRPr="0036079E">
              <w:rPr>
                <w:rFonts w:ascii="Arial Narrow" w:hAnsi="Arial Narrow"/>
                <w:sz w:val="20"/>
                <w:szCs w:val="20"/>
              </w:rPr>
              <w:t xml:space="preserve">First continuing </w:t>
            </w:r>
            <w:r>
              <w:rPr>
                <w:rFonts w:ascii="Arial Narrow" w:hAnsi="Arial Narrow"/>
                <w:sz w:val="20"/>
                <w:szCs w:val="20"/>
              </w:rPr>
              <w:t>treatment</w:t>
            </w:r>
          </w:p>
        </w:tc>
      </w:tr>
      <w:tr w:rsidR="003B650A" w:rsidRPr="004612D6" w:rsidTr="00CB4A59">
        <w:trPr>
          <w:gridAfter w:val="1"/>
          <w:wAfter w:w="29" w:type="dxa"/>
          <w:cantSplit/>
          <w:trHeight w:val="360"/>
        </w:trPr>
        <w:tc>
          <w:tcPr>
            <w:tcW w:w="1872" w:type="dxa"/>
            <w:tcBorders>
              <w:top w:val="single" w:sz="4" w:space="0" w:color="auto"/>
              <w:left w:val="single" w:sz="4" w:space="0" w:color="auto"/>
              <w:bottom w:val="single" w:sz="4" w:space="0" w:color="auto"/>
              <w:right w:val="single" w:sz="4" w:space="0" w:color="auto"/>
            </w:tcBorders>
          </w:tcPr>
          <w:p w:rsidR="003B650A" w:rsidRPr="004612D6" w:rsidRDefault="003B650A" w:rsidP="00CB4A59">
            <w:pPr>
              <w:rPr>
                <w:rFonts w:ascii="Arial Narrow" w:hAnsi="Arial Narrow"/>
                <w:b/>
                <w:sz w:val="20"/>
                <w:szCs w:val="20"/>
              </w:rPr>
            </w:pPr>
            <w:r w:rsidRPr="004612D6">
              <w:rPr>
                <w:rFonts w:ascii="Arial Narrow" w:hAnsi="Arial Narrow"/>
                <w:b/>
                <w:sz w:val="20"/>
                <w:szCs w:val="20"/>
              </w:rPr>
              <w:t>Restriction:</w:t>
            </w:r>
          </w:p>
          <w:p w:rsidR="003B650A" w:rsidRPr="004612D6" w:rsidRDefault="003B650A" w:rsidP="00CB4A59">
            <w:pPr>
              <w:rPr>
                <w:rFonts w:ascii="Arial Narrow" w:hAnsi="Arial Narrow"/>
                <w:sz w:val="20"/>
                <w:szCs w:val="20"/>
              </w:rPr>
            </w:pPr>
          </w:p>
        </w:tc>
        <w:tc>
          <w:tcPr>
            <w:tcW w:w="7200" w:type="dxa"/>
            <w:tcBorders>
              <w:top w:val="single" w:sz="4" w:space="0" w:color="auto"/>
              <w:left w:val="single" w:sz="4" w:space="0" w:color="auto"/>
              <w:bottom w:val="single" w:sz="4" w:space="0" w:color="auto"/>
              <w:right w:val="single" w:sz="4" w:space="0" w:color="auto"/>
            </w:tcBorders>
          </w:tcPr>
          <w:p w:rsidR="003B650A" w:rsidRPr="004612D6" w:rsidRDefault="003B650A" w:rsidP="00CB4A59">
            <w:pPr>
              <w:spacing w:line="360" w:lineRule="auto"/>
              <w:rPr>
                <w:rFonts w:ascii="Arial Narrow" w:hAnsi="Arial Narrow"/>
                <w:sz w:val="20"/>
                <w:szCs w:val="20"/>
              </w:rPr>
            </w:pPr>
            <w:r w:rsidRPr="004612D6">
              <w:rPr>
                <w:rFonts w:ascii="Arial Narrow" w:hAnsi="Arial Narrow"/>
                <w:sz w:val="20"/>
                <w:szCs w:val="20"/>
              </w:rPr>
              <w:fldChar w:fldCharType="begin">
                <w:ffData>
                  <w:name w:val="Check5"/>
                  <w:enabled/>
                  <w:calcOnExit w:val="0"/>
                  <w:checkBox>
                    <w:sizeAuto/>
                    <w:default w:val="1"/>
                  </w:checkBox>
                </w:ffData>
              </w:fldChar>
            </w:r>
            <w:r w:rsidRPr="004612D6">
              <w:rPr>
                <w:rFonts w:ascii="Arial Narrow" w:hAnsi="Arial Narrow"/>
                <w:sz w:val="20"/>
                <w:szCs w:val="20"/>
              </w:rPr>
              <w:instrText xml:space="preserve"> FORMCHECKBOX </w:instrText>
            </w:r>
            <w:r w:rsidR="008A5CBB">
              <w:rPr>
                <w:rFonts w:ascii="Arial Narrow" w:hAnsi="Arial Narrow"/>
                <w:sz w:val="20"/>
                <w:szCs w:val="20"/>
              </w:rPr>
            </w:r>
            <w:r w:rsidR="008A5CBB">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Streamlined</w:t>
            </w:r>
          </w:p>
        </w:tc>
      </w:tr>
      <w:tr w:rsidR="003B650A" w:rsidRPr="004612D6" w:rsidTr="00CB4A59">
        <w:trPr>
          <w:gridAfter w:val="1"/>
          <w:wAfter w:w="29" w:type="dxa"/>
          <w:cantSplit/>
          <w:trHeight w:val="360"/>
        </w:trPr>
        <w:tc>
          <w:tcPr>
            <w:tcW w:w="1872" w:type="dxa"/>
            <w:tcBorders>
              <w:top w:val="single" w:sz="4" w:space="0" w:color="auto"/>
              <w:left w:val="single" w:sz="4" w:space="0" w:color="auto"/>
              <w:bottom w:val="single" w:sz="4" w:space="0" w:color="auto"/>
              <w:right w:val="single" w:sz="4" w:space="0" w:color="auto"/>
            </w:tcBorders>
          </w:tcPr>
          <w:p w:rsidR="003B650A" w:rsidRPr="004612D6" w:rsidRDefault="003B650A" w:rsidP="00CB4A59">
            <w:pPr>
              <w:rPr>
                <w:rFonts w:ascii="Arial Narrow" w:hAnsi="Arial Narrow"/>
                <w:b/>
                <w:sz w:val="20"/>
                <w:szCs w:val="20"/>
              </w:rPr>
            </w:pPr>
            <w:r w:rsidRPr="004612D6">
              <w:rPr>
                <w:rFonts w:ascii="Arial Narrow" w:hAnsi="Arial Narrow"/>
                <w:b/>
                <w:sz w:val="20"/>
                <w:szCs w:val="20"/>
              </w:rPr>
              <w:t>Treatment criteria:</w:t>
            </w:r>
          </w:p>
        </w:tc>
        <w:tc>
          <w:tcPr>
            <w:tcW w:w="7200" w:type="dxa"/>
            <w:tcBorders>
              <w:top w:val="single" w:sz="4" w:space="0" w:color="auto"/>
              <w:left w:val="single" w:sz="4" w:space="0" w:color="auto"/>
              <w:bottom w:val="single" w:sz="4" w:space="0" w:color="auto"/>
              <w:right w:val="single" w:sz="4" w:space="0" w:color="auto"/>
            </w:tcBorders>
          </w:tcPr>
          <w:p w:rsidR="003B650A" w:rsidRPr="0036079E" w:rsidRDefault="003B650A" w:rsidP="00CB4A59">
            <w:pPr>
              <w:rPr>
                <w:rFonts w:ascii="Arial Narrow" w:hAnsi="Arial Narrow"/>
                <w:sz w:val="20"/>
                <w:szCs w:val="20"/>
              </w:rPr>
            </w:pPr>
            <w:r w:rsidRPr="004612D6">
              <w:rPr>
                <w:rFonts w:ascii="Arial Narrow" w:hAnsi="Arial Narrow"/>
                <w:color w:val="000000"/>
                <w:sz w:val="20"/>
                <w:szCs w:val="20"/>
              </w:rPr>
              <w:t xml:space="preserve">Must be treated by a </w:t>
            </w:r>
            <w:r w:rsidRPr="004612D6">
              <w:rPr>
                <w:rFonts w:ascii="Arial Narrow" w:hAnsi="Arial Narrow"/>
                <w:sz w:val="20"/>
                <w:szCs w:val="20"/>
              </w:rPr>
              <w:t>neurologist</w:t>
            </w:r>
          </w:p>
        </w:tc>
      </w:tr>
      <w:tr w:rsidR="003B650A" w:rsidRPr="0036079E" w:rsidTr="00CB4A59">
        <w:trPr>
          <w:gridAfter w:val="1"/>
          <w:wAfter w:w="29" w:type="dxa"/>
          <w:cantSplit/>
          <w:trHeight w:val="360"/>
        </w:trPr>
        <w:tc>
          <w:tcPr>
            <w:tcW w:w="1872" w:type="dxa"/>
            <w:tcBorders>
              <w:top w:val="single" w:sz="4" w:space="0" w:color="auto"/>
              <w:left w:val="single" w:sz="4" w:space="0" w:color="auto"/>
              <w:bottom w:val="single" w:sz="4" w:space="0" w:color="auto"/>
              <w:right w:val="single" w:sz="4" w:space="0" w:color="auto"/>
            </w:tcBorders>
          </w:tcPr>
          <w:p w:rsidR="003B650A" w:rsidRPr="004612D6" w:rsidRDefault="003B650A" w:rsidP="00CB4A59">
            <w:pPr>
              <w:rPr>
                <w:rFonts w:ascii="Arial Narrow" w:hAnsi="Arial Narrow"/>
                <w:b/>
                <w:color w:val="000000"/>
                <w:sz w:val="20"/>
                <w:szCs w:val="20"/>
              </w:rPr>
            </w:pPr>
            <w:r w:rsidRPr="004612D6">
              <w:rPr>
                <w:rFonts w:ascii="Arial Narrow" w:hAnsi="Arial Narrow"/>
                <w:b/>
                <w:color w:val="000000"/>
                <w:sz w:val="20"/>
                <w:szCs w:val="20"/>
              </w:rPr>
              <w:lastRenderedPageBreak/>
              <w:t>Clinical criteria:</w:t>
            </w:r>
          </w:p>
          <w:p w:rsidR="003B650A" w:rsidRPr="004612D6" w:rsidRDefault="003B650A" w:rsidP="00CB4A59">
            <w:pPr>
              <w:rPr>
                <w:rFonts w:ascii="Arial Narrow" w:hAnsi="Arial Narrow"/>
                <w:i/>
                <w:color w:val="000000"/>
                <w:sz w:val="20"/>
                <w:szCs w:val="20"/>
              </w:rPr>
            </w:pPr>
          </w:p>
          <w:p w:rsidR="003B650A" w:rsidRPr="004612D6" w:rsidRDefault="003B650A" w:rsidP="00CB4A59">
            <w:pPr>
              <w:rPr>
                <w:rFonts w:ascii="Arial Narrow" w:hAnsi="Arial Narrow"/>
                <w:color w:val="000000"/>
                <w:sz w:val="20"/>
                <w:szCs w:val="20"/>
              </w:rPr>
            </w:pPr>
          </w:p>
        </w:tc>
        <w:tc>
          <w:tcPr>
            <w:tcW w:w="7200" w:type="dxa"/>
            <w:tcBorders>
              <w:top w:val="single" w:sz="4" w:space="0" w:color="auto"/>
              <w:left w:val="single" w:sz="4" w:space="0" w:color="auto"/>
              <w:bottom w:val="single" w:sz="4" w:space="0" w:color="auto"/>
              <w:right w:val="single" w:sz="4" w:space="0" w:color="auto"/>
            </w:tcBorders>
          </w:tcPr>
          <w:p w:rsidR="003B650A" w:rsidRPr="0036079E" w:rsidRDefault="003B650A" w:rsidP="00CB4A59">
            <w:pPr>
              <w:rPr>
                <w:rFonts w:ascii="Arial Narrow" w:hAnsi="Arial Narrow"/>
                <w:color w:val="000000"/>
                <w:sz w:val="20"/>
                <w:szCs w:val="20"/>
              </w:rPr>
            </w:pPr>
            <w:r w:rsidRPr="0036079E">
              <w:rPr>
                <w:rFonts w:ascii="Arial Narrow" w:hAnsi="Arial Narrow"/>
                <w:color w:val="000000"/>
                <w:sz w:val="20"/>
                <w:szCs w:val="20"/>
              </w:rPr>
              <w:t>Patient must have previously received PBS-subsidised treatment with this drug for this condition</w:t>
            </w:r>
          </w:p>
          <w:p w:rsidR="003B650A" w:rsidRPr="0036079E" w:rsidRDefault="003B650A" w:rsidP="00CB4A59">
            <w:pPr>
              <w:rPr>
                <w:rFonts w:ascii="Arial Narrow" w:hAnsi="Arial Narrow"/>
                <w:color w:val="000000"/>
                <w:sz w:val="20"/>
                <w:szCs w:val="20"/>
              </w:rPr>
            </w:pPr>
            <w:r w:rsidRPr="0036079E">
              <w:rPr>
                <w:rFonts w:ascii="Arial Narrow" w:hAnsi="Arial Narrow"/>
                <w:color w:val="000000"/>
                <w:sz w:val="20"/>
                <w:szCs w:val="20"/>
              </w:rPr>
              <w:t>AND</w:t>
            </w:r>
          </w:p>
          <w:p w:rsidR="003B650A" w:rsidRPr="0036079E" w:rsidRDefault="003B650A" w:rsidP="00CB4A59">
            <w:pPr>
              <w:rPr>
                <w:rFonts w:ascii="Arial Narrow" w:hAnsi="Arial Narrow"/>
                <w:color w:val="000000"/>
                <w:sz w:val="20"/>
                <w:szCs w:val="20"/>
              </w:rPr>
            </w:pPr>
            <w:r w:rsidRPr="0036079E">
              <w:rPr>
                <w:rFonts w:ascii="Arial Narrow" w:hAnsi="Arial Narrow"/>
                <w:color w:val="000000"/>
                <w:sz w:val="20"/>
                <w:szCs w:val="20"/>
              </w:rPr>
              <w:t>Patient must have achieved a 50% or greater reduction from baseline in the number of migraine days per month</w:t>
            </w:r>
          </w:p>
          <w:p w:rsidR="003B650A" w:rsidRPr="0036079E" w:rsidRDefault="003B650A" w:rsidP="00CB4A59">
            <w:pPr>
              <w:rPr>
                <w:rFonts w:ascii="Arial Narrow" w:hAnsi="Arial Narrow"/>
                <w:color w:val="000000"/>
                <w:sz w:val="20"/>
                <w:szCs w:val="20"/>
              </w:rPr>
            </w:pPr>
            <w:r w:rsidRPr="0036079E">
              <w:rPr>
                <w:rFonts w:ascii="Arial Narrow" w:hAnsi="Arial Narrow"/>
                <w:color w:val="000000"/>
                <w:sz w:val="20"/>
                <w:szCs w:val="20"/>
              </w:rPr>
              <w:t>AND</w:t>
            </w:r>
          </w:p>
          <w:p w:rsidR="003B650A" w:rsidRPr="0036079E" w:rsidRDefault="003B650A" w:rsidP="00CB4A59">
            <w:pPr>
              <w:rPr>
                <w:rFonts w:ascii="Arial Narrow" w:hAnsi="Arial Narrow"/>
                <w:color w:val="000000"/>
                <w:sz w:val="20"/>
                <w:szCs w:val="20"/>
              </w:rPr>
            </w:pPr>
            <w:r w:rsidRPr="0036079E">
              <w:rPr>
                <w:rFonts w:ascii="Arial Narrow" w:hAnsi="Arial Narrow"/>
                <w:color w:val="000000"/>
                <w:sz w:val="20"/>
                <w:szCs w:val="20"/>
              </w:rPr>
              <w:t>Patient must continue to be appropriately managed for medication overuse headache</w:t>
            </w:r>
          </w:p>
          <w:p w:rsidR="003B650A" w:rsidRPr="0036079E" w:rsidRDefault="003B650A" w:rsidP="00CB4A59">
            <w:pPr>
              <w:rPr>
                <w:rFonts w:ascii="Arial Narrow" w:hAnsi="Arial Narrow"/>
                <w:color w:val="000000"/>
                <w:sz w:val="20"/>
                <w:szCs w:val="20"/>
              </w:rPr>
            </w:pPr>
            <w:r w:rsidRPr="0036079E">
              <w:rPr>
                <w:rFonts w:ascii="Arial Narrow" w:hAnsi="Arial Narrow"/>
                <w:color w:val="000000"/>
                <w:sz w:val="20"/>
                <w:szCs w:val="20"/>
              </w:rPr>
              <w:t>AND</w:t>
            </w:r>
          </w:p>
          <w:p w:rsidR="003B650A" w:rsidRPr="0036079E" w:rsidRDefault="003B650A" w:rsidP="00CB4A59">
            <w:pPr>
              <w:rPr>
                <w:rFonts w:ascii="Arial Narrow" w:hAnsi="Arial Narrow"/>
                <w:color w:val="000000"/>
                <w:sz w:val="20"/>
                <w:szCs w:val="20"/>
              </w:rPr>
            </w:pPr>
            <w:r w:rsidRPr="0036079E">
              <w:rPr>
                <w:rFonts w:ascii="Arial Narrow" w:hAnsi="Arial Narrow"/>
                <w:color w:val="000000"/>
                <w:sz w:val="20"/>
                <w:szCs w:val="20"/>
              </w:rPr>
              <w:t>The treatment must not be in combination with PBS-subsidised botulinum toxin type A</w:t>
            </w:r>
          </w:p>
        </w:tc>
      </w:tr>
      <w:tr w:rsidR="003B650A" w:rsidRPr="0036079E" w:rsidTr="00CB4A59">
        <w:trPr>
          <w:gridAfter w:val="1"/>
          <w:wAfter w:w="29" w:type="dxa"/>
          <w:cantSplit/>
          <w:trHeight w:val="360"/>
        </w:trPr>
        <w:tc>
          <w:tcPr>
            <w:tcW w:w="1872" w:type="dxa"/>
            <w:tcBorders>
              <w:top w:val="single" w:sz="4" w:space="0" w:color="auto"/>
              <w:left w:val="single" w:sz="4" w:space="0" w:color="auto"/>
              <w:bottom w:val="single" w:sz="4" w:space="0" w:color="auto"/>
              <w:right w:val="single" w:sz="4" w:space="0" w:color="auto"/>
            </w:tcBorders>
          </w:tcPr>
          <w:p w:rsidR="003B650A" w:rsidRPr="004612D6" w:rsidRDefault="003B650A" w:rsidP="00CB4A59">
            <w:pPr>
              <w:rPr>
                <w:rFonts w:ascii="Arial Narrow" w:hAnsi="Arial Narrow"/>
                <w:b/>
                <w:color w:val="000000"/>
                <w:sz w:val="20"/>
                <w:szCs w:val="20"/>
              </w:rPr>
            </w:pPr>
            <w:r w:rsidRPr="004612D6">
              <w:rPr>
                <w:rFonts w:ascii="Arial Narrow" w:hAnsi="Arial Narrow"/>
                <w:b/>
                <w:sz w:val="20"/>
                <w:szCs w:val="20"/>
              </w:rPr>
              <w:t>Prescriber instructions:</w:t>
            </w:r>
          </w:p>
        </w:tc>
        <w:tc>
          <w:tcPr>
            <w:tcW w:w="7200" w:type="dxa"/>
            <w:tcBorders>
              <w:top w:val="single" w:sz="4" w:space="0" w:color="auto"/>
              <w:left w:val="single" w:sz="4" w:space="0" w:color="auto"/>
              <w:bottom w:val="single" w:sz="4" w:space="0" w:color="auto"/>
              <w:right w:val="single" w:sz="4" w:space="0" w:color="auto"/>
            </w:tcBorders>
          </w:tcPr>
          <w:p w:rsidR="003B650A" w:rsidRPr="0036079E" w:rsidRDefault="003B650A" w:rsidP="00CB4A59">
            <w:pPr>
              <w:rPr>
                <w:rFonts w:ascii="Arial Narrow" w:hAnsi="Arial Narrow"/>
                <w:color w:val="000000"/>
                <w:sz w:val="20"/>
                <w:szCs w:val="20"/>
              </w:rPr>
            </w:pPr>
            <w:r w:rsidRPr="0036079E">
              <w:rPr>
                <w:rFonts w:ascii="Arial Narrow" w:hAnsi="Arial Narrow"/>
                <w:color w:val="000000"/>
                <w:sz w:val="20"/>
                <w:szCs w:val="20"/>
              </w:rPr>
              <w:t>Patient must have the number of migraine days per month documented in their medical records</w:t>
            </w:r>
          </w:p>
        </w:tc>
      </w:tr>
      <w:tr w:rsidR="003B650A" w:rsidRPr="004612D6" w:rsidTr="00CB4A59">
        <w:trPr>
          <w:cantSplit/>
          <w:trHeight w:val="360"/>
        </w:trPr>
        <w:tc>
          <w:tcPr>
            <w:tcW w:w="1872" w:type="dxa"/>
            <w:tcBorders>
              <w:top w:val="single" w:sz="4" w:space="0" w:color="auto"/>
              <w:left w:val="single" w:sz="4" w:space="0" w:color="auto"/>
              <w:bottom w:val="single" w:sz="4" w:space="0" w:color="auto"/>
              <w:right w:val="single" w:sz="4" w:space="0" w:color="auto"/>
            </w:tcBorders>
          </w:tcPr>
          <w:p w:rsidR="003B650A" w:rsidRPr="004612D6" w:rsidRDefault="003B650A" w:rsidP="00CB4A59">
            <w:pPr>
              <w:rPr>
                <w:rFonts w:ascii="Arial Narrow" w:hAnsi="Arial Narrow"/>
                <w:b/>
                <w:sz w:val="20"/>
                <w:szCs w:val="20"/>
              </w:rPr>
            </w:pPr>
            <w:r w:rsidRPr="004612D6">
              <w:rPr>
                <w:rFonts w:ascii="Arial Narrow" w:hAnsi="Arial Narrow"/>
                <w:b/>
                <w:sz w:val="20"/>
                <w:szCs w:val="20"/>
              </w:rPr>
              <w:t>Administrative Advice</w:t>
            </w:r>
          </w:p>
        </w:tc>
        <w:tc>
          <w:tcPr>
            <w:tcW w:w="7229" w:type="dxa"/>
            <w:gridSpan w:val="2"/>
            <w:tcBorders>
              <w:top w:val="single" w:sz="4" w:space="0" w:color="auto"/>
              <w:left w:val="single" w:sz="4" w:space="0" w:color="auto"/>
              <w:bottom w:val="single" w:sz="4" w:space="0" w:color="auto"/>
              <w:right w:val="single" w:sz="4" w:space="0" w:color="auto"/>
            </w:tcBorders>
          </w:tcPr>
          <w:p w:rsidR="003B650A" w:rsidRPr="0036079E" w:rsidRDefault="003B650A" w:rsidP="00CB4A59">
            <w:pPr>
              <w:rPr>
                <w:rFonts w:ascii="Arial Narrow" w:hAnsi="Arial Narrow"/>
                <w:color w:val="000000"/>
                <w:sz w:val="20"/>
                <w:szCs w:val="20"/>
              </w:rPr>
            </w:pPr>
            <w:r w:rsidRPr="0036079E">
              <w:rPr>
                <w:rFonts w:ascii="Arial Narrow" w:hAnsi="Arial Narrow"/>
                <w:color w:val="000000"/>
                <w:sz w:val="20"/>
                <w:szCs w:val="20"/>
              </w:rPr>
              <w:t>No increase in the maximum quantity or number of units may be authorised</w:t>
            </w:r>
          </w:p>
          <w:p w:rsidR="003B650A" w:rsidRPr="0036079E" w:rsidRDefault="003B650A" w:rsidP="00CB4A59">
            <w:pPr>
              <w:rPr>
                <w:rFonts w:ascii="Arial Narrow" w:hAnsi="Arial Narrow"/>
                <w:color w:val="000000"/>
                <w:sz w:val="20"/>
                <w:szCs w:val="20"/>
              </w:rPr>
            </w:pPr>
            <w:r w:rsidRPr="0036079E">
              <w:rPr>
                <w:rFonts w:ascii="Arial Narrow" w:hAnsi="Arial Narrow"/>
                <w:color w:val="000000"/>
                <w:sz w:val="20"/>
                <w:szCs w:val="20"/>
              </w:rPr>
              <w:t>No increase in the maximum number of repeats may be authorised.</w:t>
            </w:r>
          </w:p>
          <w:p w:rsidR="003B650A" w:rsidRPr="0036079E" w:rsidRDefault="003B650A" w:rsidP="00CB4A59">
            <w:pPr>
              <w:rPr>
                <w:rFonts w:ascii="Arial Narrow" w:hAnsi="Arial Narrow"/>
                <w:color w:val="000000"/>
                <w:sz w:val="20"/>
                <w:szCs w:val="20"/>
              </w:rPr>
            </w:pPr>
            <w:r w:rsidRPr="0036079E">
              <w:rPr>
                <w:rFonts w:ascii="Arial Narrow" w:hAnsi="Arial Narrow"/>
                <w:color w:val="000000"/>
                <w:sz w:val="20"/>
                <w:szCs w:val="20"/>
              </w:rPr>
              <w:t>Special Pricing Arrangement apply</w:t>
            </w:r>
          </w:p>
        </w:tc>
      </w:tr>
    </w:tbl>
    <w:p w:rsidR="003B650A" w:rsidRDefault="003B650A" w:rsidP="003B650A"/>
    <w:tbl>
      <w:tblPr>
        <w:tblW w:w="9101" w:type="dxa"/>
        <w:tblInd w:w="108" w:type="dxa"/>
        <w:tblLayout w:type="fixed"/>
        <w:tblLook w:val="0000" w:firstRow="0" w:lastRow="0" w:firstColumn="0" w:lastColumn="0" w:noHBand="0" w:noVBand="0"/>
      </w:tblPr>
      <w:tblGrid>
        <w:gridCol w:w="1872"/>
        <w:gridCol w:w="7200"/>
        <w:gridCol w:w="29"/>
      </w:tblGrid>
      <w:tr w:rsidR="003B650A" w:rsidRPr="004612D6" w:rsidTr="00CB4A59">
        <w:trPr>
          <w:gridAfter w:val="1"/>
          <w:wAfter w:w="29" w:type="dxa"/>
          <w:cantSplit/>
          <w:trHeight w:val="360"/>
        </w:trPr>
        <w:tc>
          <w:tcPr>
            <w:tcW w:w="1872" w:type="dxa"/>
            <w:tcBorders>
              <w:top w:val="single" w:sz="4" w:space="0" w:color="auto"/>
              <w:left w:val="single" w:sz="4" w:space="0" w:color="auto"/>
              <w:bottom w:val="single" w:sz="4" w:space="0" w:color="auto"/>
              <w:right w:val="single" w:sz="4" w:space="0" w:color="auto"/>
            </w:tcBorders>
          </w:tcPr>
          <w:p w:rsidR="003B650A" w:rsidRPr="004612D6" w:rsidRDefault="003B650A" w:rsidP="00CB4A59">
            <w:pPr>
              <w:rPr>
                <w:rFonts w:ascii="Arial Narrow" w:hAnsi="Arial Narrow"/>
                <w:b/>
                <w:sz w:val="20"/>
                <w:szCs w:val="20"/>
              </w:rPr>
            </w:pPr>
            <w:r w:rsidRPr="004612D6">
              <w:rPr>
                <w:rFonts w:ascii="Arial Narrow" w:hAnsi="Arial Narrow"/>
                <w:b/>
                <w:sz w:val="20"/>
                <w:szCs w:val="20"/>
              </w:rPr>
              <w:t>PBS Indication:</w:t>
            </w:r>
          </w:p>
        </w:tc>
        <w:tc>
          <w:tcPr>
            <w:tcW w:w="7200" w:type="dxa"/>
            <w:tcBorders>
              <w:top w:val="single" w:sz="4" w:space="0" w:color="auto"/>
              <w:left w:val="single" w:sz="4" w:space="0" w:color="auto"/>
              <w:bottom w:val="single" w:sz="4" w:space="0" w:color="auto"/>
              <w:right w:val="single" w:sz="4" w:space="0" w:color="auto"/>
            </w:tcBorders>
          </w:tcPr>
          <w:p w:rsidR="003B650A" w:rsidRPr="004612D6" w:rsidRDefault="003B650A" w:rsidP="00CB4A59">
            <w:pPr>
              <w:rPr>
                <w:rFonts w:ascii="Arial Narrow" w:hAnsi="Arial Narrow"/>
                <w:sz w:val="20"/>
                <w:szCs w:val="20"/>
              </w:rPr>
            </w:pPr>
            <w:r w:rsidRPr="004612D6">
              <w:rPr>
                <w:rFonts w:ascii="Arial Narrow" w:hAnsi="Arial Narrow"/>
                <w:sz w:val="20"/>
                <w:szCs w:val="20"/>
              </w:rPr>
              <w:t xml:space="preserve">Chronic migraine </w:t>
            </w:r>
          </w:p>
        </w:tc>
      </w:tr>
      <w:tr w:rsidR="003B650A" w:rsidRPr="0036079E" w:rsidTr="00CB4A59">
        <w:trPr>
          <w:gridAfter w:val="1"/>
          <w:wAfter w:w="29" w:type="dxa"/>
          <w:cantSplit/>
          <w:trHeight w:val="360"/>
        </w:trPr>
        <w:tc>
          <w:tcPr>
            <w:tcW w:w="1872" w:type="dxa"/>
            <w:tcBorders>
              <w:top w:val="single" w:sz="4" w:space="0" w:color="auto"/>
              <w:left w:val="single" w:sz="4" w:space="0" w:color="auto"/>
              <w:bottom w:val="single" w:sz="4" w:space="0" w:color="auto"/>
              <w:right w:val="single" w:sz="4" w:space="0" w:color="auto"/>
            </w:tcBorders>
          </w:tcPr>
          <w:p w:rsidR="003B650A" w:rsidRPr="004612D6" w:rsidRDefault="003B650A" w:rsidP="00CB4A59">
            <w:pPr>
              <w:rPr>
                <w:rFonts w:ascii="Arial Narrow" w:hAnsi="Arial Narrow"/>
                <w:b/>
                <w:sz w:val="20"/>
                <w:szCs w:val="20"/>
              </w:rPr>
            </w:pPr>
            <w:r w:rsidRPr="004612D6">
              <w:rPr>
                <w:rFonts w:ascii="Arial Narrow" w:hAnsi="Arial Narrow"/>
                <w:b/>
                <w:sz w:val="20"/>
                <w:szCs w:val="20"/>
              </w:rPr>
              <w:t>Treatment phase:</w:t>
            </w:r>
          </w:p>
        </w:tc>
        <w:tc>
          <w:tcPr>
            <w:tcW w:w="7200" w:type="dxa"/>
            <w:tcBorders>
              <w:top w:val="single" w:sz="4" w:space="0" w:color="auto"/>
              <w:left w:val="single" w:sz="4" w:space="0" w:color="auto"/>
              <w:bottom w:val="single" w:sz="4" w:space="0" w:color="auto"/>
              <w:right w:val="single" w:sz="4" w:space="0" w:color="auto"/>
            </w:tcBorders>
          </w:tcPr>
          <w:p w:rsidR="003B650A" w:rsidRPr="0036079E" w:rsidRDefault="003B650A" w:rsidP="00CB4A59">
            <w:pPr>
              <w:rPr>
                <w:rFonts w:ascii="Arial Narrow" w:hAnsi="Arial Narrow"/>
                <w:sz w:val="20"/>
                <w:szCs w:val="20"/>
              </w:rPr>
            </w:pPr>
            <w:r>
              <w:rPr>
                <w:rFonts w:ascii="Arial Narrow" w:hAnsi="Arial Narrow"/>
                <w:sz w:val="20"/>
                <w:szCs w:val="20"/>
              </w:rPr>
              <w:t xml:space="preserve">Second and subsequent </w:t>
            </w:r>
            <w:r w:rsidRPr="0036079E">
              <w:rPr>
                <w:rFonts w:ascii="Arial Narrow" w:hAnsi="Arial Narrow"/>
                <w:sz w:val="20"/>
                <w:szCs w:val="20"/>
              </w:rPr>
              <w:t xml:space="preserve">continuing </w:t>
            </w:r>
            <w:r>
              <w:rPr>
                <w:rFonts w:ascii="Arial Narrow" w:hAnsi="Arial Narrow"/>
                <w:sz w:val="20"/>
                <w:szCs w:val="20"/>
              </w:rPr>
              <w:t>treatment</w:t>
            </w:r>
          </w:p>
        </w:tc>
      </w:tr>
      <w:tr w:rsidR="003B650A" w:rsidRPr="004612D6" w:rsidTr="00CB4A59">
        <w:trPr>
          <w:gridAfter w:val="1"/>
          <w:wAfter w:w="29" w:type="dxa"/>
          <w:cantSplit/>
          <w:trHeight w:val="360"/>
        </w:trPr>
        <w:tc>
          <w:tcPr>
            <w:tcW w:w="1872" w:type="dxa"/>
            <w:tcBorders>
              <w:top w:val="single" w:sz="4" w:space="0" w:color="auto"/>
              <w:left w:val="single" w:sz="4" w:space="0" w:color="auto"/>
              <w:bottom w:val="single" w:sz="4" w:space="0" w:color="auto"/>
              <w:right w:val="single" w:sz="4" w:space="0" w:color="auto"/>
            </w:tcBorders>
          </w:tcPr>
          <w:p w:rsidR="003B650A" w:rsidRPr="004612D6" w:rsidRDefault="003B650A" w:rsidP="00CB4A59">
            <w:pPr>
              <w:rPr>
                <w:rFonts w:ascii="Arial Narrow" w:hAnsi="Arial Narrow"/>
                <w:b/>
                <w:sz w:val="20"/>
                <w:szCs w:val="20"/>
              </w:rPr>
            </w:pPr>
            <w:r w:rsidRPr="004612D6">
              <w:rPr>
                <w:rFonts w:ascii="Arial Narrow" w:hAnsi="Arial Narrow"/>
                <w:b/>
                <w:sz w:val="20"/>
                <w:szCs w:val="20"/>
              </w:rPr>
              <w:t>Restriction:</w:t>
            </w:r>
          </w:p>
          <w:p w:rsidR="003B650A" w:rsidRPr="004612D6" w:rsidRDefault="003B650A" w:rsidP="00CB4A59">
            <w:pPr>
              <w:rPr>
                <w:rFonts w:ascii="Arial Narrow" w:hAnsi="Arial Narrow"/>
                <w:sz w:val="20"/>
                <w:szCs w:val="20"/>
              </w:rPr>
            </w:pPr>
          </w:p>
        </w:tc>
        <w:tc>
          <w:tcPr>
            <w:tcW w:w="7200" w:type="dxa"/>
            <w:tcBorders>
              <w:top w:val="single" w:sz="4" w:space="0" w:color="auto"/>
              <w:left w:val="single" w:sz="4" w:space="0" w:color="auto"/>
              <w:bottom w:val="single" w:sz="4" w:space="0" w:color="auto"/>
              <w:right w:val="single" w:sz="4" w:space="0" w:color="auto"/>
            </w:tcBorders>
          </w:tcPr>
          <w:p w:rsidR="003B650A" w:rsidRPr="004612D6" w:rsidRDefault="003B650A" w:rsidP="00CB4A59">
            <w:pPr>
              <w:spacing w:line="360" w:lineRule="auto"/>
              <w:rPr>
                <w:rFonts w:ascii="Arial Narrow" w:hAnsi="Arial Narrow"/>
                <w:sz w:val="20"/>
                <w:szCs w:val="20"/>
              </w:rPr>
            </w:pPr>
            <w:r w:rsidRPr="004612D6">
              <w:rPr>
                <w:rFonts w:ascii="Arial Narrow" w:hAnsi="Arial Narrow"/>
                <w:sz w:val="20"/>
                <w:szCs w:val="20"/>
              </w:rPr>
              <w:fldChar w:fldCharType="begin">
                <w:ffData>
                  <w:name w:val="Check5"/>
                  <w:enabled/>
                  <w:calcOnExit w:val="0"/>
                  <w:checkBox>
                    <w:sizeAuto/>
                    <w:default w:val="1"/>
                  </w:checkBox>
                </w:ffData>
              </w:fldChar>
            </w:r>
            <w:r w:rsidRPr="004612D6">
              <w:rPr>
                <w:rFonts w:ascii="Arial Narrow" w:hAnsi="Arial Narrow"/>
                <w:sz w:val="20"/>
                <w:szCs w:val="20"/>
              </w:rPr>
              <w:instrText xml:space="preserve"> FORMCHECKBOX </w:instrText>
            </w:r>
            <w:r w:rsidR="008A5CBB">
              <w:rPr>
                <w:rFonts w:ascii="Arial Narrow" w:hAnsi="Arial Narrow"/>
                <w:sz w:val="20"/>
                <w:szCs w:val="20"/>
              </w:rPr>
            </w:r>
            <w:r w:rsidR="008A5CBB">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Streamlined</w:t>
            </w:r>
          </w:p>
        </w:tc>
      </w:tr>
      <w:tr w:rsidR="003B650A" w:rsidRPr="0036079E" w:rsidTr="00CB4A59">
        <w:trPr>
          <w:gridAfter w:val="1"/>
          <w:wAfter w:w="29" w:type="dxa"/>
          <w:cantSplit/>
          <w:trHeight w:val="360"/>
        </w:trPr>
        <w:tc>
          <w:tcPr>
            <w:tcW w:w="1872" w:type="dxa"/>
            <w:tcBorders>
              <w:top w:val="single" w:sz="4" w:space="0" w:color="auto"/>
              <w:left w:val="single" w:sz="4" w:space="0" w:color="auto"/>
              <w:bottom w:val="single" w:sz="4" w:space="0" w:color="auto"/>
              <w:right w:val="single" w:sz="4" w:space="0" w:color="auto"/>
            </w:tcBorders>
          </w:tcPr>
          <w:p w:rsidR="003B650A" w:rsidRPr="004612D6" w:rsidRDefault="003B650A" w:rsidP="00CB4A59">
            <w:pPr>
              <w:rPr>
                <w:rFonts w:ascii="Arial Narrow" w:hAnsi="Arial Narrow"/>
                <w:b/>
                <w:sz w:val="20"/>
                <w:szCs w:val="20"/>
              </w:rPr>
            </w:pPr>
            <w:r w:rsidRPr="004612D6">
              <w:rPr>
                <w:rFonts w:ascii="Arial Narrow" w:hAnsi="Arial Narrow"/>
                <w:b/>
                <w:sz w:val="20"/>
                <w:szCs w:val="20"/>
              </w:rPr>
              <w:t>Treatment criteria:</w:t>
            </w:r>
          </w:p>
        </w:tc>
        <w:tc>
          <w:tcPr>
            <w:tcW w:w="7200" w:type="dxa"/>
            <w:tcBorders>
              <w:top w:val="single" w:sz="4" w:space="0" w:color="auto"/>
              <w:left w:val="single" w:sz="4" w:space="0" w:color="auto"/>
              <w:bottom w:val="single" w:sz="4" w:space="0" w:color="auto"/>
              <w:right w:val="single" w:sz="4" w:space="0" w:color="auto"/>
            </w:tcBorders>
          </w:tcPr>
          <w:p w:rsidR="003B650A" w:rsidRPr="0036079E" w:rsidRDefault="003B650A" w:rsidP="00CB4A59">
            <w:pPr>
              <w:rPr>
                <w:rFonts w:ascii="Arial Narrow" w:hAnsi="Arial Narrow"/>
                <w:sz w:val="20"/>
                <w:szCs w:val="20"/>
              </w:rPr>
            </w:pPr>
            <w:r>
              <w:rPr>
                <w:rFonts w:ascii="Arial Narrow" w:hAnsi="Arial Narrow"/>
                <w:color w:val="000000"/>
                <w:sz w:val="20"/>
                <w:szCs w:val="20"/>
              </w:rPr>
              <w:t xml:space="preserve">Must be treated by, or in consultation with, </w:t>
            </w:r>
            <w:r w:rsidRPr="004612D6">
              <w:rPr>
                <w:rFonts w:ascii="Arial Narrow" w:hAnsi="Arial Narrow"/>
                <w:color w:val="000000"/>
                <w:sz w:val="20"/>
                <w:szCs w:val="20"/>
              </w:rPr>
              <w:t xml:space="preserve">a </w:t>
            </w:r>
            <w:r w:rsidRPr="004612D6">
              <w:rPr>
                <w:rFonts w:ascii="Arial Narrow" w:hAnsi="Arial Narrow"/>
                <w:sz w:val="20"/>
                <w:szCs w:val="20"/>
              </w:rPr>
              <w:t>neurologist</w:t>
            </w:r>
          </w:p>
        </w:tc>
      </w:tr>
      <w:tr w:rsidR="003B650A" w:rsidRPr="0036079E" w:rsidTr="00CB4A59">
        <w:trPr>
          <w:gridAfter w:val="1"/>
          <w:wAfter w:w="29" w:type="dxa"/>
          <w:cantSplit/>
          <w:trHeight w:val="360"/>
        </w:trPr>
        <w:tc>
          <w:tcPr>
            <w:tcW w:w="1872" w:type="dxa"/>
            <w:tcBorders>
              <w:top w:val="single" w:sz="4" w:space="0" w:color="auto"/>
              <w:left w:val="single" w:sz="4" w:space="0" w:color="auto"/>
              <w:bottom w:val="single" w:sz="4" w:space="0" w:color="auto"/>
              <w:right w:val="single" w:sz="4" w:space="0" w:color="auto"/>
            </w:tcBorders>
          </w:tcPr>
          <w:p w:rsidR="003B650A" w:rsidRPr="004612D6" w:rsidRDefault="003B650A" w:rsidP="00CB4A59">
            <w:pPr>
              <w:rPr>
                <w:rFonts w:ascii="Arial Narrow" w:hAnsi="Arial Narrow"/>
                <w:b/>
                <w:color w:val="000000"/>
                <w:sz w:val="20"/>
                <w:szCs w:val="20"/>
              </w:rPr>
            </w:pPr>
            <w:r w:rsidRPr="004612D6">
              <w:rPr>
                <w:rFonts w:ascii="Arial Narrow" w:hAnsi="Arial Narrow"/>
                <w:b/>
                <w:color w:val="000000"/>
                <w:sz w:val="20"/>
                <w:szCs w:val="20"/>
              </w:rPr>
              <w:t>Clinical criteria:</w:t>
            </w:r>
          </w:p>
          <w:p w:rsidR="003B650A" w:rsidRPr="004612D6" w:rsidRDefault="003B650A" w:rsidP="00CB4A59">
            <w:pPr>
              <w:rPr>
                <w:rFonts w:ascii="Arial Narrow" w:hAnsi="Arial Narrow"/>
                <w:i/>
                <w:color w:val="000000"/>
                <w:sz w:val="20"/>
                <w:szCs w:val="20"/>
              </w:rPr>
            </w:pPr>
          </w:p>
          <w:p w:rsidR="003B650A" w:rsidRPr="004612D6" w:rsidRDefault="003B650A" w:rsidP="00CB4A59">
            <w:pPr>
              <w:rPr>
                <w:rFonts w:ascii="Arial Narrow" w:hAnsi="Arial Narrow"/>
                <w:color w:val="000000"/>
                <w:sz w:val="20"/>
                <w:szCs w:val="20"/>
              </w:rPr>
            </w:pPr>
          </w:p>
        </w:tc>
        <w:tc>
          <w:tcPr>
            <w:tcW w:w="7200" w:type="dxa"/>
            <w:tcBorders>
              <w:top w:val="single" w:sz="4" w:space="0" w:color="auto"/>
              <w:left w:val="single" w:sz="4" w:space="0" w:color="auto"/>
              <w:bottom w:val="single" w:sz="4" w:space="0" w:color="auto"/>
              <w:right w:val="single" w:sz="4" w:space="0" w:color="auto"/>
            </w:tcBorders>
          </w:tcPr>
          <w:p w:rsidR="003B650A" w:rsidRPr="0036079E" w:rsidRDefault="003B650A" w:rsidP="00CB4A59">
            <w:pPr>
              <w:rPr>
                <w:rFonts w:ascii="Arial Narrow" w:hAnsi="Arial Narrow"/>
                <w:color w:val="000000"/>
                <w:sz w:val="20"/>
                <w:szCs w:val="20"/>
              </w:rPr>
            </w:pPr>
            <w:r w:rsidRPr="0036079E">
              <w:rPr>
                <w:rFonts w:ascii="Arial Narrow" w:hAnsi="Arial Narrow"/>
                <w:color w:val="000000"/>
                <w:sz w:val="20"/>
                <w:szCs w:val="20"/>
              </w:rPr>
              <w:t>Patient must have previously received PBS-subsidised treatment with this drug for this condition</w:t>
            </w:r>
          </w:p>
          <w:p w:rsidR="003B650A" w:rsidRPr="0036079E" w:rsidRDefault="003B650A" w:rsidP="00CB4A59">
            <w:pPr>
              <w:rPr>
                <w:rFonts w:ascii="Arial Narrow" w:hAnsi="Arial Narrow"/>
                <w:color w:val="000000"/>
                <w:sz w:val="20"/>
                <w:szCs w:val="20"/>
              </w:rPr>
            </w:pPr>
            <w:r w:rsidRPr="0036079E">
              <w:rPr>
                <w:rFonts w:ascii="Arial Narrow" w:hAnsi="Arial Narrow"/>
                <w:color w:val="000000"/>
                <w:sz w:val="20"/>
                <w:szCs w:val="20"/>
              </w:rPr>
              <w:t>AND</w:t>
            </w:r>
          </w:p>
          <w:p w:rsidR="003B650A" w:rsidRPr="0036079E" w:rsidRDefault="003B650A" w:rsidP="00CB4A59">
            <w:pPr>
              <w:rPr>
                <w:rFonts w:ascii="Arial Narrow" w:hAnsi="Arial Narrow"/>
                <w:color w:val="000000"/>
                <w:sz w:val="20"/>
                <w:szCs w:val="20"/>
              </w:rPr>
            </w:pPr>
            <w:r w:rsidRPr="0036079E">
              <w:rPr>
                <w:rFonts w:ascii="Arial Narrow" w:hAnsi="Arial Narrow"/>
                <w:color w:val="000000"/>
                <w:sz w:val="20"/>
                <w:szCs w:val="20"/>
              </w:rPr>
              <w:t>Patient must have achieved a 50% or greater reduction from baseline in the number of migraine days per month</w:t>
            </w:r>
          </w:p>
          <w:p w:rsidR="003B650A" w:rsidRPr="0036079E" w:rsidRDefault="003B650A" w:rsidP="00CB4A59">
            <w:pPr>
              <w:rPr>
                <w:rFonts w:ascii="Arial Narrow" w:hAnsi="Arial Narrow"/>
                <w:color w:val="000000"/>
                <w:sz w:val="20"/>
                <w:szCs w:val="20"/>
              </w:rPr>
            </w:pPr>
            <w:r w:rsidRPr="0036079E">
              <w:rPr>
                <w:rFonts w:ascii="Arial Narrow" w:hAnsi="Arial Narrow"/>
                <w:color w:val="000000"/>
                <w:sz w:val="20"/>
                <w:szCs w:val="20"/>
              </w:rPr>
              <w:t>AND</w:t>
            </w:r>
          </w:p>
          <w:p w:rsidR="003B650A" w:rsidRPr="0036079E" w:rsidRDefault="003B650A" w:rsidP="00CB4A59">
            <w:pPr>
              <w:rPr>
                <w:rFonts w:ascii="Arial Narrow" w:hAnsi="Arial Narrow"/>
                <w:color w:val="000000"/>
                <w:sz w:val="20"/>
                <w:szCs w:val="20"/>
              </w:rPr>
            </w:pPr>
            <w:r w:rsidRPr="0036079E">
              <w:rPr>
                <w:rFonts w:ascii="Arial Narrow" w:hAnsi="Arial Narrow"/>
                <w:color w:val="000000"/>
                <w:sz w:val="20"/>
                <w:szCs w:val="20"/>
              </w:rPr>
              <w:t>Patient must continue to be appropriately managed for medication overuse headache</w:t>
            </w:r>
          </w:p>
          <w:p w:rsidR="003B650A" w:rsidRPr="0036079E" w:rsidRDefault="003B650A" w:rsidP="00CB4A59">
            <w:pPr>
              <w:rPr>
                <w:rFonts w:ascii="Arial Narrow" w:hAnsi="Arial Narrow"/>
                <w:color w:val="000000"/>
                <w:sz w:val="20"/>
                <w:szCs w:val="20"/>
              </w:rPr>
            </w:pPr>
            <w:r w:rsidRPr="0036079E">
              <w:rPr>
                <w:rFonts w:ascii="Arial Narrow" w:hAnsi="Arial Narrow"/>
                <w:color w:val="000000"/>
                <w:sz w:val="20"/>
                <w:szCs w:val="20"/>
              </w:rPr>
              <w:t>AND</w:t>
            </w:r>
          </w:p>
          <w:p w:rsidR="003B650A" w:rsidRPr="0036079E" w:rsidRDefault="003B650A" w:rsidP="00CB4A59">
            <w:pPr>
              <w:rPr>
                <w:rFonts w:ascii="Arial Narrow" w:hAnsi="Arial Narrow"/>
                <w:color w:val="000000"/>
                <w:sz w:val="20"/>
                <w:szCs w:val="20"/>
              </w:rPr>
            </w:pPr>
            <w:r w:rsidRPr="0036079E">
              <w:rPr>
                <w:rFonts w:ascii="Arial Narrow" w:hAnsi="Arial Narrow"/>
                <w:color w:val="000000"/>
                <w:sz w:val="20"/>
                <w:szCs w:val="20"/>
              </w:rPr>
              <w:t>The treatment must not be in combination with PBS-subsidised botulinum toxin type A</w:t>
            </w:r>
          </w:p>
        </w:tc>
      </w:tr>
      <w:tr w:rsidR="003B650A" w:rsidRPr="0036079E" w:rsidTr="00CB4A59">
        <w:trPr>
          <w:gridAfter w:val="1"/>
          <w:wAfter w:w="29" w:type="dxa"/>
          <w:cantSplit/>
          <w:trHeight w:val="360"/>
        </w:trPr>
        <w:tc>
          <w:tcPr>
            <w:tcW w:w="1872" w:type="dxa"/>
            <w:tcBorders>
              <w:top w:val="single" w:sz="4" w:space="0" w:color="auto"/>
              <w:left w:val="single" w:sz="4" w:space="0" w:color="auto"/>
              <w:bottom w:val="single" w:sz="4" w:space="0" w:color="auto"/>
              <w:right w:val="single" w:sz="4" w:space="0" w:color="auto"/>
            </w:tcBorders>
          </w:tcPr>
          <w:p w:rsidR="003B650A" w:rsidRPr="004612D6" w:rsidRDefault="003B650A" w:rsidP="00CB4A59">
            <w:pPr>
              <w:rPr>
                <w:rFonts w:ascii="Arial Narrow" w:hAnsi="Arial Narrow"/>
                <w:b/>
                <w:color w:val="000000"/>
                <w:sz w:val="20"/>
                <w:szCs w:val="20"/>
              </w:rPr>
            </w:pPr>
            <w:r w:rsidRPr="004612D6">
              <w:rPr>
                <w:rFonts w:ascii="Arial Narrow" w:hAnsi="Arial Narrow"/>
                <w:b/>
                <w:sz w:val="20"/>
                <w:szCs w:val="20"/>
              </w:rPr>
              <w:t>Prescriber instructions:</w:t>
            </w:r>
          </w:p>
        </w:tc>
        <w:tc>
          <w:tcPr>
            <w:tcW w:w="7200" w:type="dxa"/>
            <w:tcBorders>
              <w:top w:val="single" w:sz="4" w:space="0" w:color="auto"/>
              <w:left w:val="single" w:sz="4" w:space="0" w:color="auto"/>
              <w:bottom w:val="single" w:sz="4" w:space="0" w:color="auto"/>
              <w:right w:val="single" w:sz="4" w:space="0" w:color="auto"/>
            </w:tcBorders>
          </w:tcPr>
          <w:p w:rsidR="003B650A" w:rsidRPr="0036079E" w:rsidRDefault="003B650A" w:rsidP="00CB4A59">
            <w:pPr>
              <w:rPr>
                <w:rFonts w:ascii="Arial Narrow" w:hAnsi="Arial Narrow"/>
                <w:color w:val="000000"/>
                <w:sz w:val="20"/>
                <w:szCs w:val="20"/>
              </w:rPr>
            </w:pPr>
            <w:r w:rsidRPr="0036079E">
              <w:rPr>
                <w:rFonts w:ascii="Arial Narrow" w:hAnsi="Arial Narrow"/>
                <w:color w:val="000000"/>
                <w:sz w:val="20"/>
                <w:szCs w:val="20"/>
              </w:rPr>
              <w:t>Patient must have the number of migraine days per month documented in their medical records</w:t>
            </w:r>
          </w:p>
        </w:tc>
      </w:tr>
      <w:tr w:rsidR="003B650A" w:rsidRPr="0036079E" w:rsidTr="00CB4A59">
        <w:trPr>
          <w:cantSplit/>
          <w:trHeight w:val="360"/>
        </w:trPr>
        <w:tc>
          <w:tcPr>
            <w:tcW w:w="1872" w:type="dxa"/>
            <w:tcBorders>
              <w:top w:val="single" w:sz="4" w:space="0" w:color="auto"/>
              <w:left w:val="single" w:sz="4" w:space="0" w:color="auto"/>
              <w:bottom w:val="single" w:sz="4" w:space="0" w:color="auto"/>
              <w:right w:val="single" w:sz="4" w:space="0" w:color="auto"/>
            </w:tcBorders>
          </w:tcPr>
          <w:p w:rsidR="003B650A" w:rsidRPr="004612D6" w:rsidRDefault="003B650A" w:rsidP="00CB4A59">
            <w:pPr>
              <w:rPr>
                <w:rFonts w:ascii="Arial Narrow" w:hAnsi="Arial Narrow"/>
                <w:b/>
                <w:sz w:val="20"/>
                <w:szCs w:val="20"/>
              </w:rPr>
            </w:pPr>
            <w:r w:rsidRPr="004612D6">
              <w:rPr>
                <w:rFonts w:ascii="Arial Narrow" w:hAnsi="Arial Narrow"/>
                <w:b/>
                <w:sz w:val="20"/>
                <w:szCs w:val="20"/>
              </w:rPr>
              <w:t>Administrative Advice</w:t>
            </w:r>
          </w:p>
        </w:tc>
        <w:tc>
          <w:tcPr>
            <w:tcW w:w="7229" w:type="dxa"/>
            <w:gridSpan w:val="2"/>
            <w:tcBorders>
              <w:top w:val="single" w:sz="4" w:space="0" w:color="auto"/>
              <w:left w:val="single" w:sz="4" w:space="0" w:color="auto"/>
              <w:bottom w:val="single" w:sz="4" w:space="0" w:color="auto"/>
              <w:right w:val="single" w:sz="4" w:space="0" w:color="auto"/>
            </w:tcBorders>
          </w:tcPr>
          <w:p w:rsidR="003B650A" w:rsidRPr="0036079E" w:rsidRDefault="003B650A" w:rsidP="00CB4A59">
            <w:pPr>
              <w:rPr>
                <w:rFonts w:ascii="Arial Narrow" w:hAnsi="Arial Narrow"/>
                <w:color w:val="000000"/>
                <w:sz w:val="20"/>
                <w:szCs w:val="20"/>
              </w:rPr>
            </w:pPr>
            <w:r w:rsidRPr="0036079E">
              <w:rPr>
                <w:rFonts w:ascii="Arial Narrow" w:hAnsi="Arial Narrow"/>
                <w:color w:val="000000"/>
                <w:sz w:val="20"/>
                <w:szCs w:val="20"/>
              </w:rPr>
              <w:t>No increase in the maximum quantity or number of units may be authorised</w:t>
            </w:r>
          </w:p>
          <w:p w:rsidR="003B650A" w:rsidRPr="0036079E" w:rsidRDefault="003B650A" w:rsidP="00CB4A59">
            <w:pPr>
              <w:rPr>
                <w:rFonts w:ascii="Arial Narrow" w:hAnsi="Arial Narrow"/>
                <w:color w:val="000000"/>
                <w:sz w:val="20"/>
                <w:szCs w:val="20"/>
              </w:rPr>
            </w:pPr>
            <w:r w:rsidRPr="0036079E">
              <w:rPr>
                <w:rFonts w:ascii="Arial Narrow" w:hAnsi="Arial Narrow"/>
                <w:color w:val="000000"/>
                <w:sz w:val="20"/>
                <w:szCs w:val="20"/>
              </w:rPr>
              <w:t>No increase in the maximum number of repeats may be authorised.</w:t>
            </w:r>
          </w:p>
          <w:p w:rsidR="003B650A" w:rsidRPr="0036079E" w:rsidRDefault="003B650A" w:rsidP="00CB4A59">
            <w:pPr>
              <w:rPr>
                <w:rFonts w:ascii="Arial Narrow" w:hAnsi="Arial Narrow"/>
                <w:color w:val="000000"/>
                <w:sz w:val="20"/>
                <w:szCs w:val="20"/>
              </w:rPr>
            </w:pPr>
            <w:r w:rsidRPr="0036079E">
              <w:rPr>
                <w:rFonts w:ascii="Arial Narrow" w:hAnsi="Arial Narrow"/>
                <w:color w:val="000000"/>
                <w:sz w:val="20"/>
                <w:szCs w:val="20"/>
              </w:rPr>
              <w:t>Special Pricing Arrangement apply</w:t>
            </w:r>
          </w:p>
        </w:tc>
      </w:tr>
    </w:tbl>
    <w:p w:rsidR="003B650A" w:rsidRPr="003B650A" w:rsidRDefault="003B650A" w:rsidP="00A331D9">
      <w:pPr>
        <w:pStyle w:val="ListBullet"/>
        <w:numPr>
          <w:ilvl w:val="0"/>
          <w:numId w:val="0"/>
        </w:numPr>
        <w:ind w:left="360"/>
        <w:rPr>
          <w:rFonts w:eastAsiaTheme="minorHAnsi"/>
        </w:rPr>
      </w:pPr>
    </w:p>
    <w:p w:rsidR="00FD3730" w:rsidRDefault="00951590" w:rsidP="00A331D9">
      <w:pPr>
        <w:pStyle w:val="ListParagraph"/>
        <w:numPr>
          <w:ilvl w:val="1"/>
          <w:numId w:val="13"/>
        </w:numPr>
        <w:jc w:val="both"/>
        <w:rPr>
          <w:rFonts w:eastAsiaTheme="minorHAnsi" w:cstheme="minorBidi"/>
          <w:snapToGrid/>
          <w:szCs w:val="22"/>
        </w:rPr>
      </w:pPr>
      <w:r w:rsidRPr="0080066A">
        <w:rPr>
          <w:rFonts w:eastAsiaTheme="minorHAnsi" w:cstheme="minorBidi"/>
          <w:snapToGrid/>
          <w:szCs w:val="22"/>
        </w:rPr>
        <w:t>The proposed listing is an Authority Required (Streamlined) listing for the treatment of patients with chronic migraine who have had an inadequate response, intolerance or a contraindication to ≥3 prophylactic migraine medications</w:t>
      </w:r>
      <w:r w:rsidR="00FD3730">
        <w:rPr>
          <w:rFonts w:eastAsiaTheme="minorHAnsi" w:cstheme="minorBidi"/>
          <w:snapToGrid/>
          <w:szCs w:val="22"/>
        </w:rPr>
        <w:t>.</w:t>
      </w:r>
      <w:r w:rsidR="00FD3730" w:rsidRPr="00FD3730">
        <w:rPr>
          <w:rFonts w:eastAsiaTheme="minorHAnsi" w:cstheme="minorBidi"/>
          <w:snapToGrid/>
          <w:szCs w:val="22"/>
        </w:rPr>
        <w:t xml:space="preserve"> </w:t>
      </w:r>
    </w:p>
    <w:p w:rsidR="008E0C14" w:rsidRPr="008E0C14" w:rsidRDefault="008E0C14" w:rsidP="00920269">
      <w:pPr>
        <w:pStyle w:val="ListParagraph"/>
        <w:numPr>
          <w:ilvl w:val="1"/>
          <w:numId w:val="13"/>
        </w:numPr>
        <w:jc w:val="both"/>
      </w:pPr>
      <w:r w:rsidRPr="008E0C14">
        <w:rPr>
          <w:rFonts w:eastAsiaTheme="minorHAnsi" w:cstheme="minorBidi"/>
          <w:snapToGrid/>
          <w:szCs w:val="22"/>
        </w:rPr>
        <w:t>The proposed maximum quantity and repeats will provide 3 months of initial treatment and 6 months of continuing treatmen</w:t>
      </w:r>
      <w:r w:rsidR="002D1920">
        <w:rPr>
          <w:rFonts w:eastAsiaTheme="minorHAnsi" w:cstheme="minorBidi"/>
          <w:snapToGrid/>
          <w:szCs w:val="22"/>
        </w:rPr>
        <w:t>t at the recommended dose</w:t>
      </w:r>
      <w:r w:rsidRPr="008E0C14">
        <w:rPr>
          <w:rFonts w:eastAsiaTheme="minorHAnsi" w:cstheme="minorBidi"/>
          <w:snapToGrid/>
          <w:szCs w:val="22"/>
        </w:rPr>
        <w:t xml:space="preserve"> of 225</w:t>
      </w:r>
      <w:r w:rsidR="00244A90">
        <w:rPr>
          <w:rFonts w:eastAsiaTheme="minorHAnsi" w:cstheme="minorBidi"/>
          <w:snapToGrid/>
          <w:szCs w:val="22"/>
        </w:rPr>
        <w:t> </w:t>
      </w:r>
      <w:r w:rsidRPr="008E0C14">
        <w:rPr>
          <w:rFonts w:eastAsiaTheme="minorHAnsi" w:cstheme="minorBidi"/>
          <w:snapToGrid/>
          <w:szCs w:val="22"/>
        </w:rPr>
        <w:t xml:space="preserve">mg every month. </w:t>
      </w:r>
    </w:p>
    <w:p w:rsidR="008E0C14" w:rsidRPr="00FC154F" w:rsidRDefault="008E0C14" w:rsidP="00920269">
      <w:pPr>
        <w:pStyle w:val="ListParagraph"/>
        <w:numPr>
          <w:ilvl w:val="1"/>
          <w:numId w:val="13"/>
        </w:numPr>
        <w:jc w:val="both"/>
      </w:pPr>
      <w:r w:rsidRPr="008E0C14">
        <w:rPr>
          <w:rFonts w:eastAsiaTheme="minorHAnsi" w:cstheme="minorBidi"/>
          <w:snapToGrid/>
          <w:szCs w:val="22"/>
        </w:rPr>
        <w:t>The proposed listing require</w:t>
      </w:r>
      <w:r w:rsidR="005A3457">
        <w:rPr>
          <w:rFonts w:eastAsiaTheme="minorHAnsi" w:cstheme="minorBidi"/>
          <w:snapToGrid/>
          <w:szCs w:val="22"/>
        </w:rPr>
        <w:t>d</w:t>
      </w:r>
      <w:r w:rsidRPr="008E0C14">
        <w:rPr>
          <w:rFonts w:eastAsiaTheme="minorHAnsi" w:cstheme="minorBidi"/>
          <w:snapToGrid/>
          <w:szCs w:val="22"/>
        </w:rPr>
        <w:t xml:space="preserve"> initial treatment and first continuing treatment be prescribed by a neurologist, with subsequent continuing treatment able to be prescribed by, or in conjunction with, a </w:t>
      </w:r>
      <w:r w:rsidRPr="00FC154F">
        <w:rPr>
          <w:rFonts w:eastAsiaTheme="minorHAnsi" w:cstheme="minorBidi"/>
          <w:snapToGrid/>
          <w:szCs w:val="22"/>
        </w:rPr>
        <w:t>neurologist</w:t>
      </w:r>
      <w:r w:rsidR="00694DE2">
        <w:rPr>
          <w:rFonts w:eastAsiaTheme="minorHAnsi" w:cstheme="minorBidi"/>
          <w:snapToGrid/>
          <w:szCs w:val="22"/>
        </w:rPr>
        <w:t xml:space="preserve"> (which allows for prescribing by general practitioners)</w:t>
      </w:r>
      <w:r w:rsidRPr="00FC154F">
        <w:rPr>
          <w:rFonts w:eastAsiaTheme="minorHAnsi" w:cstheme="minorBidi"/>
          <w:snapToGrid/>
          <w:szCs w:val="22"/>
        </w:rPr>
        <w:t>.</w:t>
      </w:r>
      <w:r w:rsidR="00566F8E">
        <w:rPr>
          <w:rFonts w:eastAsiaTheme="minorHAnsi" w:cstheme="minorBidi"/>
          <w:snapToGrid/>
          <w:szCs w:val="22"/>
        </w:rPr>
        <w:t xml:space="preserve"> </w:t>
      </w:r>
      <w:r w:rsidR="00920269" w:rsidRPr="009C1662">
        <w:rPr>
          <w:rFonts w:eastAsiaTheme="minorHAnsi" w:cstheme="minorBidi"/>
          <w:snapToGrid/>
          <w:szCs w:val="22"/>
        </w:rPr>
        <w:t xml:space="preserve">The PBAC previously advised the criteria for fremanezumab should allow for all continuing treatment to be prescribed by, or in conjunction with, a neurologist (paragraph 7.11, fremanezumab </w:t>
      </w:r>
      <w:r w:rsidR="00407265">
        <w:rPr>
          <w:rFonts w:eastAsiaTheme="minorHAnsi" w:cstheme="minorBidi"/>
          <w:snapToGrid/>
          <w:szCs w:val="22"/>
        </w:rPr>
        <w:t>PSD</w:t>
      </w:r>
      <w:r w:rsidR="00920269" w:rsidRPr="009C1662">
        <w:rPr>
          <w:rFonts w:eastAsiaTheme="minorHAnsi" w:cstheme="minorBidi"/>
          <w:snapToGrid/>
          <w:szCs w:val="22"/>
        </w:rPr>
        <w:t>, November 2019 PBAC meeting) for consistency with the recommended galcanezumab criteria.</w:t>
      </w:r>
    </w:p>
    <w:p w:rsidR="00886C7E" w:rsidRPr="00886C7E" w:rsidRDefault="008E0C14" w:rsidP="00920269">
      <w:pPr>
        <w:pStyle w:val="ListParagraph"/>
        <w:numPr>
          <w:ilvl w:val="1"/>
          <w:numId w:val="15"/>
        </w:numPr>
        <w:jc w:val="both"/>
        <w:rPr>
          <w:lang w:eastAsia="en-US"/>
        </w:rPr>
      </w:pPr>
      <w:r w:rsidRPr="00EE30EF">
        <w:rPr>
          <w:lang w:eastAsia="en-US"/>
        </w:rPr>
        <w:lastRenderedPageBreak/>
        <w:t>The Sponsor requested grandfathering pro</w:t>
      </w:r>
      <w:r w:rsidR="00EE30EF" w:rsidRPr="00EE30EF">
        <w:rPr>
          <w:lang w:eastAsia="en-US"/>
        </w:rPr>
        <w:t xml:space="preserve">visions for </w:t>
      </w:r>
      <w:r w:rsidR="00611BB5">
        <w:rPr>
          <w:lang w:eastAsia="en-US"/>
        </w:rPr>
        <w:t xml:space="preserve">an estimated </w:t>
      </w:r>
      <w:r w:rsidR="004539D8">
        <w:rPr>
          <w:lang w:eastAsia="en-US"/>
        </w:rPr>
        <w:t>less than 10,000</w:t>
      </w:r>
      <w:r w:rsidR="00EE30EF" w:rsidRPr="00EE30EF">
        <w:rPr>
          <w:lang w:eastAsia="en-US"/>
        </w:rPr>
        <w:t>patients who are currently</w:t>
      </w:r>
      <w:r w:rsidRPr="00EE30EF">
        <w:rPr>
          <w:lang w:eastAsia="en-US"/>
        </w:rPr>
        <w:t xml:space="preserve"> </w:t>
      </w:r>
      <w:r w:rsidR="00EE30EF">
        <w:rPr>
          <w:lang w:eastAsia="en-US"/>
        </w:rPr>
        <w:t xml:space="preserve">being </w:t>
      </w:r>
      <w:r w:rsidR="00EE30EF" w:rsidRPr="00EE30EF">
        <w:rPr>
          <w:lang w:eastAsia="en-US"/>
        </w:rPr>
        <w:t>treated under p</w:t>
      </w:r>
      <w:r w:rsidRPr="00EE30EF">
        <w:rPr>
          <w:lang w:eastAsia="en-US"/>
        </w:rPr>
        <w:t>roduct familiarisation program</w:t>
      </w:r>
      <w:r w:rsidR="00EE30EF" w:rsidRPr="00EE30EF">
        <w:rPr>
          <w:lang w:eastAsia="en-US"/>
        </w:rPr>
        <w:t>s</w:t>
      </w:r>
      <w:r w:rsidR="00FC154F">
        <w:rPr>
          <w:lang w:eastAsia="en-US"/>
        </w:rPr>
        <w:t xml:space="preserve"> for other </w:t>
      </w:r>
      <w:r w:rsidR="00812AFA">
        <w:rPr>
          <w:lang w:eastAsia="en-US"/>
        </w:rPr>
        <w:t>calcitonin gene-related peptide (</w:t>
      </w:r>
      <w:r w:rsidR="00FC154F">
        <w:rPr>
          <w:lang w:eastAsia="en-US"/>
        </w:rPr>
        <w:t>CGRP</w:t>
      </w:r>
      <w:r w:rsidR="00812AFA">
        <w:rPr>
          <w:lang w:eastAsia="en-US"/>
        </w:rPr>
        <w:t>)</w:t>
      </w:r>
      <w:r w:rsidR="00FC154F">
        <w:rPr>
          <w:lang w:eastAsia="en-US"/>
        </w:rPr>
        <w:t xml:space="preserve"> inhibitors (mostly erenumab)</w:t>
      </w:r>
      <w:r w:rsidRPr="00EE30EF">
        <w:rPr>
          <w:lang w:eastAsia="en-US"/>
        </w:rPr>
        <w:t xml:space="preserve">. </w:t>
      </w:r>
      <w:r w:rsidR="00EE30EF">
        <w:rPr>
          <w:lang w:eastAsia="en-US"/>
        </w:rPr>
        <w:t xml:space="preserve">However, </w:t>
      </w:r>
      <w:r w:rsidR="009F2026">
        <w:rPr>
          <w:lang w:eastAsia="en-US"/>
        </w:rPr>
        <w:t xml:space="preserve">the PBAC considered </w:t>
      </w:r>
      <w:r w:rsidR="00EE30EF">
        <w:rPr>
          <w:lang w:eastAsia="en-US"/>
        </w:rPr>
        <w:t>g</w:t>
      </w:r>
      <w:r w:rsidRPr="00EE30EF">
        <w:rPr>
          <w:lang w:eastAsia="en-US"/>
        </w:rPr>
        <w:t xml:space="preserve">randfathered patients should be eligible </w:t>
      </w:r>
      <w:r w:rsidRPr="00886C7E">
        <w:rPr>
          <w:lang w:eastAsia="en-US"/>
        </w:rPr>
        <w:t>for PBS subsidised treatment under the proposed initial restriction criteria and therefore a separate grandfather restriction</w:t>
      </w:r>
      <w:r w:rsidR="009F2026">
        <w:rPr>
          <w:lang w:eastAsia="en-US"/>
        </w:rPr>
        <w:t xml:space="preserve"> was not required</w:t>
      </w:r>
      <w:r w:rsidRPr="00886C7E">
        <w:rPr>
          <w:lang w:eastAsia="en-US"/>
        </w:rPr>
        <w:t>.</w:t>
      </w:r>
    </w:p>
    <w:p w:rsidR="00D57CE9" w:rsidRPr="002721D7" w:rsidRDefault="00D57CE9" w:rsidP="00D5645E">
      <w:pPr>
        <w:pStyle w:val="ListBullet"/>
        <w:numPr>
          <w:ilvl w:val="0"/>
          <w:numId w:val="0"/>
        </w:numPr>
        <w:ind w:left="360" w:firstLine="360"/>
        <w:rPr>
          <w:i/>
          <w:lang w:eastAsia="en-US"/>
        </w:rPr>
      </w:pPr>
      <w:r w:rsidRPr="002721D7">
        <w:rPr>
          <w:i/>
          <w:lang w:eastAsia="en-US"/>
        </w:rPr>
        <w:t>For more deta</w:t>
      </w:r>
      <w:r w:rsidRPr="00D57CE9">
        <w:rPr>
          <w:i/>
          <w:lang w:eastAsia="en-US"/>
        </w:rPr>
        <w:t>il on P</w:t>
      </w:r>
      <w:r w:rsidRPr="00966C2C">
        <w:rPr>
          <w:i/>
          <w:lang w:eastAsia="en-US"/>
        </w:rPr>
        <w:t>BAC’s view, see section 6</w:t>
      </w:r>
      <w:r w:rsidRPr="002721D7">
        <w:rPr>
          <w:i/>
          <w:lang w:eastAsia="en-US"/>
        </w:rPr>
        <w:t xml:space="preserve"> PBAC outcome. </w:t>
      </w:r>
    </w:p>
    <w:p w:rsidR="00101ABE" w:rsidRPr="00FD6D8E" w:rsidRDefault="00101ABE" w:rsidP="001B7D41">
      <w:pPr>
        <w:pStyle w:val="2-SectionHeading"/>
      </w:pPr>
      <w:r w:rsidRPr="002B5596">
        <w:t>B</w:t>
      </w:r>
      <w:r w:rsidRPr="001B7D41">
        <w:t>ackground</w:t>
      </w:r>
      <w:r>
        <w:t xml:space="preserve"> </w:t>
      </w:r>
    </w:p>
    <w:p w:rsidR="00101ABE" w:rsidRPr="003C174C" w:rsidRDefault="00101ABE" w:rsidP="003C174C">
      <w:pPr>
        <w:pStyle w:val="Heading2"/>
        <w:keepLines/>
        <w:spacing w:before="240" w:after="120"/>
        <w:rPr>
          <w:rFonts w:asciiTheme="minorHAnsi" w:eastAsiaTheme="majorEastAsia" w:hAnsiTheme="minorHAnsi" w:cstheme="majorBidi"/>
          <w:sz w:val="28"/>
          <w:szCs w:val="28"/>
          <w:lang w:eastAsia="en-US"/>
        </w:rPr>
      </w:pPr>
      <w:r w:rsidRPr="003C174C">
        <w:rPr>
          <w:rFonts w:asciiTheme="minorHAnsi" w:eastAsiaTheme="majorEastAsia" w:hAnsiTheme="minorHAnsi" w:cstheme="majorBidi"/>
          <w:sz w:val="28"/>
          <w:szCs w:val="28"/>
          <w:lang w:eastAsia="en-US"/>
        </w:rPr>
        <w:t>Registration status</w:t>
      </w:r>
    </w:p>
    <w:p w:rsidR="00101ABE" w:rsidRPr="00080E6D" w:rsidRDefault="00080E6D" w:rsidP="00AF5002">
      <w:pPr>
        <w:numPr>
          <w:ilvl w:val="1"/>
          <w:numId w:val="15"/>
        </w:numPr>
        <w:spacing w:after="120"/>
        <w:rPr>
          <w:rFonts w:asciiTheme="minorHAnsi" w:hAnsiTheme="minorHAnsi" w:cs="Arial"/>
          <w:snapToGrid w:val="0"/>
          <w:lang w:eastAsia="en-US"/>
        </w:rPr>
      </w:pPr>
      <w:r w:rsidRPr="00080E6D">
        <w:rPr>
          <w:rFonts w:asciiTheme="minorHAnsi" w:hAnsiTheme="minorHAnsi" w:cs="Arial"/>
          <w:snapToGrid w:val="0"/>
          <w:lang w:eastAsia="en-US"/>
        </w:rPr>
        <w:t xml:space="preserve">Fremanezumab was </w:t>
      </w:r>
      <w:r w:rsidR="00B76368">
        <w:rPr>
          <w:rFonts w:asciiTheme="minorHAnsi" w:hAnsiTheme="minorHAnsi" w:cs="Arial"/>
          <w:snapToGrid w:val="0"/>
          <w:lang w:eastAsia="en-US"/>
        </w:rPr>
        <w:t xml:space="preserve">approved </w:t>
      </w:r>
      <w:r w:rsidR="00054235">
        <w:rPr>
          <w:rFonts w:asciiTheme="minorHAnsi" w:hAnsiTheme="minorHAnsi" w:cs="Arial"/>
          <w:snapToGrid w:val="0"/>
          <w:lang w:eastAsia="en-US"/>
        </w:rPr>
        <w:t xml:space="preserve">by the TGA </w:t>
      </w:r>
      <w:r w:rsidRPr="00080E6D">
        <w:rPr>
          <w:rFonts w:asciiTheme="minorHAnsi" w:hAnsiTheme="minorHAnsi" w:cs="Arial"/>
          <w:snapToGrid w:val="0"/>
          <w:lang w:eastAsia="en-US"/>
        </w:rPr>
        <w:t xml:space="preserve">on </w:t>
      </w:r>
      <w:r w:rsidR="00B76368">
        <w:rPr>
          <w:rFonts w:asciiTheme="minorHAnsi" w:hAnsiTheme="minorHAnsi" w:cs="Arial"/>
          <w:snapToGrid w:val="0"/>
          <w:lang w:eastAsia="en-US"/>
        </w:rPr>
        <w:t>17 September 2019 for t</w:t>
      </w:r>
      <w:r w:rsidRPr="00080E6D">
        <w:rPr>
          <w:rFonts w:asciiTheme="minorHAnsi" w:hAnsiTheme="minorHAnsi" w:cs="Arial"/>
          <w:snapToGrid w:val="0"/>
          <w:lang w:eastAsia="en-US"/>
        </w:rPr>
        <w:t>he “</w:t>
      </w:r>
      <w:r w:rsidR="00E9444F">
        <w:rPr>
          <w:rFonts w:asciiTheme="minorHAnsi" w:hAnsiTheme="minorHAnsi" w:cs="Arial"/>
          <w:snapToGrid w:val="0"/>
          <w:lang w:eastAsia="en-US"/>
        </w:rPr>
        <w:t xml:space="preserve">preventive treatment </w:t>
      </w:r>
      <w:r w:rsidRPr="00080E6D">
        <w:rPr>
          <w:rFonts w:asciiTheme="minorHAnsi" w:hAnsiTheme="minorHAnsi" w:cs="Arial"/>
          <w:snapToGrid w:val="0"/>
          <w:lang w:eastAsia="en-US"/>
        </w:rPr>
        <w:t xml:space="preserve">of migraine in adults”. </w:t>
      </w:r>
      <w:r w:rsidR="000458EE">
        <w:rPr>
          <w:rFonts w:asciiTheme="minorHAnsi" w:hAnsiTheme="minorHAnsi" w:cs="Arial"/>
          <w:snapToGrid w:val="0"/>
          <w:lang w:eastAsia="en-US"/>
        </w:rPr>
        <w:t>The proposed restriction i</w:t>
      </w:r>
      <w:r w:rsidR="00AF5002" w:rsidRPr="00AF5002">
        <w:rPr>
          <w:rFonts w:asciiTheme="minorHAnsi" w:hAnsiTheme="minorHAnsi" w:cs="Arial"/>
          <w:snapToGrid w:val="0"/>
          <w:lang w:eastAsia="en-US"/>
        </w:rPr>
        <w:t>s narrower than the TGA indication, which does not restrict treatment based on migraine freque</w:t>
      </w:r>
      <w:r w:rsidR="000458EE">
        <w:rPr>
          <w:rFonts w:asciiTheme="minorHAnsi" w:hAnsiTheme="minorHAnsi" w:cs="Arial"/>
          <w:snapToGrid w:val="0"/>
          <w:lang w:eastAsia="en-US"/>
        </w:rPr>
        <w:t xml:space="preserve">ncy (i.e. episodic or chronic) </w:t>
      </w:r>
      <w:r w:rsidR="00AF5002" w:rsidRPr="00AF5002">
        <w:rPr>
          <w:rFonts w:asciiTheme="minorHAnsi" w:hAnsiTheme="minorHAnsi" w:cs="Arial"/>
          <w:snapToGrid w:val="0"/>
          <w:lang w:eastAsia="en-US"/>
        </w:rPr>
        <w:t>or prior therapies.</w:t>
      </w:r>
    </w:p>
    <w:p w:rsidR="00101ABE" w:rsidRPr="003C174C" w:rsidRDefault="00101ABE" w:rsidP="003C174C">
      <w:pPr>
        <w:pStyle w:val="Heading2"/>
        <w:keepLines/>
        <w:spacing w:before="240" w:after="120"/>
        <w:rPr>
          <w:rFonts w:asciiTheme="minorHAnsi" w:eastAsiaTheme="majorEastAsia" w:hAnsiTheme="minorHAnsi" w:cstheme="majorBidi"/>
          <w:sz w:val="28"/>
          <w:szCs w:val="28"/>
          <w:lang w:eastAsia="en-US"/>
        </w:rPr>
      </w:pPr>
      <w:r w:rsidRPr="003C174C">
        <w:rPr>
          <w:rFonts w:asciiTheme="minorHAnsi" w:eastAsiaTheme="majorEastAsia" w:hAnsiTheme="minorHAnsi" w:cstheme="majorBidi"/>
          <w:sz w:val="28"/>
          <w:szCs w:val="28"/>
          <w:lang w:eastAsia="en-US"/>
        </w:rPr>
        <w:t xml:space="preserve">Previous PBAC consideration </w:t>
      </w:r>
    </w:p>
    <w:p w:rsidR="00B4734E" w:rsidRDefault="00C00DA1" w:rsidP="00EA2EAF">
      <w:pPr>
        <w:numPr>
          <w:ilvl w:val="1"/>
          <w:numId w:val="15"/>
        </w:numPr>
        <w:spacing w:after="120"/>
        <w:rPr>
          <w:rFonts w:asciiTheme="minorHAnsi" w:hAnsiTheme="minorHAnsi" w:cs="Arial"/>
          <w:snapToGrid w:val="0"/>
          <w:lang w:eastAsia="en-US"/>
        </w:rPr>
      </w:pPr>
      <w:r w:rsidRPr="00C00DA1">
        <w:rPr>
          <w:rFonts w:asciiTheme="minorHAnsi" w:hAnsiTheme="minorHAnsi" w:cs="Arial"/>
          <w:snapToGrid w:val="0"/>
          <w:lang w:eastAsia="en-US"/>
        </w:rPr>
        <w:t xml:space="preserve">The previous submission </w:t>
      </w:r>
      <w:r>
        <w:rPr>
          <w:rFonts w:asciiTheme="minorHAnsi" w:hAnsiTheme="minorHAnsi" w:cs="Arial"/>
          <w:snapToGrid w:val="0"/>
          <w:lang w:eastAsia="en-US"/>
        </w:rPr>
        <w:t xml:space="preserve">identified </w:t>
      </w:r>
      <w:r w:rsidR="00CA3487">
        <w:rPr>
          <w:rFonts w:asciiTheme="minorHAnsi" w:hAnsiTheme="minorHAnsi" w:cs="Arial"/>
          <w:snapToGrid w:val="0"/>
          <w:lang w:eastAsia="en-US"/>
        </w:rPr>
        <w:t xml:space="preserve">a number of </w:t>
      </w:r>
      <w:r w:rsidR="0021566A">
        <w:rPr>
          <w:rFonts w:asciiTheme="minorHAnsi" w:hAnsiTheme="minorHAnsi" w:cs="Arial"/>
          <w:snapToGrid w:val="0"/>
          <w:lang w:eastAsia="en-US"/>
        </w:rPr>
        <w:t xml:space="preserve">different </w:t>
      </w:r>
      <w:r>
        <w:rPr>
          <w:rFonts w:asciiTheme="minorHAnsi" w:hAnsiTheme="minorHAnsi" w:cs="Arial"/>
          <w:snapToGrid w:val="0"/>
          <w:lang w:eastAsia="en-US"/>
        </w:rPr>
        <w:t>patient populations</w:t>
      </w:r>
      <w:r w:rsidR="0021566A">
        <w:rPr>
          <w:rFonts w:asciiTheme="minorHAnsi" w:hAnsiTheme="minorHAnsi" w:cs="Arial"/>
          <w:snapToGrid w:val="0"/>
          <w:lang w:eastAsia="en-US"/>
        </w:rPr>
        <w:t xml:space="preserve"> that would be</w:t>
      </w:r>
      <w:r>
        <w:rPr>
          <w:rFonts w:asciiTheme="minorHAnsi" w:hAnsiTheme="minorHAnsi" w:cs="Arial"/>
          <w:snapToGrid w:val="0"/>
          <w:lang w:eastAsia="en-US"/>
        </w:rPr>
        <w:t xml:space="preserve"> appropriate for treatment with fremanezumab</w:t>
      </w:r>
      <w:r w:rsidR="00FB7FD7">
        <w:rPr>
          <w:rFonts w:asciiTheme="minorHAnsi" w:hAnsiTheme="minorHAnsi" w:cs="Arial"/>
          <w:snapToGrid w:val="0"/>
          <w:lang w:eastAsia="en-US"/>
        </w:rPr>
        <w:t xml:space="preserve"> and identified two </w:t>
      </w:r>
      <w:r w:rsidR="0021566A">
        <w:rPr>
          <w:rFonts w:asciiTheme="minorHAnsi" w:hAnsiTheme="minorHAnsi" w:cs="Arial"/>
          <w:snapToGrid w:val="0"/>
          <w:lang w:eastAsia="en-US"/>
        </w:rPr>
        <w:t xml:space="preserve">main </w:t>
      </w:r>
      <w:r w:rsidR="00FB7FD7">
        <w:rPr>
          <w:rFonts w:asciiTheme="minorHAnsi" w:hAnsiTheme="minorHAnsi" w:cs="Arial"/>
          <w:snapToGrid w:val="0"/>
          <w:lang w:eastAsia="en-US"/>
        </w:rPr>
        <w:t>comparators, depending on the patient population: best supportive care and Botox.</w:t>
      </w:r>
      <w:r w:rsidR="00566F8E">
        <w:rPr>
          <w:rFonts w:asciiTheme="minorHAnsi" w:hAnsiTheme="minorHAnsi" w:cs="Arial"/>
          <w:snapToGrid w:val="0"/>
          <w:lang w:eastAsia="en-US"/>
        </w:rPr>
        <w:t xml:space="preserve"> </w:t>
      </w:r>
      <w:r w:rsidR="00B4734E" w:rsidRPr="00FE24D1">
        <w:rPr>
          <w:rFonts w:asciiTheme="minorHAnsi" w:hAnsiTheme="minorHAnsi" w:cs="Arial"/>
          <w:snapToGrid w:val="0"/>
          <w:lang w:eastAsia="en-US"/>
        </w:rPr>
        <w:t xml:space="preserve">The PBAC considered the methodology used to derive the </w:t>
      </w:r>
      <w:r w:rsidR="00B4734E">
        <w:rPr>
          <w:rFonts w:asciiTheme="minorHAnsi" w:hAnsiTheme="minorHAnsi" w:cs="Arial"/>
          <w:snapToGrid w:val="0"/>
          <w:lang w:eastAsia="en-US"/>
        </w:rPr>
        <w:t xml:space="preserve">different patient </w:t>
      </w:r>
      <w:r w:rsidR="00B4734E" w:rsidRPr="00FE24D1">
        <w:rPr>
          <w:rFonts w:asciiTheme="minorHAnsi" w:hAnsiTheme="minorHAnsi" w:cs="Arial"/>
          <w:snapToGrid w:val="0"/>
          <w:lang w:eastAsia="en-US"/>
        </w:rPr>
        <w:t xml:space="preserve">populations was </w:t>
      </w:r>
      <w:r w:rsidR="00B4734E">
        <w:rPr>
          <w:rFonts w:asciiTheme="minorHAnsi" w:hAnsiTheme="minorHAnsi" w:cs="Arial"/>
          <w:snapToGrid w:val="0"/>
          <w:lang w:eastAsia="en-US"/>
        </w:rPr>
        <w:t xml:space="preserve">arbitrary and highly uncertain </w:t>
      </w:r>
      <w:r w:rsidR="00B4734E" w:rsidRPr="00FE24D1">
        <w:rPr>
          <w:rFonts w:asciiTheme="minorHAnsi" w:hAnsiTheme="minorHAnsi" w:cs="Arial"/>
          <w:snapToGrid w:val="0"/>
          <w:lang w:eastAsia="en-US"/>
        </w:rPr>
        <w:t>and there was likely to be overlap in the populations a</w:t>
      </w:r>
      <w:r w:rsidR="00B4734E">
        <w:rPr>
          <w:rFonts w:asciiTheme="minorHAnsi" w:hAnsiTheme="minorHAnsi" w:cs="Arial"/>
          <w:snapToGrid w:val="0"/>
          <w:lang w:eastAsia="en-US"/>
        </w:rPr>
        <w:t>nd double counting of patients (paragraph 7.3, fre</w:t>
      </w:r>
      <w:r w:rsidR="000B6EFC">
        <w:rPr>
          <w:rFonts w:asciiTheme="minorHAnsi" w:hAnsiTheme="minorHAnsi" w:cs="Arial"/>
          <w:snapToGrid w:val="0"/>
          <w:lang w:eastAsia="en-US"/>
        </w:rPr>
        <w:t>manezumab</w:t>
      </w:r>
      <w:r w:rsidR="00407265">
        <w:rPr>
          <w:rFonts w:asciiTheme="minorHAnsi" w:hAnsiTheme="minorHAnsi" w:cs="Arial"/>
          <w:snapToGrid w:val="0"/>
          <w:lang w:eastAsia="en-US"/>
        </w:rPr>
        <w:t xml:space="preserve"> PSD</w:t>
      </w:r>
      <w:r w:rsidR="000B6EFC">
        <w:rPr>
          <w:rFonts w:asciiTheme="minorHAnsi" w:hAnsiTheme="minorHAnsi" w:cs="Arial"/>
          <w:snapToGrid w:val="0"/>
          <w:lang w:eastAsia="en-US"/>
        </w:rPr>
        <w:t>, November 2019</w:t>
      </w:r>
      <w:r w:rsidR="00B4734E">
        <w:rPr>
          <w:rFonts w:asciiTheme="minorHAnsi" w:hAnsiTheme="minorHAnsi" w:cs="Arial"/>
          <w:snapToGrid w:val="0"/>
          <w:lang w:eastAsia="en-US"/>
        </w:rPr>
        <w:t xml:space="preserve"> PBAC meeting).</w:t>
      </w:r>
    </w:p>
    <w:p w:rsidR="00FE24D1" w:rsidRPr="00B4734E" w:rsidRDefault="00EA2EAF" w:rsidP="00B4734E">
      <w:pPr>
        <w:numPr>
          <w:ilvl w:val="1"/>
          <w:numId w:val="15"/>
        </w:numPr>
        <w:spacing w:after="120"/>
        <w:rPr>
          <w:rFonts w:asciiTheme="minorHAnsi" w:hAnsiTheme="minorHAnsi" w:cs="Arial"/>
          <w:snapToGrid w:val="0"/>
          <w:lang w:eastAsia="en-US"/>
        </w:rPr>
      </w:pPr>
      <w:r>
        <w:rPr>
          <w:rFonts w:asciiTheme="minorHAnsi" w:hAnsiTheme="minorHAnsi" w:cs="Arial"/>
          <w:snapToGrid w:val="0"/>
          <w:lang w:eastAsia="en-US"/>
        </w:rPr>
        <w:t xml:space="preserve">The </w:t>
      </w:r>
      <w:r w:rsidR="00B4734E">
        <w:rPr>
          <w:rFonts w:asciiTheme="minorHAnsi" w:hAnsiTheme="minorHAnsi" w:cs="Arial"/>
          <w:snapToGrid w:val="0"/>
          <w:lang w:eastAsia="en-US"/>
        </w:rPr>
        <w:t xml:space="preserve">previous </w:t>
      </w:r>
      <w:r>
        <w:rPr>
          <w:rFonts w:asciiTheme="minorHAnsi" w:hAnsiTheme="minorHAnsi" w:cs="Arial"/>
          <w:snapToGrid w:val="0"/>
          <w:lang w:eastAsia="en-US"/>
        </w:rPr>
        <w:t>submission</w:t>
      </w:r>
      <w:r w:rsidR="00C00DA1">
        <w:rPr>
          <w:rFonts w:asciiTheme="minorHAnsi" w:hAnsiTheme="minorHAnsi" w:cs="Arial"/>
          <w:snapToGrid w:val="0"/>
          <w:lang w:eastAsia="en-US"/>
        </w:rPr>
        <w:t xml:space="preserve"> </w:t>
      </w:r>
      <w:r w:rsidR="005115AE">
        <w:rPr>
          <w:rFonts w:asciiTheme="minorHAnsi" w:hAnsiTheme="minorHAnsi" w:cs="Arial"/>
          <w:snapToGrid w:val="0"/>
          <w:lang w:eastAsia="en-US"/>
        </w:rPr>
        <w:t xml:space="preserve">presented </w:t>
      </w:r>
      <w:r w:rsidR="00C00DA1" w:rsidRPr="00EA2EAF">
        <w:rPr>
          <w:rFonts w:asciiTheme="minorHAnsi" w:hAnsiTheme="minorHAnsi" w:cs="Arial"/>
          <w:snapToGrid w:val="0"/>
          <w:lang w:eastAsia="en-US"/>
        </w:rPr>
        <w:t>a cost-effectiveness analysis v</w:t>
      </w:r>
      <w:r w:rsidR="00244A90">
        <w:rPr>
          <w:rFonts w:asciiTheme="minorHAnsi" w:hAnsiTheme="minorHAnsi" w:cs="Arial"/>
          <w:snapToGrid w:val="0"/>
          <w:lang w:eastAsia="en-US"/>
        </w:rPr>
        <w:t>er</w:t>
      </w:r>
      <w:r w:rsidR="00C00DA1" w:rsidRPr="00EA2EAF">
        <w:rPr>
          <w:rFonts w:asciiTheme="minorHAnsi" w:hAnsiTheme="minorHAnsi" w:cs="Arial"/>
          <w:snapToGrid w:val="0"/>
          <w:lang w:eastAsia="en-US"/>
        </w:rPr>
        <w:t>s</w:t>
      </w:r>
      <w:r w:rsidR="00244A90">
        <w:rPr>
          <w:rFonts w:asciiTheme="minorHAnsi" w:hAnsiTheme="minorHAnsi" w:cs="Arial"/>
          <w:snapToGrid w:val="0"/>
          <w:lang w:eastAsia="en-US"/>
        </w:rPr>
        <w:t>us</w:t>
      </w:r>
      <w:r w:rsidR="00C00DA1" w:rsidRPr="00EA2EAF">
        <w:rPr>
          <w:rFonts w:asciiTheme="minorHAnsi" w:hAnsiTheme="minorHAnsi" w:cs="Arial"/>
          <w:snapToGrid w:val="0"/>
          <w:lang w:eastAsia="en-US"/>
        </w:rPr>
        <w:t xml:space="preserve"> best supportive care</w:t>
      </w:r>
      <w:r w:rsidRPr="00EA2EAF">
        <w:rPr>
          <w:rFonts w:asciiTheme="minorHAnsi" w:hAnsiTheme="minorHAnsi" w:cs="Arial"/>
          <w:snapToGrid w:val="0"/>
          <w:lang w:eastAsia="en-US"/>
        </w:rPr>
        <w:t xml:space="preserve"> a</w:t>
      </w:r>
      <w:r w:rsidR="00C00DA1" w:rsidRPr="00EA2EAF">
        <w:rPr>
          <w:rFonts w:asciiTheme="minorHAnsi" w:hAnsiTheme="minorHAnsi" w:cs="Arial"/>
          <w:snapToGrid w:val="0"/>
          <w:lang w:eastAsia="en-US"/>
        </w:rPr>
        <w:t>nd a c</w:t>
      </w:r>
      <w:r w:rsidRPr="00EA2EAF">
        <w:rPr>
          <w:rFonts w:asciiTheme="minorHAnsi" w:hAnsiTheme="minorHAnsi" w:cs="Arial"/>
          <w:snapToGrid w:val="0"/>
          <w:lang w:eastAsia="en-US"/>
        </w:rPr>
        <w:t>ost-</w:t>
      </w:r>
      <w:r>
        <w:rPr>
          <w:rFonts w:asciiTheme="minorHAnsi" w:hAnsiTheme="minorHAnsi" w:cs="Arial"/>
          <w:snapToGrid w:val="0"/>
          <w:lang w:eastAsia="en-US"/>
        </w:rPr>
        <w:t>minimisation analysis v</w:t>
      </w:r>
      <w:r w:rsidR="00244A90">
        <w:rPr>
          <w:rFonts w:asciiTheme="minorHAnsi" w:hAnsiTheme="minorHAnsi" w:cs="Arial"/>
          <w:snapToGrid w:val="0"/>
          <w:lang w:eastAsia="en-US"/>
        </w:rPr>
        <w:t>er</w:t>
      </w:r>
      <w:r>
        <w:rPr>
          <w:rFonts w:asciiTheme="minorHAnsi" w:hAnsiTheme="minorHAnsi" w:cs="Arial"/>
          <w:snapToGrid w:val="0"/>
          <w:lang w:eastAsia="en-US"/>
        </w:rPr>
        <w:t>s</w:t>
      </w:r>
      <w:r w:rsidR="00244A90">
        <w:rPr>
          <w:rFonts w:asciiTheme="minorHAnsi" w:hAnsiTheme="minorHAnsi" w:cs="Arial"/>
          <w:snapToGrid w:val="0"/>
          <w:lang w:eastAsia="en-US"/>
        </w:rPr>
        <w:t>us</w:t>
      </w:r>
      <w:r>
        <w:rPr>
          <w:rFonts w:asciiTheme="minorHAnsi" w:hAnsiTheme="minorHAnsi" w:cs="Arial"/>
          <w:snapToGrid w:val="0"/>
          <w:lang w:eastAsia="en-US"/>
        </w:rPr>
        <w:t xml:space="preserve"> Botox with a </w:t>
      </w:r>
      <w:r w:rsidR="00CA3487">
        <w:rPr>
          <w:rFonts w:asciiTheme="minorHAnsi" w:hAnsiTheme="minorHAnsi" w:cs="Arial"/>
          <w:snapToGrid w:val="0"/>
          <w:lang w:eastAsia="en-US"/>
        </w:rPr>
        <w:t xml:space="preserve">single </w:t>
      </w:r>
      <w:r>
        <w:rPr>
          <w:rFonts w:asciiTheme="minorHAnsi" w:hAnsiTheme="minorHAnsi" w:cs="Arial"/>
          <w:snapToGrid w:val="0"/>
          <w:lang w:eastAsia="en-US"/>
        </w:rPr>
        <w:t xml:space="preserve">weighted price </w:t>
      </w:r>
      <w:r w:rsidR="00CA3487">
        <w:rPr>
          <w:rFonts w:asciiTheme="minorHAnsi" w:hAnsiTheme="minorHAnsi" w:cs="Arial"/>
          <w:snapToGrid w:val="0"/>
          <w:lang w:eastAsia="en-US"/>
        </w:rPr>
        <w:t xml:space="preserve">for fremanezumab calculated </w:t>
      </w:r>
      <w:r w:rsidR="000D1D51">
        <w:rPr>
          <w:rFonts w:asciiTheme="minorHAnsi" w:hAnsiTheme="minorHAnsi" w:cs="Arial"/>
          <w:snapToGrid w:val="0"/>
          <w:lang w:eastAsia="en-US"/>
        </w:rPr>
        <w:t xml:space="preserve">using </w:t>
      </w:r>
      <w:r w:rsidR="0021566A">
        <w:rPr>
          <w:rFonts w:asciiTheme="minorHAnsi" w:hAnsiTheme="minorHAnsi" w:cs="Arial"/>
          <w:snapToGrid w:val="0"/>
          <w:lang w:eastAsia="en-US"/>
        </w:rPr>
        <w:t xml:space="preserve">a weight of </w:t>
      </w:r>
      <w:r w:rsidR="00920C75">
        <w:rPr>
          <w:rFonts w:asciiTheme="minorHAnsi" w:hAnsiTheme="minorHAnsi" w:cs="Arial"/>
          <w:noProof/>
          <w:snapToGrid w:val="0"/>
          <w:color w:val="000000"/>
          <w:highlight w:val="black"/>
          <w:lang w:eastAsia="en-US"/>
        </w:rPr>
        <w:t>'''''''''</w:t>
      </w:r>
      <w:r w:rsidR="0021566A">
        <w:rPr>
          <w:rFonts w:asciiTheme="minorHAnsi" w:hAnsiTheme="minorHAnsi" w:cs="Arial"/>
          <w:snapToGrid w:val="0"/>
          <w:lang w:eastAsia="en-US"/>
        </w:rPr>
        <w:t xml:space="preserve">% for </w:t>
      </w:r>
      <w:r>
        <w:rPr>
          <w:rFonts w:asciiTheme="minorHAnsi" w:hAnsiTheme="minorHAnsi" w:cs="Arial"/>
          <w:snapToGrid w:val="0"/>
          <w:lang w:eastAsia="en-US"/>
        </w:rPr>
        <w:t xml:space="preserve">the cost-effective price. </w:t>
      </w:r>
      <w:r w:rsidR="00033CFB" w:rsidRPr="00B4734E">
        <w:rPr>
          <w:rFonts w:asciiTheme="minorHAnsi" w:hAnsiTheme="minorHAnsi" w:cs="Arial"/>
          <w:snapToGrid w:val="0"/>
          <w:lang w:eastAsia="en-US"/>
        </w:rPr>
        <w:t>The ESC considered the weighted price for fremanezumab was highly dependent on the proportion of use between the different populations which was uncertain (paragraph 6.73, fremanezumab</w:t>
      </w:r>
      <w:r w:rsidR="00407265">
        <w:rPr>
          <w:rFonts w:asciiTheme="minorHAnsi" w:hAnsiTheme="minorHAnsi" w:cs="Arial"/>
          <w:snapToGrid w:val="0"/>
          <w:lang w:eastAsia="en-US"/>
        </w:rPr>
        <w:t xml:space="preserve"> PSD</w:t>
      </w:r>
      <w:r w:rsidR="00033CFB" w:rsidRPr="00B4734E">
        <w:rPr>
          <w:rFonts w:asciiTheme="minorHAnsi" w:hAnsiTheme="minorHAnsi" w:cs="Arial"/>
          <w:snapToGrid w:val="0"/>
          <w:lang w:eastAsia="en-US"/>
        </w:rPr>
        <w:t>, Nove</w:t>
      </w:r>
      <w:r w:rsidR="000B6EFC">
        <w:rPr>
          <w:rFonts w:asciiTheme="minorHAnsi" w:hAnsiTheme="minorHAnsi" w:cs="Arial"/>
          <w:snapToGrid w:val="0"/>
          <w:lang w:eastAsia="en-US"/>
        </w:rPr>
        <w:t>mber 2019</w:t>
      </w:r>
      <w:r w:rsidR="00033CFB" w:rsidRPr="00B4734E">
        <w:rPr>
          <w:rFonts w:asciiTheme="minorHAnsi" w:hAnsiTheme="minorHAnsi" w:cs="Arial"/>
          <w:snapToGrid w:val="0"/>
          <w:lang w:eastAsia="en-US"/>
        </w:rPr>
        <w:t xml:space="preserve"> PBAC meeting).</w:t>
      </w:r>
    </w:p>
    <w:p w:rsidR="003C1429" w:rsidRPr="00B4734E" w:rsidRDefault="00B4734E" w:rsidP="00B4734E">
      <w:pPr>
        <w:numPr>
          <w:ilvl w:val="1"/>
          <w:numId w:val="15"/>
        </w:numPr>
        <w:spacing w:after="120"/>
        <w:rPr>
          <w:rFonts w:asciiTheme="minorHAnsi" w:hAnsiTheme="minorHAnsi" w:cs="Arial"/>
          <w:snapToGrid w:val="0"/>
          <w:lang w:eastAsia="en-US"/>
        </w:rPr>
      </w:pPr>
      <w:r w:rsidRPr="00FE24D1">
        <w:rPr>
          <w:rFonts w:asciiTheme="minorHAnsi" w:hAnsiTheme="minorHAnsi" w:cs="Arial"/>
          <w:snapToGrid w:val="0"/>
          <w:lang w:eastAsia="en-US"/>
        </w:rPr>
        <w:t>The PBAC considered fremanezumab s</w:t>
      </w:r>
      <w:r>
        <w:rPr>
          <w:rFonts w:asciiTheme="minorHAnsi" w:hAnsiTheme="minorHAnsi" w:cs="Arial"/>
          <w:snapToGrid w:val="0"/>
          <w:lang w:eastAsia="en-US"/>
        </w:rPr>
        <w:t>hould be restricted to the</w:t>
      </w:r>
      <w:r w:rsidRPr="00FE24D1">
        <w:rPr>
          <w:rFonts w:asciiTheme="minorHAnsi" w:hAnsiTheme="minorHAnsi" w:cs="Arial"/>
          <w:snapToGrid w:val="0"/>
          <w:lang w:eastAsia="en-US"/>
        </w:rPr>
        <w:t xml:space="preserve"> same high need patient population </w:t>
      </w:r>
      <w:r>
        <w:rPr>
          <w:rFonts w:asciiTheme="minorHAnsi" w:hAnsiTheme="minorHAnsi" w:cs="Arial"/>
          <w:snapToGrid w:val="0"/>
          <w:lang w:eastAsia="en-US"/>
        </w:rPr>
        <w:t xml:space="preserve">as Botox </w:t>
      </w:r>
      <w:r w:rsidRPr="00FE24D1">
        <w:rPr>
          <w:rFonts w:asciiTheme="minorHAnsi" w:hAnsiTheme="minorHAnsi" w:cs="Arial"/>
          <w:snapToGrid w:val="0"/>
          <w:lang w:eastAsia="en-US"/>
        </w:rPr>
        <w:t>and advised that the main comparator for fremanezumab should be Botox</w:t>
      </w:r>
      <w:r>
        <w:rPr>
          <w:rFonts w:asciiTheme="minorHAnsi" w:hAnsiTheme="minorHAnsi" w:cs="Arial"/>
          <w:snapToGrid w:val="0"/>
          <w:lang w:eastAsia="en-US"/>
        </w:rPr>
        <w:t xml:space="preserve"> (paragraph 7.4,</w:t>
      </w:r>
      <w:r w:rsidRPr="00FE24D1">
        <w:rPr>
          <w:rFonts w:asciiTheme="minorHAnsi" w:hAnsiTheme="minorHAnsi" w:cs="Arial"/>
          <w:snapToGrid w:val="0"/>
          <w:lang w:eastAsia="en-US"/>
        </w:rPr>
        <w:t xml:space="preserve"> </w:t>
      </w:r>
      <w:r>
        <w:rPr>
          <w:rFonts w:asciiTheme="minorHAnsi" w:hAnsiTheme="minorHAnsi" w:cs="Arial"/>
          <w:snapToGrid w:val="0"/>
          <w:lang w:eastAsia="en-US"/>
        </w:rPr>
        <w:t>fre</w:t>
      </w:r>
      <w:r w:rsidR="000B6EFC">
        <w:rPr>
          <w:rFonts w:asciiTheme="minorHAnsi" w:hAnsiTheme="minorHAnsi" w:cs="Arial"/>
          <w:snapToGrid w:val="0"/>
          <w:lang w:eastAsia="en-US"/>
        </w:rPr>
        <w:t>manezumab</w:t>
      </w:r>
      <w:r w:rsidR="00407265">
        <w:rPr>
          <w:rFonts w:asciiTheme="minorHAnsi" w:hAnsiTheme="minorHAnsi" w:cs="Arial"/>
          <w:snapToGrid w:val="0"/>
          <w:lang w:eastAsia="en-US"/>
        </w:rPr>
        <w:t xml:space="preserve"> PSD</w:t>
      </w:r>
      <w:r w:rsidR="000B6EFC">
        <w:rPr>
          <w:rFonts w:asciiTheme="minorHAnsi" w:hAnsiTheme="minorHAnsi" w:cs="Arial"/>
          <w:snapToGrid w:val="0"/>
          <w:lang w:eastAsia="en-US"/>
        </w:rPr>
        <w:t>, November 2019</w:t>
      </w:r>
      <w:r>
        <w:rPr>
          <w:rFonts w:asciiTheme="minorHAnsi" w:hAnsiTheme="minorHAnsi" w:cs="Arial"/>
          <w:snapToGrid w:val="0"/>
          <w:lang w:eastAsia="en-US"/>
        </w:rPr>
        <w:t xml:space="preserve"> PBAC meeting)</w:t>
      </w:r>
      <w:r w:rsidRPr="00FE24D1">
        <w:rPr>
          <w:rFonts w:asciiTheme="minorHAnsi" w:hAnsiTheme="minorHAnsi" w:cs="Arial"/>
          <w:snapToGrid w:val="0"/>
          <w:lang w:eastAsia="en-US"/>
        </w:rPr>
        <w:t>.</w:t>
      </w:r>
      <w:r>
        <w:rPr>
          <w:rFonts w:asciiTheme="minorHAnsi" w:hAnsiTheme="minorHAnsi" w:cs="Arial"/>
          <w:snapToGrid w:val="0"/>
          <w:lang w:eastAsia="en-US"/>
        </w:rPr>
        <w:t xml:space="preserve"> </w:t>
      </w:r>
    </w:p>
    <w:p w:rsidR="0021566A" w:rsidRDefault="0021566A" w:rsidP="00EA2EAF">
      <w:pPr>
        <w:numPr>
          <w:ilvl w:val="1"/>
          <w:numId w:val="15"/>
        </w:numPr>
        <w:spacing w:after="120"/>
        <w:rPr>
          <w:rFonts w:asciiTheme="minorHAnsi" w:hAnsiTheme="minorHAnsi" w:cs="Arial"/>
          <w:snapToGrid w:val="0"/>
          <w:lang w:eastAsia="en-US"/>
        </w:rPr>
      </w:pPr>
      <w:r>
        <w:rPr>
          <w:rFonts w:asciiTheme="minorHAnsi" w:hAnsiTheme="minorHAnsi" w:cs="Arial"/>
          <w:snapToGrid w:val="0"/>
          <w:lang w:eastAsia="en-US"/>
        </w:rPr>
        <w:t xml:space="preserve">The </w:t>
      </w:r>
      <w:r w:rsidR="00046FA6">
        <w:rPr>
          <w:rFonts w:asciiTheme="minorHAnsi" w:hAnsiTheme="minorHAnsi" w:cs="Arial"/>
          <w:snapToGrid w:val="0"/>
          <w:lang w:eastAsia="en-US"/>
        </w:rPr>
        <w:t xml:space="preserve">previous </w:t>
      </w:r>
      <w:r>
        <w:rPr>
          <w:rFonts w:asciiTheme="minorHAnsi" w:hAnsiTheme="minorHAnsi" w:cs="Arial"/>
          <w:snapToGrid w:val="0"/>
          <w:lang w:eastAsia="en-US"/>
        </w:rPr>
        <w:t xml:space="preserve">submission also nominated two medicines with a similar mechanism of action, erenumab and galcanezumab, as supplementary comparators. </w:t>
      </w:r>
      <w:r w:rsidR="004A2825">
        <w:rPr>
          <w:rFonts w:asciiTheme="minorHAnsi" w:hAnsiTheme="minorHAnsi" w:cs="Arial"/>
          <w:snapToGrid w:val="0"/>
          <w:lang w:eastAsia="en-US"/>
        </w:rPr>
        <w:t xml:space="preserve">Erenumab has been rejected by the PBAC </w:t>
      </w:r>
      <w:r w:rsidR="002F2224" w:rsidRPr="002F2224">
        <w:rPr>
          <w:rFonts w:asciiTheme="minorHAnsi" w:hAnsiTheme="minorHAnsi" w:cs="Arial"/>
          <w:snapToGrid w:val="0"/>
          <w:lang w:eastAsia="en-US"/>
        </w:rPr>
        <w:t>twice</w:t>
      </w:r>
      <w:r w:rsidR="002F2224">
        <w:rPr>
          <w:rStyle w:val="FootnoteReference"/>
          <w:rFonts w:asciiTheme="minorHAnsi" w:hAnsiTheme="minorHAnsi" w:cs="Arial"/>
          <w:snapToGrid w:val="0"/>
          <w:lang w:eastAsia="en-US"/>
        </w:rPr>
        <w:footnoteReference w:id="1"/>
      </w:r>
      <w:r w:rsidR="002F2224" w:rsidRPr="002F2224">
        <w:rPr>
          <w:rFonts w:asciiTheme="minorHAnsi" w:hAnsiTheme="minorHAnsi" w:cs="Arial"/>
          <w:snapToGrid w:val="0"/>
          <w:lang w:eastAsia="en-US"/>
        </w:rPr>
        <w:t xml:space="preserve"> </w:t>
      </w:r>
      <w:r w:rsidR="004A2825" w:rsidRPr="002F2224">
        <w:rPr>
          <w:rFonts w:asciiTheme="minorHAnsi" w:hAnsiTheme="minorHAnsi" w:cs="Arial"/>
          <w:snapToGrid w:val="0"/>
          <w:lang w:eastAsia="en-US"/>
        </w:rPr>
        <w:t>(</w:t>
      </w:r>
      <w:r w:rsidR="002F2224" w:rsidRPr="002F2224">
        <w:rPr>
          <w:rFonts w:asciiTheme="minorHAnsi" w:hAnsiTheme="minorHAnsi" w:cs="Arial"/>
          <w:snapToGrid w:val="0"/>
          <w:lang w:eastAsia="en-US"/>
        </w:rPr>
        <w:t>July 2018, March 2019</w:t>
      </w:r>
      <w:r w:rsidR="004A2825" w:rsidRPr="002F2224">
        <w:rPr>
          <w:rFonts w:asciiTheme="minorHAnsi" w:hAnsiTheme="minorHAnsi" w:cs="Arial"/>
          <w:snapToGrid w:val="0"/>
          <w:lang w:eastAsia="en-US"/>
        </w:rPr>
        <w:t>)</w:t>
      </w:r>
      <w:r w:rsidR="004A2825">
        <w:rPr>
          <w:rFonts w:asciiTheme="minorHAnsi" w:hAnsiTheme="minorHAnsi" w:cs="Arial"/>
          <w:snapToGrid w:val="0"/>
          <w:lang w:eastAsia="en-US"/>
        </w:rPr>
        <w:t xml:space="preserve"> and galcanezumab received a positive recommendation in July 2019 but is not currently listed on the PBS. </w:t>
      </w:r>
    </w:p>
    <w:p w:rsidR="00B4734E" w:rsidRPr="00B4734E" w:rsidRDefault="00B4734E" w:rsidP="00CD30AB">
      <w:pPr>
        <w:pStyle w:val="ListParagraph"/>
        <w:numPr>
          <w:ilvl w:val="1"/>
          <w:numId w:val="15"/>
        </w:numPr>
        <w:jc w:val="both"/>
        <w:rPr>
          <w:lang w:eastAsia="en-US"/>
        </w:rPr>
      </w:pPr>
      <w:r w:rsidRPr="00B4734E">
        <w:rPr>
          <w:lang w:eastAsia="en-US"/>
        </w:rPr>
        <w:lastRenderedPageBreak/>
        <w:t>The PBAC considered that, on balance, the claim of non-inferior comparative effectiveness and safety compared to Botox, galcanezumab and erenumab was uncertain but r</w:t>
      </w:r>
      <w:r>
        <w:rPr>
          <w:lang w:eastAsia="en-US"/>
        </w:rPr>
        <w:t xml:space="preserve">easonably supported by the data (paragraph 6.54, </w:t>
      </w:r>
      <w:r w:rsidRPr="00B4734E">
        <w:rPr>
          <w:lang w:eastAsia="en-US"/>
        </w:rPr>
        <w:t>fremanezumab</w:t>
      </w:r>
      <w:r w:rsidR="00407265">
        <w:rPr>
          <w:lang w:eastAsia="en-US"/>
        </w:rPr>
        <w:t xml:space="preserve"> PSD</w:t>
      </w:r>
      <w:r w:rsidRPr="00B4734E">
        <w:rPr>
          <w:lang w:eastAsia="en-US"/>
        </w:rPr>
        <w:t>, November 2017 PBAC meeting)</w:t>
      </w:r>
      <w:r>
        <w:rPr>
          <w:lang w:eastAsia="en-US"/>
        </w:rPr>
        <w:t>.</w:t>
      </w:r>
    </w:p>
    <w:p w:rsidR="00D9119F" w:rsidRPr="00D522DC" w:rsidRDefault="00D9119F" w:rsidP="00D9119F">
      <w:pPr>
        <w:pStyle w:val="ListParagraph"/>
        <w:widowControl w:val="0"/>
        <w:numPr>
          <w:ilvl w:val="1"/>
          <w:numId w:val="15"/>
        </w:numPr>
        <w:spacing w:after="160"/>
        <w:jc w:val="both"/>
        <w:rPr>
          <w:rFonts w:cstheme="minorHAnsi"/>
        </w:rPr>
      </w:pPr>
      <w:r w:rsidRPr="00D522DC">
        <w:rPr>
          <w:rFonts w:cstheme="minorHAnsi"/>
        </w:rPr>
        <w:t xml:space="preserve">The outstanding matters of concern from the </w:t>
      </w:r>
      <w:r>
        <w:rPr>
          <w:rFonts w:cstheme="minorHAnsi"/>
        </w:rPr>
        <w:t>November 2019</w:t>
      </w:r>
      <w:r w:rsidRPr="00D522DC">
        <w:rPr>
          <w:rFonts w:cstheme="minorHAnsi"/>
        </w:rPr>
        <w:t xml:space="preserve"> meeting are summarised in</w:t>
      </w:r>
      <w:r w:rsidR="005D038F">
        <w:rPr>
          <w:rFonts w:cstheme="minorHAnsi"/>
        </w:rPr>
        <w:t xml:space="preserve"> </w:t>
      </w:r>
      <w:r w:rsidR="00111BB6" w:rsidRPr="006F5677">
        <w:rPr>
          <w:rFonts w:cstheme="minorHAnsi"/>
        </w:rPr>
        <w:t>Table 1</w:t>
      </w:r>
      <w:r w:rsidRPr="00D522DC">
        <w:rPr>
          <w:rFonts w:cstheme="minorHAnsi"/>
        </w:rPr>
        <w:t xml:space="preserve">. </w:t>
      </w:r>
    </w:p>
    <w:p w:rsidR="00101ABE" w:rsidRPr="005D038F" w:rsidRDefault="005D038F" w:rsidP="005D038F">
      <w:pPr>
        <w:pStyle w:val="Caption"/>
        <w:keepNext/>
        <w:spacing w:after="0"/>
        <w:rPr>
          <w:rFonts w:ascii="Arial Narrow" w:hAnsi="Arial Narrow"/>
          <w:b/>
          <w:i w:val="0"/>
          <w:sz w:val="20"/>
          <w:szCs w:val="22"/>
        </w:rPr>
      </w:pPr>
      <w:bookmarkStart w:id="1" w:name="_Ref32567113"/>
      <w:r w:rsidRPr="005D038F">
        <w:rPr>
          <w:rFonts w:ascii="Arial Narrow" w:hAnsi="Arial Narrow"/>
          <w:b/>
          <w:i w:val="0"/>
          <w:sz w:val="20"/>
          <w:szCs w:val="22"/>
        </w:rPr>
        <w:t xml:space="preserve">Table </w:t>
      </w:r>
      <w:r w:rsidR="00111BB6">
        <w:rPr>
          <w:rFonts w:ascii="Arial Narrow" w:hAnsi="Arial Narrow"/>
          <w:b/>
          <w:i w:val="0"/>
          <w:noProof/>
          <w:sz w:val="20"/>
          <w:szCs w:val="22"/>
        </w:rPr>
        <w:t>1</w:t>
      </w:r>
      <w:bookmarkEnd w:id="1"/>
      <w:r w:rsidRPr="005D038F">
        <w:rPr>
          <w:rFonts w:ascii="Arial Narrow" w:hAnsi="Arial Narrow"/>
          <w:b/>
          <w:i w:val="0"/>
          <w:sz w:val="20"/>
          <w:szCs w:val="22"/>
        </w:rPr>
        <w:t xml:space="preserve">: </w:t>
      </w:r>
      <w:r w:rsidR="00101ABE" w:rsidRPr="005D038F">
        <w:rPr>
          <w:rFonts w:ascii="Arial Narrow" w:hAnsi="Arial Narrow"/>
          <w:b/>
          <w:i w:val="0"/>
          <w:sz w:val="20"/>
          <w:szCs w:val="22"/>
        </w:rPr>
        <w:t>PBAC matters of concern in previous consideration (</w:t>
      </w:r>
      <w:r w:rsidR="00D9119F" w:rsidRPr="005D038F">
        <w:rPr>
          <w:rFonts w:ascii="Arial Narrow" w:hAnsi="Arial Narrow"/>
          <w:b/>
          <w:i w:val="0"/>
          <w:sz w:val="20"/>
          <w:szCs w:val="22"/>
        </w:rPr>
        <w:t>November 2019</w:t>
      </w:r>
      <w:r w:rsidR="00101ABE" w:rsidRPr="005D038F">
        <w:rPr>
          <w:rFonts w:ascii="Arial Narrow" w:hAnsi="Arial Narrow"/>
          <w:b/>
          <w:i w:val="0"/>
          <w:sz w:val="20"/>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08"/>
        <w:gridCol w:w="4508"/>
      </w:tblGrid>
      <w:tr w:rsidR="00101ABE" w:rsidRPr="0012749D" w:rsidTr="00FD2CD5">
        <w:trPr>
          <w:trHeight w:val="240"/>
        </w:trPr>
        <w:tc>
          <w:tcPr>
            <w:tcW w:w="2500" w:type="pct"/>
            <w:tcBorders>
              <w:top w:val="single" w:sz="4" w:space="0" w:color="auto"/>
              <w:left w:val="single" w:sz="4" w:space="0" w:color="auto"/>
              <w:bottom w:val="single" w:sz="4" w:space="0" w:color="auto"/>
              <w:right w:val="single" w:sz="4" w:space="0" w:color="auto"/>
            </w:tcBorders>
            <w:hideMark/>
          </w:tcPr>
          <w:p w:rsidR="00101ABE" w:rsidRPr="0012749D" w:rsidRDefault="00101ABE" w:rsidP="001B7D41">
            <w:pPr>
              <w:keepNext/>
              <w:rPr>
                <w:rFonts w:ascii="Arial Narrow" w:hAnsi="Arial Narrow"/>
                <w:b/>
                <w:sz w:val="20"/>
              </w:rPr>
            </w:pPr>
            <w:r w:rsidRPr="0012749D">
              <w:rPr>
                <w:rFonts w:ascii="Arial Narrow" w:hAnsi="Arial Narrow"/>
                <w:b/>
                <w:sz w:val="20"/>
              </w:rPr>
              <w:t>Matters of concern</w:t>
            </w:r>
          </w:p>
        </w:tc>
        <w:tc>
          <w:tcPr>
            <w:tcW w:w="2500" w:type="pct"/>
            <w:tcBorders>
              <w:top w:val="single" w:sz="4" w:space="0" w:color="auto"/>
              <w:left w:val="single" w:sz="4" w:space="0" w:color="auto"/>
              <w:bottom w:val="single" w:sz="4" w:space="0" w:color="auto"/>
              <w:right w:val="single" w:sz="4" w:space="0" w:color="auto"/>
            </w:tcBorders>
            <w:hideMark/>
          </w:tcPr>
          <w:p w:rsidR="00101ABE" w:rsidRPr="0012749D" w:rsidRDefault="00101ABE" w:rsidP="00072697">
            <w:pPr>
              <w:keepNext/>
              <w:jc w:val="left"/>
              <w:rPr>
                <w:rFonts w:ascii="Arial Narrow" w:hAnsi="Arial Narrow"/>
                <w:b/>
                <w:sz w:val="20"/>
              </w:rPr>
            </w:pPr>
            <w:r w:rsidRPr="0012749D">
              <w:rPr>
                <w:rFonts w:ascii="Arial Narrow" w:hAnsi="Arial Narrow"/>
                <w:b/>
                <w:sz w:val="20"/>
              </w:rPr>
              <w:t>How the resubmission addresses it</w:t>
            </w:r>
          </w:p>
        </w:tc>
      </w:tr>
      <w:tr w:rsidR="00101ABE" w:rsidRPr="0012749D" w:rsidTr="00FD2CD5">
        <w:trPr>
          <w:trHeight w:val="788"/>
        </w:trPr>
        <w:tc>
          <w:tcPr>
            <w:tcW w:w="2500" w:type="pct"/>
            <w:tcBorders>
              <w:top w:val="single" w:sz="4" w:space="0" w:color="auto"/>
              <w:left w:val="single" w:sz="4" w:space="0" w:color="auto"/>
              <w:bottom w:val="single" w:sz="4" w:space="0" w:color="auto"/>
              <w:right w:val="single" w:sz="4" w:space="0" w:color="auto"/>
            </w:tcBorders>
          </w:tcPr>
          <w:p w:rsidR="00101ABE" w:rsidRPr="00292CC5" w:rsidRDefault="008E179B" w:rsidP="008E179B">
            <w:pPr>
              <w:keepNext/>
              <w:rPr>
                <w:rFonts w:ascii="Arial Narrow" w:hAnsi="Arial Narrow"/>
                <w:sz w:val="20"/>
              </w:rPr>
            </w:pPr>
            <w:r w:rsidRPr="008E179B">
              <w:rPr>
                <w:rFonts w:ascii="Arial Narrow" w:hAnsi="Arial Narrow"/>
                <w:sz w:val="20"/>
              </w:rPr>
              <w:t>The PBAC considered were fremanezumab recommended for listing, it should be listed on a cost-minimisation basis versus Botox</w:t>
            </w:r>
            <w:r>
              <w:rPr>
                <w:rFonts w:ascii="Arial Narrow" w:hAnsi="Arial Narrow"/>
                <w:sz w:val="20"/>
              </w:rPr>
              <w:t>.</w:t>
            </w:r>
            <w:r w:rsidRPr="008E179B">
              <w:rPr>
                <w:rFonts w:ascii="Arial Narrow" w:hAnsi="Arial Narrow"/>
                <w:sz w:val="20"/>
              </w:rPr>
              <w:t xml:space="preserve"> </w:t>
            </w:r>
            <w:r>
              <w:rPr>
                <w:rFonts w:ascii="Arial Narrow" w:hAnsi="Arial Narrow"/>
                <w:sz w:val="20"/>
              </w:rPr>
              <w:t>……</w:t>
            </w:r>
            <w:r w:rsidRPr="008E179B">
              <w:rPr>
                <w:rFonts w:ascii="Arial Narrow" w:hAnsi="Arial Narrow"/>
                <w:sz w:val="20"/>
              </w:rPr>
              <w:t>the equi-effective doses are: fremanezumab 225 mg every month or 675 mg every three months and 164U of Botox every 12 weeks. The PBAC advised the CMA should be conducted over 2 years of treatment for both medicines</w:t>
            </w:r>
            <w:r w:rsidR="00334C43">
              <w:rPr>
                <w:rFonts w:ascii="Arial Narrow" w:hAnsi="Arial Narrow"/>
                <w:sz w:val="20"/>
              </w:rPr>
              <w:t xml:space="preserve"> (paragraph 7.7).</w:t>
            </w:r>
          </w:p>
        </w:tc>
        <w:tc>
          <w:tcPr>
            <w:tcW w:w="2500" w:type="pct"/>
            <w:tcBorders>
              <w:top w:val="single" w:sz="4" w:space="0" w:color="auto"/>
              <w:left w:val="single" w:sz="4" w:space="0" w:color="auto"/>
              <w:bottom w:val="single" w:sz="4" w:space="0" w:color="auto"/>
              <w:right w:val="single" w:sz="4" w:space="0" w:color="auto"/>
            </w:tcBorders>
          </w:tcPr>
          <w:p w:rsidR="00101ABE" w:rsidRPr="002F61CA" w:rsidRDefault="00D13D41" w:rsidP="00D55090">
            <w:pPr>
              <w:keepNext/>
              <w:rPr>
                <w:rFonts w:ascii="Arial Narrow" w:hAnsi="Arial Narrow"/>
                <w:sz w:val="20"/>
              </w:rPr>
            </w:pPr>
            <w:r w:rsidRPr="002F61CA">
              <w:rPr>
                <w:rFonts w:ascii="Arial Narrow" w:hAnsi="Arial Narrow"/>
                <w:sz w:val="20"/>
              </w:rPr>
              <w:t>The S</w:t>
            </w:r>
            <w:r w:rsidR="00D55090" w:rsidRPr="002F61CA">
              <w:rPr>
                <w:rFonts w:ascii="Arial Narrow" w:hAnsi="Arial Narrow"/>
                <w:sz w:val="20"/>
              </w:rPr>
              <w:t xml:space="preserve">ponsor proposed an equi-effective dose of fremanezumab 225 mg per month and 164U of Botox every 12 weeks and conducted the CMA over 2 years. </w:t>
            </w:r>
          </w:p>
          <w:p w:rsidR="00B4734E" w:rsidRPr="002F61CA" w:rsidRDefault="00B4734E" w:rsidP="00D55090">
            <w:pPr>
              <w:keepNext/>
              <w:rPr>
                <w:rFonts w:ascii="Arial Narrow" w:hAnsi="Arial Narrow"/>
                <w:sz w:val="20"/>
              </w:rPr>
            </w:pPr>
          </w:p>
          <w:p w:rsidR="00B4734E" w:rsidRPr="002F61CA" w:rsidRDefault="00E848FD" w:rsidP="00407265">
            <w:pPr>
              <w:keepNext/>
              <w:rPr>
                <w:rFonts w:ascii="Arial Narrow" w:hAnsi="Arial Narrow"/>
                <w:sz w:val="20"/>
              </w:rPr>
            </w:pPr>
            <w:r w:rsidRPr="002F61CA">
              <w:rPr>
                <w:rFonts w:ascii="Arial Narrow" w:hAnsi="Arial Narrow"/>
                <w:sz w:val="20"/>
              </w:rPr>
              <w:t>Th</w:t>
            </w:r>
            <w:r w:rsidR="00D13D41" w:rsidRPr="002F61CA">
              <w:rPr>
                <w:rFonts w:ascii="Arial Narrow" w:hAnsi="Arial Narrow"/>
                <w:sz w:val="20"/>
              </w:rPr>
              <w:t>e S</w:t>
            </w:r>
            <w:r w:rsidRPr="002F61CA">
              <w:rPr>
                <w:rFonts w:ascii="Arial Narrow" w:hAnsi="Arial Narrow"/>
                <w:sz w:val="20"/>
              </w:rPr>
              <w:t xml:space="preserve">ponsor </w:t>
            </w:r>
            <w:r w:rsidR="0067097E" w:rsidRPr="002F61CA">
              <w:rPr>
                <w:rFonts w:ascii="Arial Narrow" w:hAnsi="Arial Narrow"/>
                <w:sz w:val="20"/>
              </w:rPr>
              <w:t>assumed that all patients would</w:t>
            </w:r>
            <w:r w:rsidR="003F269E" w:rsidRPr="002F61CA">
              <w:rPr>
                <w:rFonts w:ascii="Arial Narrow" w:hAnsi="Arial Narrow"/>
                <w:sz w:val="20"/>
              </w:rPr>
              <w:t xml:space="preserve"> be treated with 225 mg per month (rather than 675 mg quarterly).</w:t>
            </w:r>
            <w:r w:rsidR="00BE5BEB" w:rsidRPr="002F61CA">
              <w:rPr>
                <w:rFonts w:ascii="Arial Narrow" w:hAnsi="Arial Narrow"/>
                <w:sz w:val="20"/>
              </w:rPr>
              <w:t xml:space="preserve"> Only listing the monthly dose addresses wastage and quality use of medicine issues previously raised by the Secretariat (paragraph 2.5, fremanezumab</w:t>
            </w:r>
            <w:r w:rsidR="00407265">
              <w:rPr>
                <w:rFonts w:ascii="Arial Narrow" w:hAnsi="Arial Narrow"/>
                <w:sz w:val="20"/>
              </w:rPr>
              <w:t xml:space="preserve"> PSD</w:t>
            </w:r>
            <w:r w:rsidR="00BE5BEB" w:rsidRPr="002F61CA">
              <w:rPr>
                <w:rFonts w:ascii="Arial Narrow" w:hAnsi="Arial Narrow"/>
                <w:sz w:val="20"/>
              </w:rPr>
              <w:t>, November 2019 PBAC meeting).</w:t>
            </w:r>
          </w:p>
        </w:tc>
      </w:tr>
      <w:tr w:rsidR="00101ABE" w:rsidRPr="0012749D" w:rsidTr="00FD2CD5">
        <w:trPr>
          <w:trHeight w:val="487"/>
        </w:trPr>
        <w:tc>
          <w:tcPr>
            <w:tcW w:w="2500" w:type="pct"/>
            <w:tcBorders>
              <w:top w:val="single" w:sz="4" w:space="0" w:color="auto"/>
              <w:left w:val="single" w:sz="4" w:space="0" w:color="auto"/>
              <w:bottom w:val="single" w:sz="4" w:space="0" w:color="auto"/>
              <w:right w:val="single" w:sz="4" w:space="0" w:color="auto"/>
            </w:tcBorders>
          </w:tcPr>
          <w:p w:rsidR="008E179B" w:rsidRPr="00292CC5" w:rsidRDefault="008E179B" w:rsidP="007D53B9">
            <w:pPr>
              <w:keepNext/>
              <w:tabs>
                <w:tab w:val="left" w:pos="971"/>
              </w:tabs>
              <w:rPr>
                <w:rFonts w:ascii="Arial Narrow" w:hAnsi="Arial Narrow"/>
                <w:sz w:val="20"/>
              </w:rPr>
            </w:pPr>
            <w:r w:rsidRPr="008E179B">
              <w:rPr>
                <w:rFonts w:ascii="Arial Narrow" w:hAnsi="Arial Narrow"/>
                <w:sz w:val="20"/>
              </w:rPr>
              <w:t xml:space="preserve">The PBAC noted the submission estimated </w:t>
            </w:r>
            <w:r w:rsidR="007D53B9">
              <w:rPr>
                <w:rFonts w:ascii="Arial Narrow" w:hAnsi="Arial Narrow"/>
                <w:sz w:val="20"/>
              </w:rPr>
              <w:t xml:space="preserve">10,000 – 50,000 </w:t>
            </w:r>
            <w:r w:rsidRPr="008E179B">
              <w:rPr>
                <w:rFonts w:ascii="Arial Narrow" w:hAnsi="Arial Narrow"/>
                <w:sz w:val="20"/>
              </w:rPr>
              <w:t xml:space="preserve">patients would be treated with fremanezumab in the first year, increasing to </w:t>
            </w:r>
            <w:r w:rsidR="007D53B9">
              <w:rPr>
                <w:rFonts w:ascii="Arial Narrow" w:hAnsi="Arial Narrow"/>
                <w:sz w:val="20"/>
              </w:rPr>
              <w:t>10,000 – 50,000 patients</w:t>
            </w:r>
            <w:r w:rsidRPr="008E179B">
              <w:rPr>
                <w:rFonts w:ascii="Arial Narrow" w:hAnsi="Arial Narrow"/>
                <w:sz w:val="20"/>
              </w:rPr>
              <w:t xml:space="preserve"> in year 6 and considered these estimates were highly uncertain because the me</w:t>
            </w:r>
            <w:r w:rsidR="00334C43">
              <w:rPr>
                <w:rFonts w:ascii="Arial Narrow" w:hAnsi="Arial Narrow"/>
                <w:sz w:val="20"/>
              </w:rPr>
              <w:t>thodology used was not reliable (paragraph 7.9)</w:t>
            </w:r>
          </w:p>
        </w:tc>
        <w:tc>
          <w:tcPr>
            <w:tcW w:w="2500" w:type="pct"/>
            <w:tcBorders>
              <w:top w:val="single" w:sz="4" w:space="0" w:color="auto"/>
              <w:left w:val="single" w:sz="4" w:space="0" w:color="auto"/>
              <w:bottom w:val="single" w:sz="4" w:space="0" w:color="auto"/>
              <w:right w:val="single" w:sz="4" w:space="0" w:color="auto"/>
            </w:tcBorders>
          </w:tcPr>
          <w:p w:rsidR="007D18B5" w:rsidRDefault="00D13D41" w:rsidP="005D05C1">
            <w:pPr>
              <w:keepNext/>
              <w:rPr>
                <w:rFonts w:ascii="Arial Narrow" w:hAnsi="Arial Narrow"/>
                <w:sz w:val="20"/>
              </w:rPr>
            </w:pPr>
            <w:r w:rsidRPr="00D279F1">
              <w:rPr>
                <w:rFonts w:ascii="Arial Narrow" w:hAnsi="Arial Narrow"/>
                <w:sz w:val="20"/>
              </w:rPr>
              <w:t>The S</w:t>
            </w:r>
            <w:r w:rsidR="003F269E" w:rsidRPr="00D279F1">
              <w:rPr>
                <w:rFonts w:ascii="Arial Narrow" w:hAnsi="Arial Narrow"/>
                <w:sz w:val="20"/>
              </w:rPr>
              <w:t xml:space="preserve">ponsor has estimated </w:t>
            </w:r>
            <w:r w:rsidR="008177C7">
              <w:rPr>
                <w:rFonts w:ascii="Arial Narrow" w:hAnsi="Arial Narrow"/>
                <w:sz w:val="20"/>
              </w:rPr>
              <w:t>less than 10,000</w:t>
            </w:r>
            <w:r w:rsidR="005D05C1" w:rsidRPr="00D279F1">
              <w:rPr>
                <w:rFonts w:ascii="Arial Narrow" w:hAnsi="Arial Narrow"/>
                <w:sz w:val="20"/>
              </w:rPr>
              <w:t xml:space="preserve"> </w:t>
            </w:r>
            <w:r w:rsidR="0067097E" w:rsidRPr="00D279F1">
              <w:rPr>
                <w:rFonts w:ascii="Arial Narrow" w:hAnsi="Arial Narrow"/>
                <w:sz w:val="20"/>
              </w:rPr>
              <w:t xml:space="preserve">patients </w:t>
            </w:r>
            <w:r w:rsidR="003F269E" w:rsidRPr="00D279F1">
              <w:rPr>
                <w:rFonts w:ascii="Arial Narrow" w:hAnsi="Arial Narrow"/>
                <w:sz w:val="20"/>
              </w:rPr>
              <w:t xml:space="preserve">would </w:t>
            </w:r>
            <w:r w:rsidR="0067097E" w:rsidRPr="00D279F1">
              <w:rPr>
                <w:rFonts w:ascii="Arial Narrow" w:hAnsi="Arial Narrow"/>
                <w:sz w:val="20"/>
              </w:rPr>
              <w:t xml:space="preserve">initiate treatment in </w:t>
            </w:r>
            <w:r w:rsidR="003F269E" w:rsidRPr="00D279F1">
              <w:rPr>
                <w:rFonts w:ascii="Arial Narrow" w:hAnsi="Arial Narrow"/>
                <w:sz w:val="20"/>
              </w:rPr>
              <w:t xml:space="preserve">April </w:t>
            </w:r>
            <w:r w:rsidR="0067097E" w:rsidRPr="00D279F1">
              <w:rPr>
                <w:rFonts w:ascii="Arial Narrow" w:hAnsi="Arial Narrow"/>
                <w:sz w:val="20"/>
              </w:rPr>
              <w:t xml:space="preserve">2020. An estimated </w:t>
            </w:r>
            <w:r w:rsidR="008177C7">
              <w:rPr>
                <w:rFonts w:ascii="Arial Narrow" w:hAnsi="Arial Narrow"/>
                <w:sz w:val="20"/>
              </w:rPr>
              <w:t xml:space="preserve">less than 10,000 </w:t>
            </w:r>
            <w:r w:rsidR="0067097E" w:rsidRPr="00D279F1">
              <w:rPr>
                <w:rFonts w:ascii="Arial Narrow" w:hAnsi="Arial Narrow"/>
                <w:sz w:val="20"/>
              </w:rPr>
              <w:t xml:space="preserve">grandfathered patients </w:t>
            </w:r>
            <w:r w:rsidR="00DB4659" w:rsidRPr="00D279F1">
              <w:rPr>
                <w:rFonts w:ascii="Arial Narrow" w:hAnsi="Arial Narrow"/>
                <w:sz w:val="20"/>
              </w:rPr>
              <w:t>(</w:t>
            </w:r>
            <w:r w:rsidR="00C443AB" w:rsidRPr="00D279F1">
              <w:rPr>
                <w:rFonts w:ascii="Arial Narrow" w:hAnsi="Arial Narrow"/>
                <w:sz w:val="20"/>
              </w:rPr>
              <w:t xml:space="preserve">mostly </w:t>
            </w:r>
            <w:r w:rsidR="00DB4659" w:rsidRPr="00D279F1">
              <w:rPr>
                <w:rFonts w:ascii="Arial Narrow" w:hAnsi="Arial Narrow"/>
                <w:sz w:val="20"/>
              </w:rPr>
              <w:t xml:space="preserve">from </w:t>
            </w:r>
            <w:r w:rsidR="00C443AB" w:rsidRPr="00D279F1">
              <w:rPr>
                <w:rFonts w:ascii="Arial Narrow" w:hAnsi="Arial Narrow"/>
                <w:sz w:val="20"/>
              </w:rPr>
              <w:t xml:space="preserve">the </w:t>
            </w:r>
            <w:r w:rsidR="00DB4659" w:rsidRPr="00D279F1">
              <w:rPr>
                <w:rFonts w:ascii="Arial Narrow" w:hAnsi="Arial Narrow"/>
                <w:sz w:val="20"/>
              </w:rPr>
              <w:t xml:space="preserve">erenumab </w:t>
            </w:r>
            <w:r w:rsidR="00C443AB" w:rsidRPr="00D279F1">
              <w:rPr>
                <w:rFonts w:ascii="Arial Narrow" w:hAnsi="Arial Narrow"/>
                <w:sz w:val="20"/>
              </w:rPr>
              <w:t>access program</w:t>
            </w:r>
            <w:r w:rsidR="00DB4659" w:rsidRPr="00D279F1">
              <w:rPr>
                <w:rFonts w:ascii="Arial Narrow" w:hAnsi="Arial Narrow"/>
                <w:sz w:val="20"/>
              </w:rPr>
              <w:t xml:space="preserve">) </w:t>
            </w:r>
            <w:r w:rsidR="0067097E" w:rsidRPr="00D279F1">
              <w:rPr>
                <w:rFonts w:ascii="Arial Narrow" w:hAnsi="Arial Narrow"/>
                <w:sz w:val="20"/>
              </w:rPr>
              <w:t>would also commence treatment in April 2020.</w:t>
            </w:r>
          </w:p>
          <w:p w:rsidR="00566F8E" w:rsidRPr="00D279F1" w:rsidRDefault="00566F8E" w:rsidP="005D05C1">
            <w:pPr>
              <w:keepNext/>
              <w:rPr>
                <w:rFonts w:ascii="Arial Narrow" w:hAnsi="Arial Narrow"/>
                <w:sz w:val="20"/>
              </w:rPr>
            </w:pPr>
          </w:p>
          <w:p w:rsidR="005D05C1" w:rsidRPr="0016193C" w:rsidRDefault="00812AFA">
            <w:pPr>
              <w:keepNext/>
              <w:rPr>
                <w:rFonts w:ascii="Arial Narrow" w:hAnsi="Arial Narrow"/>
                <w:sz w:val="20"/>
              </w:rPr>
            </w:pPr>
            <w:r w:rsidRPr="00D279F1">
              <w:rPr>
                <w:rFonts w:ascii="Arial Narrow" w:hAnsi="Arial Narrow"/>
                <w:sz w:val="20"/>
              </w:rPr>
              <w:t>I</w:t>
            </w:r>
            <w:r w:rsidR="009C3291" w:rsidRPr="00D279F1">
              <w:rPr>
                <w:rFonts w:ascii="Arial Narrow" w:hAnsi="Arial Narrow"/>
                <w:sz w:val="20"/>
              </w:rPr>
              <w:t>t has been estimated that i</w:t>
            </w:r>
            <w:r w:rsidRPr="00D279F1">
              <w:rPr>
                <w:rFonts w:ascii="Arial Narrow" w:hAnsi="Arial Narrow"/>
                <w:sz w:val="20"/>
              </w:rPr>
              <w:t xml:space="preserve">n the first full year of listing, </w:t>
            </w:r>
            <w:r w:rsidR="008177C7">
              <w:rPr>
                <w:rFonts w:ascii="Arial Narrow" w:hAnsi="Arial Narrow"/>
                <w:sz w:val="20"/>
              </w:rPr>
              <w:t xml:space="preserve">less than 10,000 </w:t>
            </w:r>
            <w:r w:rsidRPr="00D279F1">
              <w:rPr>
                <w:rFonts w:ascii="Arial Narrow" w:hAnsi="Arial Narrow"/>
                <w:sz w:val="20"/>
              </w:rPr>
              <w:t>of patients would initiate treatment</w:t>
            </w:r>
            <w:r w:rsidR="009C3291" w:rsidRPr="00D279F1">
              <w:rPr>
                <w:rFonts w:ascii="Arial Narrow" w:hAnsi="Arial Narrow"/>
                <w:sz w:val="20"/>
              </w:rPr>
              <w:t>, by the fifth year of listing there would be</w:t>
            </w:r>
            <w:r w:rsidRPr="00D279F1">
              <w:rPr>
                <w:rFonts w:ascii="Arial Narrow" w:hAnsi="Arial Narrow"/>
                <w:sz w:val="20"/>
              </w:rPr>
              <w:t xml:space="preserve"> </w:t>
            </w:r>
            <w:r w:rsidR="008177C7">
              <w:rPr>
                <w:rFonts w:ascii="Arial Narrow" w:hAnsi="Arial Narrow"/>
                <w:sz w:val="20"/>
              </w:rPr>
              <w:t xml:space="preserve">10,000 – 50,000 </w:t>
            </w:r>
            <w:r w:rsidRPr="00D279F1">
              <w:rPr>
                <w:rFonts w:ascii="Arial Narrow" w:hAnsi="Arial Narrow"/>
                <w:sz w:val="20"/>
              </w:rPr>
              <w:t>patients treated.</w:t>
            </w:r>
            <w:r w:rsidR="00566F8E">
              <w:rPr>
                <w:rFonts w:ascii="Arial Narrow" w:hAnsi="Arial Narrow"/>
                <w:sz w:val="20"/>
              </w:rPr>
              <w:t xml:space="preserve"> </w:t>
            </w:r>
          </w:p>
        </w:tc>
      </w:tr>
      <w:tr w:rsidR="008E179B" w:rsidRPr="0012749D" w:rsidTr="00FD2CD5">
        <w:trPr>
          <w:trHeight w:val="521"/>
        </w:trPr>
        <w:tc>
          <w:tcPr>
            <w:tcW w:w="2500" w:type="pct"/>
            <w:tcBorders>
              <w:top w:val="single" w:sz="4" w:space="0" w:color="auto"/>
              <w:left w:val="single" w:sz="4" w:space="0" w:color="auto"/>
              <w:bottom w:val="single" w:sz="4" w:space="0" w:color="auto"/>
              <w:right w:val="single" w:sz="4" w:space="0" w:color="auto"/>
            </w:tcBorders>
          </w:tcPr>
          <w:p w:rsidR="008E179B" w:rsidRPr="00292CC5" w:rsidRDefault="008E179B" w:rsidP="00B63E2E">
            <w:pPr>
              <w:keepNext/>
              <w:rPr>
                <w:rFonts w:ascii="Arial Narrow" w:hAnsi="Arial Narrow"/>
                <w:sz w:val="20"/>
              </w:rPr>
            </w:pPr>
            <w:r w:rsidRPr="008E179B">
              <w:rPr>
                <w:rFonts w:ascii="Arial Narrow" w:hAnsi="Arial Narrow"/>
                <w:sz w:val="20"/>
              </w:rPr>
              <w:t xml:space="preserve">The PBAC noted the financial estimates included an offset for up to </w:t>
            </w:r>
            <w:r w:rsidR="00B63E2E">
              <w:rPr>
                <w:rFonts w:ascii="Arial Narrow" w:hAnsi="Arial Narrow"/>
                <w:sz w:val="20"/>
              </w:rPr>
              <w:t>10,000 – 50,000</w:t>
            </w:r>
            <w:r w:rsidRPr="008E179B">
              <w:rPr>
                <w:rFonts w:ascii="Arial Narrow" w:hAnsi="Arial Narrow"/>
                <w:sz w:val="20"/>
              </w:rPr>
              <w:t xml:space="preserve"> patients</w:t>
            </w:r>
            <w:r w:rsidR="00482564">
              <w:rPr>
                <w:rFonts w:ascii="Arial Narrow" w:hAnsi="Arial Narrow"/>
                <w:sz w:val="20"/>
              </w:rPr>
              <w:t xml:space="preserve"> treated with Botox</w:t>
            </w:r>
            <w:r w:rsidRPr="008E179B">
              <w:rPr>
                <w:rFonts w:ascii="Arial Narrow" w:hAnsi="Arial Narrow"/>
                <w:sz w:val="20"/>
              </w:rPr>
              <w:t xml:space="preserve"> and considered this was based on assumptions that were not reasonable (paragraph 6.85).</w:t>
            </w:r>
          </w:p>
        </w:tc>
        <w:tc>
          <w:tcPr>
            <w:tcW w:w="2500" w:type="pct"/>
            <w:tcBorders>
              <w:top w:val="single" w:sz="4" w:space="0" w:color="auto"/>
              <w:left w:val="single" w:sz="4" w:space="0" w:color="auto"/>
              <w:bottom w:val="single" w:sz="4" w:space="0" w:color="auto"/>
              <w:right w:val="single" w:sz="4" w:space="0" w:color="auto"/>
            </w:tcBorders>
          </w:tcPr>
          <w:p w:rsidR="008E179B" w:rsidRPr="0016193C" w:rsidRDefault="00D723F3" w:rsidP="00102FE1">
            <w:pPr>
              <w:keepNext/>
              <w:rPr>
                <w:rFonts w:ascii="Arial Narrow" w:hAnsi="Arial Narrow"/>
                <w:sz w:val="20"/>
                <w:highlight w:val="yellow"/>
              </w:rPr>
            </w:pPr>
            <w:r w:rsidRPr="006C6E2A">
              <w:rPr>
                <w:rFonts w:ascii="Arial Narrow" w:hAnsi="Arial Narrow"/>
                <w:sz w:val="20"/>
              </w:rPr>
              <w:t xml:space="preserve">The revised financial estimates include a cost offset </w:t>
            </w:r>
            <w:r w:rsidR="00D55090" w:rsidRPr="006C6E2A">
              <w:rPr>
                <w:rFonts w:ascii="Arial Narrow" w:hAnsi="Arial Narrow"/>
                <w:sz w:val="20"/>
              </w:rPr>
              <w:t>for u</w:t>
            </w:r>
            <w:r w:rsidR="00C167CF" w:rsidRPr="006C6E2A">
              <w:rPr>
                <w:rFonts w:ascii="Arial Narrow" w:hAnsi="Arial Narrow"/>
                <w:sz w:val="20"/>
              </w:rPr>
              <w:t xml:space="preserve">p to </w:t>
            </w:r>
            <w:r w:rsidR="00102FE1">
              <w:rPr>
                <w:rFonts w:ascii="Arial Narrow" w:hAnsi="Arial Narrow"/>
                <w:sz w:val="20"/>
              </w:rPr>
              <w:t>less than 10,000</w:t>
            </w:r>
            <w:r w:rsidR="00D55090" w:rsidRPr="006C6E2A">
              <w:rPr>
                <w:rFonts w:ascii="Arial Narrow" w:hAnsi="Arial Narrow"/>
                <w:sz w:val="20"/>
              </w:rPr>
              <w:t xml:space="preserve"> patients</w:t>
            </w:r>
            <w:r w:rsidR="00482564" w:rsidRPr="006C6E2A">
              <w:rPr>
                <w:rFonts w:ascii="Arial Narrow" w:hAnsi="Arial Narrow"/>
                <w:sz w:val="20"/>
              </w:rPr>
              <w:t xml:space="preserve"> treated with Botox</w:t>
            </w:r>
            <w:r w:rsidRPr="0016193C">
              <w:rPr>
                <w:rFonts w:ascii="Arial Narrow" w:hAnsi="Arial Narrow"/>
                <w:color w:val="FF0000"/>
                <w:sz w:val="20"/>
              </w:rPr>
              <w:t>.</w:t>
            </w:r>
          </w:p>
        </w:tc>
      </w:tr>
      <w:tr w:rsidR="008E179B" w:rsidRPr="0012749D" w:rsidTr="00FD2CD5">
        <w:trPr>
          <w:trHeight w:val="531"/>
        </w:trPr>
        <w:tc>
          <w:tcPr>
            <w:tcW w:w="2500" w:type="pct"/>
            <w:tcBorders>
              <w:top w:val="single" w:sz="4" w:space="0" w:color="auto"/>
              <w:left w:val="single" w:sz="4" w:space="0" w:color="auto"/>
              <w:bottom w:val="single" w:sz="4" w:space="0" w:color="auto"/>
              <w:right w:val="single" w:sz="4" w:space="0" w:color="auto"/>
            </w:tcBorders>
          </w:tcPr>
          <w:p w:rsidR="003118B6" w:rsidRDefault="004A2EBE" w:rsidP="001B7D41">
            <w:pPr>
              <w:keepNext/>
              <w:rPr>
                <w:rFonts w:ascii="Arial Narrow" w:hAnsi="Arial Narrow"/>
                <w:sz w:val="20"/>
              </w:rPr>
            </w:pPr>
            <w:r w:rsidRPr="0004023A">
              <w:rPr>
                <w:rFonts w:ascii="Arial Narrow" w:hAnsi="Arial Narrow"/>
                <w:sz w:val="20"/>
              </w:rPr>
              <w:t>The PBAC considered that a RSA with significant rebates above the caps will be required to manage the total financial impact of listing fremanezumab, noting highly uncerta</w:t>
            </w:r>
            <w:r>
              <w:rPr>
                <w:rFonts w:ascii="Arial Narrow" w:hAnsi="Arial Narrow"/>
                <w:sz w:val="20"/>
              </w:rPr>
              <w:t>in and high financial estimates (paragraph 7.11).</w:t>
            </w:r>
          </w:p>
          <w:p w:rsidR="008E179B" w:rsidRPr="00292CC5" w:rsidRDefault="008E179B" w:rsidP="00482564">
            <w:pPr>
              <w:keepNext/>
              <w:rPr>
                <w:rFonts w:ascii="Arial Narrow" w:hAnsi="Arial Narrow"/>
                <w:sz w:val="20"/>
              </w:rPr>
            </w:pPr>
            <w:r w:rsidRPr="008E179B">
              <w:rPr>
                <w:rFonts w:ascii="Arial Narrow" w:hAnsi="Arial Narrow"/>
                <w:sz w:val="20"/>
              </w:rPr>
              <w:t xml:space="preserve">The PBAC </w:t>
            </w:r>
            <w:r w:rsidR="00482564">
              <w:rPr>
                <w:rFonts w:ascii="Arial Narrow" w:hAnsi="Arial Narrow"/>
                <w:sz w:val="20"/>
              </w:rPr>
              <w:t>considered</w:t>
            </w:r>
            <w:r w:rsidRPr="008E179B">
              <w:rPr>
                <w:rFonts w:ascii="Arial Narrow" w:hAnsi="Arial Narrow"/>
                <w:sz w:val="20"/>
              </w:rPr>
              <w:t xml:space="preserve"> that the proposed </w:t>
            </w:r>
            <w:r w:rsidR="00920C75">
              <w:rPr>
                <w:rFonts w:ascii="Arial Narrow" w:hAnsi="Arial Narrow"/>
                <w:noProof/>
                <w:color w:val="000000"/>
                <w:sz w:val="20"/>
                <w:highlight w:val="black"/>
              </w:rPr>
              <w:t>''''''''</w:t>
            </w:r>
            <w:r w:rsidRPr="008E179B">
              <w:rPr>
                <w:rFonts w:ascii="Arial Narrow" w:hAnsi="Arial Narrow"/>
                <w:sz w:val="20"/>
              </w:rPr>
              <w:t>% rebate did not adequately share the risk of use above the proposed expenditure cap (paragraph 6.89).</w:t>
            </w:r>
          </w:p>
        </w:tc>
        <w:tc>
          <w:tcPr>
            <w:tcW w:w="2500" w:type="pct"/>
            <w:tcBorders>
              <w:top w:val="single" w:sz="4" w:space="0" w:color="auto"/>
              <w:left w:val="single" w:sz="4" w:space="0" w:color="auto"/>
              <w:bottom w:val="single" w:sz="4" w:space="0" w:color="auto"/>
              <w:right w:val="single" w:sz="4" w:space="0" w:color="auto"/>
            </w:tcBorders>
          </w:tcPr>
          <w:p w:rsidR="008E179B" w:rsidRPr="006C6E2A" w:rsidRDefault="00D13D41" w:rsidP="00D723F3">
            <w:pPr>
              <w:keepNext/>
              <w:rPr>
                <w:rFonts w:ascii="Arial Narrow" w:hAnsi="Arial Narrow"/>
                <w:sz w:val="20"/>
              </w:rPr>
            </w:pPr>
            <w:r w:rsidRPr="006C6E2A">
              <w:rPr>
                <w:rFonts w:ascii="Arial Narrow" w:hAnsi="Arial Narrow"/>
                <w:sz w:val="20"/>
              </w:rPr>
              <w:t>The S</w:t>
            </w:r>
            <w:r w:rsidR="00D723F3" w:rsidRPr="006C6E2A">
              <w:rPr>
                <w:rFonts w:ascii="Arial Narrow" w:hAnsi="Arial Narrow"/>
                <w:sz w:val="20"/>
              </w:rPr>
              <w:t xml:space="preserve">ponsor </w:t>
            </w:r>
            <w:r w:rsidR="00DB4659" w:rsidRPr="006C6E2A">
              <w:rPr>
                <w:rFonts w:ascii="Arial Narrow" w:hAnsi="Arial Narrow"/>
                <w:sz w:val="20"/>
              </w:rPr>
              <w:t>proposed</w:t>
            </w:r>
            <w:r w:rsidR="00D723F3" w:rsidRPr="006C6E2A">
              <w:rPr>
                <w:rFonts w:ascii="Arial Narrow" w:hAnsi="Arial Narrow"/>
                <w:sz w:val="20"/>
              </w:rPr>
              <w:t xml:space="preserve"> an RSA with two expenditure caps with a </w:t>
            </w:r>
            <w:r w:rsidR="00920C75">
              <w:rPr>
                <w:rFonts w:ascii="Arial Narrow" w:hAnsi="Arial Narrow"/>
                <w:noProof/>
                <w:color w:val="000000"/>
                <w:sz w:val="20"/>
                <w:highlight w:val="black"/>
              </w:rPr>
              <w:t>'''''''</w:t>
            </w:r>
            <w:r w:rsidR="00D723F3" w:rsidRPr="006C6E2A">
              <w:rPr>
                <w:rFonts w:ascii="Arial Narrow" w:hAnsi="Arial Narrow"/>
                <w:sz w:val="20"/>
              </w:rPr>
              <w:t xml:space="preserve">% rebate </w:t>
            </w:r>
            <w:r w:rsidR="00482564" w:rsidRPr="006C6E2A">
              <w:rPr>
                <w:rFonts w:ascii="Arial Narrow" w:hAnsi="Arial Narrow"/>
                <w:sz w:val="20"/>
              </w:rPr>
              <w:t>for</w:t>
            </w:r>
            <w:r w:rsidR="00D723F3" w:rsidRPr="006C6E2A">
              <w:rPr>
                <w:rFonts w:ascii="Arial Narrow" w:hAnsi="Arial Narrow"/>
                <w:sz w:val="20"/>
              </w:rPr>
              <w:t xml:space="preserve"> expenditure</w:t>
            </w:r>
            <w:r w:rsidR="000A5A29" w:rsidRPr="006C6E2A">
              <w:rPr>
                <w:rFonts w:ascii="Arial Narrow" w:hAnsi="Arial Narrow"/>
                <w:sz w:val="20"/>
              </w:rPr>
              <w:t xml:space="preserve"> between</w:t>
            </w:r>
            <w:r w:rsidR="00482564" w:rsidRPr="006C6E2A">
              <w:rPr>
                <w:rFonts w:ascii="Arial Narrow" w:hAnsi="Arial Narrow"/>
                <w:sz w:val="20"/>
              </w:rPr>
              <w:t xml:space="preserve"> </w:t>
            </w:r>
            <w:r w:rsidR="000A5A29" w:rsidRPr="006C6E2A">
              <w:rPr>
                <w:rFonts w:ascii="Arial Narrow" w:hAnsi="Arial Narrow"/>
                <w:sz w:val="20"/>
              </w:rPr>
              <w:t xml:space="preserve">the </w:t>
            </w:r>
            <w:r w:rsidR="00C167CF" w:rsidRPr="006C6E2A">
              <w:rPr>
                <w:rFonts w:ascii="Arial Narrow" w:hAnsi="Arial Narrow"/>
                <w:sz w:val="20"/>
              </w:rPr>
              <w:t>Tier 1</w:t>
            </w:r>
            <w:r w:rsidR="000A5A29" w:rsidRPr="006C6E2A">
              <w:rPr>
                <w:rFonts w:ascii="Arial Narrow" w:hAnsi="Arial Narrow"/>
                <w:sz w:val="20"/>
              </w:rPr>
              <w:t xml:space="preserve"> and Tier 2 </w:t>
            </w:r>
            <w:r w:rsidR="00482564" w:rsidRPr="006C6E2A">
              <w:rPr>
                <w:rFonts w:ascii="Arial Narrow" w:hAnsi="Arial Narrow"/>
                <w:sz w:val="20"/>
              </w:rPr>
              <w:t>cap</w:t>
            </w:r>
            <w:r w:rsidR="00C167CF" w:rsidRPr="006C6E2A">
              <w:rPr>
                <w:rFonts w:ascii="Arial Narrow" w:hAnsi="Arial Narrow"/>
                <w:sz w:val="20"/>
              </w:rPr>
              <w:t xml:space="preserve"> and </w:t>
            </w:r>
            <w:r w:rsidR="00D723F3" w:rsidRPr="006C6E2A">
              <w:rPr>
                <w:rFonts w:ascii="Arial Narrow" w:hAnsi="Arial Narrow"/>
                <w:sz w:val="20"/>
              </w:rPr>
              <w:t>a</w:t>
            </w:r>
            <w:r w:rsidR="00386DF4" w:rsidRPr="006C6E2A">
              <w:rPr>
                <w:rFonts w:ascii="Arial Narrow" w:hAnsi="Arial Narrow"/>
                <w:sz w:val="20"/>
              </w:rPr>
              <w:t>n</w:t>
            </w:r>
            <w:r w:rsidR="00D723F3" w:rsidRPr="006C6E2A">
              <w:rPr>
                <w:rFonts w:ascii="Arial Narrow" w:hAnsi="Arial Narrow"/>
                <w:sz w:val="20"/>
              </w:rPr>
              <w:t xml:space="preserve"> </w:t>
            </w:r>
            <w:r w:rsidR="00920C75">
              <w:rPr>
                <w:rFonts w:ascii="Arial Narrow" w:hAnsi="Arial Narrow"/>
                <w:noProof/>
                <w:color w:val="000000"/>
                <w:sz w:val="20"/>
                <w:highlight w:val="black"/>
              </w:rPr>
              <w:t>'''''''</w:t>
            </w:r>
            <w:r w:rsidR="00C167CF" w:rsidRPr="006C6E2A">
              <w:rPr>
                <w:rFonts w:ascii="Arial Narrow" w:hAnsi="Arial Narrow"/>
                <w:sz w:val="20"/>
              </w:rPr>
              <w:t xml:space="preserve">% </w:t>
            </w:r>
            <w:r w:rsidR="00D723F3" w:rsidRPr="006C6E2A">
              <w:rPr>
                <w:rFonts w:ascii="Arial Narrow" w:hAnsi="Arial Narrow"/>
                <w:sz w:val="20"/>
              </w:rPr>
              <w:t xml:space="preserve">rebate </w:t>
            </w:r>
            <w:r w:rsidR="00482564" w:rsidRPr="006C6E2A">
              <w:rPr>
                <w:rFonts w:ascii="Arial Narrow" w:hAnsi="Arial Narrow"/>
                <w:sz w:val="20"/>
              </w:rPr>
              <w:t>for</w:t>
            </w:r>
            <w:r w:rsidR="00D723F3" w:rsidRPr="006C6E2A">
              <w:rPr>
                <w:rFonts w:ascii="Arial Narrow" w:hAnsi="Arial Narrow"/>
                <w:sz w:val="20"/>
              </w:rPr>
              <w:t xml:space="preserve"> expenditure above </w:t>
            </w:r>
            <w:r w:rsidR="00482564" w:rsidRPr="006C6E2A">
              <w:rPr>
                <w:rFonts w:ascii="Arial Narrow" w:hAnsi="Arial Narrow"/>
                <w:sz w:val="20"/>
              </w:rPr>
              <w:t xml:space="preserve">the </w:t>
            </w:r>
            <w:r w:rsidR="00C167CF" w:rsidRPr="006C6E2A">
              <w:rPr>
                <w:rFonts w:ascii="Arial Narrow" w:hAnsi="Arial Narrow"/>
                <w:sz w:val="20"/>
              </w:rPr>
              <w:t>Tier 2</w:t>
            </w:r>
            <w:r w:rsidR="00482564" w:rsidRPr="006C6E2A">
              <w:rPr>
                <w:rFonts w:ascii="Arial Narrow" w:hAnsi="Arial Narrow"/>
                <w:sz w:val="20"/>
              </w:rPr>
              <w:t xml:space="preserve"> cap</w:t>
            </w:r>
            <w:r w:rsidR="00D723F3" w:rsidRPr="006C6E2A">
              <w:rPr>
                <w:rFonts w:ascii="Arial Narrow" w:hAnsi="Arial Narrow"/>
                <w:sz w:val="20"/>
              </w:rPr>
              <w:t>.</w:t>
            </w:r>
          </w:p>
          <w:p w:rsidR="00D723F3" w:rsidRPr="006C6E2A" w:rsidRDefault="00D723F3" w:rsidP="00D723F3">
            <w:pPr>
              <w:keepNext/>
              <w:rPr>
                <w:rFonts w:ascii="Arial Narrow" w:hAnsi="Arial Narrow"/>
                <w:sz w:val="20"/>
              </w:rPr>
            </w:pPr>
          </w:p>
          <w:p w:rsidR="00D723F3" w:rsidRPr="006C6E2A" w:rsidRDefault="00DB4659" w:rsidP="00812AFA">
            <w:pPr>
              <w:keepNext/>
              <w:rPr>
                <w:rFonts w:ascii="Arial Narrow" w:hAnsi="Arial Narrow"/>
                <w:color w:val="FF0000"/>
                <w:sz w:val="20"/>
                <w:highlight w:val="yellow"/>
              </w:rPr>
            </w:pPr>
            <w:r w:rsidRPr="006C6E2A">
              <w:rPr>
                <w:rFonts w:ascii="Arial Narrow" w:hAnsi="Arial Narrow"/>
                <w:sz w:val="20"/>
              </w:rPr>
              <w:t xml:space="preserve">The </w:t>
            </w:r>
            <w:r w:rsidR="00D723F3" w:rsidRPr="006C6E2A">
              <w:rPr>
                <w:rFonts w:ascii="Arial Narrow" w:hAnsi="Arial Narrow"/>
                <w:sz w:val="20"/>
              </w:rPr>
              <w:t xml:space="preserve">Tier 1 </w:t>
            </w:r>
            <w:r w:rsidRPr="006C6E2A">
              <w:rPr>
                <w:rFonts w:ascii="Arial Narrow" w:hAnsi="Arial Narrow"/>
                <w:sz w:val="20"/>
              </w:rPr>
              <w:t xml:space="preserve">cap is </w:t>
            </w:r>
            <w:r w:rsidR="00D723F3" w:rsidRPr="006C6E2A">
              <w:rPr>
                <w:rFonts w:ascii="Arial Narrow" w:hAnsi="Arial Narrow"/>
                <w:sz w:val="20"/>
              </w:rPr>
              <w:t>set at</w:t>
            </w:r>
            <w:r w:rsidRPr="006C6E2A">
              <w:rPr>
                <w:rFonts w:ascii="Arial Narrow" w:hAnsi="Arial Narrow"/>
                <w:sz w:val="20"/>
              </w:rPr>
              <w:t xml:space="preserve"> </w:t>
            </w:r>
            <w:r w:rsidR="00812AFA" w:rsidRPr="006C6E2A">
              <w:rPr>
                <w:rFonts w:ascii="Arial Narrow" w:hAnsi="Arial Narrow"/>
                <w:sz w:val="20"/>
              </w:rPr>
              <w:t xml:space="preserve">the </w:t>
            </w:r>
            <w:r w:rsidRPr="006C6E2A">
              <w:rPr>
                <w:rFonts w:ascii="Arial Narrow" w:hAnsi="Arial Narrow"/>
                <w:sz w:val="20"/>
              </w:rPr>
              <w:t xml:space="preserve">predicted cost of </w:t>
            </w:r>
            <w:r w:rsidR="00D723F3" w:rsidRPr="006C6E2A">
              <w:rPr>
                <w:rFonts w:ascii="Arial Narrow" w:hAnsi="Arial Narrow"/>
                <w:sz w:val="20"/>
              </w:rPr>
              <w:t>frem</w:t>
            </w:r>
            <w:r w:rsidRPr="006C6E2A">
              <w:rPr>
                <w:rFonts w:ascii="Arial Narrow" w:hAnsi="Arial Narrow"/>
                <w:sz w:val="20"/>
              </w:rPr>
              <w:t>anezumab</w:t>
            </w:r>
            <w:r w:rsidR="00386DF4" w:rsidRPr="006C6E2A">
              <w:rPr>
                <w:rFonts w:ascii="Arial Narrow" w:hAnsi="Arial Narrow"/>
                <w:sz w:val="20"/>
              </w:rPr>
              <w:t xml:space="preserve"> (net of co-payments)</w:t>
            </w:r>
            <w:r w:rsidR="00D723F3" w:rsidRPr="006C6E2A">
              <w:rPr>
                <w:rFonts w:ascii="Arial Narrow" w:hAnsi="Arial Narrow"/>
                <w:sz w:val="20"/>
              </w:rPr>
              <w:t xml:space="preserve"> and </w:t>
            </w:r>
            <w:r w:rsidRPr="006C6E2A">
              <w:rPr>
                <w:rFonts w:ascii="Arial Narrow" w:hAnsi="Arial Narrow"/>
                <w:sz w:val="20"/>
              </w:rPr>
              <w:t xml:space="preserve">the </w:t>
            </w:r>
            <w:r w:rsidR="00D723F3" w:rsidRPr="006C6E2A">
              <w:rPr>
                <w:rFonts w:ascii="Arial Narrow" w:hAnsi="Arial Narrow"/>
                <w:sz w:val="20"/>
              </w:rPr>
              <w:t xml:space="preserve">Tier 2 </w:t>
            </w:r>
            <w:r w:rsidRPr="006C6E2A">
              <w:rPr>
                <w:rFonts w:ascii="Arial Narrow" w:hAnsi="Arial Narrow"/>
                <w:sz w:val="20"/>
              </w:rPr>
              <w:t xml:space="preserve">cap is </w:t>
            </w:r>
            <w:r w:rsidR="00D723F3" w:rsidRPr="006C6E2A">
              <w:rPr>
                <w:rFonts w:ascii="Arial Narrow" w:hAnsi="Arial Narrow"/>
                <w:sz w:val="20"/>
              </w:rPr>
              <w:t xml:space="preserve">set at </w:t>
            </w:r>
            <w:r w:rsidR="00920C75">
              <w:rPr>
                <w:rFonts w:ascii="Arial Narrow" w:hAnsi="Arial Narrow"/>
                <w:noProof/>
                <w:color w:val="000000"/>
                <w:sz w:val="20"/>
                <w:highlight w:val="black"/>
              </w:rPr>
              <w:t xml:space="preserve">''''''' </w:t>
            </w:r>
            <w:r w:rsidRPr="0047436C">
              <w:rPr>
                <w:rFonts w:ascii="Arial Narrow" w:hAnsi="Arial Narrow"/>
                <w:sz w:val="20"/>
              </w:rPr>
              <w:t>times</w:t>
            </w:r>
            <w:r w:rsidRPr="006C6E2A">
              <w:rPr>
                <w:rFonts w:ascii="Arial Narrow" w:hAnsi="Arial Narrow"/>
                <w:sz w:val="20"/>
              </w:rPr>
              <w:t xml:space="preserve"> the Tier 1 cap. </w:t>
            </w:r>
            <w:r w:rsidR="003047FF" w:rsidRPr="006C6E2A">
              <w:rPr>
                <w:rFonts w:ascii="Arial Narrow" w:hAnsi="Arial Narrow"/>
                <w:sz w:val="20"/>
              </w:rPr>
              <w:t xml:space="preserve">No justification </w:t>
            </w:r>
            <w:r w:rsidR="000F5975" w:rsidRPr="006C6E2A">
              <w:rPr>
                <w:rFonts w:ascii="Arial Narrow" w:hAnsi="Arial Narrow"/>
                <w:sz w:val="20"/>
              </w:rPr>
              <w:t>wa</w:t>
            </w:r>
            <w:r w:rsidR="003047FF" w:rsidRPr="006C6E2A">
              <w:rPr>
                <w:rFonts w:ascii="Arial Narrow" w:hAnsi="Arial Narrow"/>
                <w:sz w:val="20"/>
              </w:rPr>
              <w:t>s provided for the Tier 2</w:t>
            </w:r>
            <w:r w:rsidR="00566F8E">
              <w:rPr>
                <w:rFonts w:ascii="Arial Narrow" w:hAnsi="Arial Narrow"/>
                <w:sz w:val="20"/>
              </w:rPr>
              <w:t xml:space="preserve"> cap.</w:t>
            </w:r>
          </w:p>
        </w:tc>
      </w:tr>
      <w:tr w:rsidR="0004023A" w:rsidRPr="0012749D" w:rsidTr="00FD2CD5">
        <w:trPr>
          <w:trHeight w:val="259"/>
        </w:trPr>
        <w:tc>
          <w:tcPr>
            <w:tcW w:w="2500" w:type="pct"/>
            <w:tcBorders>
              <w:top w:val="single" w:sz="4" w:space="0" w:color="auto"/>
              <w:left w:val="single" w:sz="4" w:space="0" w:color="auto"/>
              <w:bottom w:val="single" w:sz="4" w:space="0" w:color="auto"/>
              <w:right w:val="single" w:sz="4" w:space="0" w:color="auto"/>
            </w:tcBorders>
          </w:tcPr>
          <w:p w:rsidR="0004023A" w:rsidRPr="008E179B" w:rsidRDefault="0004023A" w:rsidP="001B7D41">
            <w:pPr>
              <w:rPr>
                <w:rFonts w:ascii="Arial Narrow" w:hAnsi="Arial Narrow"/>
                <w:sz w:val="20"/>
              </w:rPr>
            </w:pPr>
            <w:r w:rsidRPr="00CF6F4F">
              <w:rPr>
                <w:rFonts w:ascii="Arial Narrow" w:hAnsi="Arial Narrow"/>
                <w:sz w:val="20"/>
              </w:rPr>
              <w:t xml:space="preserve">The PBAC further considered that any RSA would likely need to take into account the use of Botox and be shared across any other novel agents for this condition, such as other CGRP ligand antagonists, or CGRP receptor antagonists that might be </w:t>
            </w:r>
            <w:r w:rsidR="004A2EBE" w:rsidRPr="00CF6F4F">
              <w:rPr>
                <w:rFonts w:ascii="Arial Narrow" w:hAnsi="Arial Narrow"/>
                <w:sz w:val="20"/>
              </w:rPr>
              <w:t xml:space="preserve">listed on the PBS in the future </w:t>
            </w:r>
            <w:r w:rsidR="004A2EBE">
              <w:rPr>
                <w:rFonts w:ascii="Arial Narrow" w:hAnsi="Arial Narrow"/>
                <w:sz w:val="20"/>
              </w:rPr>
              <w:t>(paragraph 7.11).</w:t>
            </w:r>
          </w:p>
        </w:tc>
        <w:tc>
          <w:tcPr>
            <w:tcW w:w="2500" w:type="pct"/>
            <w:tcBorders>
              <w:top w:val="single" w:sz="4" w:space="0" w:color="auto"/>
              <w:left w:val="single" w:sz="4" w:space="0" w:color="auto"/>
              <w:bottom w:val="single" w:sz="4" w:space="0" w:color="auto"/>
              <w:right w:val="single" w:sz="4" w:space="0" w:color="auto"/>
            </w:tcBorders>
          </w:tcPr>
          <w:p w:rsidR="0004023A" w:rsidRPr="00CD3541" w:rsidRDefault="00812AFA" w:rsidP="00966C2C">
            <w:pPr>
              <w:rPr>
                <w:rFonts w:ascii="Arial Narrow" w:hAnsi="Arial Narrow"/>
                <w:sz w:val="20"/>
              </w:rPr>
            </w:pPr>
            <w:r w:rsidRPr="00CD3541">
              <w:rPr>
                <w:rFonts w:ascii="Arial Narrow" w:hAnsi="Arial Narrow"/>
                <w:sz w:val="20"/>
              </w:rPr>
              <w:t xml:space="preserve">The Sponsor has proposed the expenditure caps apply to </w:t>
            </w:r>
            <w:r w:rsidR="00920C75">
              <w:rPr>
                <w:rFonts w:ascii="Arial Narrow" w:hAnsi="Arial Narrow"/>
                <w:noProof/>
                <w:color w:val="000000"/>
                <w:sz w:val="20"/>
                <w:highlight w:val="black"/>
              </w:rPr>
              <w:t>''''' '''''''''''''''' '''''''''''''''''''' ''''''' ''''''''''''' ''''''' '''''' ''''''''''''''' ''''''''' ''''''''''''''''</w:t>
            </w:r>
          </w:p>
        </w:tc>
      </w:tr>
      <w:tr w:rsidR="008E179B" w:rsidRPr="0012749D" w:rsidTr="00FD2CD5">
        <w:trPr>
          <w:trHeight w:val="259"/>
        </w:trPr>
        <w:tc>
          <w:tcPr>
            <w:tcW w:w="2500" w:type="pct"/>
            <w:tcBorders>
              <w:top w:val="single" w:sz="4" w:space="0" w:color="auto"/>
              <w:left w:val="single" w:sz="4" w:space="0" w:color="auto"/>
              <w:bottom w:val="single" w:sz="4" w:space="0" w:color="auto"/>
              <w:right w:val="single" w:sz="4" w:space="0" w:color="auto"/>
            </w:tcBorders>
          </w:tcPr>
          <w:p w:rsidR="008E179B" w:rsidRPr="0016193C" w:rsidRDefault="008E179B" w:rsidP="000F5975">
            <w:pPr>
              <w:rPr>
                <w:rFonts w:ascii="Arial Narrow" w:hAnsi="Arial Narrow"/>
                <w:sz w:val="20"/>
              </w:rPr>
            </w:pPr>
            <w:r w:rsidRPr="008E179B">
              <w:rPr>
                <w:rFonts w:ascii="Arial Narrow" w:hAnsi="Arial Narrow"/>
                <w:sz w:val="20"/>
              </w:rPr>
              <w:t xml:space="preserve">The submission assumed that </w:t>
            </w:r>
            <w:r w:rsidR="00920C75">
              <w:rPr>
                <w:rFonts w:ascii="Arial Narrow" w:hAnsi="Arial Narrow"/>
                <w:noProof/>
                <w:color w:val="000000"/>
                <w:sz w:val="20"/>
                <w:highlight w:val="black"/>
              </w:rPr>
              <w:t>'''''''''''</w:t>
            </w:r>
            <w:r w:rsidRPr="008E179B">
              <w:rPr>
                <w:rFonts w:ascii="Arial Narrow" w:hAnsi="Arial Narrow"/>
                <w:sz w:val="20"/>
              </w:rPr>
              <w:t xml:space="preserve">% of patients would continue treatment beyond 12 weeks based on the continuation rate for Botox at 24 weeks reported in the 2017 DUSC Botox review. </w:t>
            </w:r>
            <w:r w:rsidRPr="00100640">
              <w:rPr>
                <w:rFonts w:ascii="Arial Narrow" w:hAnsi="Arial Narrow"/>
                <w:sz w:val="20"/>
              </w:rPr>
              <w:t xml:space="preserve">This continuation rate differed from the continuation </w:t>
            </w:r>
            <w:r w:rsidRPr="0016193C">
              <w:rPr>
                <w:rFonts w:ascii="Arial Narrow" w:hAnsi="Arial Narrow"/>
                <w:sz w:val="20"/>
              </w:rPr>
              <w:t xml:space="preserve">rate </w:t>
            </w:r>
            <w:r w:rsidR="00100640" w:rsidRPr="0016193C">
              <w:rPr>
                <w:rFonts w:ascii="Arial Narrow" w:hAnsi="Arial Narrow"/>
                <w:sz w:val="20"/>
              </w:rPr>
              <w:t>in the economic m</w:t>
            </w:r>
            <w:r w:rsidR="00100640" w:rsidRPr="00CF3593">
              <w:rPr>
                <w:rFonts w:ascii="Arial Narrow" w:hAnsi="Arial Narrow"/>
                <w:sz w:val="20"/>
              </w:rPr>
              <w:t xml:space="preserve">odel and </w:t>
            </w:r>
            <w:r w:rsidR="00C33922" w:rsidRPr="00CF3593">
              <w:rPr>
                <w:rFonts w:ascii="Arial Narrow" w:hAnsi="Arial Narrow"/>
                <w:sz w:val="20"/>
              </w:rPr>
              <w:t xml:space="preserve">observed in the clinical trials. </w:t>
            </w:r>
            <w:r w:rsidR="00100640" w:rsidRPr="00CF3593">
              <w:rPr>
                <w:rFonts w:ascii="Arial Narrow" w:hAnsi="Arial Narrow"/>
                <w:sz w:val="20"/>
              </w:rPr>
              <w:t xml:space="preserve">This continuation rate differed from the continuation rate of </w:t>
            </w:r>
            <w:r w:rsidR="00920C75">
              <w:rPr>
                <w:rFonts w:ascii="Arial Narrow" w:hAnsi="Arial Narrow"/>
                <w:noProof/>
                <w:color w:val="000000"/>
                <w:sz w:val="20"/>
                <w:highlight w:val="black"/>
              </w:rPr>
              <w:t>''''''</w:t>
            </w:r>
            <w:r w:rsidR="00100640" w:rsidRPr="00CF3593">
              <w:rPr>
                <w:rFonts w:ascii="Arial Narrow" w:hAnsi="Arial Narrow"/>
                <w:sz w:val="20"/>
              </w:rPr>
              <w:t>% assumed in the economic model…</w:t>
            </w:r>
            <w:r w:rsidR="002058E4">
              <w:rPr>
                <w:rFonts w:ascii="Arial Narrow" w:hAnsi="Arial Narrow"/>
                <w:sz w:val="20"/>
              </w:rPr>
              <w:t xml:space="preserve"> </w:t>
            </w:r>
            <w:r w:rsidR="00100640" w:rsidRPr="00CF3593">
              <w:rPr>
                <w:rFonts w:ascii="Arial Narrow" w:hAnsi="Arial Narrow"/>
                <w:sz w:val="20"/>
              </w:rPr>
              <w:t xml:space="preserve">(paragraph 6.81) </w:t>
            </w:r>
            <w:r w:rsidR="00100640" w:rsidRPr="00CD3541">
              <w:rPr>
                <w:rFonts w:ascii="Arial Narrow" w:hAnsi="Arial Narrow"/>
                <w:sz w:val="20"/>
              </w:rPr>
              <w:t xml:space="preserve">[and the rate observed in the clinical trials]. </w:t>
            </w:r>
          </w:p>
          <w:p w:rsidR="00EA12B4" w:rsidRDefault="00EA12B4" w:rsidP="000F5975">
            <w:pPr>
              <w:rPr>
                <w:rFonts w:ascii="Arial Narrow" w:hAnsi="Arial Narrow"/>
                <w:sz w:val="20"/>
              </w:rPr>
            </w:pPr>
            <w:r w:rsidRPr="00CF3593">
              <w:rPr>
                <w:rFonts w:ascii="Arial Narrow" w:hAnsi="Arial Narrow"/>
                <w:sz w:val="20"/>
              </w:rPr>
              <w:t xml:space="preserve">The submission assumed that an additional </w:t>
            </w:r>
            <w:r w:rsidR="00920C75">
              <w:rPr>
                <w:rFonts w:ascii="Arial Narrow" w:hAnsi="Arial Narrow"/>
                <w:noProof/>
                <w:color w:val="000000"/>
                <w:sz w:val="20"/>
                <w:highlight w:val="black"/>
              </w:rPr>
              <w:t>''''''</w:t>
            </w:r>
            <w:r w:rsidRPr="00CF3593">
              <w:rPr>
                <w:rFonts w:ascii="Arial Narrow" w:hAnsi="Arial Narrow"/>
                <w:sz w:val="20"/>
              </w:rPr>
              <w:t>% of patients treated with fremanezumab</w:t>
            </w:r>
            <w:r w:rsidRPr="008E179B">
              <w:rPr>
                <w:rFonts w:ascii="Arial Narrow" w:hAnsi="Arial Narrow"/>
                <w:sz w:val="20"/>
              </w:rPr>
              <w:t xml:space="preserve"> would discontinue treatment each </w:t>
            </w:r>
            <w:r w:rsidRPr="008E179B">
              <w:rPr>
                <w:rFonts w:ascii="Arial Narrow" w:hAnsi="Arial Narrow"/>
                <w:sz w:val="20"/>
              </w:rPr>
              <w:lastRenderedPageBreak/>
              <w:t>year. Given the lack of alternative treatments, and the convenience of fremanezumab administration compared to Botox, the discontinuation rate in subsequent yea</w:t>
            </w:r>
            <w:r>
              <w:rPr>
                <w:rFonts w:ascii="Arial Narrow" w:hAnsi="Arial Narrow"/>
                <w:sz w:val="20"/>
              </w:rPr>
              <w:t>rs may be lower than estimated (paragraph 6.82).</w:t>
            </w:r>
          </w:p>
          <w:p w:rsidR="00EA12B4" w:rsidRPr="008E179B" w:rsidRDefault="00EA12B4" w:rsidP="000F5975">
            <w:pPr>
              <w:rPr>
                <w:rFonts w:ascii="Arial Narrow" w:hAnsi="Arial Narrow"/>
                <w:sz w:val="20"/>
              </w:rPr>
            </w:pPr>
          </w:p>
        </w:tc>
        <w:tc>
          <w:tcPr>
            <w:tcW w:w="2500" w:type="pct"/>
            <w:tcBorders>
              <w:top w:val="single" w:sz="4" w:space="0" w:color="auto"/>
              <w:left w:val="single" w:sz="4" w:space="0" w:color="auto"/>
              <w:bottom w:val="single" w:sz="4" w:space="0" w:color="auto"/>
              <w:right w:val="single" w:sz="4" w:space="0" w:color="auto"/>
            </w:tcBorders>
          </w:tcPr>
          <w:p w:rsidR="00EA12B4" w:rsidRPr="00CD3541" w:rsidRDefault="00EA12B4" w:rsidP="00EA12B4">
            <w:pPr>
              <w:pStyle w:val="CommentText"/>
              <w:rPr>
                <w:rFonts w:ascii="Arial Narrow" w:hAnsi="Arial Narrow"/>
                <w:szCs w:val="24"/>
              </w:rPr>
            </w:pPr>
            <w:r w:rsidRPr="00CD3541">
              <w:rPr>
                <w:rFonts w:ascii="Arial Narrow" w:hAnsi="Arial Narrow"/>
                <w:szCs w:val="24"/>
              </w:rPr>
              <w:lastRenderedPageBreak/>
              <w:t xml:space="preserve">A continuation rate of </w:t>
            </w:r>
            <w:r w:rsidR="00920C75">
              <w:rPr>
                <w:rFonts w:ascii="Arial Narrow" w:hAnsi="Arial Narrow"/>
                <w:noProof/>
                <w:color w:val="000000"/>
                <w:szCs w:val="24"/>
                <w:highlight w:val="black"/>
              </w:rPr>
              <w:t>'''''''''''</w:t>
            </w:r>
            <w:r w:rsidRPr="00CD3541">
              <w:rPr>
                <w:rFonts w:ascii="Arial Narrow" w:hAnsi="Arial Narrow"/>
                <w:szCs w:val="24"/>
              </w:rPr>
              <w:t xml:space="preserve">% </w:t>
            </w:r>
            <w:r w:rsidR="00830727" w:rsidRPr="00CD3541">
              <w:rPr>
                <w:rFonts w:ascii="Arial Narrow" w:hAnsi="Arial Narrow"/>
                <w:szCs w:val="24"/>
              </w:rPr>
              <w:t xml:space="preserve">at 12 weeks </w:t>
            </w:r>
            <w:r w:rsidRPr="00CD3541">
              <w:rPr>
                <w:rFonts w:ascii="Arial Narrow" w:hAnsi="Arial Narrow"/>
                <w:szCs w:val="24"/>
              </w:rPr>
              <w:t>continues to be applied</w:t>
            </w:r>
            <w:r w:rsidR="000A5A29" w:rsidRPr="00CD3541">
              <w:rPr>
                <w:rFonts w:ascii="Arial Narrow" w:hAnsi="Arial Narrow"/>
                <w:szCs w:val="24"/>
              </w:rPr>
              <w:t xml:space="preserve"> and </w:t>
            </w:r>
            <w:r w:rsidRPr="00CD3541">
              <w:rPr>
                <w:rFonts w:ascii="Arial Narrow" w:hAnsi="Arial Narrow"/>
                <w:szCs w:val="24"/>
              </w:rPr>
              <w:t xml:space="preserve">the </w:t>
            </w:r>
            <w:r w:rsidR="00830727" w:rsidRPr="00CD3541">
              <w:rPr>
                <w:rFonts w:ascii="Arial Narrow" w:hAnsi="Arial Narrow"/>
                <w:szCs w:val="24"/>
              </w:rPr>
              <w:t xml:space="preserve">yearly </w:t>
            </w:r>
            <w:r w:rsidRPr="00CD3541">
              <w:rPr>
                <w:rFonts w:ascii="Arial Narrow" w:hAnsi="Arial Narrow"/>
                <w:szCs w:val="24"/>
              </w:rPr>
              <w:t xml:space="preserve">discontinuation rate has been increased to </w:t>
            </w:r>
            <w:r w:rsidR="00920C75">
              <w:rPr>
                <w:rFonts w:ascii="Arial Narrow" w:hAnsi="Arial Narrow"/>
                <w:noProof/>
                <w:color w:val="000000"/>
                <w:szCs w:val="24"/>
                <w:highlight w:val="black"/>
              </w:rPr>
              <w:t>''''''</w:t>
            </w:r>
            <w:r w:rsidRPr="00CD3541">
              <w:rPr>
                <w:rFonts w:ascii="Arial Narrow" w:hAnsi="Arial Narrow"/>
                <w:szCs w:val="24"/>
              </w:rPr>
              <w:t xml:space="preserve">% (from </w:t>
            </w:r>
            <w:r w:rsidR="00920C75">
              <w:rPr>
                <w:rFonts w:ascii="Arial Narrow" w:hAnsi="Arial Narrow"/>
                <w:noProof/>
                <w:color w:val="000000"/>
                <w:szCs w:val="24"/>
                <w:highlight w:val="black"/>
              </w:rPr>
              <w:t>''''''</w:t>
            </w:r>
            <w:r w:rsidRPr="00CD3541">
              <w:rPr>
                <w:rFonts w:ascii="Arial Narrow" w:hAnsi="Arial Narrow"/>
                <w:szCs w:val="24"/>
              </w:rPr>
              <w:t xml:space="preserve">%). </w:t>
            </w:r>
          </w:p>
          <w:p w:rsidR="00386DF4" w:rsidRPr="00CD3541" w:rsidRDefault="00386DF4" w:rsidP="00EA12B4">
            <w:pPr>
              <w:pStyle w:val="CommentText"/>
              <w:rPr>
                <w:rFonts w:ascii="Arial Narrow" w:hAnsi="Arial Narrow"/>
                <w:szCs w:val="24"/>
              </w:rPr>
            </w:pPr>
          </w:p>
          <w:p w:rsidR="00EA12B4" w:rsidRPr="00566F8E" w:rsidRDefault="00920C75" w:rsidP="00566F8E">
            <w:pPr>
              <w:pStyle w:val="CommentText"/>
              <w:rPr>
                <w:rFonts w:ascii="Arial Narrow" w:hAnsi="Arial Narrow"/>
                <w:szCs w:val="24"/>
              </w:rPr>
            </w:pPr>
            <w:r>
              <w:rPr>
                <w:rFonts w:ascii="Arial Narrow" w:hAnsi="Arial Narrow"/>
                <w:noProof/>
                <w:color w:val="000000"/>
                <w:szCs w:val="24"/>
                <w:highlight w:val="black"/>
              </w:rPr>
              <w:t>'''''''</w:t>
            </w:r>
            <w:r w:rsidR="00386DF4" w:rsidRPr="00CD3541">
              <w:rPr>
                <w:rFonts w:ascii="Arial Narrow" w:hAnsi="Arial Narrow"/>
                <w:szCs w:val="24"/>
              </w:rPr>
              <w:t>% of patients treated with fremanezumab 225 mg monthly achieved a 50% reduction in migraine days at 12 weeks</w:t>
            </w:r>
            <w:r w:rsidR="00566F8E">
              <w:rPr>
                <w:rFonts w:ascii="Arial Narrow" w:hAnsi="Arial Narrow"/>
                <w:szCs w:val="24"/>
              </w:rPr>
              <w:t xml:space="preserve"> </w:t>
            </w:r>
            <w:r w:rsidR="00386DF4" w:rsidRPr="00CD3541">
              <w:rPr>
                <w:rFonts w:ascii="Arial Narrow" w:hAnsi="Arial Narrow"/>
                <w:szCs w:val="24"/>
              </w:rPr>
              <w:t>in the previous submission (paragraph 6.29, fremanezumab</w:t>
            </w:r>
            <w:r w:rsidR="00407265">
              <w:rPr>
                <w:rFonts w:ascii="Arial Narrow" w:hAnsi="Arial Narrow"/>
                <w:szCs w:val="24"/>
              </w:rPr>
              <w:t xml:space="preserve"> PSD</w:t>
            </w:r>
            <w:r w:rsidR="00386DF4" w:rsidRPr="00CD3541">
              <w:rPr>
                <w:rFonts w:ascii="Arial Narrow" w:hAnsi="Arial Narrow"/>
                <w:szCs w:val="24"/>
              </w:rPr>
              <w:t>, November 2019 PBAC meeting).</w:t>
            </w:r>
          </w:p>
        </w:tc>
      </w:tr>
    </w:tbl>
    <w:p w:rsidR="00732EE6" w:rsidRDefault="00732EE6" w:rsidP="00101ABE">
      <w:pPr>
        <w:snapToGrid w:val="0"/>
        <w:rPr>
          <w:rFonts w:ascii="Arial Narrow" w:hAnsi="Arial Narrow" w:cs="Arial"/>
          <w:sz w:val="18"/>
          <w:szCs w:val="20"/>
          <w:lang w:eastAsia="en-US"/>
        </w:rPr>
      </w:pPr>
      <w:r>
        <w:rPr>
          <w:rFonts w:ascii="Arial Narrow" w:hAnsi="Arial Narrow" w:cs="Arial"/>
          <w:sz w:val="18"/>
          <w:szCs w:val="20"/>
          <w:lang w:eastAsia="en-US"/>
        </w:rPr>
        <w:t>CGRP calcitonin gene-related peptide; CMA cost minimisation analysis; DUSC drug utilisation sub-committee; PBAC Pharmaceutical Benefits Advisory Committee; PBS Pharmaceutical Benefits Scheme; RSA risk-sharing arrangement.</w:t>
      </w:r>
    </w:p>
    <w:p w:rsidR="00101ABE" w:rsidRPr="0012749D" w:rsidRDefault="00101ABE" w:rsidP="002058E4">
      <w:pPr>
        <w:pStyle w:val="TableFigureFooter"/>
        <w:rPr>
          <w:lang w:eastAsia="en-US"/>
        </w:rPr>
      </w:pPr>
      <w:r w:rsidRPr="0012749D">
        <w:rPr>
          <w:lang w:eastAsia="en-US"/>
        </w:rPr>
        <w:t xml:space="preserve">Source: Compiled during the evaluation. Paragraph references refer to the </w:t>
      </w:r>
      <w:r w:rsidR="00BF3883">
        <w:rPr>
          <w:lang w:eastAsia="en-US"/>
        </w:rPr>
        <w:t xml:space="preserve">fremanezumab </w:t>
      </w:r>
      <w:r w:rsidR="00C2641A">
        <w:rPr>
          <w:lang w:eastAsia="en-US"/>
        </w:rPr>
        <w:t>PSD</w:t>
      </w:r>
      <w:r w:rsidR="00BF3883">
        <w:rPr>
          <w:lang w:eastAsia="en-US"/>
        </w:rPr>
        <w:t>, November 2019 PBAC meeting.</w:t>
      </w:r>
    </w:p>
    <w:p w:rsidR="00966C2C" w:rsidRPr="00A331D9" w:rsidRDefault="00966C2C" w:rsidP="00966C2C">
      <w:pPr>
        <w:pStyle w:val="ListBullet"/>
        <w:numPr>
          <w:ilvl w:val="0"/>
          <w:numId w:val="0"/>
        </w:numPr>
        <w:ind w:left="360"/>
        <w:rPr>
          <w:i/>
          <w:lang w:eastAsia="en-US"/>
        </w:rPr>
      </w:pPr>
      <w:r>
        <w:rPr>
          <w:i/>
          <w:lang w:eastAsia="en-US"/>
        </w:rPr>
        <w:tab/>
      </w:r>
      <w:r w:rsidRPr="007F79D5">
        <w:rPr>
          <w:i/>
          <w:lang w:eastAsia="en-US"/>
        </w:rPr>
        <w:t>For more deta</w:t>
      </w:r>
      <w:r w:rsidRPr="00D57CE9">
        <w:rPr>
          <w:i/>
          <w:lang w:eastAsia="en-US"/>
        </w:rPr>
        <w:t>il on P</w:t>
      </w:r>
      <w:r w:rsidRPr="00966C2C">
        <w:rPr>
          <w:i/>
          <w:lang w:eastAsia="en-US"/>
        </w:rPr>
        <w:t>BAC’s view, see section 6</w:t>
      </w:r>
      <w:r w:rsidRPr="007F79D5">
        <w:rPr>
          <w:i/>
          <w:lang w:eastAsia="en-US"/>
        </w:rPr>
        <w:t xml:space="preserve"> PBAC outcome. </w:t>
      </w:r>
    </w:p>
    <w:p w:rsidR="005A3173" w:rsidRPr="00BB493D" w:rsidRDefault="005A3173" w:rsidP="001B7D41">
      <w:pPr>
        <w:pStyle w:val="2-SectionHeading"/>
      </w:pPr>
      <w:r w:rsidRPr="00BB493D">
        <w:t>Comparator</w:t>
      </w:r>
    </w:p>
    <w:p w:rsidR="00B67339" w:rsidRDefault="00180713" w:rsidP="00016918">
      <w:pPr>
        <w:numPr>
          <w:ilvl w:val="1"/>
          <w:numId w:val="15"/>
        </w:numPr>
        <w:spacing w:after="120"/>
      </w:pPr>
      <w:r w:rsidRPr="00B67339">
        <w:t>The previous submission</w:t>
      </w:r>
      <w:r w:rsidR="00095ADA" w:rsidRPr="00B67339">
        <w:t xml:space="preserve"> </w:t>
      </w:r>
      <w:r w:rsidRPr="00B67339">
        <w:t xml:space="preserve">nominated </w:t>
      </w:r>
      <w:r w:rsidR="00C00DA1">
        <w:t xml:space="preserve">Botox </w:t>
      </w:r>
      <w:r w:rsidR="00A840ED">
        <w:t xml:space="preserve">and best supportive care </w:t>
      </w:r>
      <w:r w:rsidR="00C00DA1">
        <w:t>as the main comparator</w:t>
      </w:r>
      <w:r w:rsidR="005320CB">
        <w:t>s</w:t>
      </w:r>
      <w:r w:rsidR="00AE78B6">
        <w:t xml:space="preserve"> (paragraph 3.3)</w:t>
      </w:r>
      <w:r w:rsidR="00016918">
        <w:t xml:space="preserve">; however, the PBAC </w:t>
      </w:r>
      <w:r w:rsidR="00016918" w:rsidRPr="005320CB">
        <w:t>advised</w:t>
      </w:r>
      <w:r w:rsidR="005320CB" w:rsidRPr="005320CB">
        <w:t xml:space="preserve"> that</w:t>
      </w:r>
      <w:r w:rsidR="00D13D41">
        <w:t xml:space="preserve"> </w:t>
      </w:r>
      <w:r w:rsidR="005320CB">
        <w:t>Botox should be the main comparator (paragraph 7.4, fremanezumab</w:t>
      </w:r>
      <w:r w:rsidR="00407265">
        <w:t xml:space="preserve"> PSD</w:t>
      </w:r>
      <w:r w:rsidR="005320CB">
        <w:t>,</w:t>
      </w:r>
      <w:r w:rsidR="005320CB">
        <w:rPr>
          <w:lang w:eastAsia="en-US"/>
        </w:rPr>
        <w:t xml:space="preserve"> </w:t>
      </w:r>
      <w:r w:rsidR="005320CB" w:rsidRPr="00B4734E">
        <w:rPr>
          <w:lang w:eastAsia="en-US"/>
        </w:rPr>
        <w:t>November 2017 PBAC meeting</w:t>
      </w:r>
      <w:r w:rsidR="005320CB">
        <w:t>)</w:t>
      </w:r>
      <w:r w:rsidR="00016918">
        <w:t xml:space="preserve">. </w:t>
      </w:r>
      <w:r w:rsidR="005320CB">
        <w:t xml:space="preserve">Accordingly, the Sponsor </w:t>
      </w:r>
      <w:r w:rsidR="00E03A56" w:rsidRPr="005320CB">
        <w:t xml:space="preserve">provided a </w:t>
      </w:r>
      <w:r w:rsidR="00012730" w:rsidRPr="005320CB">
        <w:t>CMA v</w:t>
      </w:r>
      <w:r w:rsidR="00D370D4">
        <w:t>er</w:t>
      </w:r>
      <w:r w:rsidR="00012730" w:rsidRPr="005320CB">
        <w:t>s</w:t>
      </w:r>
      <w:r w:rsidR="00D370D4">
        <w:t>us</w:t>
      </w:r>
      <w:r w:rsidR="00012730" w:rsidRPr="005320CB">
        <w:t xml:space="preserve"> Botox</w:t>
      </w:r>
      <w:r w:rsidR="00E03A56" w:rsidRPr="005320CB">
        <w:t>.</w:t>
      </w:r>
      <w:r w:rsidR="00E03A56">
        <w:t xml:space="preserve"> </w:t>
      </w:r>
    </w:p>
    <w:p w:rsidR="003C174C" w:rsidRPr="003C174C" w:rsidRDefault="003C174C" w:rsidP="003C174C">
      <w:pPr>
        <w:pStyle w:val="ListBullet"/>
        <w:numPr>
          <w:ilvl w:val="0"/>
          <w:numId w:val="0"/>
        </w:numPr>
        <w:ind w:left="709"/>
        <w:rPr>
          <w:i/>
          <w:lang w:eastAsia="en-US"/>
        </w:rPr>
      </w:pPr>
      <w:r w:rsidRPr="002721D7">
        <w:rPr>
          <w:i/>
          <w:lang w:eastAsia="en-US"/>
        </w:rPr>
        <w:t>For more deta</w:t>
      </w:r>
      <w:r w:rsidRPr="00D57CE9">
        <w:rPr>
          <w:i/>
          <w:lang w:eastAsia="en-US"/>
        </w:rPr>
        <w:t>il on P</w:t>
      </w:r>
      <w:r w:rsidRPr="00966C2C">
        <w:rPr>
          <w:i/>
          <w:lang w:eastAsia="en-US"/>
        </w:rPr>
        <w:t>BAC’s view, see section 6</w:t>
      </w:r>
      <w:r w:rsidRPr="002721D7">
        <w:rPr>
          <w:i/>
          <w:lang w:eastAsia="en-US"/>
        </w:rPr>
        <w:t xml:space="preserve"> PBAC outcome. </w:t>
      </w:r>
    </w:p>
    <w:p w:rsidR="000B558D" w:rsidRDefault="008D7A41" w:rsidP="00951590">
      <w:pPr>
        <w:pStyle w:val="Heading1"/>
        <w:keepNext/>
        <w:keepLines/>
        <w:numPr>
          <w:ilvl w:val="0"/>
          <w:numId w:val="4"/>
        </w:numPr>
        <w:spacing w:before="240"/>
        <w:ind w:left="709" w:hanging="709"/>
        <w:rPr>
          <w:sz w:val="32"/>
          <w:szCs w:val="32"/>
        </w:rPr>
      </w:pPr>
      <w:r w:rsidRPr="003C2FB5">
        <w:rPr>
          <w:sz w:val="32"/>
          <w:szCs w:val="32"/>
        </w:rPr>
        <w:t>C</w:t>
      </w:r>
      <w:r w:rsidR="00D84934" w:rsidRPr="003C2FB5">
        <w:rPr>
          <w:sz w:val="32"/>
          <w:szCs w:val="32"/>
        </w:rPr>
        <w:t>onsideration of the evidence</w:t>
      </w:r>
    </w:p>
    <w:p w:rsidR="005A3173" w:rsidRDefault="005A3173" w:rsidP="00966D0D">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Economic analysis</w:t>
      </w:r>
      <w:r w:rsidR="009803E4">
        <w:rPr>
          <w:rFonts w:asciiTheme="minorHAnsi" w:eastAsiaTheme="majorEastAsia" w:hAnsiTheme="minorHAnsi" w:cstheme="majorBidi"/>
          <w:sz w:val="28"/>
          <w:szCs w:val="28"/>
          <w:lang w:eastAsia="en-US"/>
        </w:rPr>
        <w:t xml:space="preserve"> </w:t>
      </w:r>
    </w:p>
    <w:p w:rsidR="00A62507" w:rsidRDefault="00A62507" w:rsidP="00A62507">
      <w:pPr>
        <w:numPr>
          <w:ilvl w:val="1"/>
          <w:numId w:val="15"/>
        </w:numPr>
        <w:spacing w:after="120"/>
        <w:rPr>
          <w:rFonts w:asciiTheme="minorHAnsi" w:hAnsiTheme="minorHAnsi" w:cs="Arial"/>
          <w:snapToGrid w:val="0"/>
          <w:lang w:eastAsia="en-US"/>
        </w:rPr>
      </w:pPr>
      <w:r>
        <w:rPr>
          <w:rFonts w:asciiTheme="minorHAnsi" w:hAnsiTheme="minorHAnsi" w:cs="Arial"/>
          <w:snapToGrid w:val="0"/>
          <w:lang w:eastAsia="en-US"/>
        </w:rPr>
        <w:t>The S</w:t>
      </w:r>
      <w:r w:rsidRPr="00A62507">
        <w:rPr>
          <w:rFonts w:asciiTheme="minorHAnsi" w:hAnsiTheme="minorHAnsi" w:cs="Arial"/>
          <w:snapToGrid w:val="0"/>
          <w:lang w:eastAsia="en-US"/>
        </w:rPr>
        <w:t>ponsor proposed equi-effective dose</w:t>
      </w:r>
      <w:r w:rsidR="00046FA6">
        <w:rPr>
          <w:rFonts w:asciiTheme="minorHAnsi" w:hAnsiTheme="minorHAnsi" w:cs="Arial"/>
          <w:snapToGrid w:val="0"/>
          <w:lang w:eastAsia="en-US"/>
        </w:rPr>
        <w:t>s</w:t>
      </w:r>
      <w:r w:rsidRPr="00A62507">
        <w:rPr>
          <w:rFonts w:asciiTheme="minorHAnsi" w:hAnsiTheme="minorHAnsi" w:cs="Arial"/>
          <w:snapToGrid w:val="0"/>
          <w:lang w:eastAsia="en-US"/>
        </w:rPr>
        <w:t xml:space="preserve"> of fremanezumab 225 mg per month a</w:t>
      </w:r>
      <w:r>
        <w:rPr>
          <w:rFonts w:asciiTheme="minorHAnsi" w:hAnsiTheme="minorHAnsi" w:cs="Arial"/>
          <w:snapToGrid w:val="0"/>
          <w:lang w:eastAsia="en-US"/>
        </w:rPr>
        <w:t xml:space="preserve">nd 164U of Botox every 12 weeks. </w:t>
      </w:r>
    </w:p>
    <w:p w:rsidR="00160D84" w:rsidRDefault="00160D84" w:rsidP="009855A8">
      <w:pPr>
        <w:numPr>
          <w:ilvl w:val="1"/>
          <w:numId w:val="15"/>
        </w:numPr>
        <w:spacing w:after="120"/>
        <w:rPr>
          <w:rFonts w:asciiTheme="minorHAnsi" w:hAnsiTheme="minorHAnsi" w:cs="Arial"/>
          <w:snapToGrid w:val="0"/>
          <w:lang w:eastAsia="en-US"/>
        </w:rPr>
      </w:pPr>
      <w:r>
        <w:rPr>
          <w:rFonts w:asciiTheme="minorHAnsi" w:hAnsiTheme="minorHAnsi" w:cs="Arial"/>
          <w:snapToGrid w:val="0"/>
          <w:lang w:eastAsia="en-US"/>
        </w:rPr>
        <w:t>The</w:t>
      </w:r>
      <w:r w:rsidR="005D038F">
        <w:rPr>
          <w:rFonts w:asciiTheme="minorHAnsi" w:hAnsiTheme="minorHAnsi" w:cs="Arial"/>
          <w:snapToGrid w:val="0"/>
          <w:lang w:eastAsia="en-US"/>
        </w:rPr>
        <w:t xml:space="preserve"> results of the cost-minimisation analysis</w:t>
      </w:r>
      <w:r w:rsidR="00700A52">
        <w:rPr>
          <w:rFonts w:asciiTheme="minorHAnsi" w:hAnsiTheme="minorHAnsi" w:cs="Arial"/>
          <w:snapToGrid w:val="0"/>
          <w:lang w:eastAsia="en-US"/>
        </w:rPr>
        <w:t xml:space="preserve"> conducted over 2 years and </w:t>
      </w:r>
      <w:r w:rsidR="005D038F">
        <w:rPr>
          <w:rFonts w:asciiTheme="minorHAnsi" w:hAnsiTheme="minorHAnsi" w:cs="Arial"/>
          <w:snapToGrid w:val="0"/>
          <w:lang w:eastAsia="en-US"/>
        </w:rPr>
        <w:t>based on the published price of Botox is provided in</w:t>
      </w:r>
      <w:r>
        <w:rPr>
          <w:rFonts w:asciiTheme="minorHAnsi" w:hAnsiTheme="minorHAnsi" w:cs="Arial"/>
          <w:snapToGrid w:val="0"/>
          <w:lang w:eastAsia="en-US"/>
        </w:rPr>
        <w:t xml:space="preserve"> </w:t>
      </w:r>
      <w:r w:rsidR="00111BB6" w:rsidRPr="006F5677">
        <w:rPr>
          <w:rFonts w:asciiTheme="minorHAnsi" w:hAnsiTheme="minorHAnsi" w:cs="Arial"/>
          <w:snapToGrid w:val="0"/>
          <w:lang w:eastAsia="en-US"/>
        </w:rPr>
        <w:t>Table 2</w:t>
      </w:r>
      <w:r w:rsidR="00A62507">
        <w:rPr>
          <w:rFonts w:asciiTheme="minorHAnsi" w:hAnsiTheme="minorHAnsi" w:cs="Arial"/>
          <w:snapToGrid w:val="0"/>
          <w:lang w:eastAsia="en-US"/>
        </w:rPr>
        <w:t>.</w:t>
      </w:r>
      <w:r w:rsidR="00201910">
        <w:rPr>
          <w:rFonts w:asciiTheme="minorHAnsi" w:hAnsiTheme="minorHAnsi" w:cs="Arial"/>
          <w:snapToGrid w:val="0"/>
          <w:lang w:eastAsia="en-US"/>
        </w:rPr>
        <w:t xml:space="preserve"> </w:t>
      </w:r>
    </w:p>
    <w:p w:rsidR="00463330" w:rsidRPr="00A62507" w:rsidRDefault="00463330" w:rsidP="00D370D4">
      <w:pPr>
        <w:pStyle w:val="Caption"/>
        <w:keepNext/>
        <w:spacing w:after="0"/>
        <w:rPr>
          <w:rFonts w:ascii="Arial Narrow" w:hAnsi="Arial Narrow"/>
          <w:b/>
          <w:i w:val="0"/>
          <w:sz w:val="20"/>
          <w:szCs w:val="22"/>
        </w:rPr>
      </w:pPr>
      <w:bookmarkStart w:id="2" w:name="_Ref32567155"/>
      <w:r w:rsidRPr="00A62507">
        <w:rPr>
          <w:rFonts w:ascii="Arial Narrow" w:hAnsi="Arial Narrow"/>
          <w:b/>
          <w:i w:val="0"/>
          <w:sz w:val="20"/>
          <w:szCs w:val="22"/>
        </w:rPr>
        <w:lastRenderedPageBreak/>
        <w:t xml:space="preserve">Table </w:t>
      </w:r>
      <w:r w:rsidR="00111BB6">
        <w:rPr>
          <w:rFonts w:ascii="Arial Narrow" w:hAnsi="Arial Narrow"/>
          <w:b/>
          <w:i w:val="0"/>
          <w:noProof/>
          <w:sz w:val="20"/>
          <w:szCs w:val="22"/>
        </w:rPr>
        <w:t>2</w:t>
      </w:r>
      <w:bookmarkEnd w:id="2"/>
      <w:r w:rsidRPr="00A62507">
        <w:rPr>
          <w:rFonts w:ascii="Arial Narrow" w:hAnsi="Arial Narrow"/>
          <w:b/>
          <w:i w:val="0"/>
          <w:sz w:val="20"/>
          <w:szCs w:val="22"/>
        </w:rPr>
        <w:t>: Results of the cost-minimisation analysis based on the published price for Botox</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2"/>
        <w:gridCol w:w="2542"/>
        <w:gridCol w:w="2332"/>
      </w:tblGrid>
      <w:tr w:rsidR="00463330" w:rsidRPr="00463330" w:rsidTr="00466D7D">
        <w:trPr>
          <w:tblHeader/>
        </w:trPr>
        <w:tc>
          <w:tcPr>
            <w:tcW w:w="4052" w:type="dxa"/>
          </w:tcPr>
          <w:p w:rsidR="00463330" w:rsidRPr="00463330" w:rsidRDefault="00463330" w:rsidP="00D370D4">
            <w:pPr>
              <w:keepNext/>
              <w:rPr>
                <w:rFonts w:ascii="Arial Narrow" w:hAnsi="Arial Narrow"/>
                <w:b/>
                <w:sz w:val="20"/>
                <w:szCs w:val="20"/>
                <w:lang w:eastAsia="en-US"/>
              </w:rPr>
            </w:pPr>
            <w:r w:rsidRPr="00463330">
              <w:rPr>
                <w:rFonts w:ascii="Arial Narrow" w:hAnsi="Arial Narrow"/>
                <w:b/>
                <w:sz w:val="20"/>
                <w:szCs w:val="20"/>
                <w:lang w:eastAsia="en-US"/>
              </w:rPr>
              <w:t>Component</w:t>
            </w:r>
          </w:p>
        </w:tc>
        <w:tc>
          <w:tcPr>
            <w:tcW w:w="2542" w:type="dxa"/>
          </w:tcPr>
          <w:p w:rsidR="00463330" w:rsidRPr="00463330" w:rsidRDefault="00463330" w:rsidP="00D370D4">
            <w:pPr>
              <w:keepNext/>
              <w:jc w:val="center"/>
              <w:rPr>
                <w:rFonts w:ascii="Arial Narrow" w:hAnsi="Arial Narrow"/>
                <w:b/>
                <w:sz w:val="20"/>
                <w:szCs w:val="20"/>
                <w:lang w:eastAsia="en-US"/>
              </w:rPr>
            </w:pPr>
            <w:r>
              <w:rPr>
                <w:rFonts w:ascii="Arial Narrow" w:hAnsi="Arial Narrow"/>
                <w:b/>
                <w:sz w:val="20"/>
                <w:szCs w:val="20"/>
                <w:lang w:eastAsia="en-US"/>
              </w:rPr>
              <w:t>Fremanezumab</w:t>
            </w:r>
          </w:p>
        </w:tc>
        <w:tc>
          <w:tcPr>
            <w:tcW w:w="2332" w:type="dxa"/>
          </w:tcPr>
          <w:p w:rsidR="00463330" w:rsidRPr="00463330" w:rsidRDefault="00463330" w:rsidP="00D370D4">
            <w:pPr>
              <w:keepNext/>
              <w:jc w:val="center"/>
              <w:rPr>
                <w:rFonts w:ascii="Arial Narrow" w:hAnsi="Arial Narrow"/>
                <w:b/>
                <w:sz w:val="20"/>
                <w:szCs w:val="20"/>
                <w:lang w:eastAsia="en-US"/>
              </w:rPr>
            </w:pPr>
            <w:r w:rsidRPr="00463330">
              <w:rPr>
                <w:rFonts w:ascii="Arial Narrow" w:hAnsi="Arial Narrow"/>
                <w:b/>
                <w:sz w:val="20"/>
                <w:szCs w:val="20"/>
                <w:lang w:eastAsia="en-US"/>
              </w:rPr>
              <w:t>Botox</w:t>
            </w:r>
          </w:p>
        </w:tc>
      </w:tr>
      <w:tr w:rsidR="00463330" w:rsidRPr="00463330" w:rsidTr="00466D7D">
        <w:tc>
          <w:tcPr>
            <w:tcW w:w="8926" w:type="dxa"/>
            <w:gridSpan w:val="3"/>
          </w:tcPr>
          <w:p w:rsidR="00463330" w:rsidRPr="00463330" w:rsidRDefault="00463330" w:rsidP="00D370D4">
            <w:pPr>
              <w:keepNext/>
              <w:rPr>
                <w:rFonts w:ascii="Arial Narrow" w:hAnsi="Arial Narrow"/>
                <w:b/>
                <w:sz w:val="20"/>
                <w:szCs w:val="20"/>
                <w:lang w:eastAsia="en-US"/>
              </w:rPr>
            </w:pPr>
            <w:r w:rsidRPr="00463330">
              <w:rPr>
                <w:rFonts w:ascii="Arial Narrow" w:hAnsi="Arial Narrow"/>
                <w:b/>
                <w:sz w:val="20"/>
                <w:szCs w:val="20"/>
                <w:lang w:eastAsia="en-US"/>
              </w:rPr>
              <w:t>Drug costs (AEMP)</w:t>
            </w:r>
          </w:p>
        </w:tc>
      </w:tr>
      <w:tr w:rsidR="00A62507" w:rsidRPr="00463330" w:rsidTr="00466D7D">
        <w:tc>
          <w:tcPr>
            <w:tcW w:w="4052" w:type="dxa"/>
          </w:tcPr>
          <w:p w:rsidR="00A62507" w:rsidRDefault="00A62507" w:rsidP="00D370D4">
            <w:pPr>
              <w:keepNext/>
              <w:ind w:left="175" w:hanging="175"/>
              <w:rPr>
                <w:rFonts w:ascii="Arial Narrow" w:hAnsi="Arial Narrow"/>
                <w:sz w:val="20"/>
                <w:szCs w:val="20"/>
                <w:lang w:eastAsia="en-US"/>
              </w:rPr>
            </w:pPr>
            <w:r>
              <w:rPr>
                <w:rFonts w:ascii="Arial Narrow" w:hAnsi="Arial Narrow"/>
                <w:sz w:val="20"/>
                <w:szCs w:val="20"/>
                <w:lang w:eastAsia="en-US"/>
              </w:rPr>
              <w:tab/>
              <w:t>Pack</w:t>
            </w:r>
          </w:p>
        </w:tc>
        <w:tc>
          <w:tcPr>
            <w:tcW w:w="2542" w:type="dxa"/>
            <w:vAlign w:val="center"/>
          </w:tcPr>
          <w:p w:rsidR="00A62507" w:rsidRDefault="00A62507" w:rsidP="00D370D4">
            <w:pPr>
              <w:keepNext/>
              <w:jc w:val="center"/>
              <w:rPr>
                <w:rFonts w:ascii="Arial Narrow" w:hAnsi="Arial Narrow"/>
                <w:sz w:val="20"/>
                <w:szCs w:val="20"/>
                <w:lang w:eastAsia="en-US"/>
              </w:rPr>
            </w:pPr>
            <w:r>
              <w:rPr>
                <w:rFonts w:ascii="Arial Narrow" w:hAnsi="Arial Narrow"/>
                <w:sz w:val="20"/>
                <w:szCs w:val="20"/>
                <w:lang w:eastAsia="en-US"/>
              </w:rPr>
              <w:t>1 x 225 mg injection</w:t>
            </w:r>
          </w:p>
        </w:tc>
        <w:tc>
          <w:tcPr>
            <w:tcW w:w="2332" w:type="dxa"/>
            <w:vAlign w:val="center"/>
          </w:tcPr>
          <w:p w:rsidR="00A62507" w:rsidRDefault="00A62507" w:rsidP="00D370D4">
            <w:pPr>
              <w:keepNext/>
              <w:jc w:val="center"/>
              <w:rPr>
                <w:rFonts w:ascii="Arial Narrow" w:hAnsi="Arial Narrow"/>
                <w:sz w:val="20"/>
                <w:szCs w:val="20"/>
                <w:lang w:eastAsia="en-US"/>
              </w:rPr>
            </w:pPr>
            <w:r>
              <w:rPr>
                <w:rFonts w:ascii="Arial Narrow" w:hAnsi="Arial Narrow"/>
                <w:sz w:val="20"/>
                <w:szCs w:val="20"/>
                <w:lang w:eastAsia="en-US"/>
              </w:rPr>
              <w:t>1 x 100U vial</w:t>
            </w:r>
          </w:p>
        </w:tc>
      </w:tr>
      <w:tr w:rsidR="00463330" w:rsidRPr="00463330" w:rsidTr="00466D7D">
        <w:tc>
          <w:tcPr>
            <w:tcW w:w="4052" w:type="dxa"/>
          </w:tcPr>
          <w:p w:rsidR="00463330" w:rsidRPr="00463330" w:rsidRDefault="00566F8E" w:rsidP="00D370D4">
            <w:pPr>
              <w:keepNext/>
              <w:ind w:left="175" w:hanging="175"/>
              <w:rPr>
                <w:rFonts w:ascii="Arial Narrow" w:hAnsi="Arial Narrow"/>
                <w:sz w:val="20"/>
                <w:szCs w:val="20"/>
                <w:lang w:eastAsia="en-US"/>
              </w:rPr>
            </w:pPr>
            <w:r>
              <w:rPr>
                <w:rFonts w:ascii="Arial Narrow" w:hAnsi="Arial Narrow"/>
                <w:sz w:val="20"/>
                <w:szCs w:val="20"/>
                <w:lang w:eastAsia="en-US"/>
              </w:rPr>
              <w:tab/>
              <w:t>Cost per pack</w:t>
            </w:r>
          </w:p>
        </w:tc>
        <w:tc>
          <w:tcPr>
            <w:tcW w:w="2542" w:type="dxa"/>
            <w:vAlign w:val="center"/>
          </w:tcPr>
          <w:p w:rsidR="00463330" w:rsidRPr="00463330" w:rsidRDefault="00463330" w:rsidP="00D370D4">
            <w:pPr>
              <w:keepNext/>
              <w:jc w:val="center"/>
              <w:rPr>
                <w:rFonts w:ascii="Arial Narrow" w:hAnsi="Arial Narrow"/>
                <w:sz w:val="20"/>
                <w:szCs w:val="20"/>
                <w:lang w:eastAsia="en-US"/>
              </w:rPr>
            </w:pPr>
            <w:r>
              <w:rPr>
                <w:rFonts w:ascii="Arial Narrow" w:hAnsi="Arial Narrow"/>
                <w:sz w:val="20"/>
                <w:szCs w:val="20"/>
                <w:lang w:eastAsia="en-US"/>
              </w:rPr>
              <w:t>$264.</w:t>
            </w:r>
            <w:r w:rsidR="00573A69">
              <w:rPr>
                <w:rFonts w:ascii="Arial Narrow" w:hAnsi="Arial Narrow"/>
                <w:sz w:val="20"/>
                <w:szCs w:val="20"/>
                <w:lang w:eastAsia="en-US"/>
              </w:rPr>
              <w:t>39</w:t>
            </w:r>
          </w:p>
        </w:tc>
        <w:tc>
          <w:tcPr>
            <w:tcW w:w="2332" w:type="dxa"/>
            <w:vAlign w:val="center"/>
          </w:tcPr>
          <w:p w:rsidR="00463330" w:rsidRPr="00463330" w:rsidRDefault="00463330" w:rsidP="00D370D4">
            <w:pPr>
              <w:keepNext/>
              <w:jc w:val="center"/>
              <w:rPr>
                <w:rFonts w:ascii="Arial Narrow" w:hAnsi="Arial Narrow"/>
                <w:sz w:val="20"/>
                <w:szCs w:val="20"/>
                <w:lang w:eastAsia="en-US"/>
              </w:rPr>
            </w:pPr>
            <w:r>
              <w:rPr>
                <w:rFonts w:ascii="Arial Narrow" w:hAnsi="Arial Narrow"/>
                <w:sz w:val="20"/>
                <w:szCs w:val="20"/>
                <w:lang w:eastAsia="en-US"/>
              </w:rPr>
              <w:t>$337.49</w:t>
            </w:r>
          </w:p>
        </w:tc>
      </w:tr>
      <w:tr w:rsidR="00463330" w:rsidRPr="00463330" w:rsidTr="00466D7D">
        <w:tc>
          <w:tcPr>
            <w:tcW w:w="4052" w:type="dxa"/>
          </w:tcPr>
          <w:p w:rsidR="00463330" w:rsidRDefault="00463330" w:rsidP="00D370D4">
            <w:pPr>
              <w:keepNext/>
              <w:ind w:left="175" w:hanging="175"/>
              <w:rPr>
                <w:rFonts w:ascii="Arial Narrow" w:hAnsi="Arial Narrow"/>
                <w:sz w:val="20"/>
                <w:szCs w:val="20"/>
                <w:lang w:eastAsia="en-US"/>
              </w:rPr>
            </w:pPr>
            <w:r>
              <w:rPr>
                <w:rFonts w:ascii="Arial Narrow" w:hAnsi="Arial Narrow"/>
                <w:sz w:val="20"/>
                <w:szCs w:val="20"/>
                <w:lang w:eastAsia="en-US"/>
              </w:rPr>
              <w:tab/>
              <w:t>Number of packs per dose</w:t>
            </w:r>
          </w:p>
        </w:tc>
        <w:tc>
          <w:tcPr>
            <w:tcW w:w="2542" w:type="dxa"/>
            <w:vAlign w:val="center"/>
          </w:tcPr>
          <w:p w:rsidR="00463330" w:rsidRPr="00463330" w:rsidRDefault="00463330" w:rsidP="00D370D4">
            <w:pPr>
              <w:keepNext/>
              <w:jc w:val="center"/>
              <w:rPr>
                <w:rFonts w:ascii="Arial Narrow" w:hAnsi="Arial Narrow"/>
                <w:sz w:val="20"/>
                <w:szCs w:val="20"/>
                <w:lang w:eastAsia="en-US"/>
              </w:rPr>
            </w:pPr>
            <w:r>
              <w:rPr>
                <w:rFonts w:ascii="Arial Narrow" w:hAnsi="Arial Narrow"/>
                <w:sz w:val="20"/>
                <w:szCs w:val="20"/>
                <w:lang w:eastAsia="en-US"/>
              </w:rPr>
              <w:t>1.0</w:t>
            </w:r>
          </w:p>
        </w:tc>
        <w:tc>
          <w:tcPr>
            <w:tcW w:w="2332" w:type="dxa"/>
            <w:vAlign w:val="center"/>
          </w:tcPr>
          <w:p w:rsidR="00463330" w:rsidRPr="00463330" w:rsidRDefault="00463330" w:rsidP="00D370D4">
            <w:pPr>
              <w:keepNext/>
              <w:jc w:val="center"/>
              <w:rPr>
                <w:rFonts w:ascii="Arial Narrow" w:hAnsi="Arial Narrow"/>
                <w:sz w:val="20"/>
                <w:szCs w:val="20"/>
                <w:lang w:eastAsia="en-US"/>
              </w:rPr>
            </w:pPr>
            <w:r>
              <w:rPr>
                <w:rFonts w:ascii="Arial Narrow" w:hAnsi="Arial Narrow"/>
                <w:sz w:val="20"/>
                <w:szCs w:val="20"/>
                <w:lang w:eastAsia="en-US"/>
              </w:rPr>
              <w:t>1.64</w:t>
            </w:r>
          </w:p>
        </w:tc>
      </w:tr>
      <w:tr w:rsidR="00463330" w:rsidRPr="00463330" w:rsidTr="00466D7D">
        <w:tc>
          <w:tcPr>
            <w:tcW w:w="4052" w:type="dxa"/>
          </w:tcPr>
          <w:p w:rsidR="00463330" w:rsidRDefault="00463330" w:rsidP="00D370D4">
            <w:pPr>
              <w:keepNext/>
              <w:ind w:left="175" w:hanging="175"/>
              <w:rPr>
                <w:rFonts w:ascii="Arial Narrow" w:hAnsi="Arial Narrow"/>
                <w:sz w:val="20"/>
                <w:szCs w:val="20"/>
                <w:lang w:eastAsia="en-US"/>
              </w:rPr>
            </w:pPr>
            <w:r>
              <w:rPr>
                <w:rFonts w:ascii="Arial Narrow" w:hAnsi="Arial Narrow"/>
                <w:sz w:val="20"/>
                <w:szCs w:val="20"/>
                <w:lang w:eastAsia="en-US"/>
              </w:rPr>
              <w:tab/>
              <w:t>Cost per dose</w:t>
            </w:r>
          </w:p>
        </w:tc>
        <w:tc>
          <w:tcPr>
            <w:tcW w:w="2542" w:type="dxa"/>
            <w:vAlign w:val="center"/>
          </w:tcPr>
          <w:p w:rsidR="00463330" w:rsidRPr="00463330" w:rsidRDefault="00463330" w:rsidP="00D370D4">
            <w:pPr>
              <w:keepNext/>
              <w:jc w:val="center"/>
              <w:rPr>
                <w:rFonts w:ascii="Arial Narrow" w:hAnsi="Arial Narrow"/>
                <w:sz w:val="20"/>
                <w:szCs w:val="20"/>
                <w:lang w:eastAsia="en-US"/>
              </w:rPr>
            </w:pPr>
            <w:r>
              <w:rPr>
                <w:rFonts w:ascii="Arial Narrow" w:hAnsi="Arial Narrow"/>
                <w:sz w:val="20"/>
                <w:szCs w:val="20"/>
                <w:lang w:eastAsia="en-US"/>
              </w:rPr>
              <w:t>$264.</w:t>
            </w:r>
            <w:r w:rsidR="00573A69">
              <w:rPr>
                <w:rFonts w:ascii="Arial Narrow" w:hAnsi="Arial Narrow"/>
                <w:sz w:val="20"/>
                <w:szCs w:val="20"/>
                <w:lang w:eastAsia="en-US"/>
              </w:rPr>
              <w:t>39</w:t>
            </w:r>
          </w:p>
        </w:tc>
        <w:tc>
          <w:tcPr>
            <w:tcW w:w="2332" w:type="dxa"/>
            <w:vAlign w:val="center"/>
          </w:tcPr>
          <w:p w:rsidR="00463330" w:rsidRPr="00463330" w:rsidRDefault="00463330" w:rsidP="00D370D4">
            <w:pPr>
              <w:keepNext/>
              <w:jc w:val="center"/>
              <w:rPr>
                <w:rFonts w:ascii="Arial Narrow" w:hAnsi="Arial Narrow"/>
                <w:sz w:val="20"/>
                <w:szCs w:val="20"/>
                <w:lang w:eastAsia="en-US"/>
              </w:rPr>
            </w:pPr>
            <w:r>
              <w:rPr>
                <w:rFonts w:ascii="Arial Narrow" w:hAnsi="Arial Narrow"/>
                <w:sz w:val="20"/>
                <w:szCs w:val="20"/>
                <w:lang w:eastAsia="en-US"/>
              </w:rPr>
              <w:t>$553.48</w:t>
            </w:r>
          </w:p>
        </w:tc>
      </w:tr>
      <w:tr w:rsidR="00463330" w:rsidRPr="00463330" w:rsidTr="00466D7D">
        <w:tc>
          <w:tcPr>
            <w:tcW w:w="4052" w:type="dxa"/>
          </w:tcPr>
          <w:p w:rsidR="00463330" w:rsidRPr="00463330" w:rsidRDefault="00463330" w:rsidP="00D370D4">
            <w:pPr>
              <w:keepNext/>
              <w:ind w:left="175" w:hanging="175"/>
              <w:rPr>
                <w:rFonts w:ascii="Arial Narrow" w:hAnsi="Arial Narrow"/>
                <w:sz w:val="20"/>
                <w:szCs w:val="20"/>
                <w:lang w:eastAsia="en-US"/>
              </w:rPr>
            </w:pPr>
            <w:r>
              <w:rPr>
                <w:rFonts w:ascii="Arial Narrow" w:hAnsi="Arial Narrow"/>
                <w:sz w:val="20"/>
                <w:szCs w:val="20"/>
                <w:lang w:eastAsia="en-US"/>
              </w:rPr>
              <w:tab/>
            </w:r>
            <w:r w:rsidRPr="00463330">
              <w:rPr>
                <w:rFonts w:ascii="Arial Narrow" w:hAnsi="Arial Narrow"/>
                <w:sz w:val="20"/>
                <w:szCs w:val="20"/>
                <w:lang w:eastAsia="en-US"/>
              </w:rPr>
              <w:t>Number of doses per 2 years</w:t>
            </w:r>
          </w:p>
        </w:tc>
        <w:tc>
          <w:tcPr>
            <w:tcW w:w="2542" w:type="dxa"/>
            <w:vAlign w:val="center"/>
          </w:tcPr>
          <w:p w:rsidR="00463330" w:rsidRPr="00463330" w:rsidRDefault="00463330" w:rsidP="00D370D4">
            <w:pPr>
              <w:keepNext/>
              <w:jc w:val="center"/>
              <w:rPr>
                <w:rFonts w:ascii="Arial Narrow" w:hAnsi="Arial Narrow"/>
                <w:sz w:val="20"/>
                <w:szCs w:val="20"/>
                <w:lang w:eastAsia="en-US"/>
              </w:rPr>
            </w:pPr>
            <w:r>
              <w:rPr>
                <w:rFonts w:ascii="Arial Narrow" w:hAnsi="Arial Narrow"/>
                <w:sz w:val="20"/>
                <w:szCs w:val="20"/>
                <w:lang w:eastAsia="en-US"/>
              </w:rPr>
              <w:t>24.0</w:t>
            </w:r>
          </w:p>
        </w:tc>
        <w:tc>
          <w:tcPr>
            <w:tcW w:w="2332" w:type="dxa"/>
            <w:vAlign w:val="center"/>
          </w:tcPr>
          <w:p w:rsidR="00463330" w:rsidRPr="00463330" w:rsidRDefault="00463330" w:rsidP="00D370D4">
            <w:pPr>
              <w:keepNext/>
              <w:jc w:val="center"/>
              <w:rPr>
                <w:rFonts w:ascii="Arial Narrow" w:hAnsi="Arial Narrow"/>
                <w:sz w:val="20"/>
                <w:szCs w:val="20"/>
                <w:lang w:eastAsia="en-US"/>
              </w:rPr>
            </w:pPr>
            <w:r>
              <w:rPr>
                <w:rFonts w:ascii="Arial Narrow" w:hAnsi="Arial Narrow"/>
                <w:sz w:val="20"/>
                <w:szCs w:val="20"/>
                <w:lang w:eastAsia="en-US"/>
              </w:rPr>
              <w:t>8.7</w:t>
            </w:r>
          </w:p>
        </w:tc>
      </w:tr>
      <w:tr w:rsidR="00463330" w:rsidRPr="00463330" w:rsidTr="00466D7D">
        <w:tc>
          <w:tcPr>
            <w:tcW w:w="4052" w:type="dxa"/>
          </w:tcPr>
          <w:p w:rsidR="00463330" w:rsidRPr="00463330" w:rsidRDefault="00463330" w:rsidP="00D370D4">
            <w:pPr>
              <w:keepNext/>
              <w:ind w:left="175" w:hanging="175"/>
              <w:rPr>
                <w:rFonts w:ascii="Arial Narrow" w:hAnsi="Arial Narrow"/>
                <w:sz w:val="20"/>
                <w:szCs w:val="20"/>
                <w:lang w:eastAsia="en-US"/>
              </w:rPr>
            </w:pPr>
            <w:r>
              <w:rPr>
                <w:rFonts w:ascii="Arial Narrow" w:hAnsi="Arial Narrow"/>
                <w:sz w:val="20"/>
                <w:szCs w:val="20"/>
                <w:lang w:eastAsia="en-US"/>
              </w:rPr>
              <w:tab/>
            </w:r>
            <w:r w:rsidRPr="00463330">
              <w:rPr>
                <w:rFonts w:ascii="Arial Narrow" w:hAnsi="Arial Narrow"/>
                <w:sz w:val="20"/>
                <w:szCs w:val="20"/>
                <w:lang w:eastAsia="en-US"/>
              </w:rPr>
              <w:t>Total drug cost: 2 years</w:t>
            </w:r>
          </w:p>
        </w:tc>
        <w:tc>
          <w:tcPr>
            <w:tcW w:w="2542" w:type="dxa"/>
            <w:vAlign w:val="center"/>
          </w:tcPr>
          <w:p w:rsidR="00463330" w:rsidRPr="00463330" w:rsidRDefault="00463330" w:rsidP="00D370D4">
            <w:pPr>
              <w:keepNext/>
              <w:jc w:val="center"/>
              <w:rPr>
                <w:rFonts w:ascii="Arial Narrow" w:hAnsi="Arial Narrow"/>
                <w:sz w:val="20"/>
                <w:szCs w:val="20"/>
                <w:lang w:eastAsia="en-US"/>
              </w:rPr>
            </w:pPr>
            <w:r>
              <w:rPr>
                <w:rFonts w:ascii="Arial Narrow" w:hAnsi="Arial Narrow"/>
                <w:sz w:val="20"/>
                <w:szCs w:val="20"/>
                <w:lang w:eastAsia="en-US"/>
              </w:rPr>
              <w:t>$6,34</w:t>
            </w:r>
            <w:r w:rsidR="00573A69">
              <w:rPr>
                <w:rFonts w:ascii="Arial Narrow" w:hAnsi="Arial Narrow"/>
                <w:sz w:val="20"/>
                <w:szCs w:val="20"/>
                <w:lang w:eastAsia="en-US"/>
              </w:rPr>
              <w:t>5.33</w:t>
            </w:r>
          </w:p>
        </w:tc>
        <w:tc>
          <w:tcPr>
            <w:tcW w:w="2332" w:type="dxa"/>
            <w:vAlign w:val="center"/>
          </w:tcPr>
          <w:p w:rsidR="00463330" w:rsidRPr="00463330" w:rsidRDefault="00074267" w:rsidP="00D370D4">
            <w:pPr>
              <w:keepNext/>
              <w:jc w:val="center"/>
              <w:rPr>
                <w:rFonts w:ascii="Arial Narrow" w:hAnsi="Arial Narrow"/>
                <w:sz w:val="20"/>
                <w:szCs w:val="20"/>
                <w:lang w:eastAsia="en-US"/>
              </w:rPr>
            </w:pPr>
            <w:r>
              <w:rPr>
                <w:rFonts w:ascii="Arial Narrow" w:hAnsi="Arial Narrow"/>
                <w:sz w:val="20"/>
                <w:szCs w:val="20"/>
                <w:lang w:eastAsia="en-US"/>
              </w:rPr>
              <w:t>$4,815.31</w:t>
            </w:r>
          </w:p>
        </w:tc>
      </w:tr>
      <w:tr w:rsidR="00463330" w:rsidRPr="00463330" w:rsidTr="00466D7D">
        <w:tc>
          <w:tcPr>
            <w:tcW w:w="8926" w:type="dxa"/>
            <w:gridSpan w:val="3"/>
          </w:tcPr>
          <w:p w:rsidR="00463330" w:rsidRPr="00463330" w:rsidRDefault="00463330" w:rsidP="00D370D4">
            <w:pPr>
              <w:keepNext/>
              <w:rPr>
                <w:rFonts w:ascii="Arial Narrow" w:hAnsi="Arial Narrow"/>
                <w:b/>
                <w:sz w:val="20"/>
                <w:szCs w:val="20"/>
                <w:lang w:eastAsia="en-US"/>
              </w:rPr>
            </w:pPr>
            <w:r w:rsidRPr="00463330">
              <w:rPr>
                <w:rFonts w:ascii="Arial Narrow" w:hAnsi="Arial Narrow"/>
                <w:b/>
                <w:sz w:val="20"/>
                <w:szCs w:val="20"/>
                <w:lang w:eastAsia="en-US"/>
              </w:rPr>
              <w:t>Administration costs</w:t>
            </w:r>
          </w:p>
        </w:tc>
      </w:tr>
      <w:tr w:rsidR="00463330" w:rsidRPr="00463330" w:rsidTr="00466D7D">
        <w:tc>
          <w:tcPr>
            <w:tcW w:w="4052" w:type="dxa"/>
          </w:tcPr>
          <w:p w:rsidR="00463330" w:rsidRPr="00463330" w:rsidRDefault="00463330" w:rsidP="00D370D4">
            <w:pPr>
              <w:keepNext/>
              <w:ind w:left="175"/>
              <w:rPr>
                <w:rFonts w:ascii="Arial Narrow" w:hAnsi="Arial Narrow"/>
                <w:sz w:val="20"/>
                <w:szCs w:val="20"/>
                <w:lang w:eastAsia="en-US"/>
              </w:rPr>
            </w:pPr>
            <w:r w:rsidRPr="00463330">
              <w:rPr>
                <w:rFonts w:ascii="Arial Narrow" w:hAnsi="Arial Narrow"/>
                <w:sz w:val="20"/>
                <w:szCs w:val="20"/>
                <w:lang w:eastAsia="en-US"/>
              </w:rPr>
              <w:t>Neurologist (MBS Item 116) per visit</w:t>
            </w:r>
          </w:p>
        </w:tc>
        <w:tc>
          <w:tcPr>
            <w:tcW w:w="2542" w:type="dxa"/>
            <w:vAlign w:val="center"/>
          </w:tcPr>
          <w:p w:rsidR="00463330" w:rsidRPr="00463330" w:rsidRDefault="00463330" w:rsidP="00D370D4">
            <w:pPr>
              <w:keepNext/>
              <w:jc w:val="center"/>
              <w:rPr>
                <w:rFonts w:ascii="Arial Narrow" w:hAnsi="Arial Narrow"/>
                <w:sz w:val="20"/>
                <w:szCs w:val="20"/>
                <w:lang w:eastAsia="en-US"/>
              </w:rPr>
            </w:pPr>
            <w:r>
              <w:rPr>
                <w:rFonts w:ascii="Arial Narrow" w:hAnsi="Arial Narrow"/>
                <w:sz w:val="20"/>
                <w:szCs w:val="20"/>
                <w:lang w:eastAsia="en-US"/>
              </w:rPr>
              <w:t>$77.90</w:t>
            </w:r>
          </w:p>
        </w:tc>
        <w:tc>
          <w:tcPr>
            <w:tcW w:w="2332" w:type="dxa"/>
            <w:vAlign w:val="center"/>
          </w:tcPr>
          <w:p w:rsidR="00463330" w:rsidRPr="00463330" w:rsidRDefault="00463330" w:rsidP="00D370D4">
            <w:pPr>
              <w:keepNext/>
              <w:jc w:val="center"/>
              <w:rPr>
                <w:rFonts w:ascii="Arial Narrow" w:hAnsi="Arial Narrow"/>
                <w:sz w:val="20"/>
                <w:szCs w:val="20"/>
                <w:lang w:eastAsia="en-US"/>
              </w:rPr>
            </w:pPr>
            <w:r>
              <w:rPr>
                <w:rFonts w:ascii="Arial Narrow" w:hAnsi="Arial Narrow"/>
                <w:sz w:val="20"/>
                <w:szCs w:val="20"/>
                <w:lang w:eastAsia="en-US"/>
              </w:rPr>
              <w:t>$77.90</w:t>
            </w:r>
          </w:p>
        </w:tc>
      </w:tr>
      <w:tr w:rsidR="00463330" w:rsidRPr="00463330" w:rsidTr="00466D7D">
        <w:tc>
          <w:tcPr>
            <w:tcW w:w="4052" w:type="dxa"/>
          </w:tcPr>
          <w:p w:rsidR="00463330" w:rsidRPr="00463330" w:rsidRDefault="00463330" w:rsidP="00D370D4">
            <w:pPr>
              <w:keepNext/>
              <w:ind w:left="175"/>
              <w:rPr>
                <w:rFonts w:ascii="Arial Narrow" w:hAnsi="Arial Narrow"/>
                <w:sz w:val="20"/>
                <w:szCs w:val="20"/>
                <w:lang w:eastAsia="en-US"/>
              </w:rPr>
            </w:pPr>
            <w:r w:rsidRPr="00463330">
              <w:rPr>
                <w:rFonts w:ascii="Arial Narrow" w:hAnsi="Arial Narrow"/>
                <w:sz w:val="20"/>
                <w:szCs w:val="20"/>
                <w:lang w:eastAsia="en-US"/>
              </w:rPr>
              <w:t>Botox administration (MBS Item 18377) per visit</w:t>
            </w:r>
          </w:p>
        </w:tc>
        <w:tc>
          <w:tcPr>
            <w:tcW w:w="2542" w:type="dxa"/>
            <w:vAlign w:val="center"/>
          </w:tcPr>
          <w:p w:rsidR="00463330" w:rsidRPr="00463330" w:rsidRDefault="00463330" w:rsidP="00D370D4">
            <w:pPr>
              <w:keepNext/>
              <w:jc w:val="center"/>
              <w:rPr>
                <w:rFonts w:ascii="Arial Narrow" w:hAnsi="Arial Narrow"/>
                <w:sz w:val="20"/>
                <w:szCs w:val="20"/>
                <w:lang w:eastAsia="en-US"/>
              </w:rPr>
            </w:pPr>
            <w:r w:rsidRPr="00463330">
              <w:rPr>
                <w:rFonts w:ascii="Arial Narrow" w:hAnsi="Arial Narrow"/>
                <w:sz w:val="20"/>
                <w:szCs w:val="20"/>
                <w:lang w:eastAsia="en-US"/>
              </w:rPr>
              <w:noBreakHyphen/>
            </w:r>
          </w:p>
        </w:tc>
        <w:tc>
          <w:tcPr>
            <w:tcW w:w="2332" w:type="dxa"/>
            <w:vAlign w:val="center"/>
          </w:tcPr>
          <w:p w:rsidR="00463330" w:rsidRPr="00463330" w:rsidRDefault="00463330" w:rsidP="00D370D4">
            <w:pPr>
              <w:keepNext/>
              <w:jc w:val="center"/>
              <w:rPr>
                <w:rFonts w:ascii="Arial Narrow" w:hAnsi="Arial Narrow"/>
                <w:sz w:val="20"/>
                <w:szCs w:val="20"/>
                <w:lang w:eastAsia="en-US"/>
              </w:rPr>
            </w:pPr>
            <w:r>
              <w:rPr>
                <w:rFonts w:ascii="Arial Narrow" w:hAnsi="Arial Narrow"/>
                <w:sz w:val="20"/>
                <w:szCs w:val="20"/>
                <w:lang w:eastAsia="en-US"/>
              </w:rPr>
              <w:t>$126.85</w:t>
            </w:r>
          </w:p>
        </w:tc>
      </w:tr>
      <w:tr w:rsidR="00463330" w:rsidRPr="00463330" w:rsidTr="00466D7D">
        <w:tc>
          <w:tcPr>
            <w:tcW w:w="4052" w:type="dxa"/>
          </w:tcPr>
          <w:p w:rsidR="00463330" w:rsidRPr="00463330" w:rsidRDefault="00463330" w:rsidP="00D370D4">
            <w:pPr>
              <w:keepNext/>
              <w:ind w:left="175"/>
              <w:rPr>
                <w:rFonts w:ascii="Arial Narrow" w:hAnsi="Arial Narrow"/>
                <w:sz w:val="20"/>
                <w:szCs w:val="20"/>
                <w:lang w:eastAsia="en-US"/>
              </w:rPr>
            </w:pPr>
            <w:r w:rsidRPr="00463330">
              <w:rPr>
                <w:rFonts w:ascii="Arial Narrow" w:hAnsi="Arial Narrow"/>
                <w:sz w:val="20"/>
                <w:szCs w:val="20"/>
                <w:lang w:eastAsia="en-US"/>
              </w:rPr>
              <w:t>Number of visits per 2 years</w:t>
            </w:r>
            <w:r w:rsidR="00EF5C70" w:rsidRPr="00EF5C70">
              <w:rPr>
                <w:rFonts w:ascii="Arial Narrow" w:hAnsi="Arial Narrow"/>
                <w:sz w:val="20"/>
                <w:szCs w:val="20"/>
                <w:vertAlign w:val="superscript"/>
                <w:lang w:eastAsia="en-US"/>
              </w:rPr>
              <w:t>1</w:t>
            </w:r>
          </w:p>
        </w:tc>
        <w:tc>
          <w:tcPr>
            <w:tcW w:w="2542" w:type="dxa"/>
            <w:vAlign w:val="center"/>
          </w:tcPr>
          <w:p w:rsidR="00463330" w:rsidRPr="00463330" w:rsidRDefault="00463330" w:rsidP="00D370D4">
            <w:pPr>
              <w:keepNext/>
              <w:jc w:val="center"/>
              <w:rPr>
                <w:rFonts w:ascii="Arial Narrow" w:hAnsi="Arial Narrow"/>
                <w:sz w:val="20"/>
                <w:szCs w:val="20"/>
                <w:lang w:eastAsia="en-US"/>
              </w:rPr>
            </w:pPr>
            <w:r>
              <w:rPr>
                <w:rFonts w:ascii="Arial Narrow" w:hAnsi="Arial Narrow"/>
                <w:sz w:val="20"/>
                <w:szCs w:val="20"/>
                <w:lang w:eastAsia="en-US"/>
              </w:rPr>
              <w:t>2.0</w:t>
            </w:r>
          </w:p>
        </w:tc>
        <w:tc>
          <w:tcPr>
            <w:tcW w:w="2332" w:type="dxa"/>
            <w:vAlign w:val="center"/>
          </w:tcPr>
          <w:p w:rsidR="00463330" w:rsidRPr="00463330" w:rsidRDefault="00573A69" w:rsidP="00D370D4">
            <w:pPr>
              <w:keepNext/>
              <w:jc w:val="center"/>
              <w:rPr>
                <w:rFonts w:ascii="Arial Narrow" w:hAnsi="Arial Narrow"/>
                <w:sz w:val="20"/>
                <w:szCs w:val="20"/>
                <w:lang w:eastAsia="en-US"/>
              </w:rPr>
            </w:pPr>
            <w:r>
              <w:rPr>
                <w:rFonts w:ascii="Arial Narrow" w:hAnsi="Arial Narrow"/>
                <w:sz w:val="20"/>
                <w:szCs w:val="20"/>
                <w:lang w:eastAsia="en-US"/>
              </w:rPr>
              <w:t>8.7</w:t>
            </w:r>
          </w:p>
        </w:tc>
      </w:tr>
      <w:tr w:rsidR="00573A69" w:rsidRPr="00463330" w:rsidTr="00466D7D">
        <w:tc>
          <w:tcPr>
            <w:tcW w:w="4052" w:type="dxa"/>
            <w:tcBorders>
              <w:bottom w:val="single" w:sz="4" w:space="0" w:color="auto"/>
            </w:tcBorders>
          </w:tcPr>
          <w:p w:rsidR="00573A69" w:rsidRPr="00463330" w:rsidRDefault="00573A69" w:rsidP="00D370D4">
            <w:pPr>
              <w:keepNext/>
              <w:ind w:left="175"/>
              <w:rPr>
                <w:rFonts w:ascii="Arial Narrow" w:hAnsi="Arial Narrow"/>
                <w:sz w:val="20"/>
                <w:szCs w:val="20"/>
                <w:lang w:eastAsia="en-US"/>
              </w:rPr>
            </w:pPr>
            <w:r>
              <w:rPr>
                <w:rFonts w:ascii="Arial Narrow" w:hAnsi="Arial Narrow"/>
                <w:sz w:val="20"/>
                <w:szCs w:val="20"/>
                <w:lang w:eastAsia="en-US"/>
              </w:rPr>
              <w:t>General practitioner MBS (Item 23)</w:t>
            </w:r>
          </w:p>
        </w:tc>
        <w:tc>
          <w:tcPr>
            <w:tcW w:w="2542" w:type="dxa"/>
            <w:tcBorders>
              <w:bottom w:val="single" w:sz="4" w:space="0" w:color="auto"/>
            </w:tcBorders>
            <w:vAlign w:val="center"/>
          </w:tcPr>
          <w:p w:rsidR="00573A69" w:rsidRPr="00463330" w:rsidRDefault="00573A69" w:rsidP="00D370D4">
            <w:pPr>
              <w:keepNext/>
              <w:jc w:val="center"/>
              <w:rPr>
                <w:rFonts w:ascii="Arial Narrow" w:hAnsi="Arial Narrow"/>
                <w:sz w:val="20"/>
                <w:szCs w:val="20"/>
                <w:lang w:eastAsia="en-US"/>
              </w:rPr>
            </w:pPr>
            <w:r>
              <w:rPr>
                <w:rFonts w:ascii="Arial Narrow" w:hAnsi="Arial Narrow"/>
                <w:sz w:val="20"/>
                <w:szCs w:val="20"/>
                <w:lang w:eastAsia="en-US"/>
              </w:rPr>
              <w:t>$38.20</w:t>
            </w:r>
          </w:p>
        </w:tc>
        <w:tc>
          <w:tcPr>
            <w:tcW w:w="2332" w:type="dxa"/>
            <w:tcBorders>
              <w:bottom w:val="single" w:sz="4" w:space="0" w:color="auto"/>
            </w:tcBorders>
            <w:vAlign w:val="center"/>
          </w:tcPr>
          <w:p w:rsidR="00573A69" w:rsidRPr="00463330" w:rsidRDefault="00573A69" w:rsidP="00D370D4">
            <w:pPr>
              <w:keepNext/>
              <w:jc w:val="center"/>
              <w:rPr>
                <w:rFonts w:ascii="Arial Narrow" w:hAnsi="Arial Narrow"/>
                <w:sz w:val="20"/>
                <w:szCs w:val="20"/>
                <w:lang w:eastAsia="en-US"/>
              </w:rPr>
            </w:pPr>
            <w:r>
              <w:rPr>
                <w:rFonts w:ascii="Arial Narrow" w:hAnsi="Arial Narrow"/>
                <w:sz w:val="20"/>
                <w:szCs w:val="20"/>
                <w:lang w:eastAsia="en-US"/>
              </w:rPr>
              <w:t>$38.20</w:t>
            </w:r>
          </w:p>
        </w:tc>
      </w:tr>
      <w:tr w:rsidR="00573A69" w:rsidRPr="00463330" w:rsidTr="00466D7D">
        <w:tc>
          <w:tcPr>
            <w:tcW w:w="4052" w:type="dxa"/>
            <w:tcBorders>
              <w:bottom w:val="single" w:sz="4" w:space="0" w:color="auto"/>
            </w:tcBorders>
          </w:tcPr>
          <w:p w:rsidR="00573A69" w:rsidRPr="00463330" w:rsidRDefault="00573A69" w:rsidP="00D370D4">
            <w:pPr>
              <w:keepNext/>
              <w:ind w:left="175"/>
              <w:rPr>
                <w:rFonts w:ascii="Arial Narrow" w:hAnsi="Arial Narrow"/>
                <w:sz w:val="20"/>
                <w:szCs w:val="20"/>
                <w:lang w:eastAsia="en-US"/>
              </w:rPr>
            </w:pPr>
            <w:r>
              <w:rPr>
                <w:rFonts w:ascii="Arial Narrow" w:hAnsi="Arial Narrow"/>
                <w:sz w:val="20"/>
                <w:szCs w:val="20"/>
                <w:lang w:eastAsia="en-US"/>
              </w:rPr>
              <w:t>Number of visits per 2 years</w:t>
            </w:r>
            <w:r w:rsidR="00EF5C70" w:rsidRPr="00EF5C70">
              <w:rPr>
                <w:rFonts w:ascii="Arial Narrow" w:hAnsi="Arial Narrow"/>
                <w:sz w:val="20"/>
                <w:szCs w:val="20"/>
                <w:vertAlign w:val="superscript"/>
                <w:lang w:eastAsia="en-US"/>
              </w:rPr>
              <w:t>2</w:t>
            </w:r>
          </w:p>
        </w:tc>
        <w:tc>
          <w:tcPr>
            <w:tcW w:w="2542" w:type="dxa"/>
            <w:tcBorders>
              <w:bottom w:val="single" w:sz="4" w:space="0" w:color="auto"/>
            </w:tcBorders>
            <w:vAlign w:val="center"/>
          </w:tcPr>
          <w:p w:rsidR="00573A69" w:rsidRPr="00463330" w:rsidRDefault="00573A69" w:rsidP="00D370D4">
            <w:pPr>
              <w:keepNext/>
              <w:jc w:val="center"/>
              <w:rPr>
                <w:rFonts w:ascii="Arial Narrow" w:hAnsi="Arial Narrow"/>
                <w:sz w:val="20"/>
                <w:szCs w:val="20"/>
                <w:lang w:eastAsia="en-US"/>
              </w:rPr>
            </w:pPr>
            <w:r>
              <w:rPr>
                <w:rFonts w:ascii="Arial Narrow" w:hAnsi="Arial Narrow"/>
                <w:sz w:val="20"/>
                <w:szCs w:val="20"/>
                <w:lang w:eastAsia="en-US"/>
              </w:rPr>
              <w:t>2.50</w:t>
            </w:r>
          </w:p>
        </w:tc>
        <w:tc>
          <w:tcPr>
            <w:tcW w:w="2332" w:type="dxa"/>
            <w:tcBorders>
              <w:bottom w:val="single" w:sz="4" w:space="0" w:color="auto"/>
            </w:tcBorders>
            <w:vAlign w:val="center"/>
          </w:tcPr>
          <w:p w:rsidR="00573A69" w:rsidRPr="00463330" w:rsidRDefault="00573A69" w:rsidP="00D370D4">
            <w:pPr>
              <w:keepNext/>
              <w:jc w:val="center"/>
              <w:rPr>
                <w:rFonts w:ascii="Arial Narrow" w:hAnsi="Arial Narrow"/>
                <w:sz w:val="20"/>
                <w:szCs w:val="20"/>
                <w:lang w:eastAsia="en-US"/>
              </w:rPr>
            </w:pPr>
            <w:r>
              <w:rPr>
                <w:rFonts w:ascii="Arial Narrow" w:hAnsi="Arial Narrow"/>
                <w:sz w:val="20"/>
                <w:szCs w:val="20"/>
                <w:lang w:eastAsia="en-US"/>
              </w:rPr>
              <w:t>-</w:t>
            </w:r>
          </w:p>
        </w:tc>
      </w:tr>
      <w:tr w:rsidR="00573A69" w:rsidRPr="00463330" w:rsidTr="00466D7D">
        <w:tc>
          <w:tcPr>
            <w:tcW w:w="4052" w:type="dxa"/>
            <w:tcBorders>
              <w:bottom w:val="single" w:sz="4" w:space="0" w:color="auto"/>
            </w:tcBorders>
          </w:tcPr>
          <w:p w:rsidR="00573A69" w:rsidRPr="00463330" w:rsidRDefault="00573A69" w:rsidP="00D370D4">
            <w:pPr>
              <w:keepNext/>
              <w:ind w:left="175"/>
              <w:rPr>
                <w:rFonts w:ascii="Arial Narrow" w:hAnsi="Arial Narrow"/>
                <w:sz w:val="20"/>
                <w:szCs w:val="20"/>
                <w:lang w:eastAsia="en-US"/>
              </w:rPr>
            </w:pPr>
            <w:r w:rsidRPr="00463330">
              <w:rPr>
                <w:rFonts w:ascii="Arial Narrow" w:hAnsi="Arial Narrow"/>
                <w:sz w:val="20"/>
                <w:szCs w:val="20"/>
                <w:lang w:eastAsia="en-US"/>
              </w:rPr>
              <w:t>Total administration cost: 2 years</w:t>
            </w:r>
          </w:p>
        </w:tc>
        <w:tc>
          <w:tcPr>
            <w:tcW w:w="2542" w:type="dxa"/>
            <w:tcBorders>
              <w:bottom w:val="single" w:sz="4" w:space="0" w:color="auto"/>
            </w:tcBorders>
            <w:vAlign w:val="center"/>
          </w:tcPr>
          <w:p w:rsidR="00573A69" w:rsidRPr="00463330" w:rsidRDefault="00573A69" w:rsidP="00D370D4">
            <w:pPr>
              <w:keepNext/>
              <w:jc w:val="center"/>
              <w:rPr>
                <w:rFonts w:ascii="Arial Narrow" w:hAnsi="Arial Narrow"/>
                <w:sz w:val="20"/>
                <w:szCs w:val="20"/>
                <w:lang w:eastAsia="en-US"/>
              </w:rPr>
            </w:pPr>
            <w:r>
              <w:rPr>
                <w:rFonts w:ascii="Arial Narrow" w:hAnsi="Arial Narrow"/>
                <w:sz w:val="20"/>
                <w:szCs w:val="20"/>
                <w:lang w:eastAsia="en-US"/>
              </w:rPr>
              <w:t>$251.30</w:t>
            </w:r>
          </w:p>
        </w:tc>
        <w:tc>
          <w:tcPr>
            <w:tcW w:w="2332" w:type="dxa"/>
            <w:tcBorders>
              <w:bottom w:val="single" w:sz="4" w:space="0" w:color="auto"/>
            </w:tcBorders>
            <w:vAlign w:val="center"/>
          </w:tcPr>
          <w:p w:rsidR="00573A69" w:rsidRPr="00463330" w:rsidRDefault="00074267" w:rsidP="00D370D4">
            <w:pPr>
              <w:keepNext/>
              <w:jc w:val="center"/>
              <w:rPr>
                <w:rFonts w:ascii="Arial Narrow" w:hAnsi="Arial Narrow"/>
                <w:sz w:val="20"/>
                <w:szCs w:val="20"/>
                <w:lang w:eastAsia="en-US"/>
              </w:rPr>
            </w:pPr>
            <w:r>
              <w:rPr>
                <w:rFonts w:ascii="Arial Narrow" w:hAnsi="Arial Narrow"/>
                <w:sz w:val="20"/>
                <w:szCs w:val="20"/>
                <w:lang w:eastAsia="en-US"/>
              </w:rPr>
              <w:t>$1,781.33</w:t>
            </w:r>
          </w:p>
        </w:tc>
      </w:tr>
      <w:tr w:rsidR="00573A69" w:rsidRPr="00463330" w:rsidTr="00466D7D">
        <w:tc>
          <w:tcPr>
            <w:tcW w:w="4052" w:type="dxa"/>
          </w:tcPr>
          <w:p w:rsidR="00573A69" w:rsidRPr="00463330" w:rsidRDefault="00573A69" w:rsidP="00D370D4">
            <w:pPr>
              <w:keepNext/>
              <w:rPr>
                <w:rFonts w:ascii="Arial Narrow" w:hAnsi="Arial Narrow"/>
                <w:sz w:val="20"/>
                <w:szCs w:val="20"/>
                <w:lang w:eastAsia="en-US"/>
              </w:rPr>
            </w:pPr>
            <w:r w:rsidRPr="00463330">
              <w:rPr>
                <w:rFonts w:ascii="Arial Narrow" w:hAnsi="Arial Narrow"/>
                <w:sz w:val="20"/>
                <w:szCs w:val="20"/>
                <w:lang w:eastAsia="en-US"/>
              </w:rPr>
              <w:t>Total drug and administration cost: 2 years</w:t>
            </w:r>
          </w:p>
        </w:tc>
        <w:tc>
          <w:tcPr>
            <w:tcW w:w="2542" w:type="dxa"/>
            <w:vAlign w:val="center"/>
          </w:tcPr>
          <w:p w:rsidR="00573A69" w:rsidRPr="00463330" w:rsidRDefault="00074267" w:rsidP="00D370D4">
            <w:pPr>
              <w:keepNext/>
              <w:jc w:val="center"/>
              <w:rPr>
                <w:rFonts w:ascii="Arial Narrow" w:hAnsi="Arial Narrow"/>
                <w:sz w:val="20"/>
                <w:szCs w:val="20"/>
                <w:lang w:eastAsia="en-US"/>
              </w:rPr>
            </w:pPr>
            <w:r>
              <w:rPr>
                <w:rFonts w:ascii="Arial Narrow" w:hAnsi="Arial Narrow"/>
                <w:sz w:val="20"/>
                <w:szCs w:val="20"/>
                <w:lang w:eastAsia="en-US"/>
              </w:rPr>
              <w:t>$6,596.63</w:t>
            </w:r>
          </w:p>
        </w:tc>
        <w:tc>
          <w:tcPr>
            <w:tcW w:w="2332" w:type="dxa"/>
            <w:vAlign w:val="center"/>
          </w:tcPr>
          <w:p w:rsidR="00573A69" w:rsidRPr="00463330" w:rsidRDefault="00074267" w:rsidP="00D370D4">
            <w:pPr>
              <w:keepNext/>
              <w:jc w:val="center"/>
              <w:rPr>
                <w:rFonts w:ascii="Arial Narrow" w:hAnsi="Arial Narrow"/>
                <w:sz w:val="20"/>
                <w:szCs w:val="20"/>
                <w:lang w:eastAsia="en-US"/>
              </w:rPr>
            </w:pPr>
            <w:r>
              <w:rPr>
                <w:rFonts w:ascii="Arial Narrow" w:hAnsi="Arial Narrow"/>
                <w:sz w:val="20"/>
                <w:szCs w:val="20"/>
                <w:lang w:eastAsia="en-US"/>
              </w:rPr>
              <w:t>$6,596.63</w:t>
            </w:r>
          </w:p>
        </w:tc>
      </w:tr>
    </w:tbl>
    <w:p w:rsidR="00463330" w:rsidRDefault="00463330" w:rsidP="00D370D4">
      <w:pPr>
        <w:keepNext/>
        <w:rPr>
          <w:rFonts w:ascii="Arial Narrow" w:hAnsi="Arial Narrow"/>
          <w:sz w:val="18"/>
          <w:szCs w:val="20"/>
          <w:lang w:eastAsia="en-US"/>
        </w:rPr>
      </w:pPr>
      <w:r w:rsidRPr="00463330">
        <w:rPr>
          <w:rFonts w:ascii="Arial Narrow" w:hAnsi="Arial Narrow"/>
          <w:sz w:val="18"/>
          <w:szCs w:val="20"/>
          <w:lang w:eastAsia="en-US"/>
        </w:rPr>
        <w:t>AEMP</w:t>
      </w:r>
      <w:r w:rsidR="00732EE6">
        <w:rPr>
          <w:rFonts w:ascii="Arial Narrow" w:hAnsi="Arial Narrow"/>
          <w:sz w:val="18"/>
          <w:szCs w:val="20"/>
          <w:lang w:eastAsia="en-US"/>
        </w:rPr>
        <w:t xml:space="preserve"> </w:t>
      </w:r>
      <w:r w:rsidRPr="00463330">
        <w:rPr>
          <w:rFonts w:ascii="Arial Narrow" w:hAnsi="Arial Narrow"/>
          <w:sz w:val="18"/>
          <w:szCs w:val="20"/>
          <w:lang w:eastAsia="en-US"/>
        </w:rPr>
        <w:t>approved ex-manufacturer price</w:t>
      </w:r>
      <w:r w:rsidR="00732EE6">
        <w:rPr>
          <w:rFonts w:ascii="Arial Narrow" w:hAnsi="Arial Narrow"/>
          <w:sz w:val="18"/>
          <w:szCs w:val="20"/>
          <w:lang w:eastAsia="en-US"/>
        </w:rPr>
        <w:t>; MBS Medicare Benefits Schedule</w:t>
      </w:r>
    </w:p>
    <w:p w:rsidR="00EF5C70" w:rsidRDefault="00EF5C70" w:rsidP="00D370D4">
      <w:pPr>
        <w:pStyle w:val="ListParagraph"/>
        <w:keepNext/>
        <w:numPr>
          <w:ilvl w:val="0"/>
          <w:numId w:val="21"/>
        </w:numPr>
        <w:spacing w:after="0"/>
        <w:rPr>
          <w:rFonts w:ascii="Arial Narrow" w:hAnsi="Arial Narrow"/>
          <w:sz w:val="18"/>
          <w:szCs w:val="20"/>
          <w:lang w:eastAsia="en-US"/>
        </w:rPr>
      </w:pPr>
      <w:r>
        <w:rPr>
          <w:rFonts w:ascii="Arial Narrow" w:hAnsi="Arial Narrow"/>
          <w:sz w:val="18"/>
          <w:szCs w:val="20"/>
          <w:lang w:eastAsia="en-US"/>
        </w:rPr>
        <w:t>Fremanezumab: neurologist visit at month 0 (initial script) and 3 (first continuing script); Botox: neurologist visits every 3 months (=364.25*2/84, rounded to 8.7)</w:t>
      </w:r>
    </w:p>
    <w:p w:rsidR="00EF5C70" w:rsidRPr="00EF5C70" w:rsidRDefault="00EF5C70" w:rsidP="00D370D4">
      <w:pPr>
        <w:pStyle w:val="ListParagraph"/>
        <w:keepNext/>
        <w:numPr>
          <w:ilvl w:val="0"/>
          <w:numId w:val="21"/>
        </w:numPr>
        <w:spacing w:after="0"/>
        <w:rPr>
          <w:rFonts w:ascii="Arial Narrow" w:hAnsi="Arial Narrow"/>
          <w:sz w:val="18"/>
          <w:szCs w:val="20"/>
          <w:lang w:eastAsia="en-US"/>
        </w:rPr>
      </w:pPr>
      <w:r>
        <w:rPr>
          <w:rFonts w:ascii="Arial Narrow" w:hAnsi="Arial Narrow"/>
          <w:sz w:val="18"/>
          <w:szCs w:val="20"/>
          <w:lang w:eastAsia="en-US"/>
        </w:rPr>
        <w:t xml:space="preserve">Fremanezumab: GP visit at month </w:t>
      </w:r>
      <w:r w:rsidR="00FB375A">
        <w:rPr>
          <w:rFonts w:ascii="Arial Narrow" w:hAnsi="Arial Narrow"/>
          <w:sz w:val="18"/>
          <w:szCs w:val="20"/>
          <w:lang w:eastAsia="en-US"/>
        </w:rPr>
        <w:t>9 (second and subsequent c</w:t>
      </w:r>
      <w:r w:rsidR="004A5311">
        <w:rPr>
          <w:rFonts w:ascii="Arial Narrow" w:hAnsi="Arial Narrow"/>
          <w:sz w:val="18"/>
          <w:szCs w:val="20"/>
          <w:lang w:eastAsia="en-US"/>
        </w:rPr>
        <w:t>ontinuing script), 15 and 21</w:t>
      </w:r>
      <w:r w:rsidR="00FB375A">
        <w:rPr>
          <w:rFonts w:ascii="Arial Narrow" w:hAnsi="Arial Narrow"/>
          <w:sz w:val="18"/>
          <w:szCs w:val="20"/>
          <w:lang w:eastAsia="en-US"/>
        </w:rPr>
        <w:t xml:space="preserve"> = 3, reduced to 2.5 to account for 24 months of treatment. </w:t>
      </w:r>
    </w:p>
    <w:p w:rsidR="003C2FB5" w:rsidRPr="00320CD3" w:rsidRDefault="00A55FEE" w:rsidP="008306F3">
      <w:pPr>
        <w:pStyle w:val="Heading2"/>
        <w:keepLines/>
        <w:spacing w:before="240" w:after="120"/>
        <w:rPr>
          <w:rFonts w:asciiTheme="minorHAnsi" w:eastAsiaTheme="majorEastAsia" w:hAnsiTheme="minorHAnsi" w:cstheme="majorBidi"/>
          <w:sz w:val="28"/>
          <w:szCs w:val="28"/>
          <w:lang w:eastAsia="en-US"/>
        </w:rPr>
      </w:pPr>
      <w:r w:rsidRPr="009855A8">
        <w:rPr>
          <w:rFonts w:asciiTheme="minorHAnsi" w:eastAsiaTheme="majorEastAsia" w:hAnsiTheme="minorHAnsi" w:cstheme="majorBidi"/>
          <w:sz w:val="28"/>
          <w:szCs w:val="28"/>
          <w:lang w:eastAsia="en-US"/>
        </w:rPr>
        <w:t>Drug c</w:t>
      </w:r>
      <w:r w:rsidR="00934168">
        <w:rPr>
          <w:rFonts w:asciiTheme="minorHAnsi" w:eastAsiaTheme="majorEastAsia" w:hAnsiTheme="minorHAnsi" w:cstheme="majorBidi"/>
          <w:sz w:val="28"/>
          <w:szCs w:val="28"/>
          <w:lang w:eastAsia="en-US"/>
        </w:rPr>
        <w:t>ost/patient/year</w:t>
      </w:r>
      <w:r w:rsidR="001F01DD">
        <w:rPr>
          <w:rFonts w:asciiTheme="minorHAnsi" w:eastAsiaTheme="majorEastAsia" w:hAnsiTheme="minorHAnsi" w:cstheme="majorBidi"/>
          <w:sz w:val="28"/>
          <w:szCs w:val="28"/>
          <w:lang w:eastAsia="en-US"/>
        </w:rPr>
        <w:t>: $3,592.80</w:t>
      </w:r>
      <w:r w:rsidRPr="009855A8">
        <w:rPr>
          <w:rFonts w:asciiTheme="minorHAnsi" w:eastAsiaTheme="majorEastAsia" w:hAnsiTheme="minorHAnsi" w:cstheme="majorBidi"/>
          <w:sz w:val="28"/>
          <w:szCs w:val="28"/>
          <w:lang w:eastAsia="en-US"/>
        </w:rPr>
        <w:t>.</w:t>
      </w:r>
    </w:p>
    <w:p w:rsidR="009C17AF" w:rsidRDefault="009C17AF" w:rsidP="009C17AF">
      <w:pPr>
        <w:numPr>
          <w:ilvl w:val="1"/>
          <w:numId w:val="15"/>
        </w:numPr>
        <w:spacing w:after="120"/>
        <w:rPr>
          <w:rFonts w:asciiTheme="minorHAnsi" w:hAnsiTheme="minorHAnsi" w:cs="Arial"/>
          <w:snapToGrid w:val="0"/>
          <w:lang w:eastAsia="en-US"/>
        </w:rPr>
      </w:pPr>
      <w:r w:rsidRPr="009C17AF">
        <w:rPr>
          <w:rFonts w:asciiTheme="minorHAnsi" w:hAnsiTheme="minorHAnsi" w:cs="Arial"/>
          <w:snapToGrid w:val="0"/>
          <w:lang w:eastAsia="en-US"/>
        </w:rPr>
        <w:t xml:space="preserve">Based on a </w:t>
      </w:r>
      <w:r w:rsidR="00500104">
        <w:rPr>
          <w:rFonts w:asciiTheme="minorHAnsi" w:hAnsiTheme="minorHAnsi" w:cs="Arial"/>
          <w:snapToGrid w:val="0"/>
          <w:lang w:eastAsia="en-US"/>
        </w:rPr>
        <w:t>dispensed price for maximum quantity (</w:t>
      </w:r>
      <w:r w:rsidRPr="009C17AF">
        <w:rPr>
          <w:rFonts w:asciiTheme="minorHAnsi" w:hAnsiTheme="minorHAnsi" w:cs="Arial"/>
          <w:snapToGrid w:val="0"/>
          <w:lang w:eastAsia="en-US"/>
        </w:rPr>
        <w:t>DPMQ</w:t>
      </w:r>
      <w:r w:rsidR="00500104">
        <w:rPr>
          <w:rFonts w:asciiTheme="minorHAnsi" w:hAnsiTheme="minorHAnsi" w:cs="Arial"/>
          <w:snapToGrid w:val="0"/>
          <w:lang w:eastAsia="en-US"/>
        </w:rPr>
        <w:t>)</w:t>
      </w:r>
      <w:r w:rsidR="00934168">
        <w:rPr>
          <w:rFonts w:asciiTheme="minorHAnsi" w:hAnsiTheme="minorHAnsi" w:cs="Arial"/>
          <w:snapToGrid w:val="0"/>
          <w:lang w:eastAsia="en-US"/>
        </w:rPr>
        <w:t xml:space="preserve"> </w:t>
      </w:r>
      <w:r w:rsidR="00000E66">
        <w:rPr>
          <w:rFonts w:asciiTheme="minorHAnsi" w:hAnsiTheme="minorHAnsi" w:cs="Arial"/>
          <w:snapToGrid w:val="0"/>
          <w:lang w:eastAsia="en-US"/>
        </w:rPr>
        <w:t>of $29</w:t>
      </w:r>
      <w:r w:rsidRPr="009C17AF">
        <w:rPr>
          <w:rFonts w:asciiTheme="minorHAnsi" w:hAnsiTheme="minorHAnsi" w:cs="Arial"/>
          <w:snapToGrid w:val="0"/>
          <w:lang w:eastAsia="en-US"/>
        </w:rPr>
        <w:t>9.40 per injection and assumi</w:t>
      </w:r>
      <w:r>
        <w:rPr>
          <w:rFonts w:asciiTheme="minorHAnsi" w:hAnsiTheme="minorHAnsi" w:cs="Arial"/>
          <w:snapToGrid w:val="0"/>
          <w:lang w:eastAsia="en-US"/>
        </w:rPr>
        <w:t xml:space="preserve">ng 12 injections per year, the </w:t>
      </w:r>
      <w:r w:rsidRPr="009C17AF">
        <w:rPr>
          <w:rFonts w:asciiTheme="minorHAnsi" w:hAnsiTheme="minorHAnsi" w:cs="Arial"/>
          <w:snapToGrid w:val="0"/>
          <w:lang w:eastAsia="en-US"/>
        </w:rPr>
        <w:t>drug cost per patient per year is $3,592.80</w:t>
      </w:r>
      <w:r w:rsidR="00A34687">
        <w:rPr>
          <w:rFonts w:asciiTheme="minorHAnsi" w:hAnsiTheme="minorHAnsi" w:cs="Arial"/>
          <w:snapToGrid w:val="0"/>
          <w:lang w:eastAsia="en-US"/>
        </w:rPr>
        <w:t xml:space="preserve"> (using the published price of Botox to determine the fremanezumab price)</w:t>
      </w:r>
      <w:r w:rsidRPr="009C17AF">
        <w:rPr>
          <w:rFonts w:asciiTheme="minorHAnsi" w:hAnsiTheme="minorHAnsi" w:cs="Arial"/>
          <w:snapToGrid w:val="0"/>
          <w:lang w:eastAsia="en-US"/>
        </w:rPr>
        <w:t>.</w:t>
      </w:r>
      <w:r w:rsidR="00500104">
        <w:rPr>
          <w:rFonts w:asciiTheme="minorHAnsi" w:hAnsiTheme="minorHAnsi" w:cs="Arial"/>
          <w:snapToGrid w:val="0"/>
          <w:lang w:eastAsia="en-US"/>
        </w:rPr>
        <w:t xml:space="preserve"> </w:t>
      </w:r>
    </w:p>
    <w:p w:rsidR="005A3173" w:rsidRDefault="005A3173" w:rsidP="008306F3">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Estimated PBS usage &amp; financial implications</w:t>
      </w:r>
    </w:p>
    <w:p w:rsidR="00E078D9" w:rsidRPr="00611BB5" w:rsidRDefault="00934168" w:rsidP="00E078D9">
      <w:pPr>
        <w:numPr>
          <w:ilvl w:val="1"/>
          <w:numId w:val="15"/>
        </w:numPr>
        <w:spacing w:after="120"/>
        <w:rPr>
          <w:rFonts w:asciiTheme="minorHAnsi" w:hAnsiTheme="minorHAnsi" w:cs="Arial"/>
          <w:snapToGrid w:val="0"/>
          <w:lang w:eastAsia="en-US"/>
        </w:rPr>
      </w:pPr>
      <w:r>
        <w:t xml:space="preserve">The key inputs into the financial estimates </w:t>
      </w:r>
      <w:r w:rsidR="008C7D8D">
        <w:t>are summarised</w:t>
      </w:r>
      <w:r>
        <w:t xml:space="preserve"> in</w:t>
      </w:r>
      <w:r w:rsidR="00C00DA7" w:rsidRPr="003C2FB5">
        <w:t xml:space="preserve"> </w:t>
      </w:r>
      <w:r w:rsidR="00111BB6" w:rsidRPr="004F44D2">
        <w:t>Table 3</w:t>
      </w:r>
      <w:r w:rsidR="00C00DA7" w:rsidRPr="003C2FB5">
        <w:t>.</w:t>
      </w:r>
    </w:p>
    <w:p w:rsidR="005F1275" w:rsidRPr="005F1275" w:rsidRDefault="00B149E2" w:rsidP="005F1275">
      <w:pPr>
        <w:pStyle w:val="TableFigureHeading"/>
        <w:rPr>
          <w:rStyle w:val="CommentReference"/>
          <w:rFonts w:eastAsia="Times New Roman" w:cs="Times New Roman"/>
          <w:bCs w:val="0"/>
          <w:sz w:val="20"/>
          <w:szCs w:val="20"/>
        </w:rPr>
      </w:pPr>
      <w:bookmarkStart w:id="3" w:name="_Ref33443742"/>
      <w:r w:rsidRPr="00CE38FC">
        <w:rPr>
          <w:rStyle w:val="CommentReference"/>
          <w:rFonts w:eastAsia="Times New Roman" w:cs="Times New Roman"/>
          <w:bCs w:val="0"/>
          <w:sz w:val="20"/>
          <w:szCs w:val="20"/>
        </w:rPr>
        <w:t xml:space="preserve">Table </w:t>
      </w:r>
      <w:r w:rsidR="00111BB6">
        <w:rPr>
          <w:rStyle w:val="CommentReference"/>
          <w:rFonts w:eastAsia="Times New Roman" w:cs="Times New Roman"/>
          <w:bCs w:val="0"/>
          <w:noProof/>
          <w:sz w:val="20"/>
          <w:szCs w:val="20"/>
        </w:rPr>
        <w:t>3</w:t>
      </w:r>
      <w:bookmarkEnd w:id="3"/>
      <w:r w:rsidRPr="00CE38FC">
        <w:rPr>
          <w:rStyle w:val="CommentReference"/>
          <w:rFonts w:eastAsia="Times New Roman" w:cs="Times New Roman"/>
          <w:bCs w:val="0"/>
          <w:sz w:val="20"/>
          <w:szCs w:val="20"/>
        </w:rPr>
        <w:t>:</w:t>
      </w:r>
      <w:r w:rsidR="005F1275" w:rsidRPr="005F1275">
        <w:rPr>
          <w:rStyle w:val="CommentReference"/>
          <w:rFonts w:eastAsia="Times New Roman" w:cs="Times New Roman"/>
          <w:bCs w:val="0"/>
          <w:sz w:val="20"/>
          <w:szCs w:val="20"/>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1"/>
        <w:gridCol w:w="1403"/>
        <w:gridCol w:w="1275"/>
        <w:gridCol w:w="4627"/>
      </w:tblGrid>
      <w:tr w:rsidR="005F1275" w:rsidRPr="003D1DE4" w:rsidTr="00540809">
        <w:trPr>
          <w:cantSplit/>
          <w:tblHeader/>
        </w:trPr>
        <w:tc>
          <w:tcPr>
            <w:tcW w:w="949" w:type="pct"/>
            <w:shd w:val="clear" w:color="auto" w:fill="auto"/>
            <w:vAlign w:val="center"/>
          </w:tcPr>
          <w:p w:rsidR="005F1275" w:rsidRPr="003D1DE4" w:rsidRDefault="005F1275" w:rsidP="00870281">
            <w:pPr>
              <w:pStyle w:val="In-tableHeading"/>
              <w:keepNext w:val="0"/>
            </w:pPr>
            <w:r>
              <w:t>Parameter</w:t>
            </w:r>
          </w:p>
        </w:tc>
        <w:tc>
          <w:tcPr>
            <w:tcW w:w="1485" w:type="pct"/>
            <w:gridSpan w:val="2"/>
            <w:shd w:val="clear" w:color="auto" w:fill="auto"/>
            <w:vAlign w:val="center"/>
          </w:tcPr>
          <w:p w:rsidR="005F1275" w:rsidRPr="003D1DE4" w:rsidRDefault="005F1275" w:rsidP="00870281">
            <w:pPr>
              <w:pStyle w:val="In-tableHeading"/>
              <w:keepNext w:val="0"/>
            </w:pPr>
            <w:r>
              <w:t>Value applied and source</w:t>
            </w:r>
          </w:p>
        </w:tc>
        <w:tc>
          <w:tcPr>
            <w:tcW w:w="2566" w:type="pct"/>
            <w:shd w:val="clear" w:color="auto" w:fill="auto"/>
            <w:vAlign w:val="center"/>
          </w:tcPr>
          <w:p w:rsidR="005F1275" w:rsidRPr="003D1DE4" w:rsidRDefault="005F1275" w:rsidP="00870281">
            <w:pPr>
              <w:pStyle w:val="In-tableHeading"/>
              <w:keepNext w:val="0"/>
            </w:pPr>
            <w:r>
              <w:t>Comment</w:t>
            </w:r>
          </w:p>
        </w:tc>
      </w:tr>
      <w:tr w:rsidR="00B149E2" w:rsidRPr="00E2771E" w:rsidTr="00540809">
        <w:trPr>
          <w:cantSplit/>
        </w:trPr>
        <w:tc>
          <w:tcPr>
            <w:tcW w:w="949" w:type="pct"/>
            <w:shd w:val="clear" w:color="auto" w:fill="auto"/>
            <w:vAlign w:val="center"/>
          </w:tcPr>
          <w:p w:rsidR="00B149E2" w:rsidRDefault="00B149E2" w:rsidP="00870281">
            <w:pPr>
              <w:pStyle w:val="TableText0"/>
              <w:keepNext w:val="0"/>
              <w:rPr>
                <w:lang w:val="en-US"/>
              </w:rPr>
            </w:pPr>
            <w:r>
              <w:rPr>
                <w:lang w:val="en-US"/>
              </w:rPr>
              <w:t>DPMQ per script</w:t>
            </w:r>
          </w:p>
        </w:tc>
        <w:tc>
          <w:tcPr>
            <w:tcW w:w="1485" w:type="pct"/>
            <w:gridSpan w:val="2"/>
            <w:shd w:val="clear" w:color="auto" w:fill="auto"/>
            <w:vAlign w:val="center"/>
          </w:tcPr>
          <w:p w:rsidR="00B149E2" w:rsidRDefault="00B149E2" w:rsidP="00870281">
            <w:pPr>
              <w:pStyle w:val="TableText0"/>
              <w:keepNext w:val="0"/>
              <w:rPr>
                <w:lang w:val="en-US"/>
              </w:rPr>
            </w:pPr>
            <w:r>
              <w:rPr>
                <w:lang w:val="en-US"/>
              </w:rPr>
              <w:t>$299.27</w:t>
            </w:r>
          </w:p>
        </w:tc>
        <w:tc>
          <w:tcPr>
            <w:tcW w:w="2566" w:type="pct"/>
            <w:shd w:val="clear" w:color="auto" w:fill="auto"/>
            <w:vAlign w:val="center"/>
          </w:tcPr>
          <w:p w:rsidR="00B149E2" w:rsidRPr="00CF3593" w:rsidRDefault="00B149E2" w:rsidP="00870281">
            <w:pPr>
              <w:pStyle w:val="TableText0"/>
              <w:keepNext w:val="0"/>
              <w:rPr>
                <w:lang w:val="en-US"/>
              </w:rPr>
            </w:pPr>
            <w:r w:rsidRPr="00CF3593">
              <w:rPr>
                <w:lang w:val="en-US"/>
              </w:rPr>
              <w:t xml:space="preserve">Calculated using </w:t>
            </w:r>
            <w:r w:rsidR="00624503" w:rsidRPr="00CF3593">
              <w:rPr>
                <w:lang w:val="en-US"/>
              </w:rPr>
              <w:t xml:space="preserve">the </w:t>
            </w:r>
            <w:r w:rsidRPr="00CF3593">
              <w:rPr>
                <w:lang w:val="en-US"/>
              </w:rPr>
              <w:t xml:space="preserve">published price of Botox </w:t>
            </w:r>
          </w:p>
        </w:tc>
      </w:tr>
      <w:tr w:rsidR="00B149E2" w:rsidRPr="00E2771E" w:rsidTr="00540809">
        <w:trPr>
          <w:cantSplit/>
        </w:trPr>
        <w:tc>
          <w:tcPr>
            <w:tcW w:w="949" w:type="pct"/>
            <w:shd w:val="clear" w:color="auto" w:fill="auto"/>
            <w:vAlign w:val="center"/>
          </w:tcPr>
          <w:p w:rsidR="00B149E2" w:rsidRDefault="00B149E2" w:rsidP="00870281">
            <w:pPr>
              <w:pStyle w:val="TableText0"/>
              <w:keepNext w:val="0"/>
              <w:rPr>
                <w:lang w:val="en-US"/>
              </w:rPr>
            </w:pPr>
            <w:r>
              <w:rPr>
                <w:lang w:val="en-US"/>
              </w:rPr>
              <w:t>Copayment</w:t>
            </w:r>
          </w:p>
        </w:tc>
        <w:tc>
          <w:tcPr>
            <w:tcW w:w="1485" w:type="pct"/>
            <w:gridSpan w:val="2"/>
            <w:shd w:val="clear" w:color="auto" w:fill="auto"/>
            <w:vAlign w:val="center"/>
          </w:tcPr>
          <w:p w:rsidR="00B149E2" w:rsidRDefault="00B149E2" w:rsidP="00870281">
            <w:pPr>
              <w:pStyle w:val="TableText0"/>
              <w:keepNext w:val="0"/>
              <w:rPr>
                <w:lang w:val="en-US"/>
              </w:rPr>
            </w:pPr>
            <w:r>
              <w:rPr>
                <w:lang w:val="en-US"/>
              </w:rPr>
              <w:t>$30.85</w:t>
            </w:r>
          </w:p>
        </w:tc>
        <w:tc>
          <w:tcPr>
            <w:tcW w:w="2566" w:type="pct"/>
            <w:shd w:val="clear" w:color="auto" w:fill="auto"/>
            <w:vAlign w:val="center"/>
          </w:tcPr>
          <w:p w:rsidR="00B149E2" w:rsidRPr="00CF3593" w:rsidRDefault="000D07AC" w:rsidP="00A34687">
            <w:pPr>
              <w:pStyle w:val="TableText0"/>
              <w:keepNext w:val="0"/>
              <w:rPr>
                <w:lang w:val="en-US"/>
              </w:rPr>
            </w:pPr>
            <w:r w:rsidRPr="00CF3593">
              <w:rPr>
                <w:lang w:val="en-US"/>
              </w:rPr>
              <w:t xml:space="preserve">From November 2019 submission (based on Botox usage). </w:t>
            </w:r>
          </w:p>
        </w:tc>
      </w:tr>
      <w:tr w:rsidR="009511F1" w:rsidRPr="00E2771E" w:rsidTr="00540809">
        <w:trPr>
          <w:cantSplit/>
        </w:trPr>
        <w:tc>
          <w:tcPr>
            <w:tcW w:w="949" w:type="pct"/>
            <w:shd w:val="clear" w:color="auto" w:fill="auto"/>
            <w:vAlign w:val="center"/>
          </w:tcPr>
          <w:p w:rsidR="009511F1" w:rsidRDefault="009511F1" w:rsidP="00870281">
            <w:pPr>
              <w:pStyle w:val="TableText0"/>
              <w:keepNext w:val="0"/>
              <w:rPr>
                <w:lang w:val="en-US"/>
              </w:rPr>
            </w:pPr>
            <w:r>
              <w:rPr>
                <w:lang w:val="en-US"/>
              </w:rPr>
              <w:t>Initial patient numbers</w:t>
            </w:r>
          </w:p>
        </w:tc>
        <w:tc>
          <w:tcPr>
            <w:tcW w:w="1485" w:type="pct"/>
            <w:gridSpan w:val="2"/>
            <w:shd w:val="clear" w:color="auto" w:fill="auto"/>
            <w:vAlign w:val="center"/>
          </w:tcPr>
          <w:p w:rsidR="009511F1" w:rsidRDefault="009511F1" w:rsidP="00870281">
            <w:pPr>
              <w:pStyle w:val="TableText0"/>
              <w:keepNext w:val="0"/>
              <w:rPr>
                <w:lang w:val="en-US"/>
              </w:rPr>
            </w:pPr>
            <w:r>
              <w:rPr>
                <w:lang w:val="en-US"/>
              </w:rPr>
              <w:t xml:space="preserve">April to June: </w:t>
            </w:r>
            <w:r w:rsidR="00C06965">
              <w:rPr>
                <w:lang w:val="en-US"/>
              </w:rPr>
              <w:t>less than 10,000</w:t>
            </w:r>
            <w:r>
              <w:rPr>
                <w:lang w:val="en-US"/>
              </w:rPr>
              <w:t xml:space="preserve"> </w:t>
            </w:r>
          </w:p>
          <w:p w:rsidR="009511F1" w:rsidRDefault="009511F1" w:rsidP="00870281">
            <w:pPr>
              <w:pStyle w:val="TableText0"/>
              <w:keepNext w:val="0"/>
              <w:rPr>
                <w:lang w:val="en-US"/>
              </w:rPr>
            </w:pPr>
            <w:r>
              <w:rPr>
                <w:lang w:val="en-US"/>
              </w:rPr>
              <w:t xml:space="preserve">Year 1: </w:t>
            </w:r>
            <w:r w:rsidR="00920C75">
              <w:rPr>
                <w:noProof/>
                <w:color w:val="000000"/>
                <w:highlight w:val="black"/>
                <w:lang w:val="en-US"/>
              </w:rPr>
              <w:t>''''''''''''''</w:t>
            </w:r>
          </w:p>
          <w:p w:rsidR="009511F1" w:rsidRDefault="009511F1" w:rsidP="00870281">
            <w:pPr>
              <w:pStyle w:val="TableText0"/>
              <w:keepNext w:val="0"/>
              <w:rPr>
                <w:lang w:val="en-US"/>
              </w:rPr>
            </w:pPr>
            <w:r>
              <w:rPr>
                <w:lang w:val="en-US"/>
              </w:rPr>
              <w:t xml:space="preserve">Year 2: </w:t>
            </w:r>
            <w:r w:rsidR="00920C75">
              <w:rPr>
                <w:noProof/>
                <w:color w:val="000000"/>
                <w:highlight w:val="black"/>
                <w:lang w:val="en-US"/>
              </w:rPr>
              <w:t>'''''''''''''</w:t>
            </w:r>
          </w:p>
          <w:p w:rsidR="009511F1" w:rsidRDefault="009511F1" w:rsidP="00870281">
            <w:pPr>
              <w:pStyle w:val="TableText0"/>
              <w:keepNext w:val="0"/>
              <w:rPr>
                <w:lang w:val="en-US"/>
              </w:rPr>
            </w:pPr>
            <w:r>
              <w:rPr>
                <w:lang w:val="en-US"/>
              </w:rPr>
              <w:t xml:space="preserve">Year 3: </w:t>
            </w:r>
            <w:r w:rsidR="00920C75">
              <w:rPr>
                <w:noProof/>
                <w:color w:val="000000"/>
                <w:highlight w:val="black"/>
                <w:lang w:val="en-US"/>
              </w:rPr>
              <w:t>'''''''''''''''''</w:t>
            </w:r>
          </w:p>
          <w:p w:rsidR="009511F1" w:rsidRDefault="009511F1" w:rsidP="00870281">
            <w:pPr>
              <w:pStyle w:val="TableText0"/>
              <w:keepNext w:val="0"/>
              <w:rPr>
                <w:lang w:val="en-US"/>
              </w:rPr>
            </w:pPr>
            <w:r>
              <w:rPr>
                <w:lang w:val="en-US"/>
              </w:rPr>
              <w:t xml:space="preserve">Year 4: </w:t>
            </w:r>
            <w:r w:rsidR="00920C75">
              <w:rPr>
                <w:noProof/>
                <w:color w:val="000000"/>
                <w:highlight w:val="black"/>
                <w:lang w:val="en-US"/>
              </w:rPr>
              <w:t>''''''''''''''''</w:t>
            </w:r>
          </w:p>
          <w:p w:rsidR="009511F1" w:rsidRDefault="009511F1" w:rsidP="00870281">
            <w:pPr>
              <w:pStyle w:val="TableText0"/>
              <w:keepNext w:val="0"/>
              <w:rPr>
                <w:lang w:val="en-US"/>
              </w:rPr>
            </w:pPr>
            <w:r>
              <w:rPr>
                <w:lang w:val="en-US"/>
              </w:rPr>
              <w:t xml:space="preserve">Year 5: </w:t>
            </w:r>
            <w:r w:rsidR="00920C75">
              <w:rPr>
                <w:noProof/>
                <w:color w:val="000000"/>
                <w:highlight w:val="black"/>
                <w:lang w:val="en-US"/>
              </w:rPr>
              <w:t>'''''''''''''''''</w:t>
            </w:r>
          </w:p>
        </w:tc>
        <w:tc>
          <w:tcPr>
            <w:tcW w:w="2566" w:type="pct"/>
            <w:shd w:val="clear" w:color="auto" w:fill="auto"/>
            <w:vAlign w:val="center"/>
          </w:tcPr>
          <w:p w:rsidR="00602E2B" w:rsidRPr="00CF3593" w:rsidRDefault="00602E2B" w:rsidP="00870281">
            <w:pPr>
              <w:pStyle w:val="TableText0"/>
              <w:keepNext w:val="0"/>
              <w:rPr>
                <w:lang w:val="en-US"/>
              </w:rPr>
            </w:pPr>
            <w:r w:rsidRPr="00CF3593">
              <w:rPr>
                <w:lang w:val="en-US"/>
              </w:rPr>
              <w:t xml:space="preserve">Prevalence of migraine: </w:t>
            </w:r>
            <w:r w:rsidR="005E7391" w:rsidRPr="00CF3593">
              <w:rPr>
                <w:lang w:val="en-US"/>
              </w:rPr>
              <w:t>1.305%</w:t>
            </w:r>
            <w:r w:rsidRPr="00CF3593">
              <w:rPr>
                <w:lang w:val="en-US"/>
              </w:rPr>
              <w:t xml:space="preserve"> adults,</w:t>
            </w:r>
            <w:r w:rsidR="005E7391" w:rsidRPr="00CF3593">
              <w:rPr>
                <w:lang w:val="en-US"/>
              </w:rPr>
              <w:t xml:space="preserve"> </w:t>
            </w:r>
            <w:r w:rsidRPr="00CF3593">
              <w:rPr>
                <w:lang w:val="en-US"/>
              </w:rPr>
              <w:t>37.24% have chronic migraine</w:t>
            </w:r>
            <w:r w:rsidR="002E678E" w:rsidRPr="00CF3593">
              <w:rPr>
                <w:vertAlign w:val="superscript"/>
                <w:lang w:val="en-US"/>
              </w:rPr>
              <w:t>1</w:t>
            </w:r>
            <w:r w:rsidR="002E678E" w:rsidRPr="00CF3593">
              <w:rPr>
                <w:lang w:val="en-US"/>
              </w:rPr>
              <w:t>.</w:t>
            </w:r>
          </w:p>
          <w:p w:rsidR="00602E2B" w:rsidRPr="00CF3593" w:rsidRDefault="00602E2B" w:rsidP="00870281">
            <w:pPr>
              <w:pStyle w:val="TableText0"/>
              <w:keepNext w:val="0"/>
              <w:rPr>
                <w:lang w:val="en-US"/>
              </w:rPr>
            </w:pPr>
          </w:p>
          <w:p w:rsidR="009511F1" w:rsidRPr="00CF3593" w:rsidRDefault="00602E2B" w:rsidP="00870281">
            <w:pPr>
              <w:pStyle w:val="TableText0"/>
              <w:keepNext w:val="0"/>
              <w:rPr>
                <w:lang w:val="en-US"/>
              </w:rPr>
            </w:pPr>
            <w:r w:rsidRPr="00CF3593">
              <w:rPr>
                <w:lang w:val="en-US"/>
              </w:rPr>
              <w:t xml:space="preserve">Year 1: </w:t>
            </w:r>
            <w:r w:rsidR="00920C75">
              <w:rPr>
                <w:noProof/>
                <w:color w:val="000000"/>
                <w:highlight w:val="black"/>
                <w:lang w:val="en-US"/>
              </w:rPr>
              <w:t>'''''''''</w:t>
            </w:r>
            <w:r w:rsidR="005E7391" w:rsidRPr="00CF3593">
              <w:rPr>
                <w:lang w:val="en-US"/>
              </w:rPr>
              <w:t xml:space="preserve">% treated. </w:t>
            </w:r>
          </w:p>
          <w:p w:rsidR="00602E2B" w:rsidRPr="00CF3593" w:rsidRDefault="00602E2B" w:rsidP="00870281">
            <w:pPr>
              <w:pStyle w:val="TableText0"/>
              <w:keepNext w:val="0"/>
              <w:rPr>
                <w:lang w:val="en-US"/>
              </w:rPr>
            </w:pPr>
          </w:p>
          <w:p w:rsidR="005E7391" w:rsidRPr="00CF3593" w:rsidRDefault="00602E2B" w:rsidP="00870281">
            <w:pPr>
              <w:pStyle w:val="TableText0"/>
              <w:keepNext w:val="0"/>
              <w:rPr>
                <w:lang w:val="en-US"/>
              </w:rPr>
            </w:pPr>
            <w:r w:rsidRPr="00CF3593">
              <w:rPr>
                <w:lang w:val="en-US"/>
              </w:rPr>
              <w:t xml:space="preserve">Year 5: </w:t>
            </w:r>
            <w:r w:rsidR="00920C75">
              <w:rPr>
                <w:noProof/>
                <w:color w:val="000000"/>
                <w:highlight w:val="black"/>
                <w:lang w:val="en-US"/>
              </w:rPr>
              <w:t>''''''''''</w:t>
            </w:r>
            <w:r w:rsidRPr="00CF3593">
              <w:rPr>
                <w:lang w:val="en-US"/>
              </w:rPr>
              <w:t>% treated</w:t>
            </w:r>
            <w:r w:rsidR="002E678E" w:rsidRPr="00CF3593">
              <w:rPr>
                <w:lang w:val="en-US"/>
              </w:rPr>
              <w:t>.</w:t>
            </w:r>
          </w:p>
        </w:tc>
      </w:tr>
      <w:tr w:rsidR="009511F1" w:rsidRPr="00E2771E" w:rsidTr="00540809">
        <w:trPr>
          <w:cantSplit/>
        </w:trPr>
        <w:tc>
          <w:tcPr>
            <w:tcW w:w="949" w:type="pct"/>
            <w:shd w:val="clear" w:color="auto" w:fill="auto"/>
            <w:vAlign w:val="center"/>
          </w:tcPr>
          <w:p w:rsidR="009511F1" w:rsidRDefault="009511F1" w:rsidP="00870281">
            <w:pPr>
              <w:pStyle w:val="TableText0"/>
              <w:keepNext w:val="0"/>
              <w:rPr>
                <w:lang w:val="en-US"/>
              </w:rPr>
            </w:pPr>
            <w:r>
              <w:rPr>
                <w:lang w:val="en-US"/>
              </w:rPr>
              <w:t>Continuing patient numb</w:t>
            </w:r>
            <w:r w:rsidR="00DA32B8">
              <w:rPr>
                <w:lang w:val="en-US"/>
              </w:rPr>
              <w:t>ers</w:t>
            </w:r>
          </w:p>
        </w:tc>
        <w:tc>
          <w:tcPr>
            <w:tcW w:w="1485" w:type="pct"/>
            <w:gridSpan w:val="2"/>
            <w:shd w:val="clear" w:color="auto" w:fill="auto"/>
            <w:vAlign w:val="center"/>
          </w:tcPr>
          <w:p w:rsidR="009511F1" w:rsidRDefault="009511F1" w:rsidP="00870281">
            <w:pPr>
              <w:pStyle w:val="TableText0"/>
              <w:keepNext w:val="0"/>
              <w:rPr>
                <w:lang w:val="en-US"/>
              </w:rPr>
            </w:pPr>
            <w:r>
              <w:rPr>
                <w:lang w:val="en-US"/>
              </w:rPr>
              <w:t xml:space="preserve">April to June: </w:t>
            </w:r>
            <w:r w:rsidR="00C06965">
              <w:rPr>
                <w:lang w:val="en-US"/>
              </w:rPr>
              <w:t>less than 10,000</w:t>
            </w:r>
            <w:r>
              <w:rPr>
                <w:lang w:val="en-US"/>
              </w:rPr>
              <w:t xml:space="preserve"> (from CGRP</w:t>
            </w:r>
            <w:r w:rsidR="00195D0F">
              <w:rPr>
                <w:lang w:val="en-US"/>
              </w:rPr>
              <w:t xml:space="preserve"> inhibitor</w:t>
            </w:r>
            <w:r>
              <w:rPr>
                <w:lang w:val="en-US"/>
              </w:rPr>
              <w:t xml:space="preserve"> access programs) </w:t>
            </w:r>
          </w:p>
          <w:p w:rsidR="009511F1" w:rsidRDefault="00902235" w:rsidP="00870281">
            <w:pPr>
              <w:pStyle w:val="TableText0"/>
              <w:keepNext w:val="0"/>
              <w:rPr>
                <w:lang w:val="en-US"/>
              </w:rPr>
            </w:pPr>
            <w:r>
              <w:rPr>
                <w:lang w:val="en-US"/>
              </w:rPr>
              <w:t xml:space="preserve">Year 1: </w:t>
            </w:r>
            <w:r w:rsidR="00920C75">
              <w:rPr>
                <w:noProof/>
                <w:color w:val="000000"/>
                <w:highlight w:val="black"/>
                <w:lang w:val="en-US"/>
              </w:rPr>
              <w:t>''''''''''''''</w:t>
            </w:r>
          </w:p>
          <w:p w:rsidR="009511F1" w:rsidRDefault="009511F1" w:rsidP="00870281">
            <w:pPr>
              <w:pStyle w:val="TableText0"/>
              <w:keepNext w:val="0"/>
              <w:rPr>
                <w:lang w:val="en-US"/>
              </w:rPr>
            </w:pPr>
            <w:r>
              <w:rPr>
                <w:lang w:val="en-US"/>
              </w:rPr>
              <w:t xml:space="preserve">Year 2: </w:t>
            </w:r>
            <w:r w:rsidR="00920C75">
              <w:rPr>
                <w:noProof/>
                <w:color w:val="000000"/>
                <w:highlight w:val="black"/>
                <w:lang w:val="en-US"/>
              </w:rPr>
              <w:t>'''''''''''''''''</w:t>
            </w:r>
          </w:p>
          <w:p w:rsidR="009511F1" w:rsidRDefault="009511F1" w:rsidP="00870281">
            <w:pPr>
              <w:pStyle w:val="TableText0"/>
              <w:keepNext w:val="0"/>
              <w:rPr>
                <w:lang w:val="en-US"/>
              </w:rPr>
            </w:pPr>
            <w:r>
              <w:rPr>
                <w:lang w:val="en-US"/>
              </w:rPr>
              <w:t xml:space="preserve">Year 3: </w:t>
            </w:r>
            <w:r w:rsidR="00920C75">
              <w:rPr>
                <w:noProof/>
                <w:color w:val="000000"/>
                <w:highlight w:val="black"/>
                <w:lang w:val="en-US"/>
              </w:rPr>
              <w:t>''''''''''''''''''</w:t>
            </w:r>
          </w:p>
          <w:p w:rsidR="009511F1" w:rsidRDefault="00902235" w:rsidP="00870281">
            <w:pPr>
              <w:pStyle w:val="TableText0"/>
              <w:keepNext w:val="0"/>
              <w:rPr>
                <w:lang w:val="en-US"/>
              </w:rPr>
            </w:pPr>
            <w:r>
              <w:rPr>
                <w:lang w:val="en-US"/>
              </w:rPr>
              <w:t xml:space="preserve">Year 4: </w:t>
            </w:r>
            <w:r w:rsidR="00920C75">
              <w:rPr>
                <w:noProof/>
                <w:color w:val="000000"/>
                <w:highlight w:val="black"/>
                <w:lang w:val="en-US"/>
              </w:rPr>
              <w:t>'''''''''''''''</w:t>
            </w:r>
          </w:p>
          <w:p w:rsidR="009511F1" w:rsidRDefault="00902235" w:rsidP="00870281">
            <w:pPr>
              <w:pStyle w:val="TableText0"/>
              <w:keepNext w:val="0"/>
              <w:rPr>
                <w:lang w:val="en-US"/>
              </w:rPr>
            </w:pPr>
            <w:r>
              <w:rPr>
                <w:lang w:val="en-US"/>
              </w:rPr>
              <w:t xml:space="preserve">Year 5: </w:t>
            </w:r>
            <w:r w:rsidR="00920C75">
              <w:rPr>
                <w:noProof/>
                <w:color w:val="000000"/>
                <w:highlight w:val="black"/>
                <w:lang w:val="en-US"/>
              </w:rPr>
              <w:t>'''''''''''''''</w:t>
            </w:r>
          </w:p>
        </w:tc>
        <w:tc>
          <w:tcPr>
            <w:tcW w:w="2566" w:type="pct"/>
            <w:shd w:val="clear" w:color="auto" w:fill="auto"/>
            <w:vAlign w:val="center"/>
          </w:tcPr>
          <w:p w:rsidR="00220BC2" w:rsidRPr="00411DB2" w:rsidRDefault="00220BC2" w:rsidP="00870281">
            <w:pPr>
              <w:pStyle w:val="TableText0"/>
              <w:keepNext w:val="0"/>
              <w:rPr>
                <w:lang w:val="en-US"/>
              </w:rPr>
            </w:pPr>
            <w:r w:rsidRPr="00411DB2">
              <w:rPr>
                <w:lang w:val="en-US"/>
              </w:rPr>
              <w:t xml:space="preserve">The Sponsor estimated there are likely to be </w:t>
            </w:r>
            <w:r w:rsidR="004539D8">
              <w:rPr>
                <w:lang w:val="en-US"/>
              </w:rPr>
              <w:t>less than 10,000</w:t>
            </w:r>
            <w:r w:rsidR="002F04E6" w:rsidRPr="00411DB2">
              <w:rPr>
                <w:lang w:val="en-US"/>
              </w:rPr>
              <w:t xml:space="preserve"> patient</w:t>
            </w:r>
            <w:r w:rsidRPr="00411DB2">
              <w:rPr>
                <w:lang w:val="en-US"/>
              </w:rPr>
              <w:t xml:space="preserve">s </w:t>
            </w:r>
            <w:r w:rsidR="000A5A29" w:rsidRPr="00411DB2">
              <w:rPr>
                <w:lang w:val="en-US"/>
              </w:rPr>
              <w:t xml:space="preserve">on CGRP inhibitor access programs </w:t>
            </w:r>
            <w:r w:rsidRPr="00411DB2">
              <w:rPr>
                <w:lang w:val="en-US"/>
              </w:rPr>
              <w:t xml:space="preserve">that will require transition </w:t>
            </w:r>
            <w:r w:rsidR="000A5A29" w:rsidRPr="00411DB2">
              <w:rPr>
                <w:lang w:val="en-US"/>
              </w:rPr>
              <w:t xml:space="preserve">(grandfathering) </w:t>
            </w:r>
            <w:r w:rsidRPr="00411DB2">
              <w:rPr>
                <w:lang w:val="en-US"/>
              </w:rPr>
              <w:t xml:space="preserve">to PBS listed fremanezumab. The source of this estimate is unclear. </w:t>
            </w:r>
          </w:p>
          <w:p w:rsidR="009511F1" w:rsidRPr="00411DB2" w:rsidRDefault="002F04E6" w:rsidP="00870281">
            <w:pPr>
              <w:pStyle w:val="TableText0"/>
              <w:keepNext w:val="0"/>
              <w:rPr>
                <w:lang w:val="en-US"/>
              </w:rPr>
            </w:pPr>
            <w:r w:rsidRPr="00411DB2">
              <w:rPr>
                <w:lang w:val="en-US"/>
              </w:rPr>
              <w:t>Year 1 to Year 5 continuing patients c</w:t>
            </w:r>
            <w:r w:rsidR="00602E2B" w:rsidRPr="00411DB2">
              <w:rPr>
                <w:lang w:val="en-US"/>
              </w:rPr>
              <w:t>alculated based on</w:t>
            </w:r>
            <w:r w:rsidR="00D13D41" w:rsidRPr="00411DB2">
              <w:rPr>
                <w:lang w:val="en-US"/>
              </w:rPr>
              <w:t xml:space="preserve"> the number of</w:t>
            </w:r>
            <w:r w:rsidR="00602E2B" w:rsidRPr="00411DB2">
              <w:rPr>
                <w:lang w:val="en-US"/>
              </w:rPr>
              <w:t xml:space="preserve"> initial patients and assumptions below. </w:t>
            </w:r>
          </w:p>
        </w:tc>
      </w:tr>
      <w:tr w:rsidR="009511F1" w:rsidRPr="00E2771E" w:rsidTr="00540809">
        <w:trPr>
          <w:cantSplit/>
        </w:trPr>
        <w:tc>
          <w:tcPr>
            <w:tcW w:w="949" w:type="pct"/>
            <w:shd w:val="clear" w:color="auto" w:fill="auto"/>
            <w:vAlign w:val="center"/>
          </w:tcPr>
          <w:p w:rsidR="009511F1" w:rsidRDefault="009511F1" w:rsidP="00870281">
            <w:pPr>
              <w:pStyle w:val="TableText0"/>
              <w:keepNext w:val="0"/>
              <w:rPr>
                <w:lang w:val="en-US"/>
              </w:rPr>
            </w:pPr>
            <w:r>
              <w:rPr>
                <w:lang w:val="en-US"/>
              </w:rPr>
              <w:lastRenderedPageBreak/>
              <w:t>Continuation rate at 12 weeks</w:t>
            </w:r>
          </w:p>
        </w:tc>
        <w:tc>
          <w:tcPr>
            <w:tcW w:w="1485" w:type="pct"/>
            <w:gridSpan w:val="2"/>
            <w:shd w:val="clear" w:color="auto" w:fill="auto"/>
            <w:vAlign w:val="center"/>
          </w:tcPr>
          <w:p w:rsidR="009511F1" w:rsidRDefault="00920C75" w:rsidP="00870281">
            <w:pPr>
              <w:pStyle w:val="TableText0"/>
              <w:keepNext w:val="0"/>
              <w:rPr>
                <w:lang w:val="en-US"/>
              </w:rPr>
            </w:pPr>
            <w:r>
              <w:rPr>
                <w:noProof/>
                <w:color w:val="000000"/>
                <w:highlight w:val="black"/>
                <w:lang w:val="en-US"/>
              </w:rPr>
              <w:t>'''''''''''</w:t>
            </w:r>
            <w:r w:rsidR="009511F1">
              <w:rPr>
                <w:lang w:val="en-US"/>
              </w:rPr>
              <w:t>%</w:t>
            </w:r>
          </w:p>
          <w:p w:rsidR="009511F1" w:rsidRDefault="009511F1" w:rsidP="00407265">
            <w:pPr>
              <w:pStyle w:val="TableText0"/>
              <w:keepNext w:val="0"/>
              <w:rPr>
                <w:lang w:val="en-US"/>
              </w:rPr>
            </w:pPr>
            <w:r>
              <w:rPr>
                <w:lang w:val="en-US"/>
              </w:rPr>
              <w:t>Based on the continuation rate for Botox reported in the 2017 DUSC Botox review (paragraph 6.81, fremanezumab</w:t>
            </w:r>
            <w:r w:rsidR="00407265">
              <w:rPr>
                <w:lang w:val="en-US"/>
              </w:rPr>
              <w:t xml:space="preserve"> PSD</w:t>
            </w:r>
            <w:r>
              <w:rPr>
                <w:lang w:val="en-US"/>
              </w:rPr>
              <w:t>, November 2019 PBAC meeting).</w:t>
            </w:r>
          </w:p>
        </w:tc>
        <w:tc>
          <w:tcPr>
            <w:tcW w:w="2566" w:type="pct"/>
            <w:shd w:val="clear" w:color="auto" w:fill="auto"/>
            <w:vAlign w:val="center"/>
          </w:tcPr>
          <w:p w:rsidR="009511F1" w:rsidRPr="00411DB2" w:rsidRDefault="00386DF4" w:rsidP="00870281">
            <w:pPr>
              <w:pStyle w:val="TableText0"/>
              <w:keepNext w:val="0"/>
              <w:rPr>
                <w:lang w:val="en-US"/>
              </w:rPr>
            </w:pPr>
            <w:r w:rsidRPr="00411DB2">
              <w:rPr>
                <w:lang w:val="en-US"/>
              </w:rPr>
              <w:t xml:space="preserve">Unchanged from previous submission. </w:t>
            </w:r>
          </w:p>
        </w:tc>
      </w:tr>
      <w:tr w:rsidR="009511F1" w:rsidRPr="00E2771E" w:rsidTr="00540809">
        <w:trPr>
          <w:cantSplit/>
        </w:trPr>
        <w:tc>
          <w:tcPr>
            <w:tcW w:w="949" w:type="pct"/>
            <w:shd w:val="clear" w:color="auto" w:fill="auto"/>
            <w:vAlign w:val="center"/>
          </w:tcPr>
          <w:p w:rsidR="009511F1" w:rsidRDefault="00830727" w:rsidP="00870281">
            <w:pPr>
              <w:pStyle w:val="TableText0"/>
              <w:keepNext w:val="0"/>
              <w:rPr>
                <w:lang w:val="en-US"/>
              </w:rPr>
            </w:pPr>
            <w:r>
              <w:rPr>
                <w:lang w:val="en-US"/>
              </w:rPr>
              <w:t>Disc</w:t>
            </w:r>
            <w:r w:rsidR="009511F1">
              <w:rPr>
                <w:lang w:val="en-US"/>
              </w:rPr>
              <w:t>ontinuation rate in subsequent years</w:t>
            </w:r>
          </w:p>
        </w:tc>
        <w:tc>
          <w:tcPr>
            <w:tcW w:w="1485" w:type="pct"/>
            <w:gridSpan w:val="2"/>
            <w:shd w:val="clear" w:color="auto" w:fill="auto"/>
            <w:vAlign w:val="center"/>
          </w:tcPr>
          <w:p w:rsidR="009511F1" w:rsidRDefault="00920C75" w:rsidP="00870281">
            <w:pPr>
              <w:pStyle w:val="TableText0"/>
              <w:keepNext w:val="0"/>
              <w:rPr>
                <w:lang w:val="en-US"/>
              </w:rPr>
            </w:pPr>
            <w:r>
              <w:rPr>
                <w:noProof/>
                <w:color w:val="000000"/>
                <w:highlight w:val="black"/>
                <w:lang w:val="en-US"/>
              </w:rPr>
              <w:t>'''''''</w:t>
            </w:r>
            <w:r w:rsidR="009511F1">
              <w:rPr>
                <w:lang w:val="en-US"/>
              </w:rPr>
              <w:t>%</w:t>
            </w:r>
          </w:p>
          <w:p w:rsidR="009511F1" w:rsidRDefault="009511F1" w:rsidP="00870281">
            <w:pPr>
              <w:pStyle w:val="TableText0"/>
              <w:keepNext w:val="0"/>
              <w:rPr>
                <w:lang w:val="en-US"/>
              </w:rPr>
            </w:pPr>
          </w:p>
        </w:tc>
        <w:tc>
          <w:tcPr>
            <w:tcW w:w="2566" w:type="pct"/>
            <w:shd w:val="clear" w:color="auto" w:fill="auto"/>
            <w:vAlign w:val="center"/>
          </w:tcPr>
          <w:p w:rsidR="009511F1" w:rsidRPr="00A63326" w:rsidRDefault="00602E2B" w:rsidP="00870281">
            <w:pPr>
              <w:pStyle w:val="TableText0"/>
              <w:keepNext w:val="0"/>
              <w:rPr>
                <w:color w:val="FF0000"/>
                <w:lang w:val="en-US"/>
              </w:rPr>
            </w:pPr>
            <w:r w:rsidRPr="00A63326">
              <w:rPr>
                <w:lang w:val="en-US"/>
              </w:rPr>
              <w:t xml:space="preserve">The assumption that </w:t>
            </w:r>
            <w:r w:rsidR="00920C75">
              <w:rPr>
                <w:noProof/>
                <w:color w:val="000000"/>
                <w:highlight w:val="black"/>
                <w:lang w:val="en-US"/>
              </w:rPr>
              <w:t>'''''''</w:t>
            </w:r>
            <w:r w:rsidR="00DB373C" w:rsidRPr="00A63326">
              <w:rPr>
                <w:lang w:val="en-US"/>
              </w:rPr>
              <w:t xml:space="preserve">% </w:t>
            </w:r>
            <w:r w:rsidRPr="00A63326">
              <w:rPr>
                <w:lang w:val="en-US"/>
              </w:rPr>
              <w:t>of</w:t>
            </w:r>
            <w:r w:rsidR="00F53D8A" w:rsidRPr="00A63326">
              <w:rPr>
                <w:lang w:val="en-US"/>
              </w:rPr>
              <w:t xml:space="preserve"> </w:t>
            </w:r>
            <w:r w:rsidR="00830727" w:rsidRPr="00A63326">
              <w:rPr>
                <w:lang w:val="en-US"/>
              </w:rPr>
              <w:t xml:space="preserve">continuing (responding) </w:t>
            </w:r>
            <w:r w:rsidRPr="00A63326">
              <w:rPr>
                <w:lang w:val="en-US"/>
              </w:rPr>
              <w:t xml:space="preserve">patients </w:t>
            </w:r>
            <w:r w:rsidR="00830727" w:rsidRPr="00A63326">
              <w:rPr>
                <w:lang w:val="en-US"/>
              </w:rPr>
              <w:t xml:space="preserve">discontinue </w:t>
            </w:r>
            <w:r w:rsidR="00F53D8A" w:rsidRPr="00A63326">
              <w:rPr>
                <w:lang w:val="en-US"/>
              </w:rPr>
              <w:t>treatment</w:t>
            </w:r>
            <w:r w:rsidRPr="00A63326">
              <w:rPr>
                <w:lang w:val="en-US"/>
              </w:rPr>
              <w:t xml:space="preserve"> each year is </w:t>
            </w:r>
            <w:r w:rsidR="00830727" w:rsidRPr="00A63326">
              <w:rPr>
                <w:lang w:val="en-US"/>
              </w:rPr>
              <w:t xml:space="preserve">higher </w:t>
            </w:r>
            <w:r w:rsidR="00DB373C" w:rsidRPr="00A63326">
              <w:rPr>
                <w:lang w:val="en-US"/>
              </w:rPr>
              <w:t xml:space="preserve">than </w:t>
            </w:r>
            <w:r w:rsidRPr="00A63326">
              <w:rPr>
                <w:lang w:val="en-US"/>
              </w:rPr>
              <w:t xml:space="preserve">the </w:t>
            </w:r>
            <w:r w:rsidR="00DB373C" w:rsidRPr="00A63326">
              <w:rPr>
                <w:lang w:val="en-US"/>
              </w:rPr>
              <w:t>previous submission</w:t>
            </w:r>
            <w:r w:rsidR="00F53D8A" w:rsidRPr="00A63326">
              <w:rPr>
                <w:lang w:val="en-US"/>
              </w:rPr>
              <w:t xml:space="preserve"> (which assumed </w:t>
            </w:r>
            <w:r w:rsidR="00920C75">
              <w:rPr>
                <w:noProof/>
                <w:color w:val="000000"/>
                <w:highlight w:val="black"/>
                <w:lang w:val="en-US"/>
              </w:rPr>
              <w:t>''''''</w:t>
            </w:r>
            <w:r w:rsidR="00F53D8A" w:rsidRPr="00A63326">
              <w:rPr>
                <w:lang w:val="en-US"/>
              </w:rPr>
              <w:t>% of patients</w:t>
            </w:r>
            <w:r w:rsidR="00830727" w:rsidRPr="00A63326">
              <w:rPr>
                <w:lang w:val="en-US"/>
              </w:rPr>
              <w:t xml:space="preserve"> discontinued</w:t>
            </w:r>
            <w:r w:rsidR="00F53D8A" w:rsidRPr="00A63326">
              <w:rPr>
                <w:lang w:val="en-US"/>
              </w:rPr>
              <w:t>)</w:t>
            </w:r>
            <w:r w:rsidRPr="00A63326">
              <w:rPr>
                <w:lang w:val="en-US"/>
              </w:rPr>
              <w:t>.</w:t>
            </w:r>
            <w:r w:rsidR="00DB373C" w:rsidRPr="00A63326">
              <w:rPr>
                <w:color w:val="FF0000"/>
                <w:lang w:val="en-US"/>
              </w:rPr>
              <w:t xml:space="preserve"> </w:t>
            </w:r>
          </w:p>
          <w:p w:rsidR="00602E2B" w:rsidRPr="00A63326" w:rsidRDefault="00602E2B" w:rsidP="00870281">
            <w:pPr>
              <w:pStyle w:val="TableText0"/>
              <w:keepNext w:val="0"/>
              <w:rPr>
                <w:lang w:val="en-US"/>
              </w:rPr>
            </w:pPr>
          </w:p>
          <w:p w:rsidR="00602E2B" w:rsidRPr="00A63326" w:rsidRDefault="00602E2B" w:rsidP="00870281">
            <w:pPr>
              <w:pStyle w:val="TableText0"/>
              <w:keepNext w:val="0"/>
              <w:rPr>
                <w:lang w:val="en-US"/>
              </w:rPr>
            </w:pPr>
            <w:r w:rsidRPr="00A63326">
              <w:t xml:space="preserve">It is also assumed that </w:t>
            </w:r>
            <w:r w:rsidR="00920C75">
              <w:rPr>
                <w:noProof/>
                <w:color w:val="000000"/>
                <w:highlight w:val="black"/>
              </w:rPr>
              <w:t>''''''</w:t>
            </w:r>
            <w:r w:rsidR="00830727" w:rsidRPr="00A63326">
              <w:t>%</w:t>
            </w:r>
            <w:r w:rsidRPr="00A63326">
              <w:t xml:space="preserve"> of the </w:t>
            </w:r>
            <w:r w:rsidR="003B2527">
              <w:t>less than 10,000</w:t>
            </w:r>
            <w:r w:rsidRPr="00A63326">
              <w:t>grandfathered patients will</w:t>
            </w:r>
            <w:r w:rsidR="00830727" w:rsidRPr="00A63326">
              <w:t xml:space="preserve"> dis</w:t>
            </w:r>
            <w:r w:rsidRPr="00A63326">
              <w:t xml:space="preserve">continue </w:t>
            </w:r>
            <w:r w:rsidR="009B02B5" w:rsidRPr="00A63326">
              <w:t xml:space="preserve">treatment </w:t>
            </w:r>
            <w:r w:rsidRPr="00A63326">
              <w:t>in the first full financial year of listing (i.e. year 1) which may not be reasonable.</w:t>
            </w:r>
            <w:r w:rsidR="00F53D8A" w:rsidRPr="00A63326">
              <w:t xml:space="preserve"> These patients may have been on</w:t>
            </w:r>
            <w:r w:rsidR="00D450EF" w:rsidRPr="00A63326">
              <w:t xml:space="preserve"> CGRP inhibitor</w:t>
            </w:r>
            <w:r w:rsidR="00F53D8A" w:rsidRPr="00A63326">
              <w:t xml:space="preserve"> treatment for some time and may be </w:t>
            </w:r>
            <w:r w:rsidR="00830727" w:rsidRPr="00A63326">
              <w:t xml:space="preserve">less </w:t>
            </w:r>
            <w:r w:rsidR="00F53D8A" w:rsidRPr="00A63326">
              <w:t xml:space="preserve">likely to </w:t>
            </w:r>
            <w:r w:rsidR="00830727" w:rsidRPr="00A63326">
              <w:t>dis</w:t>
            </w:r>
            <w:r w:rsidR="00F53D8A" w:rsidRPr="00A63326">
              <w:t>continue</w:t>
            </w:r>
            <w:r w:rsidR="00830727" w:rsidRPr="00A63326">
              <w:t xml:space="preserve"> treatment</w:t>
            </w:r>
            <w:r w:rsidR="00566F8E">
              <w:t>.</w:t>
            </w:r>
          </w:p>
          <w:p w:rsidR="00602E2B" w:rsidRPr="00A63326" w:rsidRDefault="00602E2B" w:rsidP="00870281">
            <w:pPr>
              <w:pStyle w:val="TableText0"/>
              <w:keepNext w:val="0"/>
              <w:rPr>
                <w:lang w:val="en-US"/>
              </w:rPr>
            </w:pPr>
          </w:p>
        </w:tc>
      </w:tr>
      <w:tr w:rsidR="00902235" w:rsidRPr="00E2771E" w:rsidTr="00540809">
        <w:trPr>
          <w:cantSplit/>
        </w:trPr>
        <w:tc>
          <w:tcPr>
            <w:tcW w:w="949" w:type="pct"/>
            <w:shd w:val="clear" w:color="auto" w:fill="auto"/>
            <w:vAlign w:val="center"/>
          </w:tcPr>
          <w:p w:rsidR="00902235" w:rsidRDefault="00902235" w:rsidP="00870281">
            <w:pPr>
              <w:pStyle w:val="TableText0"/>
              <w:keepNext w:val="0"/>
              <w:rPr>
                <w:lang w:val="en-US"/>
              </w:rPr>
            </w:pPr>
            <w:r>
              <w:rPr>
                <w:lang w:val="en-US"/>
              </w:rPr>
              <w:t>No. scripts</w:t>
            </w:r>
          </w:p>
        </w:tc>
        <w:tc>
          <w:tcPr>
            <w:tcW w:w="1485" w:type="pct"/>
            <w:gridSpan w:val="2"/>
            <w:shd w:val="clear" w:color="auto" w:fill="auto"/>
            <w:vAlign w:val="center"/>
          </w:tcPr>
          <w:p w:rsidR="00466D7D" w:rsidRDefault="00466D7D" w:rsidP="00870281">
            <w:pPr>
              <w:pStyle w:val="TableText0"/>
              <w:keepNext w:val="0"/>
              <w:rPr>
                <w:lang w:val="en-US"/>
              </w:rPr>
            </w:pPr>
            <w:r>
              <w:rPr>
                <w:lang w:val="en-US"/>
              </w:rPr>
              <w:t xml:space="preserve">First 3 months: all </w:t>
            </w:r>
            <w:r w:rsidR="00D62333">
              <w:rPr>
                <w:lang w:val="en-US"/>
              </w:rPr>
              <w:t xml:space="preserve">initial and grandfathered </w:t>
            </w:r>
            <w:r>
              <w:rPr>
                <w:lang w:val="en-US"/>
              </w:rPr>
              <w:t>patients receive 3 scripts</w:t>
            </w:r>
            <w:r w:rsidR="002E678E" w:rsidRPr="002E678E">
              <w:rPr>
                <w:vertAlign w:val="superscript"/>
                <w:lang w:val="en-US"/>
              </w:rPr>
              <w:t>2</w:t>
            </w:r>
          </w:p>
          <w:p w:rsidR="00902235" w:rsidRDefault="00902235" w:rsidP="00870281">
            <w:pPr>
              <w:pStyle w:val="TableText0"/>
              <w:keepNext w:val="0"/>
              <w:rPr>
                <w:lang w:val="en-US"/>
              </w:rPr>
            </w:pPr>
            <w:r>
              <w:rPr>
                <w:lang w:val="en-US"/>
              </w:rPr>
              <w:t xml:space="preserve">For each full </w:t>
            </w:r>
            <w:r w:rsidR="00C7324D">
              <w:rPr>
                <w:lang w:val="en-US"/>
              </w:rPr>
              <w:t xml:space="preserve">financial </w:t>
            </w:r>
            <w:r>
              <w:rPr>
                <w:lang w:val="en-US"/>
              </w:rPr>
              <w:t>year:</w:t>
            </w:r>
          </w:p>
          <w:p w:rsidR="00902235" w:rsidRDefault="00902235" w:rsidP="00870281">
            <w:pPr>
              <w:pStyle w:val="TableText0"/>
              <w:keepNext w:val="0"/>
              <w:rPr>
                <w:lang w:val="en-US"/>
              </w:rPr>
            </w:pPr>
            <w:r>
              <w:rPr>
                <w:lang w:val="en-US"/>
              </w:rPr>
              <w:t xml:space="preserve">Initial patients: all receive 3 scripts, continuing receive 9 scripts </w:t>
            </w:r>
          </w:p>
          <w:p w:rsidR="00902235" w:rsidRDefault="00902235" w:rsidP="00870281">
            <w:pPr>
              <w:pStyle w:val="TableText0"/>
              <w:keepNext w:val="0"/>
              <w:rPr>
                <w:lang w:val="en-US"/>
              </w:rPr>
            </w:pPr>
            <w:r>
              <w:rPr>
                <w:lang w:val="en-US"/>
              </w:rPr>
              <w:t>Continuing patients: all receive 12 scripts</w:t>
            </w:r>
          </w:p>
        </w:tc>
        <w:tc>
          <w:tcPr>
            <w:tcW w:w="2566" w:type="pct"/>
            <w:shd w:val="clear" w:color="auto" w:fill="auto"/>
            <w:vAlign w:val="center"/>
          </w:tcPr>
          <w:p w:rsidR="00902235" w:rsidRPr="00DA2C1C" w:rsidRDefault="002F04E6" w:rsidP="00D450EF">
            <w:pPr>
              <w:pStyle w:val="TableText0"/>
              <w:keepNext w:val="0"/>
              <w:rPr>
                <w:color w:val="FF0000"/>
                <w:lang w:val="en-US"/>
              </w:rPr>
            </w:pPr>
            <w:r w:rsidRPr="00DA2C1C">
              <w:t xml:space="preserve">This is an overestimate as it </w:t>
            </w:r>
            <w:r w:rsidR="00E44DC0" w:rsidRPr="00DA2C1C">
              <w:t xml:space="preserve">assumes </w:t>
            </w:r>
            <w:r w:rsidRPr="00DA2C1C">
              <w:t xml:space="preserve">all patients receive a full 12 months of </w:t>
            </w:r>
            <w:r w:rsidR="00E44DC0" w:rsidRPr="00DA2C1C">
              <w:t>treatment.</w:t>
            </w:r>
            <w:r w:rsidR="00E44DC0" w:rsidRPr="00DA2C1C">
              <w:rPr>
                <w:color w:val="FF0000"/>
                <w:lang w:val="en-US"/>
              </w:rPr>
              <w:t xml:space="preserve"> </w:t>
            </w:r>
          </w:p>
        </w:tc>
      </w:tr>
      <w:tr w:rsidR="00DA32B8" w:rsidRPr="00E2771E" w:rsidTr="00540809">
        <w:trPr>
          <w:cantSplit/>
        </w:trPr>
        <w:tc>
          <w:tcPr>
            <w:tcW w:w="949" w:type="pct"/>
            <w:shd w:val="clear" w:color="auto" w:fill="auto"/>
            <w:vAlign w:val="center"/>
          </w:tcPr>
          <w:p w:rsidR="00DA32B8" w:rsidRDefault="00DA32B8" w:rsidP="00870281">
            <w:pPr>
              <w:pStyle w:val="TableText0"/>
              <w:keepNext w:val="0"/>
              <w:rPr>
                <w:lang w:val="en-US"/>
              </w:rPr>
            </w:pPr>
            <w:r>
              <w:rPr>
                <w:lang w:val="en-US"/>
              </w:rPr>
              <w:t>Botox offsets</w:t>
            </w:r>
          </w:p>
        </w:tc>
        <w:tc>
          <w:tcPr>
            <w:tcW w:w="778" w:type="pct"/>
            <w:shd w:val="clear" w:color="auto" w:fill="auto"/>
            <w:vAlign w:val="center"/>
          </w:tcPr>
          <w:p w:rsidR="00DA32B8" w:rsidRDefault="00DA32B8" w:rsidP="00870281">
            <w:pPr>
              <w:pStyle w:val="TableText0"/>
              <w:keepNext w:val="0"/>
              <w:rPr>
                <w:lang w:val="en-US"/>
              </w:rPr>
            </w:pPr>
            <w:r>
              <w:rPr>
                <w:lang w:val="en-US"/>
              </w:rPr>
              <w:t>AEMP $337.49</w:t>
            </w:r>
          </w:p>
          <w:p w:rsidR="00DA32B8" w:rsidRDefault="007D18B5" w:rsidP="00870281">
            <w:pPr>
              <w:pStyle w:val="TableText0"/>
              <w:keepNext w:val="0"/>
              <w:rPr>
                <w:lang w:val="en-US"/>
              </w:rPr>
            </w:pPr>
            <w:r>
              <w:rPr>
                <w:lang w:val="en-US"/>
              </w:rPr>
              <w:t>Patients:</w:t>
            </w:r>
          </w:p>
          <w:p w:rsidR="00DA32B8" w:rsidRDefault="00DA32B8" w:rsidP="00870281">
            <w:pPr>
              <w:pStyle w:val="TableText0"/>
              <w:keepNext w:val="0"/>
              <w:rPr>
                <w:lang w:val="en-US"/>
              </w:rPr>
            </w:pPr>
            <w:r>
              <w:rPr>
                <w:lang w:val="en-US"/>
              </w:rPr>
              <w:t xml:space="preserve">April to June: </w:t>
            </w:r>
            <w:r w:rsidR="00920C75">
              <w:rPr>
                <w:noProof/>
                <w:color w:val="000000"/>
                <w:highlight w:val="black"/>
                <w:lang w:val="en-US"/>
              </w:rPr>
              <w:t>''''''''</w:t>
            </w:r>
          </w:p>
          <w:p w:rsidR="00DA32B8" w:rsidRDefault="00DA32B8" w:rsidP="00870281">
            <w:pPr>
              <w:pStyle w:val="TableText0"/>
              <w:keepNext w:val="0"/>
              <w:rPr>
                <w:lang w:val="en-US"/>
              </w:rPr>
            </w:pPr>
            <w:r>
              <w:rPr>
                <w:lang w:val="en-US"/>
              </w:rPr>
              <w:t xml:space="preserve">Year 1: </w:t>
            </w:r>
            <w:r w:rsidR="00920C75">
              <w:rPr>
                <w:noProof/>
                <w:color w:val="000000"/>
                <w:highlight w:val="black"/>
                <w:lang w:val="en-US"/>
              </w:rPr>
              <w:t xml:space="preserve">'''''''''''''' </w:t>
            </w:r>
          </w:p>
          <w:p w:rsidR="00DA32B8" w:rsidRDefault="00DA32B8" w:rsidP="00870281">
            <w:pPr>
              <w:pStyle w:val="TableText0"/>
              <w:keepNext w:val="0"/>
              <w:rPr>
                <w:lang w:val="en-US"/>
              </w:rPr>
            </w:pPr>
            <w:r>
              <w:rPr>
                <w:lang w:val="en-US"/>
              </w:rPr>
              <w:t xml:space="preserve">Year 2: </w:t>
            </w:r>
            <w:r w:rsidR="00920C75">
              <w:rPr>
                <w:noProof/>
                <w:color w:val="000000"/>
                <w:highlight w:val="black"/>
                <w:lang w:val="en-US"/>
              </w:rPr>
              <w:t>'''''''''''''</w:t>
            </w:r>
          </w:p>
          <w:p w:rsidR="00DA32B8" w:rsidRDefault="00DA32B8" w:rsidP="00870281">
            <w:pPr>
              <w:pStyle w:val="TableText0"/>
              <w:keepNext w:val="0"/>
              <w:rPr>
                <w:lang w:val="en-US"/>
              </w:rPr>
            </w:pPr>
            <w:r>
              <w:rPr>
                <w:lang w:val="en-US"/>
              </w:rPr>
              <w:t xml:space="preserve">Year 3: </w:t>
            </w:r>
            <w:r w:rsidR="00920C75">
              <w:rPr>
                <w:noProof/>
                <w:color w:val="000000"/>
                <w:highlight w:val="black"/>
                <w:lang w:val="en-US"/>
              </w:rPr>
              <w:t>''''''''''''</w:t>
            </w:r>
          </w:p>
          <w:p w:rsidR="00DA32B8" w:rsidRPr="00920C75" w:rsidRDefault="00DA32B8" w:rsidP="00870281">
            <w:pPr>
              <w:pStyle w:val="TableText0"/>
              <w:keepNext w:val="0"/>
              <w:rPr>
                <w:lang w:val="en-US"/>
              </w:rPr>
            </w:pPr>
            <w:r>
              <w:rPr>
                <w:lang w:val="en-US"/>
              </w:rPr>
              <w:t xml:space="preserve">Year 4: </w:t>
            </w:r>
            <w:r w:rsidR="00920C75">
              <w:rPr>
                <w:noProof/>
                <w:color w:val="000000"/>
                <w:highlight w:val="black"/>
                <w:lang w:val="en-US"/>
              </w:rPr>
              <w:t>'''''''''''''''</w:t>
            </w:r>
          </w:p>
          <w:p w:rsidR="00DA32B8" w:rsidRDefault="00DA32B8" w:rsidP="00870281">
            <w:pPr>
              <w:pStyle w:val="TableText0"/>
              <w:keepNext w:val="0"/>
              <w:rPr>
                <w:lang w:val="en-US"/>
              </w:rPr>
            </w:pPr>
            <w:r>
              <w:rPr>
                <w:lang w:val="en-US"/>
              </w:rPr>
              <w:t xml:space="preserve">Year 5: </w:t>
            </w:r>
            <w:r w:rsidR="00920C75">
              <w:rPr>
                <w:noProof/>
                <w:color w:val="000000"/>
                <w:highlight w:val="black"/>
                <w:lang w:val="en-US"/>
              </w:rPr>
              <w:t>''''''''''''''</w:t>
            </w:r>
          </w:p>
        </w:tc>
        <w:tc>
          <w:tcPr>
            <w:tcW w:w="707" w:type="pct"/>
            <w:shd w:val="clear" w:color="auto" w:fill="auto"/>
            <w:vAlign w:val="center"/>
          </w:tcPr>
          <w:p w:rsidR="00DA32B8" w:rsidRDefault="00DA32B8" w:rsidP="00870281">
            <w:pPr>
              <w:pStyle w:val="TableText0"/>
              <w:keepNext w:val="0"/>
              <w:rPr>
                <w:lang w:val="en-US"/>
              </w:rPr>
            </w:pPr>
            <w:r>
              <w:rPr>
                <w:lang w:val="en-US"/>
              </w:rPr>
              <w:t xml:space="preserve">1.64 scripts per patient </w:t>
            </w:r>
            <w:r w:rsidR="007D18B5">
              <w:rPr>
                <w:lang w:val="en-US"/>
              </w:rPr>
              <w:t>per dose</w:t>
            </w:r>
          </w:p>
          <w:p w:rsidR="007D18B5" w:rsidRDefault="007D18B5" w:rsidP="00870281">
            <w:pPr>
              <w:pStyle w:val="TableText0"/>
              <w:keepNext w:val="0"/>
              <w:rPr>
                <w:lang w:val="en-US"/>
              </w:rPr>
            </w:pPr>
            <w:r>
              <w:rPr>
                <w:lang w:val="en-US"/>
              </w:rPr>
              <w:t>4.35 doses per patient per year</w:t>
            </w:r>
          </w:p>
          <w:p w:rsidR="00DA32B8" w:rsidRDefault="00DA32B8" w:rsidP="00870281">
            <w:pPr>
              <w:pStyle w:val="TableText0"/>
              <w:keepNext w:val="0"/>
              <w:rPr>
                <w:lang w:val="en-US"/>
              </w:rPr>
            </w:pPr>
            <w:r>
              <w:rPr>
                <w:lang w:val="en-US"/>
              </w:rPr>
              <w:t xml:space="preserve"> </w:t>
            </w:r>
          </w:p>
        </w:tc>
        <w:tc>
          <w:tcPr>
            <w:tcW w:w="2566" w:type="pct"/>
            <w:shd w:val="clear" w:color="auto" w:fill="auto"/>
          </w:tcPr>
          <w:p w:rsidR="002F04E6" w:rsidRPr="0016193C" w:rsidRDefault="002F04E6" w:rsidP="00870281">
            <w:pPr>
              <w:pStyle w:val="TableText0"/>
              <w:keepNext w:val="0"/>
              <w:rPr>
                <w:lang w:val="en-US"/>
              </w:rPr>
            </w:pPr>
            <w:r w:rsidRPr="0016193C">
              <w:rPr>
                <w:lang w:val="en-US"/>
              </w:rPr>
              <w:t xml:space="preserve">Assumptions consistent with the CMA. </w:t>
            </w:r>
          </w:p>
          <w:p w:rsidR="007D18B5" w:rsidRPr="00DB373C" w:rsidRDefault="002F04E6" w:rsidP="00870281">
            <w:pPr>
              <w:pStyle w:val="TableText0"/>
              <w:keepNext w:val="0"/>
              <w:rPr>
                <w:i/>
                <w:color w:val="FF0000"/>
                <w:lang w:val="en-US"/>
              </w:rPr>
            </w:pPr>
            <w:r w:rsidRPr="0016193C">
              <w:rPr>
                <w:lang w:val="en-US"/>
              </w:rPr>
              <w:t>The offsets were calculated at the AEMP level which will underestimate the</w:t>
            </w:r>
            <w:r w:rsidR="00C338B3" w:rsidRPr="0016193C">
              <w:rPr>
                <w:lang w:val="en-US"/>
              </w:rPr>
              <w:t xml:space="preserve"> cost</w:t>
            </w:r>
            <w:r w:rsidR="008E31E2" w:rsidRPr="0016193C">
              <w:rPr>
                <w:lang w:val="en-US"/>
              </w:rPr>
              <w:t xml:space="preserve"> offset</w:t>
            </w:r>
            <w:r w:rsidR="00C338B3" w:rsidRPr="0016193C">
              <w:rPr>
                <w:lang w:val="en-US"/>
              </w:rPr>
              <w:t>s</w:t>
            </w:r>
            <w:r w:rsidR="00566F8E">
              <w:rPr>
                <w:i/>
                <w:lang w:val="en-US"/>
              </w:rPr>
              <w:t>.</w:t>
            </w:r>
          </w:p>
        </w:tc>
      </w:tr>
    </w:tbl>
    <w:p w:rsidR="00732EE6" w:rsidRPr="00732EE6" w:rsidRDefault="00732EE6" w:rsidP="00870281">
      <w:pPr>
        <w:rPr>
          <w:rFonts w:ascii="Arial Narrow" w:eastAsiaTheme="majorEastAsia" w:hAnsi="Arial Narrow" w:cstheme="majorBidi"/>
          <w:bCs/>
          <w:sz w:val="18"/>
          <w:lang w:val="en-US"/>
        </w:rPr>
      </w:pPr>
      <w:r>
        <w:rPr>
          <w:rFonts w:ascii="Arial Narrow" w:hAnsi="Arial Narrow" w:cs="Arial"/>
          <w:sz w:val="18"/>
          <w:szCs w:val="20"/>
          <w:lang w:eastAsia="en-US"/>
        </w:rPr>
        <w:t xml:space="preserve">AEMP approved ex-manufacturer price; CGRP calcitonin gene-related peptide; </w:t>
      </w:r>
      <w:r w:rsidR="002058E4">
        <w:rPr>
          <w:rFonts w:ascii="Arial Narrow" w:eastAsiaTheme="majorEastAsia" w:hAnsi="Arial Narrow" w:cstheme="majorBidi"/>
          <w:bCs/>
          <w:sz w:val="18"/>
          <w:lang w:val="en-US"/>
        </w:rPr>
        <w:t>CMA cost</w:t>
      </w:r>
      <w:r w:rsidR="002058E4" w:rsidRPr="002058E4">
        <w:rPr>
          <w:rFonts w:ascii="Arial Narrow" w:eastAsiaTheme="majorEastAsia" w:hAnsi="Arial Narrow" w:cstheme="majorBidi"/>
          <w:bCs/>
          <w:sz w:val="18"/>
        </w:rPr>
        <w:t>-</w:t>
      </w:r>
      <w:r w:rsidRPr="002058E4">
        <w:rPr>
          <w:rFonts w:ascii="Arial Narrow" w:eastAsiaTheme="majorEastAsia" w:hAnsi="Arial Narrow" w:cstheme="majorBidi"/>
          <w:bCs/>
          <w:sz w:val="18"/>
        </w:rPr>
        <w:t>minimisation</w:t>
      </w:r>
      <w:r w:rsidRPr="00732EE6">
        <w:rPr>
          <w:rFonts w:ascii="Arial Narrow" w:eastAsiaTheme="majorEastAsia" w:hAnsi="Arial Narrow" w:cstheme="majorBidi"/>
          <w:bCs/>
          <w:sz w:val="18"/>
          <w:lang w:val="en-US"/>
        </w:rPr>
        <w:t xml:space="preserve"> analysis; DPMQ dispensed price for maximum quantity</w:t>
      </w:r>
      <w:r>
        <w:rPr>
          <w:rFonts w:ascii="Arial Narrow" w:eastAsiaTheme="majorEastAsia" w:hAnsi="Arial Narrow" w:cstheme="majorBidi"/>
          <w:bCs/>
          <w:sz w:val="18"/>
          <w:lang w:val="en-US"/>
        </w:rPr>
        <w:t>; DUSC drug</w:t>
      </w:r>
      <w:r w:rsidRPr="002058E4">
        <w:rPr>
          <w:rFonts w:ascii="Arial Narrow" w:eastAsiaTheme="majorEastAsia" w:hAnsi="Arial Narrow" w:cstheme="majorBidi"/>
          <w:bCs/>
          <w:sz w:val="18"/>
        </w:rPr>
        <w:t xml:space="preserve"> utilisation</w:t>
      </w:r>
      <w:r>
        <w:rPr>
          <w:rFonts w:ascii="Arial Narrow" w:eastAsiaTheme="majorEastAsia" w:hAnsi="Arial Narrow" w:cstheme="majorBidi"/>
          <w:bCs/>
          <w:sz w:val="18"/>
          <w:lang w:val="en-US"/>
        </w:rPr>
        <w:t xml:space="preserve"> sub-committee</w:t>
      </w:r>
      <w:r w:rsidR="00195D0F">
        <w:rPr>
          <w:rFonts w:ascii="Arial Narrow" w:eastAsiaTheme="majorEastAsia" w:hAnsi="Arial Narrow" w:cstheme="majorBidi"/>
          <w:bCs/>
          <w:sz w:val="18"/>
          <w:lang w:val="en-US"/>
        </w:rPr>
        <w:t xml:space="preserve">; </w:t>
      </w:r>
      <w:r w:rsidR="00195D0F">
        <w:rPr>
          <w:rFonts w:ascii="Arial Narrow" w:hAnsi="Arial Narrow" w:cs="Arial"/>
          <w:sz w:val="18"/>
          <w:szCs w:val="20"/>
          <w:lang w:eastAsia="en-US"/>
        </w:rPr>
        <w:t>PBAC Pharmaceutical Benefits Advisory Committee; PBS Pharmaceutical Benefits Scheme; RSA risk-sharing arrangement</w:t>
      </w:r>
    </w:p>
    <w:p w:rsidR="002E678E" w:rsidRDefault="002E678E" w:rsidP="002E678E">
      <w:pPr>
        <w:rPr>
          <w:rFonts w:ascii="Arial Narrow" w:eastAsiaTheme="majorEastAsia" w:hAnsi="Arial Narrow" w:cstheme="majorBidi"/>
          <w:bCs/>
          <w:sz w:val="18"/>
          <w:lang w:val="en-US"/>
        </w:rPr>
      </w:pPr>
      <w:r>
        <w:rPr>
          <w:rFonts w:ascii="Arial Narrow" w:eastAsiaTheme="majorEastAsia" w:hAnsi="Arial Narrow" w:cstheme="majorBidi"/>
          <w:bCs/>
          <w:sz w:val="18"/>
          <w:lang w:val="en-US"/>
        </w:rPr>
        <w:t>1. Based on epidemiology approach to estimate patient numbers includ</w:t>
      </w:r>
      <w:r w:rsidR="00CA232A">
        <w:rPr>
          <w:rFonts w:ascii="Arial Narrow" w:eastAsiaTheme="majorEastAsia" w:hAnsi="Arial Narrow" w:cstheme="majorBidi"/>
          <w:bCs/>
          <w:sz w:val="18"/>
          <w:lang w:val="en-US"/>
        </w:rPr>
        <w:t>ed in November 2019 submission</w:t>
      </w:r>
      <w:r>
        <w:rPr>
          <w:rFonts w:ascii="Arial Narrow" w:eastAsiaTheme="majorEastAsia" w:hAnsi="Arial Narrow" w:cstheme="majorBidi"/>
          <w:bCs/>
          <w:sz w:val="18"/>
          <w:lang w:val="en-US"/>
        </w:rPr>
        <w:t>.</w:t>
      </w:r>
    </w:p>
    <w:p w:rsidR="00466D7D" w:rsidRDefault="002E678E">
      <w:pPr>
        <w:spacing w:after="240"/>
        <w:rPr>
          <w:rFonts w:ascii="Arial Narrow" w:eastAsiaTheme="majorEastAsia" w:hAnsi="Arial Narrow" w:cstheme="majorBidi"/>
          <w:bCs/>
          <w:sz w:val="18"/>
          <w:lang w:val="en-US"/>
        </w:rPr>
      </w:pPr>
      <w:r>
        <w:rPr>
          <w:rFonts w:ascii="Arial Narrow" w:eastAsiaTheme="majorEastAsia" w:hAnsi="Arial Narrow" w:cstheme="majorBidi"/>
          <w:bCs/>
          <w:sz w:val="18"/>
          <w:lang w:val="en-US"/>
        </w:rPr>
        <w:t xml:space="preserve">2. </w:t>
      </w:r>
      <w:r w:rsidR="00D62333" w:rsidRPr="00732EE6">
        <w:rPr>
          <w:rFonts w:ascii="Arial Narrow" w:eastAsiaTheme="majorEastAsia" w:hAnsi="Arial Narrow" w:cstheme="majorBidi"/>
          <w:bCs/>
          <w:sz w:val="18"/>
          <w:lang w:val="en-US"/>
        </w:rPr>
        <w:t>Proposal assume</w:t>
      </w:r>
      <w:r w:rsidR="000A5A29">
        <w:rPr>
          <w:rFonts w:ascii="Arial Narrow" w:eastAsiaTheme="majorEastAsia" w:hAnsi="Arial Narrow" w:cstheme="majorBidi"/>
          <w:bCs/>
          <w:sz w:val="18"/>
          <w:lang w:val="en-US"/>
        </w:rPr>
        <w:t xml:space="preserve">d </w:t>
      </w:r>
      <w:r w:rsidR="00D62333" w:rsidRPr="00732EE6">
        <w:rPr>
          <w:rFonts w:ascii="Arial Narrow" w:eastAsiaTheme="majorEastAsia" w:hAnsi="Arial Narrow" w:cstheme="majorBidi"/>
          <w:bCs/>
          <w:sz w:val="18"/>
          <w:lang w:val="en-US"/>
        </w:rPr>
        <w:t xml:space="preserve">all initial patients received 3 months </w:t>
      </w:r>
      <w:r w:rsidR="000A5A29">
        <w:rPr>
          <w:rFonts w:ascii="Arial Narrow" w:eastAsiaTheme="majorEastAsia" w:hAnsi="Arial Narrow" w:cstheme="majorBidi"/>
          <w:bCs/>
          <w:sz w:val="18"/>
          <w:lang w:val="en-US"/>
        </w:rPr>
        <w:t xml:space="preserve">plus </w:t>
      </w:r>
      <w:r w:rsidR="00D62333" w:rsidRPr="00732EE6">
        <w:rPr>
          <w:rFonts w:ascii="Arial Narrow" w:eastAsiaTheme="majorEastAsia" w:hAnsi="Arial Narrow" w:cstheme="majorBidi"/>
          <w:bCs/>
          <w:sz w:val="18"/>
          <w:lang w:val="en-US"/>
        </w:rPr>
        <w:t>continui</w:t>
      </w:r>
      <w:r w:rsidR="000D07AC" w:rsidRPr="00732EE6">
        <w:rPr>
          <w:rFonts w:ascii="Arial Narrow" w:eastAsiaTheme="majorEastAsia" w:hAnsi="Arial Narrow" w:cstheme="majorBidi"/>
          <w:bCs/>
          <w:sz w:val="18"/>
          <w:lang w:val="en-US"/>
        </w:rPr>
        <w:t>ng</w:t>
      </w:r>
      <w:r w:rsidR="000A5A29">
        <w:rPr>
          <w:rFonts w:ascii="Arial Narrow" w:eastAsiaTheme="majorEastAsia" w:hAnsi="Arial Narrow" w:cstheme="majorBidi"/>
          <w:bCs/>
          <w:sz w:val="18"/>
          <w:lang w:val="en-US"/>
        </w:rPr>
        <w:t xml:space="preserve"> (responding)</w:t>
      </w:r>
      <w:r w:rsidR="000D07AC" w:rsidRPr="00732EE6">
        <w:rPr>
          <w:rFonts w:ascii="Arial Narrow" w:eastAsiaTheme="majorEastAsia" w:hAnsi="Arial Narrow" w:cstheme="majorBidi"/>
          <w:bCs/>
          <w:sz w:val="18"/>
          <w:lang w:val="en-US"/>
        </w:rPr>
        <w:t xml:space="preserve"> patients </w:t>
      </w:r>
      <w:r w:rsidR="00D62333" w:rsidRPr="00732EE6">
        <w:rPr>
          <w:rFonts w:ascii="Arial Narrow" w:eastAsiaTheme="majorEastAsia" w:hAnsi="Arial Narrow" w:cstheme="majorBidi"/>
          <w:bCs/>
          <w:sz w:val="18"/>
          <w:lang w:val="en-US"/>
        </w:rPr>
        <w:t>received 1</w:t>
      </w:r>
      <w:r w:rsidR="007037D6">
        <w:rPr>
          <w:rFonts w:ascii="Arial Narrow" w:eastAsiaTheme="majorEastAsia" w:hAnsi="Arial Narrow" w:cstheme="majorBidi"/>
          <w:bCs/>
          <w:sz w:val="18"/>
          <w:lang w:val="en-US"/>
        </w:rPr>
        <w:t xml:space="preserve"> </w:t>
      </w:r>
      <w:r w:rsidR="00D62333" w:rsidRPr="00732EE6">
        <w:rPr>
          <w:rFonts w:ascii="Arial Narrow" w:eastAsiaTheme="majorEastAsia" w:hAnsi="Arial Narrow" w:cstheme="majorBidi"/>
          <w:bCs/>
          <w:sz w:val="18"/>
          <w:lang w:val="en-US"/>
        </w:rPr>
        <w:t>mont</w:t>
      </w:r>
      <w:r w:rsidR="000D07AC" w:rsidRPr="00732EE6">
        <w:rPr>
          <w:rFonts w:ascii="Arial Narrow" w:eastAsiaTheme="majorEastAsia" w:hAnsi="Arial Narrow" w:cstheme="majorBidi"/>
          <w:bCs/>
          <w:sz w:val="18"/>
          <w:lang w:val="en-US"/>
        </w:rPr>
        <w:t>h treatment</w:t>
      </w:r>
      <w:r w:rsidR="00D62333" w:rsidRPr="00732EE6">
        <w:rPr>
          <w:rFonts w:ascii="Arial Narrow" w:eastAsiaTheme="majorEastAsia" w:hAnsi="Arial Narrow" w:cstheme="majorBidi"/>
          <w:bCs/>
          <w:sz w:val="18"/>
          <w:lang w:val="en-US"/>
        </w:rPr>
        <w:t xml:space="preserve">; all grandfathered patients received </w:t>
      </w:r>
      <w:r w:rsidR="000D07AC" w:rsidRPr="00732EE6">
        <w:rPr>
          <w:rFonts w:ascii="Arial Narrow" w:eastAsiaTheme="majorEastAsia" w:hAnsi="Arial Narrow" w:cstheme="majorBidi"/>
          <w:bCs/>
          <w:sz w:val="18"/>
          <w:lang w:val="en-US"/>
        </w:rPr>
        <w:t xml:space="preserve">4 </w:t>
      </w:r>
      <w:r w:rsidR="00D62333" w:rsidRPr="00732EE6">
        <w:rPr>
          <w:rFonts w:ascii="Arial Narrow" w:eastAsiaTheme="majorEastAsia" w:hAnsi="Arial Narrow" w:cstheme="majorBidi"/>
          <w:bCs/>
          <w:sz w:val="18"/>
          <w:lang w:val="en-US"/>
        </w:rPr>
        <w:t>months</w:t>
      </w:r>
      <w:r w:rsidR="000D07AC" w:rsidRPr="00732EE6">
        <w:rPr>
          <w:rFonts w:ascii="Arial Narrow" w:eastAsiaTheme="majorEastAsia" w:hAnsi="Arial Narrow" w:cstheme="majorBidi"/>
          <w:bCs/>
          <w:sz w:val="18"/>
          <w:lang w:val="en-US"/>
        </w:rPr>
        <w:t xml:space="preserve"> of treatment</w:t>
      </w:r>
      <w:r w:rsidR="00611BB5" w:rsidRPr="00732EE6">
        <w:rPr>
          <w:rFonts w:ascii="Arial Narrow" w:eastAsiaTheme="majorEastAsia" w:hAnsi="Arial Narrow" w:cstheme="majorBidi"/>
          <w:bCs/>
          <w:sz w:val="18"/>
          <w:lang w:val="en-US"/>
        </w:rPr>
        <w:t xml:space="preserve"> </w:t>
      </w:r>
    </w:p>
    <w:p w:rsidR="00D83EF6" w:rsidRPr="00152574" w:rsidRDefault="00D83EF6" w:rsidP="00D83EF6">
      <w:pPr>
        <w:spacing w:after="120"/>
        <w:rPr>
          <w:rFonts w:asciiTheme="minorHAnsi" w:hAnsiTheme="minorHAnsi" w:cs="Arial"/>
          <w:i/>
          <w:snapToGrid w:val="0"/>
          <w:lang w:eastAsia="en-US"/>
        </w:rPr>
      </w:pPr>
      <w:r>
        <w:rPr>
          <w:rFonts w:asciiTheme="minorHAnsi" w:hAnsiTheme="minorHAnsi" w:cs="Arial"/>
          <w:i/>
          <w:snapToGrid w:val="0"/>
          <w:lang w:eastAsia="en-US"/>
        </w:rPr>
        <w:t xml:space="preserve">The redacted table shows initial patient numbers to be less than 10,000 patients per year in Year 1 and 2 and 10,000 - 50,000 </w:t>
      </w:r>
      <w:r w:rsidR="009A5640">
        <w:rPr>
          <w:rFonts w:asciiTheme="minorHAnsi" w:hAnsiTheme="minorHAnsi" w:cs="Arial"/>
          <w:i/>
          <w:snapToGrid w:val="0"/>
          <w:lang w:eastAsia="en-US"/>
        </w:rPr>
        <w:t>patients per year in Years 3-5</w:t>
      </w:r>
      <w:r>
        <w:rPr>
          <w:rFonts w:asciiTheme="minorHAnsi" w:hAnsiTheme="minorHAnsi" w:cs="Arial"/>
          <w:i/>
          <w:snapToGrid w:val="0"/>
          <w:lang w:eastAsia="en-US"/>
        </w:rPr>
        <w:t xml:space="preserve">. </w:t>
      </w:r>
      <w:r w:rsidR="009A5640">
        <w:rPr>
          <w:rFonts w:asciiTheme="minorHAnsi" w:hAnsiTheme="minorHAnsi" w:cs="Arial"/>
          <w:i/>
          <w:snapToGrid w:val="0"/>
          <w:lang w:eastAsia="en-US"/>
        </w:rPr>
        <w:t>The</w:t>
      </w:r>
      <w:r>
        <w:rPr>
          <w:rFonts w:asciiTheme="minorHAnsi" w:hAnsiTheme="minorHAnsi" w:cs="Arial"/>
          <w:i/>
          <w:snapToGrid w:val="0"/>
          <w:lang w:eastAsia="en-US"/>
        </w:rPr>
        <w:t xml:space="preserve"> </w:t>
      </w:r>
      <w:r w:rsidR="009A5640">
        <w:rPr>
          <w:rFonts w:asciiTheme="minorHAnsi" w:hAnsiTheme="minorHAnsi" w:cs="Arial"/>
          <w:i/>
          <w:snapToGrid w:val="0"/>
          <w:lang w:eastAsia="en-US"/>
        </w:rPr>
        <w:t>continuing patient numbers is less than 10,000 patients in Year 1, and 10,000 – 50,000 per year in Year 2-5.</w:t>
      </w:r>
    </w:p>
    <w:p w:rsidR="005703A2" w:rsidRPr="005703A2" w:rsidRDefault="005703A2" w:rsidP="00E078D9">
      <w:pPr>
        <w:numPr>
          <w:ilvl w:val="1"/>
          <w:numId w:val="15"/>
        </w:numPr>
        <w:spacing w:after="120"/>
        <w:rPr>
          <w:rFonts w:asciiTheme="minorHAnsi" w:hAnsiTheme="minorHAnsi" w:cs="Arial"/>
          <w:snapToGrid w:val="0"/>
          <w:lang w:eastAsia="en-US"/>
        </w:rPr>
      </w:pPr>
      <w:r w:rsidRPr="00934168">
        <w:t xml:space="preserve">The </w:t>
      </w:r>
      <w:r>
        <w:t xml:space="preserve">net cost </w:t>
      </w:r>
      <w:r w:rsidRPr="00934168">
        <w:t xml:space="preserve">to the PBS </w:t>
      </w:r>
      <w:r>
        <w:t xml:space="preserve">in the </w:t>
      </w:r>
      <w:r w:rsidRPr="009B02B5">
        <w:t>fifth full financial year</w:t>
      </w:r>
      <w:r>
        <w:t xml:space="preserve"> of</w:t>
      </w:r>
      <w:r w:rsidRPr="00934168">
        <w:t xml:space="preserve"> listing </w:t>
      </w:r>
      <w:r w:rsidR="008E31E2">
        <w:t>is estimated to be</w:t>
      </w:r>
      <w:r w:rsidR="008E31E2" w:rsidRPr="00934168">
        <w:t xml:space="preserve"> </w:t>
      </w:r>
      <w:r w:rsidR="00504DC0">
        <w:t>$30 - $60 million</w:t>
      </w:r>
      <w:r w:rsidRPr="00934168">
        <w:t>,</w:t>
      </w:r>
      <w:r w:rsidRPr="003C2FB5">
        <w:t xml:space="preserve"> with a total net</w:t>
      </w:r>
      <w:r w:rsidRPr="00934168">
        <w:t xml:space="preserve"> cost </w:t>
      </w:r>
      <w:r w:rsidRPr="003C2FB5">
        <w:t>to the PBS of</w:t>
      </w:r>
      <w:r>
        <w:t xml:space="preserve"> </w:t>
      </w:r>
      <w:r w:rsidR="00504DC0">
        <w:t xml:space="preserve">more than $100 million </w:t>
      </w:r>
      <w:r w:rsidRPr="003C2FB5">
        <w:t>ove</w:t>
      </w:r>
      <w:r>
        <w:t xml:space="preserve">r the </w:t>
      </w:r>
      <w:r w:rsidRPr="009B02B5">
        <w:t xml:space="preserve">first 5 </w:t>
      </w:r>
      <w:r w:rsidR="009B02B5" w:rsidRPr="009B02B5">
        <w:t xml:space="preserve">full financial </w:t>
      </w:r>
      <w:r w:rsidRPr="009B02B5">
        <w:t>years</w:t>
      </w:r>
      <w:r w:rsidRPr="009B02B5">
        <w:rPr>
          <w:color w:val="FF0000"/>
        </w:rPr>
        <w:t xml:space="preserve"> </w:t>
      </w:r>
      <w:r w:rsidRPr="009B02B5">
        <w:t>of listing (based on published price of Botox) (</w:t>
      </w:r>
      <w:r w:rsidR="00111BB6" w:rsidRPr="004F44D2">
        <w:t>Table 4</w:t>
      </w:r>
      <w:r w:rsidRPr="009B02B5">
        <w:t>).</w:t>
      </w:r>
      <w:r w:rsidR="00B74BAE" w:rsidRPr="009B02B5">
        <w:t xml:space="preserve"> </w:t>
      </w:r>
    </w:p>
    <w:p w:rsidR="00125FC2" w:rsidRDefault="00125FC2">
      <w:pPr>
        <w:jc w:val="left"/>
        <w:rPr>
          <w:rStyle w:val="CommentReference"/>
          <w:b/>
          <w:bCs/>
          <w:sz w:val="20"/>
          <w:szCs w:val="20"/>
        </w:rPr>
      </w:pPr>
      <w:bookmarkStart w:id="4" w:name="_Ref33443806"/>
      <w:r>
        <w:rPr>
          <w:rStyle w:val="CommentReference"/>
          <w:b/>
          <w:bCs/>
          <w:sz w:val="20"/>
          <w:szCs w:val="20"/>
        </w:rPr>
        <w:br w:type="page"/>
      </w:r>
    </w:p>
    <w:p w:rsidR="00C7409E" w:rsidRPr="00C7409E" w:rsidRDefault="00934168" w:rsidP="00C7409E">
      <w:pPr>
        <w:rPr>
          <w:rFonts w:ascii="Arial Narrow" w:hAnsi="Arial Narrow"/>
          <w:b/>
          <w:sz w:val="20"/>
          <w:szCs w:val="20"/>
        </w:rPr>
      </w:pPr>
      <w:r w:rsidRPr="00934168">
        <w:rPr>
          <w:rStyle w:val="CommentReference"/>
          <w:b/>
          <w:bCs/>
          <w:sz w:val="20"/>
          <w:szCs w:val="20"/>
        </w:rPr>
        <w:lastRenderedPageBreak/>
        <w:t xml:space="preserve">Table </w:t>
      </w:r>
      <w:r w:rsidR="00111BB6">
        <w:rPr>
          <w:rStyle w:val="CommentReference"/>
          <w:b/>
          <w:bCs/>
          <w:noProof/>
          <w:sz w:val="20"/>
          <w:szCs w:val="20"/>
        </w:rPr>
        <w:t>4</w:t>
      </w:r>
      <w:bookmarkEnd w:id="4"/>
      <w:r w:rsidR="00C7409E" w:rsidRPr="00934168">
        <w:rPr>
          <w:rStyle w:val="CommentReference"/>
          <w:rFonts w:ascii="Arial Narrow" w:hAnsi="Arial Narrow"/>
          <w:b/>
          <w:sz w:val="20"/>
          <w:szCs w:val="20"/>
        </w:rPr>
        <w:t>:</w:t>
      </w:r>
      <w:r w:rsidR="00C7409E" w:rsidRPr="00C7409E">
        <w:rPr>
          <w:rStyle w:val="CommentReference"/>
          <w:rFonts w:ascii="Arial Narrow" w:hAnsi="Arial Narrow"/>
          <w:b/>
          <w:sz w:val="20"/>
          <w:szCs w:val="20"/>
        </w:rPr>
        <w:t xml:space="preserve"> Estimated use and financial implications</w:t>
      </w:r>
      <w:r w:rsidR="00A02A11">
        <w:rPr>
          <w:rStyle w:val="CommentReference"/>
          <w:rFonts w:ascii="Arial Narrow" w:hAnsi="Arial Narrow"/>
          <w:b/>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22"/>
        <w:gridCol w:w="1082"/>
        <w:gridCol w:w="1082"/>
        <w:gridCol w:w="1084"/>
        <w:gridCol w:w="1082"/>
        <w:gridCol w:w="1082"/>
        <w:gridCol w:w="1082"/>
      </w:tblGrid>
      <w:tr w:rsidR="00713F67" w:rsidRPr="001B3FFE" w:rsidTr="00713F67">
        <w:trPr>
          <w:tblHeader/>
        </w:trPr>
        <w:tc>
          <w:tcPr>
            <w:tcW w:w="1399" w:type="pct"/>
            <w:shd w:val="clear" w:color="auto" w:fill="auto"/>
            <w:vAlign w:val="center"/>
          </w:tcPr>
          <w:p w:rsidR="00713F67" w:rsidRPr="00F25B9C" w:rsidRDefault="00713F67" w:rsidP="00F25B9C">
            <w:pPr>
              <w:pStyle w:val="Tabletext"/>
              <w:spacing w:after="0"/>
              <w:rPr>
                <w:rFonts w:ascii="Arial Narrow" w:hAnsi="Arial Narrow"/>
              </w:rPr>
            </w:pPr>
          </w:p>
        </w:tc>
        <w:tc>
          <w:tcPr>
            <w:tcW w:w="600" w:type="pct"/>
          </w:tcPr>
          <w:p w:rsidR="00713F67" w:rsidRPr="00F25B9C" w:rsidRDefault="00713F67" w:rsidP="00F25B9C">
            <w:pPr>
              <w:pStyle w:val="Tabletext"/>
              <w:spacing w:after="0"/>
              <w:jc w:val="center"/>
              <w:rPr>
                <w:rFonts w:ascii="Arial Narrow" w:hAnsi="Arial Narrow"/>
                <w:b/>
              </w:rPr>
            </w:pPr>
            <w:r>
              <w:rPr>
                <w:rFonts w:ascii="Arial Narrow" w:hAnsi="Arial Narrow"/>
                <w:b/>
              </w:rPr>
              <w:t>April 2020 to June 2020</w:t>
            </w:r>
          </w:p>
        </w:tc>
        <w:tc>
          <w:tcPr>
            <w:tcW w:w="600" w:type="pct"/>
            <w:shd w:val="clear" w:color="auto" w:fill="auto"/>
            <w:vAlign w:val="center"/>
          </w:tcPr>
          <w:p w:rsidR="00713F67" w:rsidRDefault="00713F67" w:rsidP="00F25B9C">
            <w:pPr>
              <w:pStyle w:val="Tabletext"/>
              <w:spacing w:after="0"/>
              <w:jc w:val="center"/>
              <w:rPr>
                <w:rFonts w:ascii="Arial Narrow" w:hAnsi="Arial Narrow"/>
                <w:b/>
              </w:rPr>
            </w:pPr>
            <w:r w:rsidRPr="00F25B9C">
              <w:rPr>
                <w:rFonts w:ascii="Arial Narrow" w:hAnsi="Arial Narrow"/>
                <w:b/>
              </w:rPr>
              <w:t>Year 1</w:t>
            </w:r>
          </w:p>
          <w:p w:rsidR="00D13D41" w:rsidRPr="00F25B9C" w:rsidRDefault="00D13D41" w:rsidP="00F25B9C">
            <w:pPr>
              <w:pStyle w:val="Tabletext"/>
              <w:spacing w:after="0"/>
              <w:jc w:val="center"/>
              <w:rPr>
                <w:rFonts w:ascii="Arial Narrow" w:hAnsi="Arial Narrow"/>
                <w:b/>
              </w:rPr>
            </w:pPr>
            <w:r>
              <w:rPr>
                <w:rFonts w:ascii="Arial Narrow" w:hAnsi="Arial Narrow"/>
                <w:b/>
              </w:rPr>
              <w:t>July 2020 to June 2021</w:t>
            </w:r>
          </w:p>
        </w:tc>
        <w:tc>
          <w:tcPr>
            <w:tcW w:w="601" w:type="pct"/>
            <w:shd w:val="clear" w:color="auto" w:fill="auto"/>
            <w:vAlign w:val="center"/>
          </w:tcPr>
          <w:p w:rsidR="00713F67" w:rsidRDefault="00713F67" w:rsidP="00F25B9C">
            <w:pPr>
              <w:pStyle w:val="Tabletext"/>
              <w:spacing w:after="0"/>
              <w:jc w:val="center"/>
              <w:rPr>
                <w:rFonts w:ascii="Arial Narrow" w:hAnsi="Arial Narrow"/>
                <w:b/>
              </w:rPr>
            </w:pPr>
            <w:r w:rsidRPr="00F25B9C">
              <w:rPr>
                <w:rFonts w:ascii="Arial Narrow" w:hAnsi="Arial Narrow"/>
                <w:b/>
              </w:rPr>
              <w:t>Year 2</w:t>
            </w:r>
          </w:p>
          <w:p w:rsidR="00D13D41" w:rsidRPr="00F25B9C" w:rsidRDefault="00D13D41" w:rsidP="00F25B9C">
            <w:pPr>
              <w:pStyle w:val="Tabletext"/>
              <w:spacing w:after="0"/>
              <w:jc w:val="center"/>
              <w:rPr>
                <w:rFonts w:ascii="Arial Narrow" w:hAnsi="Arial Narrow"/>
                <w:b/>
              </w:rPr>
            </w:pPr>
            <w:r>
              <w:rPr>
                <w:rFonts w:ascii="Arial Narrow" w:hAnsi="Arial Narrow"/>
                <w:b/>
              </w:rPr>
              <w:t>July 2021 to June 2022</w:t>
            </w:r>
          </w:p>
        </w:tc>
        <w:tc>
          <w:tcPr>
            <w:tcW w:w="600" w:type="pct"/>
            <w:shd w:val="clear" w:color="auto" w:fill="auto"/>
            <w:vAlign w:val="center"/>
          </w:tcPr>
          <w:p w:rsidR="00713F67" w:rsidRDefault="00713F67" w:rsidP="00F25B9C">
            <w:pPr>
              <w:pStyle w:val="Tabletext"/>
              <w:spacing w:after="0"/>
              <w:jc w:val="center"/>
              <w:rPr>
                <w:rFonts w:ascii="Arial Narrow" w:hAnsi="Arial Narrow"/>
                <w:b/>
              </w:rPr>
            </w:pPr>
            <w:r w:rsidRPr="00F25B9C">
              <w:rPr>
                <w:rFonts w:ascii="Arial Narrow" w:hAnsi="Arial Narrow"/>
                <w:b/>
              </w:rPr>
              <w:t>Year 3</w:t>
            </w:r>
          </w:p>
          <w:p w:rsidR="00D13D41" w:rsidRPr="00F25B9C" w:rsidRDefault="00D13D41" w:rsidP="00D13D41">
            <w:pPr>
              <w:pStyle w:val="Tabletext"/>
              <w:spacing w:after="0"/>
              <w:jc w:val="center"/>
              <w:rPr>
                <w:rFonts w:ascii="Arial Narrow" w:hAnsi="Arial Narrow"/>
                <w:b/>
              </w:rPr>
            </w:pPr>
            <w:r>
              <w:rPr>
                <w:rFonts w:ascii="Arial Narrow" w:hAnsi="Arial Narrow"/>
                <w:b/>
              </w:rPr>
              <w:t>July 2022 to June 2023</w:t>
            </w:r>
          </w:p>
        </w:tc>
        <w:tc>
          <w:tcPr>
            <w:tcW w:w="600" w:type="pct"/>
            <w:shd w:val="clear" w:color="auto" w:fill="auto"/>
            <w:vAlign w:val="center"/>
          </w:tcPr>
          <w:p w:rsidR="00713F67" w:rsidRDefault="00713F67" w:rsidP="00F25B9C">
            <w:pPr>
              <w:pStyle w:val="Tabletext"/>
              <w:spacing w:after="0"/>
              <w:jc w:val="center"/>
              <w:rPr>
                <w:rFonts w:ascii="Arial Narrow" w:hAnsi="Arial Narrow"/>
                <w:b/>
              </w:rPr>
            </w:pPr>
            <w:r w:rsidRPr="00F25B9C">
              <w:rPr>
                <w:rFonts w:ascii="Arial Narrow" w:hAnsi="Arial Narrow"/>
                <w:b/>
              </w:rPr>
              <w:t>Year 4</w:t>
            </w:r>
          </w:p>
          <w:p w:rsidR="00D13D41" w:rsidRPr="00F25B9C" w:rsidRDefault="00D13D41" w:rsidP="00F25B9C">
            <w:pPr>
              <w:pStyle w:val="Tabletext"/>
              <w:spacing w:after="0"/>
              <w:jc w:val="center"/>
              <w:rPr>
                <w:rFonts w:ascii="Arial Narrow" w:hAnsi="Arial Narrow"/>
                <w:b/>
              </w:rPr>
            </w:pPr>
            <w:r>
              <w:rPr>
                <w:rFonts w:ascii="Arial Narrow" w:hAnsi="Arial Narrow"/>
                <w:b/>
              </w:rPr>
              <w:t>July 2023 to June 2024</w:t>
            </w:r>
          </w:p>
        </w:tc>
        <w:tc>
          <w:tcPr>
            <w:tcW w:w="600" w:type="pct"/>
            <w:shd w:val="clear" w:color="auto" w:fill="auto"/>
            <w:vAlign w:val="center"/>
          </w:tcPr>
          <w:p w:rsidR="00713F67" w:rsidRDefault="00713F67" w:rsidP="00144BA3">
            <w:pPr>
              <w:pStyle w:val="Tabletext"/>
              <w:spacing w:after="0"/>
              <w:jc w:val="center"/>
              <w:rPr>
                <w:rFonts w:ascii="Arial Narrow" w:hAnsi="Arial Narrow"/>
                <w:b/>
              </w:rPr>
            </w:pPr>
            <w:r w:rsidRPr="00F25B9C">
              <w:rPr>
                <w:rFonts w:ascii="Arial Narrow" w:hAnsi="Arial Narrow"/>
                <w:b/>
              </w:rPr>
              <w:t>Year 5</w:t>
            </w:r>
          </w:p>
          <w:p w:rsidR="009B02B5" w:rsidRPr="00F25B9C" w:rsidRDefault="009B02B5" w:rsidP="00144BA3">
            <w:pPr>
              <w:pStyle w:val="Tabletext"/>
              <w:spacing w:after="0"/>
              <w:jc w:val="center"/>
              <w:rPr>
                <w:rFonts w:ascii="Arial Narrow" w:hAnsi="Arial Narrow"/>
                <w:b/>
              </w:rPr>
            </w:pPr>
            <w:r>
              <w:rPr>
                <w:rFonts w:ascii="Arial Narrow" w:hAnsi="Arial Narrow"/>
                <w:b/>
              </w:rPr>
              <w:t>July 2024 to June 2025</w:t>
            </w:r>
          </w:p>
        </w:tc>
      </w:tr>
      <w:tr w:rsidR="00EA4232" w:rsidRPr="001B3FFE" w:rsidTr="00EA4232">
        <w:tc>
          <w:tcPr>
            <w:tcW w:w="5000" w:type="pct"/>
            <w:gridSpan w:val="7"/>
          </w:tcPr>
          <w:p w:rsidR="00EA4232" w:rsidRPr="00F25B9C" w:rsidRDefault="00EA4232" w:rsidP="00F25B9C">
            <w:pPr>
              <w:pStyle w:val="Tabletext"/>
              <w:spacing w:after="0"/>
              <w:rPr>
                <w:rFonts w:ascii="Arial Narrow" w:hAnsi="Arial Narrow"/>
                <w:b/>
                <w:bCs/>
                <w:color w:val="000000"/>
              </w:rPr>
            </w:pPr>
            <w:r w:rsidRPr="00F25B9C">
              <w:rPr>
                <w:rFonts w:ascii="Arial Narrow" w:hAnsi="Arial Narrow"/>
                <w:b/>
                <w:bCs/>
                <w:color w:val="000000"/>
              </w:rPr>
              <w:t>Estimated extent of use</w:t>
            </w:r>
          </w:p>
        </w:tc>
      </w:tr>
      <w:tr w:rsidR="00713F67" w:rsidRPr="001B3FFE" w:rsidTr="00713F67">
        <w:trPr>
          <w:trHeight w:val="646"/>
        </w:trPr>
        <w:tc>
          <w:tcPr>
            <w:tcW w:w="1399" w:type="pct"/>
            <w:shd w:val="clear" w:color="auto" w:fill="auto"/>
            <w:vAlign w:val="center"/>
          </w:tcPr>
          <w:p w:rsidR="00713F67" w:rsidRDefault="00713F67" w:rsidP="00F25B9C">
            <w:pPr>
              <w:pStyle w:val="Tabletext"/>
              <w:spacing w:after="0"/>
              <w:rPr>
                <w:rFonts w:ascii="Arial Narrow" w:hAnsi="Arial Narrow"/>
              </w:rPr>
            </w:pPr>
            <w:r w:rsidRPr="00F25B9C">
              <w:rPr>
                <w:rFonts w:ascii="Arial Narrow" w:hAnsi="Arial Narrow"/>
              </w:rPr>
              <w:t>Number of patients treated</w:t>
            </w:r>
          </w:p>
          <w:p w:rsidR="00713F67" w:rsidRDefault="00713F67" w:rsidP="00EA4232">
            <w:pPr>
              <w:pStyle w:val="Tabletext"/>
              <w:spacing w:after="0"/>
              <w:ind w:left="254" w:hanging="254"/>
              <w:rPr>
                <w:rFonts w:ascii="Arial Narrow" w:hAnsi="Arial Narrow"/>
              </w:rPr>
            </w:pPr>
            <w:r>
              <w:rPr>
                <w:rFonts w:ascii="Arial Narrow" w:hAnsi="Arial Narrow"/>
              </w:rPr>
              <w:tab/>
              <w:t>Initial</w:t>
            </w:r>
          </w:p>
          <w:p w:rsidR="00713F67" w:rsidRPr="00F25B9C" w:rsidRDefault="00713F67" w:rsidP="00EA4232">
            <w:pPr>
              <w:pStyle w:val="Tabletext"/>
              <w:spacing w:after="0"/>
              <w:ind w:left="254" w:hanging="254"/>
              <w:rPr>
                <w:rFonts w:ascii="Arial Narrow" w:hAnsi="Arial Narrow"/>
              </w:rPr>
            </w:pPr>
            <w:r>
              <w:rPr>
                <w:rFonts w:ascii="Arial Narrow" w:hAnsi="Arial Narrow"/>
              </w:rPr>
              <w:tab/>
              <w:t xml:space="preserve">Continuing </w:t>
            </w:r>
          </w:p>
        </w:tc>
        <w:tc>
          <w:tcPr>
            <w:tcW w:w="600" w:type="pct"/>
          </w:tcPr>
          <w:p w:rsidR="00713F67" w:rsidRPr="00920C75" w:rsidRDefault="00713F67" w:rsidP="00F25B9C">
            <w:pPr>
              <w:pStyle w:val="Tabletext"/>
              <w:spacing w:after="0"/>
              <w:jc w:val="center"/>
              <w:rPr>
                <w:rFonts w:ascii="Arial Narrow" w:hAnsi="Arial Narrow"/>
                <w:bCs/>
                <w:color w:val="000000"/>
              </w:rPr>
            </w:pPr>
          </w:p>
          <w:p w:rsidR="00713F67" w:rsidRPr="00920C75" w:rsidRDefault="00920C75"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p w:rsidR="00713F67" w:rsidRPr="00920C75" w:rsidRDefault="00920C75"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00" w:type="pct"/>
            <w:shd w:val="clear" w:color="auto" w:fill="auto"/>
            <w:vAlign w:val="center"/>
          </w:tcPr>
          <w:p w:rsidR="00713F67" w:rsidRPr="00920C75" w:rsidRDefault="00713F67" w:rsidP="00F25B9C">
            <w:pPr>
              <w:pStyle w:val="Tabletext"/>
              <w:spacing w:after="0"/>
              <w:jc w:val="center"/>
              <w:rPr>
                <w:rFonts w:ascii="Arial Narrow" w:hAnsi="Arial Narrow"/>
                <w:bCs/>
                <w:color w:val="000000"/>
              </w:rPr>
            </w:pPr>
          </w:p>
          <w:p w:rsidR="00713F67" w:rsidRPr="00920C75" w:rsidRDefault="00920C75" w:rsidP="00EA4232">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p w:rsidR="00713F67" w:rsidRPr="00920C75" w:rsidRDefault="00920C75"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01" w:type="pct"/>
            <w:shd w:val="clear" w:color="auto" w:fill="auto"/>
            <w:vAlign w:val="center"/>
          </w:tcPr>
          <w:p w:rsidR="00713F67" w:rsidRPr="00920C75" w:rsidRDefault="00713F67" w:rsidP="00713F67">
            <w:pPr>
              <w:pStyle w:val="Tabletext"/>
              <w:spacing w:after="0"/>
              <w:rPr>
                <w:rFonts w:ascii="Arial Narrow" w:hAnsi="Arial Narrow"/>
                <w:bCs/>
                <w:color w:val="000000"/>
              </w:rPr>
            </w:pPr>
          </w:p>
          <w:p w:rsidR="00713F67" w:rsidRPr="00920C75" w:rsidRDefault="00920C75" w:rsidP="00713F67">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p w:rsidR="00713F67" w:rsidRPr="00920C75" w:rsidRDefault="00920C75"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00" w:type="pct"/>
            <w:shd w:val="clear" w:color="auto" w:fill="auto"/>
            <w:vAlign w:val="center"/>
          </w:tcPr>
          <w:p w:rsidR="00713F67" w:rsidRPr="00920C75" w:rsidRDefault="00713F67" w:rsidP="00713F67">
            <w:pPr>
              <w:pStyle w:val="Tabletext"/>
              <w:spacing w:after="0"/>
              <w:rPr>
                <w:rFonts w:ascii="Arial Narrow" w:hAnsi="Arial Narrow"/>
                <w:bCs/>
                <w:color w:val="000000"/>
              </w:rPr>
            </w:pPr>
          </w:p>
          <w:p w:rsidR="00713F67" w:rsidRPr="00920C75" w:rsidRDefault="00920C75" w:rsidP="00713F67">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p w:rsidR="00713F67" w:rsidRPr="00920C75" w:rsidRDefault="00920C75" w:rsidP="00713F67">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00" w:type="pct"/>
            <w:shd w:val="clear" w:color="auto" w:fill="auto"/>
            <w:vAlign w:val="center"/>
          </w:tcPr>
          <w:p w:rsidR="00713F67" w:rsidRPr="00920C75" w:rsidRDefault="00713F67" w:rsidP="00713F67">
            <w:pPr>
              <w:pStyle w:val="Tabletext"/>
              <w:spacing w:after="0"/>
              <w:rPr>
                <w:rFonts w:ascii="Arial Narrow" w:hAnsi="Arial Narrow"/>
                <w:bCs/>
                <w:color w:val="000000"/>
              </w:rPr>
            </w:pPr>
          </w:p>
          <w:p w:rsidR="00713F67" w:rsidRPr="00920C75" w:rsidRDefault="00920C75" w:rsidP="00713F67">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p w:rsidR="00713F67" w:rsidRPr="00920C75" w:rsidRDefault="00920C75" w:rsidP="00713F67">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00" w:type="pct"/>
            <w:shd w:val="clear" w:color="auto" w:fill="auto"/>
            <w:vAlign w:val="center"/>
          </w:tcPr>
          <w:p w:rsidR="00713F67" w:rsidRPr="00920C75" w:rsidRDefault="00713F67" w:rsidP="00713F67">
            <w:pPr>
              <w:pStyle w:val="Tabletext"/>
              <w:spacing w:after="0"/>
              <w:rPr>
                <w:rFonts w:ascii="Arial Narrow" w:hAnsi="Arial Narrow"/>
                <w:bCs/>
                <w:color w:val="000000"/>
              </w:rPr>
            </w:pPr>
          </w:p>
          <w:p w:rsidR="00713F67" w:rsidRPr="00920C75" w:rsidRDefault="00920C75" w:rsidP="00713F67">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p w:rsidR="00713F67" w:rsidRPr="00920C75" w:rsidRDefault="00920C75" w:rsidP="00713F67">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713F67" w:rsidRPr="001B3FFE" w:rsidTr="00713F67">
        <w:tc>
          <w:tcPr>
            <w:tcW w:w="1399" w:type="pct"/>
            <w:shd w:val="clear" w:color="auto" w:fill="auto"/>
            <w:vAlign w:val="center"/>
          </w:tcPr>
          <w:p w:rsidR="00713F67" w:rsidRPr="00F25B9C" w:rsidRDefault="00713F67" w:rsidP="00F25B9C">
            <w:pPr>
              <w:pStyle w:val="Tabletext"/>
              <w:spacing w:after="0"/>
              <w:rPr>
                <w:rFonts w:ascii="Arial Narrow" w:hAnsi="Arial Narrow"/>
              </w:rPr>
            </w:pPr>
            <w:r w:rsidRPr="00F25B9C">
              <w:rPr>
                <w:rFonts w:ascii="Arial Narrow" w:hAnsi="Arial Narrow"/>
              </w:rPr>
              <w:t>Number of scripts dispensed</w:t>
            </w:r>
          </w:p>
        </w:tc>
        <w:tc>
          <w:tcPr>
            <w:tcW w:w="600" w:type="pct"/>
          </w:tcPr>
          <w:p w:rsidR="00713F67" w:rsidRPr="00920C75" w:rsidRDefault="00920C75"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00" w:type="pct"/>
            <w:shd w:val="clear" w:color="auto" w:fill="auto"/>
            <w:vAlign w:val="center"/>
          </w:tcPr>
          <w:p w:rsidR="00713F67" w:rsidRPr="00920C75" w:rsidRDefault="00920C75"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01" w:type="pct"/>
            <w:shd w:val="clear" w:color="auto" w:fill="auto"/>
            <w:vAlign w:val="center"/>
          </w:tcPr>
          <w:p w:rsidR="00713F67" w:rsidRPr="00920C75" w:rsidRDefault="00920C75"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00" w:type="pct"/>
            <w:shd w:val="clear" w:color="auto" w:fill="auto"/>
            <w:vAlign w:val="center"/>
          </w:tcPr>
          <w:p w:rsidR="00713F67" w:rsidRPr="00920C75" w:rsidRDefault="00920C75"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00" w:type="pct"/>
            <w:shd w:val="clear" w:color="auto" w:fill="auto"/>
            <w:vAlign w:val="center"/>
          </w:tcPr>
          <w:p w:rsidR="00713F67" w:rsidRPr="00920C75" w:rsidRDefault="00920C75"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00" w:type="pct"/>
            <w:shd w:val="clear" w:color="auto" w:fill="auto"/>
            <w:vAlign w:val="center"/>
          </w:tcPr>
          <w:p w:rsidR="00713F67" w:rsidRPr="00920C75" w:rsidRDefault="00920C75"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EA4232" w:rsidRPr="001B3FFE" w:rsidTr="00EA4232">
        <w:tc>
          <w:tcPr>
            <w:tcW w:w="5000" w:type="pct"/>
            <w:gridSpan w:val="7"/>
          </w:tcPr>
          <w:p w:rsidR="00EA4232" w:rsidRPr="00F25B9C" w:rsidRDefault="00EA4232" w:rsidP="009C17AF">
            <w:pPr>
              <w:pStyle w:val="Tabletext"/>
              <w:spacing w:after="0"/>
              <w:rPr>
                <w:rFonts w:ascii="Arial Narrow" w:hAnsi="Arial Narrow"/>
                <w:b/>
                <w:bCs/>
                <w:color w:val="000000"/>
              </w:rPr>
            </w:pPr>
            <w:r w:rsidRPr="00F25B9C">
              <w:rPr>
                <w:rFonts w:ascii="Arial Narrow" w:hAnsi="Arial Narrow"/>
                <w:b/>
                <w:bCs/>
                <w:color w:val="000000"/>
              </w:rPr>
              <w:t>Estim</w:t>
            </w:r>
            <w:r>
              <w:rPr>
                <w:rFonts w:ascii="Arial Narrow" w:hAnsi="Arial Narrow"/>
                <w:b/>
                <w:bCs/>
                <w:color w:val="000000"/>
              </w:rPr>
              <w:t>ated financial implications for fremanezumab</w:t>
            </w:r>
            <w:r w:rsidRPr="00F25B9C">
              <w:rPr>
                <w:rFonts w:ascii="Arial Narrow" w:hAnsi="Arial Narrow"/>
                <w:b/>
                <w:bCs/>
                <w:color w:val="000000"/>
              </w:rPr>
              <w:t xml:space="preserve"> </w:t>
            </w:r>
          </w:p>
        </w:tc>
      </w:tr>
      <w:tr w:rsidR="00144BA3" w:rsidRPr="001B3FFE" w:rsidTr="008E0C14">
        <w:tc>
          <w:tcPr>
            <w:tcW w:w="1399" w:type="pct"/>
            <w:shd w:val="clear" w:color="auto" w:fill="auto"/>
            <w:vAlign w:val="center"/>
          </w:tcPr>
          <w:p w:rsidR="00144BA3" w:rsidRPr="00F25B9C" w:rsidRDefault="00144BA3" w:rsidP="009B02B5">
            <w:pPr>
              <w:pStyle w:val="Tabletext"/>
              <w:spacing w:after="0"/>
              <w:jc w:val="left"/>
              <w:rPr>
                <w:rFonts w:ascii="Arial Narrow" w:hAnsi="Arial Narrow"/>
              </w:rPr>
            </w:pPr>
            <w:r w:rsidRPr="00F25B9C">
              <w:rPr>
                <w:rFonts w:ascii="Arial Narrow" w:hAnsi="Arial Narrow"/>
              </w:rPr>
              <w:t>Cost to PBS/RPBS less copayments</w:t>
            </w:r>
          </w:p>
        </w:tc>
        <w:tc>
          <w:tcPr>
            <w:tcW w:w="600" w:type="pct"/>
            <w:tcBorders>
              <w:top w:val="single" w:sz="4" w:space="0" w:color="auto"/>
              <w:left w:val="single" w:sz="4" w:space="0" w:color="auto"/>
              <w:bottom w:val="single" w:sz="4" w:space="0" w:color="auto"/>
              <w:right w:val="single" w:sz="4" w:space="0" w:color="auto"/>
            </w:tcBorders>
            <w:shd w:val="clear" w:color="auto" w:fill="auto"/>
            <w:vAlign w:val="bottom"/>
          </w:tcPr>
          <w:p w:rsidR="00144BA3" w:rsidRPr="00144BA3" w:rsidRDefault="00144BA3" w:rsidP="00144BA3">
            <w:pPr>
              <w:pStyle w:val="Tabletext"/>
              <w:spacing w:after="0"/>
              <w:jc w:val="center"/>
              <w:rPr>
                <w:rFonts w:ascii="Arial Narrow" w:hAnsi="Arial Narrow"/>
                <w:bCs/>
                <w:color w:val="000000"/>
              </w:rPr>
            </w:pPr>
            <w:r w:rsidRPr="00144BA3">
              <w:rPr>
                <w:rFonts w:ascii="Arial Narrow" w:hAnsi="Arial Narrow" w:cs="Calibri"/>
                <w:bCs/>
                <w:color w:val="000000"/>
              </w:rPr>
              <w:t>$</w:t>
            </w:r>
            <w:r w:rsidR="00920C75">
              <w:rPr>
                <w:rFonts w:ascii="Arial Narrow" w:hAnsi="Arial Narrow" w:cs="Calibri"/>
                <w:bCs/>
                <w:noProof/>
                <w:color w:val="000000"/>
                <w:highlight w:val="black"/>
              </w:rPr>
              <w:t>''''''''''''''''''''''</w:t>
            </w:r>
          </w:p>
        </w:tc>
        <w:tc>
          <w:tcPr>
            <w:tcW w:w="600" w:type="pct"/>
            <w:tcBorders>
              <w:top w:val="single" w:sz="4" w:space="0" w:color="auto"/>
              <w:left w:val="nil"/>
              <w:bottom w:val="single" w:sz="4" w:space="0" w:color="auto"/>
              <w:right w:val="single" w:sz="4" w:space="0" w:color="auto"/>
            </w:tcBorders>
            <w:shd w:val="clear" w:color="auto" w:fill="auto"/>
            <w:vAlign w:val="bottom"/>
          </w:tcPr>
          <w:p w:rsidR="00144BA3" w:rsidRPr="00144BA3" w:rsidRDefault="00144BA3" w:rsidP="00144BA3">
            <w:pPr>
              <w:pStyle w:val="Tabletext"/>
              <w:spacing w:after="0"/>
              <w:jc w:val="center"/>
              <w:rPr>
                <w:rFonts w:ascii="Arial Narrow" w:hAnsi="Arial Narrow"/>
                <w:bCs/>
                <w:color w:val="000000"/>
              </w:rPr>
            </w:pPr>
            <w:r w:rsidRPr="00144BA3">
              <w:rPr>
                <w:rFonts w:ascii="Arial Narrow" w:hAnsi="Arial Narrow" w:cs="Calibri"/>
                <w:bCs/>
                <w:color w:val="000000"/>
              </w:rPr>
              <w:t>$</w:t>
            </w:r>
            <w:r w:rsidR="00920C75">
              <w:rPr>
                <w:rFonts w:ascii="Arial Narrow" w:hAnsi="Arial Narrow" w:cs="Calibri"/>
                <w:bCs/>
                <w:noProof/>
                <w:color w:val="000000"/>
                <w:highlight w:val="black"/>
              </w:rPr>
              <w:t>''''''''''''''''''''''''''''</w:t>
            </w:r>
          </w:p>
        </w:tc>
        <w:tc>
          <w:tcPr>
            <w:tcW w:w="601" w:type="pct"/>
            <w:tcBorders>
              <w:top w:val="single" w:sz="4" w:space="0" w:color="auto"/>
              <w:left w:val="nil"/>
              <w:bottom w:val="single" w:sz="4" w:space="0" w:color="auto"/>
              <w:right w:val="single" w:sz="4" w:space="0" w:color="auto"/>
            </w:tcBorders>
            <w:shd w:val="clear" w:color="auto" w:fill="auto"/>
            <w:vAlign w:val="bottom"/>
          </w:tcPr>
          <w:p w:rsidR="00144BA3" w:rsidRPr="00144BA3" w:rsidRDefault="00144BA3" w:rsidP="00144BA3">
            <w:pPr>
              <w:pStyle w:val="Tabletext"/>
              <w:spacing w:after="0"/>
              <w:jc w:val="center"/>
              <w:rPr>
                <w:rFonts w:ascii="Arial Narrow" w:hAnsi="Arial Narrow"/>
                <w:bCs/>
                <w:color w:val="000000"/>
              </w:rPr>
            </w:pPr>
            <w:r w:rsidRPr="00144BA3">
              <w:rPr>
                <w:rFonts w:ascii="Arial Narrow" w:hAnsi="Arial Narrow" w:cs="Calibri"/>
                <w:bCs/>
                <w:color w:val="000000"/>
              </w:rPr>
              <w:t>$</w:t>
            </w:r>
            <w:r w:rsidR="00920C75">
              <w:rPr>
                <w:rFonts w:ascii="Arial Narrow" w:hAnsi="Arial Narrow" w:cs="Calibri"/>
                <w:bCs/>
                <w:noProof/>
                <w:color w:val="000000"/>
                <w:highlight w:val="black"/>
              </w:rPr>
              <w:t>'''''''''''''''''''''''''''''</w:t>
            </w:r>
          </w:p>
        </w:tc>
        <w:tc>
          <w:tcPr>
            <w:tcW w:w="600" w:type="pct"/>
            <w:tcBorders>
              <w:top w:val="single" w:sz="4" w:space="0" w:color="auto"/>
              <w:left w:val="nil"/>
              <w:bottom w:val="single" w:sz="4" w:space="0" w:color="auto"/>
              <w:right w:val="single" w:sz="4" w:space="0" w:color="auto"/>
            </w:tcBorders>
            <w:shd w:val="clear" w:color="auto" w:fill="auto"/>
            <w:vAlign w:val="bottom"/>
          </w:tcPr>
          <w:p w:rsidR="00144BA3" w:rsidRPr="00144BA3" w:rsidRDefault="00144BA3" w:rsidP="00144BA3">
            <w:pPr>
              <w:pStyle w:val="Tabletext"/>
              <w:spacing w:after="0"/>
              <w:jc w:val="center"/>
              <w:rPr>
                <w:rFonts w:ascii="Arial Narrow" w:hAnsi="Arial Narrow"/>
                <w:bCs/>
                <w:color w:val="000000"/>
              </w:rPr>
            </w:pPr>
            <w:r w:rsidRPr="00144BA3">
              <w:rPr>
                <w:rFonts w:ascii="Arial Narrow" w:hAnsi="Arial Narrow" w:cs="Calibri"/>
                <w:bCs/>
                <w:color w:val="000000"/>
              </w:rPr>
              <w:t>$</w:t>
            </w:r>
            <w:r w:rsidR="00920C75">
              <w:rPr>
                <w:rFonts w:ascii="Arial Narrow" w:hAnsi="Arial Narrow" w:cs="Calibri"/>
                <w:bCs/>
                <w:noProof/>
                <w:color w:val="000000"/>
                <w:highlight w:val="black"/>
              </w:rPr>
              <w:t>''''''''''''''''''''''''</w:t>
            </w:r>
          </w:p>
        </w:tc>
        <w:tc>
          <w:tcPr>
            <w:tcW w:w="600" w:type="pct"/>
            <w:tcBorders>
              <w:top w:val="single" w:sz="4" w:space="0" w:color="auto"/>
              <w:left w:val="nil"/>
              <w:bottom w:val="single" w:sz="4" w:space="0" w:color="auto"/>
              <w:right w:val="single" w:sz="4" w:space="0" w:color="auto"/>
            </w:tcBorders>
            <w:shd w:val="clear" w:color="auto" w:fill="auto"/>
            <w:vAlign w:val="bottom"/>
          </w:tcPr>
          <w:p w:rsidR="00144BA3" w:rsidRPr="00144BA3" w:rsidRDefault="00144BA3" w:rsidP="00144BA3">
            <w:pPr>
              <w:pStyle w:val="Tabletext"/>
              <w:spacing w:after="0"/>
              <w:jc w:val="center"/>
              <w:rPr>
                <w:rFonts w:ascii="Arial Narrow" w:hAnsi="Arial Narrow"/>
                <w:bCs/>
                <w:color w:val="000000"/>
              </w:rPr>
            </w:pPr>
            <w:r w:rsidRPr="00144BA3">
              <w:rPr>
                <w:rFonts w:ascii="Arial Narrow" w:hAnsi="Arial Narrow" w:cs="Calibri"/>
                <w:bCs/>
                <w:color w:val="000000"/>
              </w:rPr>
              <w:t>$</w:t>
            </w:r>
            <w:r w:rsidR="00920C75">
              <w:rPr>
                <w:rFonts w:ascii="Arial Narrow" w:hAnsi="Arial Narrow" w:cs="Calibri"/>
                <w:bCs/>
                <w:noProof/>
                <w:color w:val="000000"/>
                <w:highlight w:val="black"/>
              </w:rPr>
              <w:t>'''''''''''''''''''''''''''</w:t>
            </w:r>
          </w:p>
        </w:tc>
        <w:tc>
          <w:tcPr>
            <w:tcW w:w="600" w:type="pct"/>
            <w:tcBorders>
              <w:top w:val="single" w:sz="4" w:space="0" w:color="auto"/>
              <w:left w:val="nil"/>
              <w:bottom w:val="single" w:sz="4" w:space="0" w:color="auto"/>
              <w:right w:val="single" w:sz="4" w:space="0" w:color="auto"/>
            </w:tcBorders>
            <w:shd w:val="clear" w:color="auto" w:fill="auto"/>
            <w:vAlign w:val="bottom"/>
          </w:tcPr>
          <w:p w:rsidR="00144BA3" w:rsidRPr="00144BA3" w:rsidRDefault="00144BA3" w:rsidP="00144BA3">
            <w:pPr>
              <w:pStyle w:val="Tabletext"/>
              <w:spacing w:after="0"/>
              <w:jc w:val="center"/>
              <w:rPr>
                <w:rFonts w:ascii="Arial Narrow" w:hAnsi="Arial Narrow"/>
                <w:bCs/>
                <w:color w:val="000000"/>
              </w:rPr>
            </w:pPr>
            <w:r w:rsidRPr="00144BA3">
              <w:rPr>
                <w:rFonts w:ascii="Arial Narrow" w:hAnsi="Arial Narrow" w:cs="Calibri"/>
                <w:bCs/>
                <w:color w:val="000000"/>
              </w:rPr>
              <w:t>$</w:t>
            </w:r>
            <w:r w:rsidR="00920C75">
              <w:rPr>
                <w:rFonts w:ascii="Arial Narrow" w:hAnsi="Arial Narrow" w:cs="Calibri"/>
                <w:bCs/>
                <w:noProof/>
                <w:color w:val="000000"/>
                <w:highlight w:val="black"/>
              </w:rPr>
              <w:t>''''''''''''''''''''''''</w:t>
            </w:r>
          </w:p>
        </w:tc>
      </w:tr>
      <w:tr w:rsidR="00144BA3" w:rsidRPr="001B3FFE" w:rsidTr="00EA4232">
        <w:tc>
          <w:tcPr>
            <w:tcW w:w="5000" w:type="pct"/>
            <w:gridSpan w:val="7"/>
          </w:tcPr>
          <w:p w:rsidR="00144BA3" w:rsidRPr="00F25B9C" w:rsidRDefault="00144BA3" w:rsidP="00144BA3">
            <w:pPr>
              <w:pStyle w:val="Tabletext"/>
              <w:spacing w:after="0"/>
              <w:rPr>
                <w:rFonts w:ascii="Arial Narrow" w:hAnsi="Arial Narrow"/>
                <w:bCs/>
                <w:color w:val="000000"/>
              </w:rPr>
            </w:pPr>
            <w:r w:rsidRPr="00F25B9C">
              <w:rPr>
                <w:rFonts w:ascii="Arial Narrow" w:hAnsi="Arial Narrow"/>
                <w:b/>
                <w:bCs/>
                <w:color w:val="000000"/>
              </w:rPr>
              <w:t xml:space="preserve">Estimated financial implications for </w:t>
            </w:r>
            <w:r>
              <w:rPr>
                <w:rFonts w:ascii="Arial Narrow" w:hAnsi="Arial Narrow"/>
                <w:b/>
                <w:bCs/>
                <w:color w:val="000000"/>
              </w:rPr>
              <w:t>Botox</w:t>
            </w:r>
          </w:p>
        </w:tc>
      </w:tr>
      <w:tr w:rsidR="00144BA3" w:rsidRPr="001B3FFE" w:rsidTr="00144BA3">
        <w:tc>
          <w:tcPr>
            <w:tcW w:w="1399" w:type="pct"/>
            <w:shd w:val="clear" w:color="auto" w:fill="auto"/>
            <w:vAlign w:val="center"/>
          </w:tcPr>
          <w:p w:rsidR="00144BA3" w:rsidRPr="00F25B9C" w:rsidRDefault="00144BA3" w:rsidP="009B02B5">
            <w:pPr>
              <w:pStyle w:val="Tabletext"/>
              <w:spacing w:after="0"/>
              <w:jc w:val="left"/>
              <w:rPr>
                <w:rFonts w:ascii="Arial Narrow" w:hAnsi="Arial Narrow"/>
              </w:rPr>
            </w:pPr>
            <w:r w:rsidRPr="00F25B9C">
              <w:rPr>
                <w:rFonts w:ascii="Arial Narrow" w:hAnsi="Arial Narrow"/>
              </w:rPr>
              <w:t>Cost to PBS/RPBS less copayments</w:t>
            </w:r>
          </w:p>
        </w:tc>
        <w:tc>
          <w:tcPr>
            <w:tcW w:w="600" w:type="pct"/>
            <w:vAlign w:val="center"/>
          </w:tcPr>
          <w:p w:rsidR="00144BA3" w:rsidRPr="00F25B9C" w:rsidRDefault="00144BA3" w:rsidP="00144BA3">
            <w:pPr>
              <w:pStyle w:val="Tabletext"/>
              <w:spacing w:after="0"/>
              <w:jc w:val="center"/>
              <w:rPr>
                <w:rFonts w:ascii="Arial Narrow" w:hAnsi="Arial Narrow"/>
                <w:bCs/>
                <w:color w:val="000000"/>
              </w:rPr>
            </w:pPr>
            <w:r>
              <w:rPr>
                <w:rFonts w:ascii="Arial Narrow" w:hAnsi="Arial Narrow"/>
                <w:bCs/>
                <w:color w:val="000000"/>
              </w:rPr>
              <w:t>-$</w:t>
            </w:r>
            <w:r w:rsidR="00920C75">
              <w:rPr>
                <w:rFonts w:ascii="Arial Narrow" w:hAnsi="Arial Narrow"/>
                <w:bCs/>
                <w:noProof/>
                <w:color w:val="000000"/>
                <w:highlight w:val="black"/>
              </w:rPr>
              <w:t>'''''''''''''''''''''</w:t>
            </w:r>
          </w:p>
        </w:tc>
        <w:tc>
          <w:tcPr>
            <w:tcW w:w="600" w:type="pct"/>
            <w:shd w:val="clear" w:color="auto" w:fill="auto"/>
            <w:vAlign w:val="center"/>
          </w:tcPr>
          <w:p w:rsidR="00144BA3" w:rsidRPr="00F25B9C" w:rsidRDefault="00144BA3" w:rsidP="00144BA3">
            <w:pPr>
              <w:pStyle w:val="Tabletext"/>
              <w:spacing w:after="0"/>
              <w:jc w:val="center"/>
              <w:rPr>
                <w:rFonts w:ascii="Arial Narrow" w:hAnsi="Arial Narrow"/>
                <w:bCs/>
                <w:color w:val="000000"/>
              </w:rPr>
            </w:pPr>
            <w:r>
              <w:rPr>
                <w:rFonts w:ascii="Arial Narrow" w:hAnsi="Arial Narrow"/>
                <w:bCs/>
                <w:color w:val="000000"/>
              </w:rPr>
              <w:t>-$</w:t>
            </w:r>
            <w:r w:rsidR="00920C75">
              <w:rPr>
                <w:rFonts w:ascii="Arial Narrow" w:hAnsi="Arial Narrow"/>
                <w:bCs/>
                <w:noProof/>
                <w:color w:val="000000"/>
                <w:highlight w:val="black"/>
              </w:rPr>
              <w:t>'''''''''''''''''''''''</w:t>
            </w:r>
          </w:p>
        </w:tc>
        <w:tc>
          <w:tcPr>
            <w:tcW w:w="601" w:type="pct"/>
            <w:shd w:val="clear" w:color="auto" w:fill="auto"/>
            <w:vAlign w:val="center"/>
          </w:tcPr>
          <w:p w:rsidR="00144BA3" w:rsidRPr="00F25B9C" w:rsidRDefault="00144BA3" w:rsidP="00144BA3">
            <w:pPr>
              <w:pStyle w:val="Tabletext"/>
              <w:spacing w:after="0"/>
              <w:jc w:val="center"/>
              <w:rPr>
                <w:rFonts w:ascii="Arial Narrow" w:hAnsi="Arial Narrow"/>
                <w:bCs/>
                <w:color w:val="000000"/>
              </w:rPr>
            </w:pPr>
            <w:r>
              <w:rPr>
                <w:rFonts w:ascii="Arial Narrow" w:hAnsi="Arial Narrow"/>
                <w:bCs/>
                <w:color w:val="000000"/>
              </w:rPr>
              <w:t>-$</w:t>
            </w:r>
            <w:r w:rsidR="00920C75">
              <w:rPr>
                <w:rFonts w:ascii="Arial Narrow" w:hAnsi="Arial Narrow"/>
                <w:bCs/>
                <w:noProof/>
                <w:color w:val="000000"/>
                <w:highlight w:val="black"/>
              </w:rPr>
              <w:t>'''''''''''''''''''''''</w:t>
            </w:r>
          </w:p>
        </w:tc>
        <w:tc>
          <w:tcPr>
            <w:tcW w:w="600" w:type="pct"/>
            <w:shd w:val="clear" w:color="auto" w:fill="auto"/>
            <w:vAlign w:val="center"/>
          </w:tcPr>
          <w:p w:rsidR="00144BA3" w:rsidRPr="00F25B9C" w:rsidRDefault="00144BA3" w:rsidP="00144BA3">
            <w:pPr>
              <w:pStyle w:val="Tabletext"/>
              <w:spacing w:after="0"/>
              <w:jc w:val="center"/>
              <w:rPr>
                <w:rFonts w:ascii="Arial Narrow" w:hAnsi="Arial Narrow"/>
                <w:bCs/>
                <w:color w:val="000000"/>
              </w:rPr>
            </w:pPr>
            <w:r>
              <w:rPr>
                <w:rFonts w:ascii="Arial Narrow" w:hAnsi="Arial Narrow"/>
                <w:bCs/>
                <w:color w:val="000000"/>
              </w:rPr>
              <w:t>-$</w:t>
            </w:r>
            <w:r w:rsidR="00920C75">
              <w:rPr>
                <w:rFonts w:ascii="Arial Narrow" w:hAnsi="Arial Narrow"/>
                <w:bCs/>
                <w:noProof/>
                <w:color w:val="000000"/>
                <w:highlight w:val="black"/>
              </w:rPr>
              <w:t>''''''''''''''''''''''''</w:t>
            </w:r>
          </w:p>
        </w:tc>
        <w:tc>
          <w:tcPr>
            <w:tcW w:w="600" w:type="pct"/>
            <w:shd w:val="clear" w:color="auto" w:fill="auto"/>
            <w:vAlign w:val="center"/>
          </w:tcPr>
          <w:p w:rsidR="00144BA3" w:rsidRPr="00F25B9C" w:rsidRDefault="00144BA3" w:rsidP="00144BA3">
            <w:pPr>
              <w:pStyle w:val="Tabletext"/>
              <w:spacing w:after="0"/>
              <w:jc w:val="center"/>
              <w:rPr>
                <w:rFonts w:ascii="Arial Narrow" w:hAnsi="Arial Narrow"/>
                <w:bCs/>
                <w:color w:val="000000"/>
              </w:rPr>
            </w:pPr>
            <w:r>
              <w:rPr>
                <w:rFonts w:ascii="Arial Narrow" w:hAnsi="Arial Narrow"/>
                <w:bCs/>
                <w:color w:val="000000"/>
              </w:rPr>
              <w:t>-$</w:t>
            </w:r>
            <w:r w:rsidR="00920C75">
              <w:rPr>
                <w:rFonts w:ascii="Arial Narrow" w:hAnsi="Arial Narrow"/>
                <w:bCs/>
                <w:noProof/>
                <w:color w:val="000000"/>
                <w:highlight w:val="black"/>
              </w:rPr>
              <w:t>''''''''''''''''''''''</w:t>
            </w:r>
          </w:p>
        </w:tc>
        <w:tc>
          <w:tcPr>
            <w:tcW w:w="600" w:type="pct"/>
            <w:shd w:val="clear" w:color="auto" w:fill="auto"/>
            <w:vAlign w:val="center"/>
          </w:tcPr>
          <w:p w:rsidR="00144BA3" w:rsidRPr="00F25B9C" w:rsidRDefault="00144BA3" w:rsidP="00144BA3">
            <w:pPr>
              <w:pStyle w:val="Tabletext"/>
              <w:spacing w:after="0"/>
              <w:jc w:val="center"/>
              <w:rPr>
                <w:rFonts w:ascii="Arial Narrow" w:hAnsi="Arial Narrow"/>
                <w:bCs/>
                <w:color w:val="000000"/>
              </w:rPr>
            </w:pPr>
            <w:r>
              <w:rPr>
                <w:rFonts w:ascii="Arial Narrow" w:hAnsi="Arial Narrow"/>
                <w:bCs/>
                <w:color w:val="000000"/>
              </w:rPr>
              <w:t>-$</w:t>
            </w:r>
            <w:r w:rsidR="00920C75">
              <w:rPr>
                <w:rFonts w:ascii="Arial Narrow" w:hAnsi="Arial Narrow"/>
                <w:bCs/>
                <w:noProof/>
                <w:color w:val="000000"/>
                <w:highlight w:val="black"/>
              </w:rPr>
              <w:t>''''''''''''''''''''''''''</w:t>
            </w:r>
          </w:p>
        </w:tc>
      </w:tr>
      <w:tr w:rsidR="00144BA3" w:rsidRPr="001B3FFE" w:rsidTr="00EA4232">
        <w:tc>
          <w:tcPr>
            <w:tcW w:w="5000" w:type="pct"/>
            <w:gridSpan w:val="7"/>
          </w:tcPr>
          <w:p w:rsidR="00144BA3" w:rsidRPr="00F25B9C" w:rsidRDefault="00144BA3" w:rsidP="00144BA3">
            <w:pPr>
              <w:pStyle w:val="Tabletext"/>
              <w:spacing w:after="0"/>
              <w:rPr>
                <w:rFonts w:ascii="Arial Narrow" w:hAnsi="Arial Narrow"/>
                <w:b/>
                <w:bCs/>
                <w:color w:val="000000"/>
              </w:rPr>
            </w:pPr>
            <w:r w:rsidRPr="00F25B9C">
              <w:rPr>
                <w:rFonts w:ascii="Arial Narrow" w:hAnsi="Arial Narrow"/>
                <w:b/>
                <w:bCs/>
                <w:color w:val="000000"/>
              </w:rPr>
              <w:t>Net financial implications</w:t>
            </w:r>
            <w:r w:rsidRPr="00F25B9C">
              <w:rPr>
                <w:rFonts w:ascii="Arial Narrow" w:hAnsi="Arial Narrow"/>
                <w:b/>
                <w:bCs/>
                <w:color w:val="4BACC6" w:themeColor="accent5"/>
              </w:rPr>
              <w:t xml:space="preserve"> </w:t>
            </w:r>
          </w:p>
        </w:tc>
      </w:tr>
      <w:tr w:rsidR="00144BA3" w:rsidRPr="00144BA3" w:rsidTr="00144BA3">
        <w:tc>
          <w:tcPr>
            <w:tcW w:w="1399" w:type="pct"/>
            <w:shd w:val="clear" w:color="auto" w:fill="auto"/>
            <w:vAlign w:val="center"/>
          </w:tcPr>
          <w:p w:rsidR="00566F8E" w:rsidRPr="00F25B9C" w:rsidRDefault="00144BA3" w:rsidP="00144BA3">
            <w:pPr>
              <w:pStyle w:val="Tabletext"/>
              <w:spacing w:after="0"/>
              <w:rPr>
                <w:rFonts w:ascii="Arial Narrow" w:hAnsi="Arial Narrow"/>
              </w:rPr>
            </w:pPr>
            <w:r w:rsidRPr="00F25B9C">
              <w:rPr>
                <w:rFonts w:ascii="Arial Narrow" w:hAnsi="Arial Narrow"/>
              </w:rPr>
              <w:t>Net cost to PBS/RPBS</w:t>
            </w:r>
          </w:p>
        </w:tc>
        <w:tc>
          <w:tcPr>
            <w:tcW w:w="600" w:type="pct"/>
            <w:tcBorders>
              <w:top w:val="single" w:sz="4" w:space="0" w:color="auto"/>
              <w:left w:val="nil"/>
              <w:bottom w:val="single" w:sz="4" w:space="0" w:color="auto"/>
              <w:right w:val="single" w:sz="4" w:space="0" w:color="auto"/>
            </w:tcBorders>
            <w:shd w:val="clear" w:color="auto" w:fill="auto"/>
            <w:vAlign w:val="bottom"/>
          </w:tcPr>
          <w:p w:rsidR="00144BA3" w:rsidRPr="00F25B9C" w:rsidRDefault="00144BA3" w:rsidP="00566F8E">
            <w:pPr>
              <w:pStyle w:val="Tabletext"/>
              <w:spacing w:after="0"/>
              <w:jc w:val="center"/>
              <w:rPr>
                <w:rFonts w:ascii="Arial Narrow" w:hAnsi="Arial Narrow"/>
                <w:bCs/>
                <w:color w:val="000000"/>
              </w:rPr>
            </w:pPr>
            <w:r>
              <w:rPr>
                <w:rFonts w:ascii="Arial Narrow" w:hAnsi="Arial Narrow"/>
                <w:bCs/>
                <w:color w:val="000000"/>
              </w:rPr>
              <w:t>$</w:t>
            </w:r>
            <w:r w:rsidR="00920C75">
              <w:rPr>
                <w:rFonts w:ascii="Arial Narrow" w:hAnsi="Arial Narrow"/>
                <w:bCs/>
                <w:noProof/>
                <w:color w:val="000000"/>
                <w:highlight w:val="black"/>
              </w:rPr>
              <w:t>''''''''''''''''''''''''</w:t>
            </w:r>
          </w:p>
        </w:tc>
        <w:tc>
          <w:tcPr>
            <w:tcW w:w="600" w:type="pct"/>
            <w:tcBorders>
              <w:top w:val="single" w:sz="4" w:space="0" w:color="auto"/>
              <w:left w:val="single" w:sz="4" w:space="0" w:color="auto"/>
              <w:bottom w:val="single" w:sz="4" w:space="0" w:color="auto"/>
              <w:right w:val="single" w:sz="4" w:space="0" w:color="auto"/>
            </w:tcBorders>
            <w:shd w:val="clear" w:color="auto" w:fill="auto"/>
            <w:vAlign w:val="bottom"/>
          </w:tcPr>
          <w:p w:rsidR="00144BA3" w:rsidRPr="00F25B9C" w:rsidRDefault="00144BA3" w:rsidP="00566F8E">
            <w:pPr>
              <w:pStyle w:val="Tabletext"/>
              <w:spacing w:after="0"/>
              <w:jc w:val="center"/>
              <w:rPr>
                <w:rFonts w:ascii="Arial Narrow" w:hAnsi="Arial Narrow"/>
                <w:bCs/>
                <w:color w:val="000000"/>
              </w:rPr>
            </w:pPr>
            <w:r>
              <w:rPr>
                <w:rFonts w:ascii="Arial Narrow" w:hAnsi="Arial Narrow"/>
                <w:bCs/>
                <w:color w:val="000000"/>
              </w:rPr>
              <w:t>$</w:t>
            </w:r>
            <w:r w:rsidR="00920C75">
              <w:rPr>
                <w:rFonts w:ascii="Arial Narrow" w:hAnsi="Arial Narrow"/>
                <w:bCs/>
                <w:noProof/>
                <w:color w:val="000000"/>
                <w:highlight w:val="black"/>
              </w:rPr>
              <w:t>'''''''''''''''''''''''''</w:t>
            </w:r>
          </w:p>
        </w:tc>
        <w:tc>
          <w:tcPr>
            <w:tcW w:w="601" w:type="pct"/>
            <w:tcBorders>
              <w:top w:val="single" w:sz="4" w:space="0" w:color="auto"/>
              <w:left w:val="single" w:sz="4" w:space="0" w:color="auto"/>
              <w:bottom w:val="single" w:sz="4" w:space="0" w:color="auto"/>
              <w:right w:val="single" w:sz="4" w:space="0" w:color="auto"/>
            </w:tcBorders>
            <w:shd w:val="clear" w:color="auto" w:fill="auto"/>
            <w:vAlign w:val="bottom"/>
          </w:tcPr>
          <w:p w:rsidR="00144BA3" w:rsidRPr="00F25B9C" w:rsidRDefault="00144BA3" w:rsidP="00566F8E">
            <w:pPr>
              <w:pStyle w:val="Tabletext"/>
              <w:spacing w:after="0"/>
              <w:jc w:val="center"/>
              <w:rPr>
                <w:rFonts w:ascii="Arial Narrow" w:hAnsi="Arial Narrow"/>
                <w:bCs/>
                <w:color w:val="000000"/>
              </w:rPr>
            </w:pPr>
            <w:r>
              <w:rPr>
                <w:rFonts w:ascii="Arial Narrow" w:hAnsi="Arial Narrow"/>
                <w:bCs/>
                <w:color w:val="000000"/>
              </w:rPr>
              <w:t>$</w:t>
            </w:r>
            <w:r w:rsidR="00920C75">
              <w:rPr>
                <w:rFonts w:ascii="Arial Narrow" w:hAnsi="Arial Narrow"/>
                <w:bCs/>
                <w:noProof/>
                <w:color w:val="000000"/>
                <w:highlight w:val="black"/>
              </w:rPr>
              <w:t>''''''''''''''''''''''''''''</w:t>
            </w:r>
          </w:p>
        </w:tc>
        <w:tc>
          <w:tcPr>
            <w:tcW w:w="600" w:type="pct"/>
            <w:tcBorders>
              <w:top w:val="single" w:sz="4" w:space="0" w:color="auto"/>
              <w:left w:val="single" w:sz="4" w:space="0" w:color="auto"/>
              <w:bottom w:val="single" w:sz="4" w:space="0" w:color="auto"/>
              <w:right w:val="single" w:sz="4" w:space="0" w:color="auto"/>
            </w:tcBorders>
            <w:shd w:val="clear" w:color="auto" w:fill="auto"/>
            <w:vAlign w:val="bottom"/>
          </w:tcPr>
          <w:p w:rsidR="00144BA3" w:rsidRPr="00F25B9C" w:rsidRDefault="00144BA3" w:rsidP="00566F8E">
            <w:pPr>
              <w:pStyle w:val="Tabletext"/>
              <w:spacing w:after="0"/>
              <w:jc w:val="center"/>
              <w:rPr>
                <w:rFonts w:ascii="Arial Narrow" w:hAnsi="Arial Narrow"/>
                <w:bCs/>
                <w:color w:val="000000"/>
              </w:rPr>
            </w:pPr>
            <w:r>
              <w:rPr>
                <w:rFonts w:ascii="Arial Narrow" w:hAnsi="Arial Narrow"/>
                <w:bCs/>
                <w:color w:val="000000"/>
              </w:rPr>
              <w:t>$</w:t>
            </w:r>
            <w:r w:rsidR="00920C75">
              <w:rPr>
                <w:rFonts w:ascii="Arial Narrow" w:hAnsi="Arial Narrow"/>
                <w:bCs/>
                <w:noProof/>
                <w:color w:val="000000"/>
                <w:highlight w:val="black"/>
              </w:rPr>
              <w:t>'''''''''''''''''''''''''</w:t>
            </w:r>
          </w:p>
        </w:tc>
        <w:tc>
          <w:tcPr>
            <w:tcW w:w="600" w:type="pct"/>
            <w:tcBorders>
              <w:top w:val="single" w:sz="4" w:space="0" w:color="auto"/>
              <w:left w:val="single" w:sz="4" w:space="0" w:color="auto"/>
              <w:bottom w:val="single" w:sz="4" w:space="0" w:color="auto"/>
              <w:right w:val="single" w:sz="4" w:space="0" w:color="auto"/>
            </w:tcBorders>
            <w:shd w:val="clear" w:color="auto" w:fill="auto"/>
            <w:vAlign w:val="bottom"/>
          </w:tcPr>
          <w:p w:rsidR="00144BA3" w:rsidRPr="00F25B9C" w:rsidRDefault="00144BA3" w:rsidP="00566F8E">
            <w:pPr>
              <w:pStyle w:val="Tabletext"/>
              <w:spacing w:after="0"/>
              <w:jc w:val="center"/>
              <w:rPr>
                <w:rFonts w:ascii="Arial Narrow" w:hAnsi="Arial Narrow"/>
                <w:bCs/>
                <w:color w:val="000000"/>
              </w:rPr>
            </w:pPr>
            <w:r>
              <w:rPr>
                <w:rFonts w:ascii="Arial Narrow" w:hAnsi="Arial Narrow"/>
                <w:bCs/>
                <w:color w:val="000000"/>
              </w:rPr>
              <w:t>$</w:t>
            </w:r>
            <w:r w:rsidR="00920C75">
              <w:rPr>
                <w:rFonts w:ascii="Arial Narrow" w:hAnsi="Arial Narrow"/>
                <w:bCs/>
                <w:noProof/>
                <w:color w:val="000000"/>
                <w:highlight w:val="black"/>
              </w:rPr>
              <w:t>'''''''''''''''''''''''''</w:t>
            </w:r>
          </w:p>
        </w:tc>
        <w:tc>
          <w:tcPr>
            <w:tcW w:w="600" w:type="pct"/>
            <w:tcBorders>
              <w:top w:val="single" w:sz="4" w:space="0" w:color="auto"/>
              <w:left w:val="single" w:sz="4" w:space="0" w:color="auto"/>
              <w:bottom w:val="single" w:sz="4" w:space="0" w:color="auto"/>
              <w:right w:val="single" w:sz="4" w:space="0" w:color="auto"/>
            </w:tcBorders>
            <w:shd w:val="clear" w:color="auto" w:fill="auto"/>
            <w:vAlign w:val="bottom"/>
          </w:tcPr>
          <w:p w:rsidR="00144BA3" w:rsidRPr="00F25B9C" w:rsidRDefault="00144BA3" w:rsidP="00566F8E">
            <w:pPr>
              <w:pStyle w:val="Tabletext"/>
              <w:spacing w:after="0"/>
              <w:jc w:val="center"/>
              <w:rPr>
                <w:rFonts w:ascii="Arial Narrow" w:hAnsi="Arial Narrow"/>
                <w:bCs/>
                <w:color w:val="000000"/>
              </w:rPr>
            </w:pPr>
            <w:r>
              <w:rPr>
                <w:rFonts w:ascii="Arial Narrow" w:hAnsi="Arial Narrow"/>
                <w:bCs/>
                <w:color w:val="000000"/>
              </w:rPr>
              <w:t>$</w:t>
            </w:r>
            <w:r w:rsidR="00920C75">
              <w:rPr>
                <w:rFonts w:ascii="Arial Narrow" w:hAnsi="Arial Narrow"/>
                <w:bCs/>
                <w:noProof/>
                <w:color w:val="000000"/>
                <w:highlight w:val="black"/>
              </w:rPr>
              <w:t>'''''''''''''''''''''''</w:t>
            </w:r>
          </w:p>
        </w:tc>
      </w:tr>
    </w:tbl>
    <w:p w:rsidR="00A34687" w:rsidRPr="00A34687" w:rsidRDefault="00A34687" w:rsidP="00A34687">
      <w:pPr>
        <w:pStyle w:val="ListParagraph"/>
        <w:numPr>
          <w:ilvl w:val="0"/>
          <w:numId w:val="25"/>
        </w:numPr>
        <w:rPr>
          <w:rFonts w:ascii="Arial Narrow" w:hAnsi="Arial Narrow"/>
          <w:sz w:val="20"/>
          <w:szCs w:val="20"/>
        </w:rPr>
      </w:pPr>
      <w:r w:rsidRPr="00A34687">
        <w:rPr>
          <w:rFonts w:ascii="Arial Narrow" w:hAnsi="Arial Narrow"/>
          <w:sz w:val="16"/>
          <w:szCs w:val="20"/>
        </w:rPr>
        <w:t xml:space="preserve">The Sponsor assumed all initial patients would be treated for 3 months and </w:t>
      </w:r>
      <w:r w:rsidR="00920C75">
        <w:rPr>
          <w:rFonts w:ascii="Arial Narrow" w:hAnsi="Arial Narrow"/>
          <w:noProof/>
          <w:color w:val="000000"/>
          <w:sz w:val="16"/>
          <w:szCs w:val="20"/>
          <w:highlight w:val="black"/>
        </w:rPr>
        <w:t>''''''''''</w:t>
      </w:r>
      <w:r w:rsidRPr="00A34687">
        <w:rPr>
          <w:rFonts w:ascii="Arial Narrow" w:hAnsi="Arial Narrow"/>
          <w:sz w:val="16"/>
          <w:szCs w:val="20"/>
        </w:rPr>
        <w:t>% would receive 1 month of continuing treatment. This overestimated the number of months of treatment as April to June equates to 3 months. From April 2020 to June 2020, the Sponsor assumed all grandfathered patients would be treated for 4 months which also overestimated the treatment duration.</w:t>
      </w:r>
      <w:r w:rsidR="00566F8E">
        <w:rPr>
          <w:rFonts w:ascii="Arial Narrow" w:hAnsi="Arial Narrow"/>
          <w:sz w:val="16"/>
          <w:szCs w:val="20"/>
        </w:rPr>
        <w:t xml:space="preserve"> </w:t>
      </w:r>
      <w:r w:rsidRPr="00A34687">
        <w:rPr>
          <w:rFonts w:ascii="Arial Narrow" w:hAnsi="Arial Narrow"/>
          <w:sz w:val="16"/>
          <w:szCs w:val="20"/>
        </w:rPr>
        <w:t>The corrected numbers are presented in the table</w:t>
      </w:r>
      <w:r>
        <w:rPr>
          <w:rFonts w:ascii="Arial Narrow" w:hAnsi="Arial Narrow"/>
          <w:sz w:val="20"/>
          <w:szCs w:val="20"/>
        </w:rPr>
        <w:t>.</w:t>
      </w:r>
    </w:p>
    <w:p w:rsidR="002D07FE" w:rsidRPr="00E07EDF" w:rsidRDefault="002D07FE" w:rsidP="002D07FE">
      <w:pPr>
        <w:pStyle w:val="Heading2"/>
        <w:keepLines/>
        <w:spacing w:before="240" w:after="120"/>
        <w:rPr>
          <w:rFonts w:asciiTheme="minorHAnsi" w:eastAsiaTheme="majorEastAsia" w:hAnsiTheme="minorHAnsi" w:cstheme="majorBidi"/>
          <w:sz w:val="28"/>
          <w:szCs w:val="28"/>
          <w:lang w:eastAsia="en-US"/>
        </w:rPr>
      </w:pPr>
      <w:r w:rsidRPr="00E07EDF">
        <w:rPr>
          <w:rFonts w:asciiTheme="minorHAnsi" w:eastAsiaTheme="majorEastAsia" w:hAnsiTheme="minorHAnsi" w:cstheme="majorBidi"/>
          <w:sz w:val="28"/>
          <w:szCs w:val="28"/>
          <w:lang w:eastAsia="en-US"/>
        </w:rPr>
        <w:t>Risk share arrangement</w:t>
      </w:r>
    </w:p>
    <w:p w:rsidR="002D07FE" w:rsidRDefault="00AB46D2" w:rsidP="002D07FE">
      <w:pPr>
        <w:numPr>
          <w:ilvl w:val="1"/>
          <w:numId w:val="15"/>
        </w:numPr>
        <w:spacing w:after="120"/>
        <w:rPr>
          <w:rFonts w:asciiTheme="minorHAnsi" w:hAnsiTheme="minorHAnsi" w:cs="Arial"/>
          <w:snapToGrid w:val="0"/>
          <w:lang w:eastAsia="en-US"/>
        </w:rPr>
      </w:pPr>
      <w:r w:rsidRPr="00E07EDF">
        <w:rPr>
          <w:rFonts w:asciiTheme="minorHAnsi" w:hAnsiTheme="minorHAnsi" w:cs="Arial"/>
          <w:snapToGrid w:val="0"/>
          <w:lang w:eastAsia="en-US"/>
        </w:rPr>
        <w:t>The Sponsor p</w:t>
      </w:r>
      <w:r w:rsidR="002D07FE" w:rsidRPr="00E07EDF">
        <w:rPr>
          <w:rFonts w:asciiTheme="minorHAnsi" w:hAnsiTheme="minorHAnsi" w:cs="Arial"/>
          <w:snapToGrid w:val="0"/>
          <w:lang w:eastAsia="en-US"/>
        </w:rPr>
        <w:t>ropose</w:t>
      </w:r>
      <w:r w:rsidR="00B74BAE">
        <w:rPr>
          <w:rFonts w:asciiTheme="minorHAnsi" w:hAnsiTheme="minorHAnsi" w:cs="Arial"/>
          <w:snapToGrid w:val="0"/>
          <w:lang w:eastAsia="en-US"/>
        </w:rPr>
        <w:t>d a</w:t>
      </w:r>
      <w:r w:rsidR="00D87597">
        <w:rPr>
          <w:rFonts w:asciiTheme="minorHAnsi" w:hAnsiTheme="minorHAnsi" w:cs="Arial"/>
          <w:snapToGrid w:val="0"/>
          <w:lang w:eastAsia="en-US"/>
        </w:rPr>
        <w:t xml:space="preserve"> </w:t>
      </w:r>
      <w:r w:rsidRPr="00E07EDF">
        <w:rPr>
          <w:rFonts w:asciiTheme="minorHAnsi" w:hAnsiTheme="minorHAnsi" w:cs="Arial"/>
          <w:snapToGrid w:val="0"/>
          <w:lang w:eastAsia="en-US"/>
        </w:rPr>
        <w:t xml:space="preserve">RSA with expenditure caps to manage the cost of listing fremanezumab on the PBS. </w:t>
      </w:r>
      <w:r w:rsidR="00E07EDF" w:rsidRPr="00E07EDF">
        <w:rPr>
          <w:rFonts w:asciiTheme="minorHAnsi" w:hAnsiTheme="minorHAnsi" w:cs="Arial"/>
          <w:snapToGrid w:val="0"/>
          <w:lang w:eastAsia="en-US"/>
        </w:rPr>
        <w:t xml:space="preserve">The </w:t>
      </w:r>
      <w:r w:rsidR="00694DE2">
        <w:rPr>
          <w:rFonts w:asciiTheme="minorHAnsi" w:hAnsiTheme="minorHAnsi" w:cs="Arial"/>
          <w:snapToGrid w:val="0"/>
          <w:lang w:eastAsia="en-US"/>
        </w:rPr>
        <w:t xml:space="preserve">expenditure </w:t>
      </w:r>
      <w:r w:rsidR="00E07EDF" w:rsidRPr="00E07EDF">
        <w:rPr>
          <w:rFonts w:asciiTheme="minorHAnsi" w:hAnsiTheme="minorHAnsi" w:cs="Arial"/>
          <w:snapToGrid w:val="0"/>
          <w:lang w:eastAsia="en-US"/>
        </w:rPr>
        <w:t xml:space="preserve">caps </w:t>
      </w:r>
      <w:r w:rsidR="00694DE2">
        <w:rPr>
          <w:rFonts w:asciiTheme="minorHAnsi" w:hAnsiTheme="minorHAnsi" w:cs="Arial"/>
          <w:snapToGrid w:val="0"/>
          <w:lang w:eastAsia="en-US"/>
        </w:rPr>
        <w:t>proposed by the Sponsor (</w:t>
      </w:r>
      <w:r w:rsidR="00E07EDF" w:rsidRPr="00E07EDF">
        <w:rPr>
          <w:rFonts w:asciiTheme="minorHAnsi" w:hAnsiTheme="minorHAnsi" w:cs="Arial"/>
          <w:snapToGrid w:val="0"/>
          <w:lang w:eastAsia="en-US"/>
        </w:rPr>
        <w:t>using a price for fremanezumab based on the published price of Botox</w:t>
      </w:r>
      <w:r w:rsidR="00694DE2">
        <w:rPr>
          <w:rFonts w:asciiTheme="minorHAnsi" w:hAnsiTheme="minorHAnsi" w:cs="Arial"/>
          <w:snapToGrid w:val="0"/>
          <w:lang w:eastAsia="en-US"/>
        </w:rPr>
        <w:t>)</w:t>
      </w:r>
      <w:r w:rsidR="00E07EDF" w:rsidRPr="00E07EDF">
        <w:rPr>
          <w:rFonts w:asciiTheme="minorHAnsi" w:hAnsiTheme="minorHAnsi" w:cs="Arial"/>
          <w:snapToGrid w:val="0"/>
          <w:lang w:eastAsia="en-US"/>
        </w:rPr>
        <w:t xml:space="preserve"> are provided in </w:t>
      </w:r>
      <w:r w:rsidR="003C174C">
        <w:rPr>
          <w:rFonts w:asciiTheme="minorHAnsi" w:hAnsiTheme="minorHAnsi" w:cs="Arial"/>
          <w:snapToGrid w:val="0"/>
          <w:lang w:eastAsia="en-US"/>
        </w:rPr>
        <w:t>Table 5</w:t>
      </w:r>
      <w:r w:rsidR="00E07EDF" w:rsidRPr="00E07EDF">
        <w:rPr>
          <w:rFonts w:asciiTheme="minorHAnsi" w:hAnsiTheme="minorHAnsi" w:cs="Arial"/>
          <w:snapToGrid w:val="0"/>
          <w:lang w:eastAsia="en-US"/>
        </w:rPr>
        <w:t xml:space="preserve">. </w:t>
      </w:r>
      <w:r w:rsidRPr="00E07EDF">
        <w:rPr>
          <w:rFonts w:asciiTheme="minorHAnsi" w:hAnsiTheme="minorHAnsi" w:cs="Arial"/>
          <w:snapToGrid w:val="0"/>
          <w:lang w:eastAsia="en-US"/>
        </w:rPr>
        <w:t xml:space="preserve">Two expenditure caps were proposed with a </w:t>
      </w:r>
      <w:r w:rsidR="00920C75">
        <w:rPr>
          <w:rFonts w:asciiTheme="minorHAnsi" w:hAnsiTheme="minorHAnsi" w:cs="Arial"/>
          <w:noProof/>
          <w:snapToGrid w:val="0"/>
          <w:color w:val="000000"/>
          <w:highlight w:val="black"/>
          <w:lang w:eastAsia="en-US"/>
        </w:rPr>
        <w:t>'''''</w:t>
      </w:r>
      <w:r w:rsidR="002D07FE" w:rsidRPr="00E07EDF">
        <w:rPr>
          <w:rFonts w:asciiTheme="minorHAnsi" w:hAnsiTheme="minorHAnsi" w:cs="Arial"/>
          <w:snapToGrid w:val="0"/>
          <w:lang w:eastAsia="en-US"/>
        </w:rPr>
        <w:t xml:space="preserve">% rebate </w:t>
      </w:r>
      <w:r w:rsidRPr="00E07EDF">
        <w:rPr>
          <w:rFonts w:asciiTheme="minorHAnsi" w:hAnsiTheme="minorHAnsi" w:cs="Arial"/>
          <w:snapToGrid w:val="0"/>
          <w:lang w:eastAsia="en-US"/>
        </w:rPr>
        <w:t xml:space="preserve">of expenditure </w:t>
      </w:r>
      <w:r w:rsidR="00220BC2">
        <w:rPr>
          <w:rFonts w:asciiTheme="minorHAnsi" w:hAnsiTheme="minorHAnsi" w:cs="Arial"/>
          <w:snapToGrid w:val="0"/>
          <w:lang w:eastAsia="en-US"/>
        </w:rPr>
        <w:t xml:space="preserve">between </w:t>
      </w:r>
      <w:r w:rsidRPr="00E07EDF">
        <w:rPr>
          <w:rFonts w:asciiTheme="minorHAnsi" w:hAnsiTheme="minorHAnsi" w:cs="Arial"/>
          <w:snapToGrid w:val="0"/>
          <w:lang w:eastAsia="en-US"/>
        </w:rPr>
        <w:t xml:space="preserve">Tier 1 </w:t>
      </w:r>
      <w:r w:rsidR="00220BC2">
        <w:rPr>
          <w:rFonts w:asciiTheme="minorHAnsi" w:hAnsiTheme="minorHAnsi" w:cs="Arial"/>
          <w:snapToGrid w:val="0"/>
          <w:lang w:eastAsia="en-US"/>
        </w:rPr>
        <w:t xml:space="preserve">and Tier 2 </w:t>
      </w:r>
      <w:r w:rsidRPr="00E07EDF">
        <w:rPr>
          <w:rFonts w:asciiTheme="minorHAnsi" w:hAnsiTheme="minorHAnsi" w:cs="Arial"/>
          <w:snapToGrid w:val="0"/>
          <w:lang w:eastAsia="en-US"/>
        </w:rPr>
        <w:t xml:space="preserve">and </w:t>
      </w:r>
      <w:r w:rsidR="00920C75">
        <w:rPr>
          <w:rFonts w:asciiTheme="minorHAnsi" w:hAnsiTheme="minorHAnsi" w:cs="Arial"/>
          <w:noProof/>
          <w:snapToGrid w:val="0"/>
          <w:color w:val="000000"/>
          <w:highlight w:val="black"/>
          <w:lang w:eastAsia="en-US"/>
        </w:rPr>
        <w:t>'''''</w:t>
      </w:r>
      <w:r w:rsidR="002D07FE" w:rsidRPr="00E07EDF">
        <w:rPr>
          <w:rFonts w:asciiTheme="minorHAnsi" w:hAnsiTheme="minorHAnsi" w:cs="Arial"/>
          <w:snapToGrid w:val="0"/>
          <w:lang w:eastAsia="en-US"/>
        </w:rPr>
        <w:t xml:space="preserve">% rebate </w:t>
      </w:r>
      <w:r w:rsidR="00220BC2">
        <w:rPr>
          <w:rFonts w:asciiTheme="minorHAnsi" w:hAnsiTheme="minorHAnsi" w:cs="Arial"/>
          <w:snapToGrid w:val="0"/>
          <w:lang w:eastAsia="en-US"/>
        </w:rPr>
        <w:t xml:space="preserve">above </w:t>
      </w:r>
      <w:r w:rsidR="002D07FE" w:rsidRPr="00E07EDF">
        <w:rPr>
          <w:rFonts w:asciiTheme="minorHAnsi" w:hAnsiTheme="minorHAnsi" w:cs="Arial"/>
          <w:snapToGrid w:val="0"/>
          <w:lang w:eastAsia="en-US"/>
        </w:rPr>
        <w:t xml:space="preserve">Tier 2. </w:t>
      </w:r>
      <w:r w:rsidR="00E07EDF">
        <w:rPr>
          <w:rFonts w:asciiTheme="minorHAnsi" w:hAnsiTheme="minorHAnsi" w:cs="Arial"/>
          <w:snapToGrid w:val="0"/>
          <w:lang w:eastAsia="en-US"/>
        </w:rPr>
        <w:t xml:space="preserve">The Tier 1 </w:t>
      </w:r>
      <w:r w:rsidRPr="00E07EDF">
        <w:rPr>
          <w:rFonts w:asciiTheme="minorHAnsi" w:hAnsiTheme="minorHAnsi" w:cs="Arial"/>
          <w:snapToGrid w:val="0"/>
          <w:lang w:eastAsia="en-US"/>
        </w:rPr>
        <w:t xml:space="preserve">cap is consistent with the cost of listing fremanezumab on the PBS/ RPBS </w:t>
      </w:r>
      <w:r w:rsidR="00E07EDF" w:rsidRPr="00E07EDF">
        <w:rPr>
          <w:rFonts w:asciiTheme="minorHAnsi" w:hAnsiTheme="minorHAnsi" w:cs="Arial"/>
          <w:snapToGrid w:val="0"/>
          <w:lang w:eastAsia="en-US"/>
        </w:rPr>
        <w:t xml:space="preserve">in </w:t>
      </w:r>
      <w:r w:rsidR="00111BB6" w:rsidRPr="00741212">
        <w:rPr>
          <w:rFonts w:asciiTheme="minorHAnsi" w:hAnsiTheme="minorHAnsi" w:cs="Arial"/>
          <w:snapToGrid w:val="0"/>
          <w:lang w:eastAsia="en-US"/>
        </w:rPr>
        <w:t>Table 4</w:t>
      </w:r>
      <w:r w:rsidR="00E07EDF">
        <w:rPr>
          <w:rFonts w:asciiTheme="minorHAnsi" w:hAnsiTheme="minorHAnsi" w:cs="Arial"/>
          <w:snapToGrid w:val="0"/>
          <w:lang w:eastAsia="en-US"/>
        </w:rPr>
        <w:t xml:space="preserve"> and Tier 2 </w:t>
      </w:r>
      <w:r w:rsidR="00502086">
        <w:rPr>
          <w:rFonts w:asciiTheme="minorHAnsi" w:hAnsiTheme="minorHAnsi" w:cs="Arial"/>
          <w:snapToGrid w:val="0"/>
          <w:lang w:eastAsia="en-US"/>
        </w:rPr>
        <w:t xml:space="preserve">was </w:t>
      </w:r>
      <w:r w:rsidR="00E07EDF">
        <w:rPr>
          <w:rFonts w:asciiTheme="minorHAnsi" w:hAnsiTheme="minorHAnsi" w:cs="Arial"/>
          <w:snapToGrid w:val="0"/>
          <w:lang w:eastAsia="en-US"/>
        </w:rPr>
        <w:t xml:space="preserve">set at </w:t>
      </w:r>
      <w:r w:rsidR="00920C75">
        <w:rPr>
          <w:rFonts w:asciiTheme="minorHAnsi" w:hAnsiTheme="minorHAnsi" w:cs="Arial"/>
          <w:noProof/>
          <w:snapToGrid w:val="0"/>
          <w:color w:val="000000"/>
          <w:highlight w:val="black"/>
          <w:lang w:eastAsia="en-US"/>
        </w:rPr>
        <w:t>''''''</w:t>
      </w:r>
      <w:r w:rsidR="00E07EDF">
        <w:rPr>
          <w:rFonts w:asciiTheme="minorHAnsi" w:hAnsiTheme="minorHAnsi" w:cs="Arial"/>
          <w:snapToGrid w:val="0"/>
          <w:lang w:eastAsia="en-US"/>
        </w:rPr>
        <w:t xml:space="preserve"> time</w:t>
      </w:r>
      <w:r w:rsidR="00B74BAE">
        <w:rPr>
          <w:rFonts w:asciiTheme="minorHAnsi" w:hAnsiTheme="minorHAnsi" w:cs="Arial"/>
          <w:snapToGrid w:val="0"/>
          <w:lang w:eastAsia="en-US"/>
        </w:rPr>
        <w:t>s</w:t>
      </w:r>
      <w:r w:rsidR="00E07EDF">
        <w:rPr>
          <w:rFonts w:asciiTheme="minorHAnsi" w:hAnsiTheme="minorHAnsi" w:cs="Arial"/>
          <w:snapToGrid w:val="0"/>
          <w:lang w:eastAsia="en-US"/>
        </w:rPr>
        <w:t xml:space="preserve"> the Tier 1 expenditure cap. </w:t>
      </w:r>
      <w:r w:rsidR="00B74BAE">
        <w:rPr>
          <w:rFonts w:asciiTheme="minorHAnsi" w:hAnsiTheme="minorHAnsi" w:cs="Arial"/>
          <w:snapToGrid w:val="0"/>
          <w:lang w:eastAsia="en-US"/>
        </w:rPr>
        <w:t>No justification was provided for the Tier 2 expenditure cap.</w:t>
      </w:r>
    </w:p>
    <w:p w:rsidR="002F7529" w:rsidRPr="00920C75" w:rsidRDefault="00920C75" w:rsidP="00920C75">
      <w:pPr>
        <w:spacing w:after="120"/>
        <w:ind w:left="720" w:hanging="720"/>
        <w:rPr>
          <w:rFonts w:asciiTheme="minorHAnsi" w:hAnsiTheme="minorHAnsi" w:cs="Arial"/>
          <w:snapToGrid w:val="0"/>
          <w:highlight w:val="black"/>
          <w:lang w:eastAsia="en-US"/>
        </w:rPr>
      </w:pPr>
      <w:r>
        <w:rPr>
          <w:rFonts w:asciiTheme="minorHAnsi" w:hAnsiTheme="minorHAnsi" w:cs="Arial"/>
          <w:noProof/>
          <w:snapToGrid w:val="0"/>
          <w:color w:val="000000"/>
          <w:highlight w:val="black"/>
          <w:lang w:eastAsia="en-US"/>
        </w:rPr>
        <w:t xml:space="preserve">'''''''''''''' ''''''''''''''''' ''''''''''' '' ''''''''''''''''' '''' '''''''''''''' ''''''''''''''''' ''''''''''''''' ''''' '''''' '''''''' ''''' '''''''''''''' '''''' ''''''''''''''''' '''''''''''' '''' '''''' ''''''''''''''''''' '''''''''''' ''''''' ''''''''''''''' ''''''''''''''''' '''''''' ''''''' ''''''''''' '''''' ''''''' '''''''''''' '''' '''''''' ''''''''' '''''' '''''''''' ''''' '''''' '''''''''''''''''''''''''''''' </w:t>
      </w:r>
    </w:p>
    <w:p w:rsidR="002D07FE" w:rsidRPr="00E07EDF" w:rsidRDefault="002D07FE" w:rsidP="002D07FE">
      <w:pPr>
        <w:pStyle w:val="TableFigureHeading"/>
        <w:rPr>
          <w:rStyle w:val="CommentReference"/>
          <w:rFonts w:eastAsia="Times New Roman" w:cs="Times New Roman"/>
          <w:bCs w:val="0"/>
          <w:sz w:val="20"/>
          <w:szCs w:val="20"/>
        </w:rPr>
      </w:pPr>
      <w:bookmarkStart w:id="5" w:name="_Ref33444009"/>
      <w:r w:rsidRPr="00E07EDF">
        <w:rPr>
          <w:rStyle w:val="CommentReference"/>
          <w:rFonts w:eastAsia="Times New Roman" w:cs="Times New Roman"/>
          <w:bCs w:val="0"/>
          <w:sz w:val="20"/>
          <w:szCs w:val="20"/>
        </w:rPr>
        <w:t xml:space="preserve">Table </w:t>
      </w:r>
      <w:bookmarkEnd w:id="5"/>
      <w:r w:rsidR="003C174C">
        <w:rPr>
          <w:rStyle w:val="CommentReference"/>
          <w:rFonts w:eastAsia="Times New Roman" w:cs="Times New Roman"/>
          <w:bCs w:val="0"/>
          <w:sz w:val="20"/>
          <w:szCs w:val="20"/>
        </w:rPr>
        <w:t>5</w:t>
      </w:r>
      <w:r w:rsidRPr="00E07EDF">
        <w:rPr>
          <w:rStyle w:val="CommentReference"/>
          <w:rFonts w:eastAsia="Times New Roman" w:cs="Times New Roman"/>
          <w:bCs w:val="0"/>
          <w:sz w:val="20"/>
          <w:szCs w:val="20"/>
        </w:rPr>
        <w:t>: Expenditure caps</w:t>
      </w:r>
    </w:p>
    <w:tbl>
      <w:tblPr>
        <w:tblStyle w:val="TableGrid"/>
        <w:tblW w:w="0" w:type="auto"/>
        <w:tblLook w:val="04A0" w:firstRow="1" w:lastRow="0" w:firstColumn="1" w:lastColumn="0" w:noHBand="0" w:noVBand="1"/>
        <w:tblCaption w:val="Table 5: Expenditure caps"/>
        <w:tblDescription w:val="Table 5: Expenditure caps"/>
      </w:tblPr>
      <w:tblGrid>
        <w:gridCol w:w="1288"/>
        <w:gridCol w:w="1288"/>
        <w:gridCol w:w="1288"/>
        <w:gridCol w:w="1288"/>
        <w:gridCol w:w="1288"/>
        <w:gridCol w:w="1288"/>
        <w:gridCol w:w="1288"/>
      </w:tblGrid>
      <w:tr w:rsidR="002C1ACF" w:rsidTr="00566F8E">
        <w:trPr>
          <w:tblHeader/>
        </w:trPr>
        <w:tc>
          <w:tcPr>
            <w:tcW w:w="1288" w:type="dxa"/>
          </w:tcPr>
          <w:p w:rsidR="002C1ACF" w:rsidRPr="00E07EDF" w:rsidRDefault="002C1ACF" w:rsidP="002C1ACF">
            <w:pPr>
              <w:rPr>
                <w:rFonts w:ascii="Arial Narrow" w:eastAsiaTheme="minorHAnsi" w:hAnsi="Arial Narrow" w:cstheme="minorBidi"/>
                <w:sz w:val="20"/>
                <w:szCs w:val="22"/>
              </w:rPr>
            </w:pPr>
          </w:p>
        </w:tc>
        <w:tc>
          <w:tcPr>
            <w:tcW w:w="1288" w:type="dxa"/>
          </w:tcPr>
          <w:p w:rsidR="002C1ACF" w:rsidRPr="00E07EDF" w:rsidRDefault="002C1ACF" w:rsidP="002C1ACF">
            <w:pPr>
              <w:rPr>
                <w:rFonts w:ascii="Arial Narrow" w:eastAsiaTheme="minorHAnsi" w:hAnsi="Arial Narrow" w:cstheme="minorBidi"/>
                <w:b/>
                <w:sz w:val="20"/>
                <w:szCs w:val="22"/>
              </w:rPr>
            </w:pPr>
            <w:r w:rsidRPr="00E07EDF">
              <w:rPr>
                <w:rFonts w:ascii="Arial Narrow" w:eastAsiaTheme="minorHAnsi" w:hAnsi="Arial Narrow" w:cstheme="minorBidi"/>
                <w:b/>
                <w:sz w:val="20"/>
                <w:szCs w:val="22"/>
              </w:rPr>
              <w:t>April 2020 to June 2020</w:t>
            </w:r>
          </w:p>
        </w:tc>
        <w:tc>
          <w:tcPr>
            <w:tcW w:w="1288" w:type="dxa"/>
            <w:vAlign w:val="center"/>
          </w:tcPr>
          <w:p w:rsidR="002C1ACF" w:rsidRPr="002C1ACF" w:rsidRDefault="002C1ACF" w:rsidP="002C1ACF">
            <w:pPr>
              <w:pStyle w:val="Tabletext"/>
              <w:spacing w:after="0"/>
              <w:jc w:val="center"/>
              <w:rPr>
                <w:rFonts w:ascii="Arial Narrow" w:hAnsi="Arial Narrow"/>
                <w:b/>
              </w:rPr>
            </w:pPr>
            <w:r w:rsidRPr="002C1ACF">
              <w:rPr>
                <w:rFonts w:ascii="Arial Narrow" w:hAnsi="Arial Narrow"/>
                <w:b/>
              </w:rPr>
              <w:t>Year 1</w:t>
            </w:r>
          </w:p>
          <w:p w:rsidR="002C1ACF" w:rsidRPr="002C1ACF" w:rsidRDefault="002C1ACF" w:rsidP="002C1ACF">
            <w:pPr>
              <w:rPr>
                <w:rFonts w:ascii="Arial Narrow" w:eastAsiaTheme="minorHAnsi" w:hAnsi="Arial Narrow" w:cstheme="minorBidi"/>
                <w:b/>
                <w:sz w:val="20"/>
                <w:szCs w:val="20"/>
              </w:rPr>
            </w:pPr>
            <w:r w:rsidRPr="002C1ACF">
              <w:rPr>
                <w:rFonts w:ascii="Arial Narrow" w:hAnsi="Arial Narrow"/>
                <w:b/>
                <w:sz w:val="20"/>
                <w:szCs w:val="20"/>
              </w:rPr>
              <w:t>July 2020 to June 2021</w:t>
            </w:r>
          </w:p>
        </w:tc>
        <w:tc>
          <w:tcPr>
            <w:tcW w:w="1288" w:type="dxa"/>
            <w:vAlign w:val="center"/>
          </w:tcPr>
          <w:p w:rsidR="002C1ACF" w:rsidRPr="002C1ACF" w:rsidRDefault="002C1ACF" w:rsidP="002C1ACF">
            <w:pPr>
              <w:pStyle w:val="Tabletext"/>
              <w:spacing w:after="0"/>
              <w:jc w:val="center"/>
              <w:rPr>
                <w:rFonts w:ascii="Arial Narrow" w:hAnsi="Arial Narrow"/>
                <w:b/>
              </w:rPr>
            </w:pPr>
            <w:r w:rsidRPr="002C1ACF">
              <w:rPr>
                <w:rFonts w:ascii="Arial Narrow" w:hAnsi="Arial Narrow"/>
                <w:b/>
              </w:rPr>
              <w:t>Year 2</w:t>
            </w:r>
          </w:p>
          <w:p w:rsidR="002C1ACF" w:rsidRPr="002C1ACF" w:rsidRDefault="002C1ACF" w:rsidP="002C1ACF">
            <w:pPr>
              <w:rPr>
                <w:rFonts w:ascii="Arial Narrow" w:eastAsiaTheme="minorHAnsi" w:hAnsi="Arial Narrow" w:cstheme="minorBidi"/>
                <w:b/>
                <w:sz w:val="20"/>
                <w:szCs w:val="20"/>
              </w:rPr>
            </w:pPr>
            <w:r w:rsidRPr="002C1ACF">
              <w:rPr>
                <w:rFonts w:ascii="Arial Narrow" w:hAnsi="Arial Narrow"/>
                <w:b/>
                <w:sz w:val="20"/>
                <w:szCs w:val="20"/>
              </w:rPr>
              <w:t>July 2021 to June 2022</w:t>
            </w:r>
          </w:p>
        </w:tc>
        <w:tc>
          <w:tcPr>
            <w:tcW w:w="1288" w:type="dxa"/>
            <w:vAlign w:val="center"/>
          </w:tcPr>
          <w:p w:rsidR="002C1ACF" w:rsidRPr="002C1ACF" w:rsidRDefault="002C1ACF" w:rsidP="002C1ACF">
            <w:pPr>
              <w:pStyle w:val="Tabletext"/>
              <w:spacing w:after="0"/>
              <w:jc w:val="center"/>
              <w:rPr>
                <w:rFonts w:ascii="Arial Narrow" w:hAnsi="Arial Narrow"/>
                <w:b/>
              </w:rPr>
            </w:pPr>
            <w:r w:rsidRPr="002C1ACF">
              <w:rPr>
                <w:rFonts w:ascii="Arial Narrow" w:hAnsi="Arial Narrow"/>
                <w:b/>
              </w:rPr>
              <w:t>Year 3</w:t>
            </w:r>
          </w:p>
          <w:p w:rsidR="002C1ACF" w:rsidRPr="002C1ACF" w:rsidRDefault="002C1ACF" w:rsidP="002C1ACF">
            <w:pPr>
              <w:rPr>
                <w:rFonts w:ascii="Arial Narrow" w:eastAsiaTheme="minorHAnsi" w:hAnsi="Arial Narrow" w:cstheme="minorBidi"/>
                <w:b/>
                <w:sz w:val="20"/>
                <w:szCs w:val="20"/>
              </w:rPr>
            </w:pPr>
            <w:r w:rsidRPr="002C1ACF">
              <w:rPr>
                <w:rFonts w:ascii="Arial Narrow" w:hAnsi="Arial Narrow"/>
                <w:b/>
                <w:sz w:val="20"/>
                <w:szCs w:val="20"/>
              </w:rPr>
              <w:t>July 2022 to June 2023</w:t>
            </w:r>
          </w:p>
        </w:tc>
        <w:tc>
          <w:tcPr>
            <w:tcW w:w="1288" w:type="dxa"/>
            <w:vAlign w:val="center"/>
          </w:tcPr>
          <w:p w:rsidR="002C1ACF" w:rsidRPr="002C1ACF" w:rsidRDefault="002C1ACF" w:rsidP="002C1ACF">
            <w:pPr>
              <w:pStyle w:val="Tabletext"/>
              <w:spacing w:after="0"/>
              <w:jc w:val="center"/>
              <w:rPr>
                <w:rFonts w:ascii="Arial Narrow" w:hAnsi="Arial Narrow"/>
                <w:b/>
              </w:rPr>
            </w:pPr>
            <w:r w:rsidRPr="002C1ACF">
              <w:rPr>
                <w:rFonts w:ascii="Arial Narrow" w:hAnsi="Arial Narrow"/>
                <w:b/>
              </w:rPr>
              <w:t>Year 4</w:t>
            </w:r>
          </w:p>
          <w:p w:rsidR="002C1ACF" w:rsidRPr="002C1ACF" w:rsidRDefault="002C1ACF" w:rsidP="002C1ACF">
            <w:pPr>
              <w:rPr>
                <w:rFonts w:ascii="Arial Narrow" w:eastAsiaTheme="minorHAnsi" w:hAnsi="Arial Narrow" w:cstheme="minorBidi"/>
                <w:b/>
                <w:sz w:val="20"/>
                <w:szCs w:val="20"/>
              </w:rPr>
            </w:pPr>
            <w:r w:rsidRPr="002C1ACF">
              <w:rPr>
                <w:rFonts w:ascii="Arial Narrow" w:hAnsi="Arial Narrow"/>
                <w:b/>
                <w:sz w:val="20"/>
                <w:szCs w:val="20"/>
              </w:rPr>
              <w:t>July 2023 to June 2024</w:t>
            </w:r>
          </w:p>
        </w:tc>
        <w:tc>
          <w:tcPr>
            <w:tcW w:w="1288" w:type="dxa"/>
            <w:vAlign w:val="center"/>
          </w:tcPr>
          <w:p w:rsidR="002C1ACF" w:rsidRPr="002C1ACF" w:rsidRDefault="002C1ACF" w:rsidP="002C1ACF">
            <w:pPr>
              <w:pStyle w:val="Tabletext"/>
              <w:spacing w:after="0"/>
              <w:jc w:val="center"/>
              <w:rPr>
                <w:rFonts w:ascii="Arial Narrow" w:hAnsi="Arial Narrow"/>
                <w:b/>
              </w:rPr>
            </w:pPr>
            <w:r w:rsidRPr="002C1ACF">
              <w:rPr>
                <w:rFonts w:ascii="Arial Narrow" w:hAnsi="Arial Narrow"/>
                <w:b/>
              </w:rPr>
              <w:t>Year 5</w:t>
            </w:r>
          </w:p>
          <w:p w:rsidR="002C1ACF" w:rsidRPr="002C1ACF" w:rsidRDefault="002C1ACF" w:rsidP="002C1ACF">
            <w:pPr>
              <w:rPr>
                <w:rFonts w:ascii="Arial Narrow" w:eastAsiaTheme="minorHAnsi" w:hAnsi="Arial Narrow" w:cstheme="minorBidi"/>
                <w:b/>
                <w:sz w:val="20"/>
                <w:szCs w:val="20"/>
              </w:rPr>
            </w:pPr>
            <w:r w:rsidRPr="002C1ACF">
              <w:rPr>
                <w:rFonts w:ascii="Arial Narrow" w:hAnsi="Arial Narrow"/>
                <w:b/>
                <w:sz w:val="20"/>
                <w:szCs w:val="20"/>
              </w:rPr>
              <w:t>July 2024 to June 2025</w:t>
            </w:r>
          </w:p>
        </w:tc>
      </w:tr>
      <w:tr w:rsidR="006D5979" w:rsidTr="002D07FE">
        <w:tc>
          <w:tcPr>
            <w:tcW w:w="1288" w:type="dxa"/>
          </w:tcPr>
          <w:p w:rsidR="006D5979" w:rsidRPr="002458CF" w:rsidRDefault="006D5979" w:rsidP="006D5979">
            <w:pPr>
              <w:rPr>
                <w:rFonts w:ascii="Arial Narrow" w:eastAsiaTheme="minorHAnsi" w:hAnsi="Arial Narrow" w:cstheme="minorBidi"/>
                <w:b/>
                <w:sz w:val="20"/>
                <w:szCs w:val="22"/>
              </w:rPr>
            </w:pPr>
            <w:r w:rsidRPr="002458CF">
              <w:rPr>
                <w:rFonts w:ascii="Arial Narrow" w:eastAsiaTheme="minorHAnsi" w:hAnsi="Arial Narrow" w:cstheme="minorBidi"/>
                <w:b/>
                <w:sz w:val="20"/>
                <w:szCs w:val="22"/>
              </w:rPr>
              <w:t>Tier 1</w:t>
            </w:r>
          </w:p>
          <w:p w:rsidR="006D5979" w:rsidRPr="002D07FE" w:rsidRDefault="00920C75" w:rsidP="006D5979">
            <w:pPr>
              <w:rPr>
                <w:rFonts w:ascii="Arial Narrow" w:eastAsiaTheme="minorHAnsi" w:hAnsi="Arial Narrow" w:cstheme="minorBidi"/>
                <w:sz w:val="20"/>
                <w:szCs w:val="22"/>
              </w:rPr>
            </w:pPr>
            <w:r>
              <w:rPr>
                <w:rFonts w:ascii="Arial Narrow" w:eastAsiaTheme="minorHAnsi" w:hAnsi="Arial Narrow" w:cstheme="minorBidi"/>
                <w:b/>
                <w:noProof/>
                <w:color w:val="000000"/>
                <w:sz w:val="20"/>
                <w:szCs w:val="22"/>
                <w:highlight w:val="black"/>
              </w:rPr>
              <w:t>''''''</w:t>
            </w:r>
            <w:r w:rsidR="006D5979" w:rsidRPr="002458CF">
              <w:rPr>
                <w:rFonts w:ascii="Arial Narrow" w:eastAsiaTheme="minorHAnsi" w:hAnsi="Arial Narrow" w:cstheme="minorBidi"/>
                <w:b/>
                <w:sz w:val="20"/>
                <w:szCs w:val="22"/>
              </w:rPr>
              <w:t>% rebate</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bottom"/>
          </w:tcPr>
          <w:p w:rsidR="006D5979" w:rsidRPr="006D5979" w:rsidRDefault="006D5979" w:rsidP="006D5979">
            <w:pPr>
              <w:jc w:val="center"/>
              <w:rPr>
                <w:rFonts w:ascii="Arial Narrow" w:hAnsi="Arial Narrow"/>
                <w:bCs/>
                <w:color w:val="000000"/>
                <w:sz w:val="20"/>
                <w:szCs w:val="20"/>
                <w:lang w:eastAsia="en-US"/>
              </w:rPr>
            </w:pPr>
            <w:r w:rsidRPr="00D8478A">
              <w:rPr>
                <w:rFonts w:ascii="Arial Narrow" w:hAnsi="Arial Narrow"/>
                <w:bCs/>
                <w:color w:val="000000"/>
                <w:sz w:val="20"/>
                <w:szCs w:val="20"/>
                <w:lang w:eastAsia="en-US"/>
              </w:rPr>
              <w:t>$</w:t>
            </w:r>
            <w:r w:rsidR="00920C75">
              <w:rPr>
                <w:rFonts w:ascii="Arial Narrow" w:hAnsi="Arial Narrow"/>
                <w:bCs/>
                <w:noProof/>
                <w:color w:val="000000"/>
                <w:sz w:val="20"/>
                <w:szCs w:val="20"/>
                <w:highlight w:val="black"/>
                <w:lang w:eastAsia="en-US"/>
              </w:rPr>
              <w:t>'''''''''''''''''''''''</w:t>
            </w:r>
          </w:p>
        </w:tc>
        <w:tc>
          <w:tcPr>
            <w:tcW w:w="1288" w:type="dxa"/>
            <w:tcBorders>
              <w:top w:val="single" w:sz="4" w:space="0" w:color="auto"/>
              <w:left w:val="nil"/>
              <w:bottom w:val="single" w:sz="4" w:space="0" w:color="auto"/>
              <w:right w:val="single" w:sz="4" w:space="0" w:color="auto"/>
            </w:tcBorders>
            <w:shd w:val="clear" w:color="auto" w:fill="auto"/>
            <w:vAlign w:val="bottom"/>
          </w:tcPr>
          <w:p w:rsidR="006D5979" w:rsidRPr="006D5979" w:rsidRDefault="006D5979" w:rsidP="006D5979">
            <w:pPr>
              <w:pStyle w:val="Tabletext"/>
              <w:spacing w:after="0"/>
              <w:jc w:val="center"/>
              <w:rPr>
                <w:rFonts w:ascii="Arial Narrow" w:hAnsi="Arial Narrow"/>
                <w:bCs/>
                <w:color w:val="000000"/>
              </w:rPr>
            </w:pPr>
            <w:r w:rsidRPr="006D5979">
              <w:rPr>
                <w:rFonts w:ascii="Arial Narrow" w:hAnsi="Arial Narrow"/>
                <w:bCs/>
                <w:color w:val="000000"/>
              </w:rPr>
              <w:t>$</w:t>
            </w:r>
            <w:r w:rsidR="00920C75">
              <w:rPr>
                <w:rFonts w:ascii="Arial Narrow" w:hAnsi="Arial Narrow"/>
                <w:bCs/>
                <w:noProof/>
                <w:color w:val="000000"/>
                <w:highlight w:val="black"/>
              </w:rPr>
              <w:t>''''''''''''''''''''''''''</w:t>
            </w:r>
          </w:p>
        </w:tc>
        <w:tc>
          <w:tcPr>
            <w:tcW w:w="1288" w:type="dxa"/>
            <w:tcBorders>
              <w:top w:val="single" w:sz="4" w:space="0" w:color="auto"/>
              <w:left w:val="nil"/>
              <w:bottom w:val="single" w:sz="4" w:space="0" w:color="auto"/>
              <w:right w:val="single" w:sz="4" w:space="0" w:color="auto"/>
            </w:tcBorders>
            <w:shd w:val="clear" w:color="auto" w:fill="auto"/>
            <w:vAlign w:val="bottom"/>
          </w:tcPr>
          <w:p w:rsidR="006D5979" w:rsidRPr="006D5979" w:rsidRDefault="006D5979" w:rsidP="006D5979">
            <w:pPr>
              <w:pStyle w:val="Tabletext"/>
              <w:spacing w:after="0"/>
              <w:jc w:val="center"/>
              <w:rPr>
                <w:rFonts w:ascii="Arial Narrow" w:hAnsi="Arial Narrow"/>
                <w:bCs/>
                <w:color w:val="000000"/>
              </w:rPr>
            </w:pPr>
            <w:r w:rsidRPr="006D5979">
              <w:rPr>
                <w:rFonts w:ascii="Arial Narrow" w:hAnsi="Arial Narrow"/>
                <w:bCs/>
                <w:color w:val="000000"/>
              </w:rPr>
              <w:t>$</w:t>
            </w:r>
            <w:r w:rsidR="00920C75">
              <w:rPr>
                <w:rFonts w:ascii="Arial Narrow" w:hAnsi="Arial Narrow"/>
                <w:bCs/>
                <w:noProof/>
                <w:color w:val="000000"/>
                <w:highlight w:val="black"/>
              </w:rPr>
              <w:t>''''''''''''''''''''''''''</w:t>
            </w:r>
          </w:p>
        </w:tc>
        <w:tc>
          <w:tcPr>
            <w:tcW w:w="1288" w:type="dxa"/>
            <w:tcBorders>
              <w:top w:val="single" w:sz="4" w:space="0" w:color="auto"/>
              <w:left w:val="nil"/>
              <w:bottom w:val="single" w:sz="4" w:space="0" w:color="auto"/>
              <w:right w:val="single" w:sz="4" w:space="0" w:color="auto"/>
            </w:tcBorders>
            <w:shd w:val="clear" w:color="auto" w:fill="auto"/>
            <w:vAlign w:val="bottom"/>
          </w:tcPr>
          <w:p w:rsidR="006D5979" w:rsidRPr="006D5979" w:rsidRDefault="006D5979" w:rsidP="006D5979">
            <w:pPr>
              <w:pStyle w:val="Tabletext"/>
              <w:spacing w:after="0"/>
              <w:jc w:val="center"/>
              <w:rPr>
                <w:rFonts w:ascii="Arial Narrow" w:hAnsi="Arial Narrow"/>
                <w:bCs/>
                <w:color w:val="000000"/>
              </w:rPr>
            </w:pPr>
            <w:r w:rsidRPr="006D5979">
              <w:rPr>
                <w:rFonts w:ascii="Arial Narrow" w:hAnsi="Arial Narrow"/>
                <w:bCs/>
                <w:color w:val="000000"/>
              </w:rPr>
              <w:t>$</w:t>
            </w:r>
            <w:r w:rsidR="00920C75">
              <w:rPr>
                <w:rFonts w:ascii="Arial Narrow" w:hAnsi="Arial Narrow"/>
                <w:bCs/>
                <w:noProof/>
                <w:color w:val="000000"/>
                <w:highlight w:val="black"/>
              </w:rPr>
              <w:t>''''''''''''''''''''''''''</w:t>
            </w:r>
          </w:p>
        </w:tc>
        <w:tc>
          <w:tcPr>
            <w:tcW w:w="1288" w:type="dxa"/>
            <w:tcBorders>
              <w:top w:val="single" w:sz="4" w:space="0" w:color="auto"/>
              <w:left w:val="nil"/>
              <w:bottom w:val="single" w:sz="4" w:space="0" w:color="auto"/>
              <w:right w:val="single" w:sz="4" w:space="0" w:color="auto"/>
            </w:tcBorders>
            <w:shd w:val="clear" w:color="auto" w:fill="auto"/>
            <w:vAlign w:val="bottom"/>
          </w:tcPr>
          <w:p w:rsidR="006D5979" w:rsidRPr="006D5979" w:rsidRDefault="006D5979" w:rsidP="006D5979">
            <w:pPr>
              <w:pStyle w:val="Tabletext"/>
              <w:spacing w:after="0"/>
              <w:jc w:val="center"/>
              <w:rPr>
                <w:rFonts w:ascii="Arial Narrow" w:hAnsi="Arial Narrow"/>
                <w:bCs/>
                <w:color w:val="000000"/>
              </w:rPr>
            </w:pPr>
            <w:r w:rsidRPr="006D5979">
              <w:rPr>
                <w:rFonts w:ascii="Arial Narrow" w:hAnsi="Arial Narrow"/>
                <w:bCs/>
                <w:color w:val="000000"/>
              </w:rPr>
              <w:t>$</w:t>
            </w:r>
            <w:r w:rsidR="00920C75">
              <w:rPr>
                <w:rFonts w:ascii="Arial Narrow" w:hAnsi="Arial Narrow"/>
                <w:bCs/>
                <w:noProof/>
                <w:color w:val="000000"/>
                <w:highlight w:val="black"/>
              </w:rPr>
              <w:t>''''''''''''''''''''''''''''</w:t>
            </w:r>
          </w:p>
        </w:tc>
        <w:tc>
          <w:tcPr>
            <w:tcW w:w="1288" w:type="dxa"/>
            <w:tcBorders>
              <w:top w:val="single" w:sz="4" w:space="0" w:color="auto"/>
              <w:left w:val="nil"/>
              <w:bottom w:val="single" w:sz="4" w:space="0" w:color="auto"/>
              <w:right w:val="single" w:sz="4" w:space="0" w:color="auto"/>
            </w:tcBorders>
            <w:shd w:val="clear" w:color="auto" w:fill="auto"/>
            <w:vAlign w:val="bottom"/>
          </w:tcPr>
          <w:p w:rsidR="006D5979" w:rsidRPr="006D5979" w:rsidRDefault="006D5979" w:rsidP="006D5979">
            <w:pPr>
              <w:pStyle w:val="Tabletext"/>
              <w:spacing w:after="0"/>
              <w:jc w:val="center"/>
              <w:rPr>
                <w:rFonts w:ascii="Arial Narrow" w:hAnsi="Arial Narrow"/>
                <w:bCs/>
                <w:color w:val="000000"/>
              </w:rPr>
            </w:pPr>
            <w:r w:rsidRPr="006D5979">
              <w:rPr>
                <w:rFonts w:ascii="Arial Narrow" w:hAnsi="Arial Narrow"/>
                <w:bCs/>
                <w:color w:val="000000"/>
              </w:rPr>
              <w:t>$</w:t>
            </w:r>
            <w:r w:rsidR="00920C75">
              <w:rPr>
                <w:rFonts w:ascii="Arial Narrow" w:hAnsi="Arial Narrow"/>
                <w:bCs/>
                <w:noProof/>
                <w:color w:val="000000"/>
                <w:highlight w:val="black"/>
              </w:rPr>
              <w:t>'''''''''''''''''''''''''</w:t>
            </w:r>
          </w:p>
        </w:tc>
      </w:tr>
      <w:tr w:rsidR="004C0333" w:rsidTr="008E0C14">
        <w:tc>
          <w:tcPr>
            <w:tcW w:w="1288" w:type="dxa"/>
          </w:tcPr>
          <w:p w:rsidR="004C0333" w:rsidRPr="002458CF" w:rsidRDefault="004C0333" w:rsidP="004C0333">
            <w:pPr>
              <w:rPr>
                <w:rFonts w:ascii="Arial Narrow" w:eastAsiaTheme="minorHAnsi" w:hAnsi="Arial Narrow" w:cstheme="minorBidi"/>
                <w:b/>
                <w:sz w:val="20"/>
                <w:szCs w:val="22"/>
              </w:rPr>
            </w:pPr>
            <w:r w:rsidRPr="002458CF">
              <w:rPr>
                <w:rFonts w:ascii="Arial Narrow" w:eastAsiaTheme="minorHAnsi" w:hAnsi="Arial Narrow" w:cstheme="minorBidi"/>
                <w:b/>
                <w:sz w:val="20"/>
                <w:szCs w:val="22"/>
              </w:rPr>
              <w:t>Tier 2</w:t>
            </w:r>
          </w:p>
          <w:p w:rsidR="004C0333" w:rsidRDefault="00920C75" w:rsidP="004C0333">
            <w:pPr>
              <w:rPr>
                <w:rFonts w:ascii="Arial Narrow" w:eastAsiaTheme="minorHAnsi" w:hAnsi="Arial Narrow" w:cstheme="minorBidi"/>
                <w:sz w:val="20"/>
                <w:szCs w:val="22"/>
              </w:rPr>
            </w:pPr>
            <w:r>
              <w:rPr>
                <w:rFonts w:ascii="Arial Narrow" w:eastAsiaTheme="minorHAnsi" w:hAnsi="Arial Narrow" w:cstheme="minorBidi"/>
                <w:b/>
                <w:noProof/>
                <w:color w:val="000000"/>
                <w:sz w:val="20"/>
                <w:szCs w:val="22"/>
                <w:highlight w:val="black"/>
              </w:rPr>
              <w:t>'''''</w:t>
            </w:r>
            <w:r w:rsidR="004C0333" w:rsidRPr="002458CF">
              <w:rPr>
                <w:rFonts w:ascii="Arial Narrow" w:eastAsiaTheme="minorHAnsi" w:hAnsi="Arial Narrow" w:cstheme="minorBidi"/>
                <w:b/>
                <w:sz w:val="20"/>
                <w:szCs w:val="22"/>
              </w:rPr>
              <w:t>% rebate</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bottom"/>
          </w:tcPr>
          <w:p w:rsidR="004C0333" w:rsidRPr="004C0333" w:rsidRDefault="004C0333" w:rsidP="004C0333">
            <w:pPr>
              <w:jc w:val="center"/>
              <w:rPr>
                <w:rFonts w:ascii="Arial Narrow" w:hAnsi="Arial Narrow"/>
                <w:bCs/>
                <w:color w:val="000000"/>
                <w:sz w:val="20"/>
                <w:szCs w:val="20"/>
                <w:lang w:eastAsia="en-US"/>
              </w:rPr>
            </w:pPr>
            <w:r w:rsidRPr="004C0333">
              <w:rPr>
                <w:rFonts w:ascii="Arial Narrow" w:hAnsi="Arial Narrow"/>
                <w:bCs/>
                <w:color w:val="000000"/>
                <w:sz w:val="20"/>
                <w:szCs w:val="20"/>
                <w:lang w:eastAsia="en-US"/>
              </w:rPr>
              <w:t>$</w:t>
            </w:r>
            <w:r w:rsidR="00920C75">
              <w:rPr>
                <w:rFonts w:ascii="Arial Narrow" w:hAnsi="Arial Narrow"/>
                <w:bCs/>
                <w:noProof/>
                <w:color w:val="000000"/>
                <w:sz w:val="20"/>
                <w:szCs w:val="20"/>
                <w:highlight w:val="black"/>
                <w:lang w:eastAsia="en-US"/>
              </w:rPr>
              <w:t>'''''''''''''''''''''''''</w:t>
            </w:r>
          </w:p>
        </w:tc>
        <w:tc>
          <w:tcPr>
            <w:tcW w:w="1288" w:type="dxa"/>
            <w:tcBorders>
              <w:top w:val="single" w:sz="4" w:space="0" w:color="auto"/>
              <w:left w:val="nil"/>
              <w:bottom w:val="single" w:sz="4" w:space="0" w:color="auto"/>
              <w:right w:val="single" w:sz="4" w:space="0" w:color="auto"/>
            </w:tcBorders>
            <w:shd w:val="clear" w:color="auto" w:fill="auto"/>
            <w:vAlign w:val="bottom"/>
          </w:tcPr>
          <w:p w:rsidR="004C0333" w:rsidRPr="004C0333" w:rsidRDefault="004C0333" w:rsidP="004C0333">
            <w:pPr>
              <w:jc w:val="center"/>
              <w:rPr>
                <w:rFonts w:ascii="Arial Narrow" w:hAnsi="Arial Narrow"/>
                <w:bCs/>
                <w:color w:val="000000"/>
                <w:sz w:val="20"/>
                <w:szCs w:val="20"/>
                <w:lang w:eastAsia="en-US"/>
              </w:rPr>
            </w:pPr>
            <w:r w:rsidRPr="004C0333">
              <w:rPr>
                <w:rFonts w:ascii="Arial Narrow" w:hAnsi="Arial Narrow"/>
                <w:bCs/>
                <w:color w:val="000000"/>
                <w:sz w:val="20"/>
                <w:szCs w:val="20"/>
                <w:lang w:eastAsia="en-US"/>
              </w:rPr>
              <w:t>$</w:t>
            </w:r>
            <w:r w:rsidR="00920C75">
              <w:rPr>
                <w:rFonts w:ascii="Arial Narrow" w:hAnsi="Arial Narrow"/>
                <w:bCs/>
                <w:noProof/>
                <w:color w:val="000000"/>
                <w:sz w:val="20"/>
                <w:szCs w:val="20"/>
                <w:highlight w:val="black"/>
                <w:lang w:eastAsia="en-US"/>
              </w:rPr>
              <w:t>''''''''''''''''''''''''''''</w:t>
            </w:r>
          </w:p>
        </w:tc>
        <w:tc>
          <w:tcPr>
            <w:tcW w:w="1288" w:type="dxa"/>
            <w:tcBorders>
              <w:top w:val="single" w:sz="4" w:space="0" w:color="auto"/>
              <w:left w:val="nil"/>
              <w:bottom w:val="single" w:sz="4" w:space="0" w:color="auto"/>
              <w:right w:val="single" w:sz="4" w:space="0" w:color="auto"/>
            </w:tcBorders>
            <w:shd w:val="clear" w:color="auto" w:fill="auto"/>
            <w:vAlign w:val="bottom"/>
          </w:tcPr>
          <w:p w:rsidR="004C0333" w:rsidRPr="004C0333" w:rsidRDefault="004C0333" w:rsidP="004C0333">
            <w:pPr>
              <w:jc w:val="center"/>
              <w:rPr>
                <w:rFonts w:ascii="Arial Narrow" w:hAnsi="Arial Narrow"/>
                <w:bCs/>
                <w:color w:val="000000"/>
                <w:sz w:val="20"/>
                <w:szCs w:val="20"/>
                <w:lang w:eastAsia="en-US"/>
              </w:rPr>
            </w:pPr>
            <w:r w:rsidRPr="004C0333">
              <w:rPr>
                <w:rFonts w:ascii="Arial Narrow" w:hAnsi="Arial Narrow"/>
                <w:bCs/>
                <w:color w:val="000000"/>
                <w:sz w:val="20"/>
                <w:szCs w:val="20"/>
                <w:lang w:eastAsia="en-US"/>
              </w:rPr>
              <w:t>$</w:t>
            </w:r>
            <w:r w:rsidR="00920C75">
              <w:rPr>
                <w:rFonts w:ascii="Arial Narrow" w:hAnsi="Arial Narrow"/>
                <w:bCs/>
                <w:noProof/>
                <w:color w:val="000000"/>
                <w:sz w:val="20"/>
                <w:szCs w:val="20"/>
                <w:highlight w:val="black"/>
                <w:lang w:eastAsia="en-US"/>
              </w:rPr>
              <w:t>''''''''''''''''''''''''''''</w:t>
            </w:r>
          </w:p>
        </w:tc>
        <w:tc>
          <w:tcPr>
            <w:tcW w:w="1288" w:type="dxa"/>
            <w:tcBorders>
              <w:top w:val="single" w:sz="4" w:space="0" w:color="auto"/>
              <w:left w:val="nil"/>
              <w:bottom w:val="single" w:sz="4" w:space="0" w:color="auto"/>
              <w:right w:val="single" w:sz="4" w:space="0" w:color="auto"/>
            </w:tcBorders>
            <w:shd w:val="clear" w:color="auto" w:fill="auto"/>
            <w:vAlign w:val="bottom"/>
          </w:tcPr>
          <w:p w:rsidR="004C0333" w:rsidRPr="004C0333" w:rsidRDefault="004C0333" w:rsidP="004C0333">
            <w:pPr>
              <w:jc w:val="center"/>
              <w:rPr>
                <w:rFonts w:ascii="Arial Narrow" w:hAnsi="Arial Narrow"/>
                <w:bCs/>
                <w:color w:val="000000"/>
                <w:sz w:val="20"/>
                <w:szCs w:val="20"/>
                <w:lang w:eastAsia="en-US"/>
              </w:rPr>
            </w:pPr>
            <w:r w:rsidRPr="004C0333">
              <w:rPr>
                <w:rFonts w:ascii="Arial Narrow" w:hAnsi="Arial Narrow"/>
                <w:bCs/>
                <w:color w:val="000000"/>
                <w:sz w:val="20"/>
                <w:szCs w:val="20"/>
                <w:lang w:eastAsia="en-US"/>
              </w:rPr>
              <w:t>$</w:t>
            </w:r>
            <w:r w:rsidR="00920C75">
              <w:rPr>
                <w:rFonts w:ascii="Arial Narrow" w:hAnsi="Arial Narrow"/>
                <w:bCs/>
                <w:noProof/>
                <w:color w:val="000000"/>
                <w:sz w:val="20"/>
                <w:szCs w:val="20"/>
                <w:highlight w:val="black"/>
                <w:lang w:eastAsia="en-US"/>
              </w:rPr>
              <w:t>'''''''''''''''''''''''''''''</w:t>
            </w:r>
          </w:p>
        </w:tc>
        <w:tc>
          <w:tcPr>
            <w:tcW w:w="1288" w:type="dxa"/>
            <w:tcBorders>
              <w:top w:val="single" w:sz="4" w:space="0" w:color="auto"/>
              <w:left w:val="nil"/>
              <w:bottom w:val="single" w:sz="4" w:space="0" w:color="auto"/>
              <w:right w:val="single" w:sz="4" w:space="0" w:color="auto"/>
            </w:tcBorders>
            <w:shd w:val="clear" w:color="auto" w:fill="auto"/>
            <w:vAlign w:val="bottom"/>
          </w:tcPr>
          <w:p w:rsidR="004C0333" w:rsidRPr="004C0333" w:rsidRDefault="004C0333" w:rsidP="004C0333">
            <w:pPr>
              <w:jc w:val="center"/>
              <w:rPr>
                <w:rFonts w:ascii="Arial Narrow" w:hAnsi="Arial Narrow"/>
                <w:bCs/>
                <w:color w:val="000000"/>
                <w:sz w:val="20"/>
                <w:szCs w:val="20"/>
                <w:lang w:eastAsia="en-US"/>
              </w:rPr>
            </w:pPr>
            <w:r w:rsidRPr="004C0333">
              <w:rPr>
                <w:rFonts w:ascii="Arial Narrow" w:hAnsi="Arial Narrow"/>
                <w:bCs/>
                <w:color w:val="000000"/>
                <w:sz w:val="20"/>
                <w:szCs w:val="20"/>
                <w:lang w:eastAsia="en-US"/>
              </w:rPr>
              <w:t>$</w:t>
            </w:r>
            <w:r w:rsidR="00920C75">
              <w:rPr>
                <w:rFonts w:ascii="Arial Narrow" w:hAnsi="Arial Narrow"/>
                <w:bCs/>
                <w:noProof/>
                <w:color w:val="000000"/>
                <w:sz w:val="20"/>
                <w:szCs w:val="20"/>
                <w:highlight w:val="black"/>
                <w:lang w:eastAsia="en-US"/>
              </w:rPr>
              <w:t>''''''''''''''''''''''''''''</w:t>
            </w:r>
          </w:p>
        </w:tc>
        <w:tc>
          <w:tcPr>
            <w:tcW w:w="1288" w:type="dxa"/>
            <w:tcBorders>
              <w:top w:val="single" w:sz="4" w:space="0" w:color="auto"/>
              <w:left w:val="nil"/>
              <w:bottom w:val="single" w:sz="4" w:space="0" w:color="auto"/>
              <w:right w:val="single" w:sz="4" w:space="0" w:color="auto"/>
            </w:tcBorders>
            <w:shd w:val="clear" w:color="auto" w:fill="auto"/>
            <w:vAlign w:val="bottom"/>
          </w:tcPr>
          <w:p w:rsidR="004C0333" w:rsidRPr="004C0333" w:rsidRDefault="004C0333" w:rsidP="004C0333">
            <w:pPr>
              <w:jc w:val="center"/>
              <w:rPr>
                <w:rFonts w:ascii="Arial Narrow" w:hAnsi="Arial Narrow"/>
                <w:bCs/>
                <w:color w:val="000000"/>
                <w:sz w:val="20"/>
                <w:szCs w:val="20"/>
                <w:lang w:eastAsia="en-US"/>
              </w:rPr>
            </w:pPr>
            <w:r w:rsidRPr="004C0333">
              <w:rPr>
                <w:rFonts w:ascii="Arial Narrow" w:hAnsi="Arial Narrow"/>
                <w:bCs/>
                <w:color w:val="000000"/>
                <w:sz w:val="20"/>
                <w:szCs w:val="20"/>
                <w:lang w:eastAsia="en-US"/>
              </w:rPr>
              <w:t>$</w:t>
            </w:r>
            <w:r w:rsidR="00920C75">
              <w:rPr>
                <w:rFonts w:ascii="Arial Narrow" w:hAnsi="Arial Narrow"/>
                <w:bCs/>
                <w:noProof/>
                <w:color w:val="000000"/>
                <w:sz w:val="20"/>
                <w:szCs w:val="20"/>
                <w:highlight w:val="black"/>
                <w:lang w:eastAsia="en-US"/>
              </w:rPr>
              <w:t>''''''''''''''''''''''''</w:t>
            </w:r>
          </w:p>
        </w:tc>
      </w:tr>
    </w:tbl>
    <w:p w:rsidR="008A7AB9" w:rsidRPr="008A7AB9" w:rsidRDefault="008A7AB9" w:rsidP="005012B5">
      <w:pPr>
        <w:pStyle w:val="ListBullet"/>
        <w:numPr>
          <w:ilvl w:val="0"/>
          <w:numId w:val="0"/>
        </w:numPr>
        <w:spacing w:before="120"/>
        <w:ind w:left="357"/>
        <w:rPr>
          <w:i/>
          <w:lang w:eastAsia="en-US"/>
        </w:rPr>
      </w:pPr>
      <w:r>
        <w:rPr>
          <w:i/>
          <w:lang w:eastAsia="en-US"/>
        </w:rPr>
        <w:tab/>
      </w:r>
      <w:r w:rsidRPr="007F79D5">
        <w:rPr>
          <w:i/>
          <w:lang w:eastAsia="en-US"/>
        </w:rPr>
        <w:t>For more deta</w:t>
      </w:r>
      <w:r w:rsidRPr="00D57CE9">
        <w:rPr>
          <w:i/>
          <w:lang w:eastAsia="en-US"/>
        </w:rPr>
        <w:t>il on P</w:t>
      </w:r>
      <w:r w:rsidRPr="00966C2C">
        <w:rPr>
          <w:i/>
          <w:lang w:eastAsia="en-US"/>
        </w:rPr>
        <w:t>BAC’s view, see section 6</w:t>
      </w:r>
      <w:r w:rsidRPr="007F79D5">
        <w:rPr>
          <w:i/>
          <w:lang w:eastAsia="en-US"/>
        </w:rPr>
        <w:t xml:space="preserve"> PBAC outcome. </w:t>
      </w:r>
    </w:p>
    <w:p w:rsidR="00CF3593" w:rsidRPr="00CF3593" w:rsidRDefault="00CF3593" w:rsidP="00CF3593">
      <w:pPr>
        <w:pStyle w:val="Heading1"/>
        <w:keepNext/>
        <w:keepLines/>
        <w:numPr>
          <w:ilvl w:val="0"/>
          <w:numId w:val="4"/>
        </w:numPr>
        <w:spacing w:before="240"/>
        <w:ind w:left="709" w:hanging="709"/>
        <w:rPr>
          <w:sz w:val="32"/>
          <w:szCs w:val="32"/>
        </w:rPr>
      </w:pPr>
      <w:r w:rsidRPr="00CF3593">
        <w:rPr>
          <w:sz w:val="32"/>
          <w:szCs w:val="32"/>
        </w:rPr>
        <w:t>PBAC Outcome</w:t>
      </w:r>
    </w:p>
    <w:p w:rsidR="00810E67" w:rsidRPr="00810E67" w:rsidRDefault="00810E67" w:rsidP="00810E67">
      <w:pPr>
        <w:pStyle w:val="ListParagraph"/>
        <w:numPr>
          <w:ilvl w:val="1"/>
          <w:numId w:val="15"/>
        </w:numPr>
        <w:jc w:val="both"/>
        <w:rPr>
          <w:lang w:eastAsia="en-US"/>
        </w:rPr>
      </w:pPr>
      <w:r w:rsidRPr="008159D9">
        <w:t xml:space="preserve">The PBAC recommended the Authority Required (Streamlined) listing of </w:t>
      </w:r>
      <w:r>
        <w:t>fremanezumab</w:t>
      </w:r>
      <w:r w:rsidRPr="008159D9">
        <w:t xml:space="preserve"> for the treatment of chronic migraine in patients who have experienced an inadequate response, intolerance or a contraindication to at least </w:t>
      </w:r>
      <w:r w:rsidRPr="008159D9">
        <w:lastRenderedPageBreak/>
        <w:t xml:space="preserve">three prophylactic migraine medications. The PBAC considered </w:t>
      </w:r>
      <w:r>
        <w:t>fremanezumab</w:t>
      </w:r>
      <w:r w:rsidRPr="008159D9">
        <w:t xml:space="preserve"> was an alternative treatment to Botox for patients with chronic migraine and provided a similar reduction in migraine headache days. The PBAC considered the cost minimisation analysis should be based on equi-effective doses of </w:t>
      </w:r>
      <w:r w:rsidR="007E60C2">
        <w:t>225 mg fremanezumab</w:t>
      </w:r>
      <w:r w:rsidR="00E21196">
        <w:t xml:space="preserve"> every</w:t>
      </w:r>
      <w:r w:rsidR="007E60C2">
        <w:t xml:space="preserve"> month</w:t>
      </w:r>
      <w:r w:rsidR="00E21196">
        <w:t xml:space="preserve"> </w:t>
      </w:r>
      <w:r w:rsidRPr="008159D9">
        <w:t xml:space="preserve">and 164U of Botox every 12 weeks over 2 years of treatment. Additionally, the PBAC considered it would be appropriate for </w:t>
      </w:r>
      <w:r>
        <w:t>the use, and associated expenditure, of fremanezumab</w:t>
      </w:r>
      <w:r w:rsidRPr="008159D9">
        <w:t xml:space="preserve"> </w:t>
      </w:r>
      <w:r>
        <w:t>to be restricted to</w:t>
      </w:r>
      <w:r w:rsidRPr="008159D9">
        <w:t xml:space="preserve"> the same high need patient population as for Botox.</w:t>
      </w:r>
    </w:p>
    <w:p w:rsidR="00A96C9A" w:rsidRPr="00A96C9A" w:rsidRDefault="00A96C9A" w:rsidP="00411DB2">
      <w:pPr>
        <w:pStyle w:val="ListParagraph"/>
        <w:numPr>
          <w:ilvl w:val="1"/>
          <w:numId w:val="2"/>
        </w:numPr>
        <w:jc w:val="both"/>
      </w:pPr>
      <w:r w:rsidRPr="00D73723">
        <w:t>The PBAC’s recommendation for listing was based on, among other matters, its a</w:t>
      </w:r>
      <w:r>
        <w:t xml:space="preserve">ssessment, as described above, </w:t>
      </w:r>
      <w:r w:rsidRPr="00D73723">
        <w:t>that the cost-effectiveness of</w:t>
      </w:r>
      <w:r>
        <w:t xml:space="preserve"> fremanezumab</w:t>
      </w:r>
      <w:r w:rsidR="00912031">
        <w:t xml:space="preserve"> would be a</w:t>
      </w:r>
      <w:r w:rsidRPr="00D73723">
        <w:t>cceptable if it were cost-minimi</w:t>
      </w:r>
      <w:r w:rsidR="00566F8E">
        <w:t>sed against Botox.</w:t>
      </w:r>
    </w:p>
    <w:p w:rsidR="008E5131" w:rsidRPr="003060BC" w:rsidRDefault="008E5131" w:rsidP="008E5131">
      <w:pPr>
        <w:pStyle w:val="ListParagraph"/>
        <w:numPr>
          <w:ilvl w:val="1"/>
          <w:numId w:val="15"/>
        </w:numPr>
        <w:jc w:val="both"/>
        <w:rPr>
          <w:lang w:eastAsia="en-US"/>
        </w:rPr>
      </w:pPr>
      <w:r w:rsidRPr="003060BC">
        <w:rPr>
          <w:lang w:eastAsia="en-US"/>
        </w:rPr>
        <w:t xml:space="preserve">The PBAC considered the CMA methodology </w:t>
      </w:r>
      <w:r w:rsidR="005B5C51" w:rsidRPr="003060BC">
        <w:rPr>
          <w:lang w:eastAsia="en-US"/>
        </w:rPr>
        <w:t xml:space="preserve">in </w:t>
      </w:r>
      <w:r w:rsidR="005B5C51" w:rsidRPr="001B2B14">
        <w:rPr>
          <w:lang w:eastAsia="en-US"/>
        </w:rPr>
        <w:t>paragraph 5.</w:t>
      </w:r>
      <w:r w:rsidR="00D43146" w:rsidRPr="001B2B14">
        <w:rPr>
          <w:lang w:eastAsia="en-US"/>
        </w:rPr>
        <w:t>2</w:t>
      </w:r>
      <w:r w:rsidR="005B5C51" w:rsidRPr="003060BC">
        <w:rPr>
          <w:lang w:eastAsia="en-US"/>
        </w:rPr>
        <w:t xml:space="preserve"> </w:t>
      </w:r>
      <w:r w:rsidRPr="003060BC">
        <w:rPr>
          <w:lang w:eastAsia="en-US"/>
        </w:rPr>
        <w:t>was appropriate</w:t>
      </w:r>
      <w:r w:rsidR="005B5C51" w:rsidRPr="003060BC">
        <w:rPr>
          <w:lang w:eastAsia="en-US"/>
        </w:rPr>
        <w:t xml:space="preserve"> </w:t>
      </w:r>
      <w:r w:rsidR="00CD223B">
        <w:rPr>
          <w:lang w:eastAsia="en-US"/>
        </w:rPr>
        <w:t>(with the am</w:t>
      </w:r>
      <w:r w:rsidR="004717C0">
        <w:rPr>
          <w:lang w:eastAsia="en-US"/>
        </w:rPr>
        <w:t>endment outlined in paragraph 6.8</w:t>
      </w:r>
      <w:r w:rsidR="00CD223B">
        <w:rPr>
          <w:lang w:eastAsia="en-US"/>
        </w:rPr>
        <w:t xml:space="preserve">) </w:t>
      </w:r>
      <w:r w:rsidR="005B5C51" w:rsidRPr="003060BC">
        <w:rPr>
          <w:lang w:eastAsia="en-US"/>
        </w:rPr>
        <w:t>and should use the effective Botox price.</w:t>
      </w:r>
      <w:r w:rsidRPr="003060BC">
        <w:rPr>
          <w:lang w:eastAsia="en-US"/>
        </w:rPr>
        <w:t xml:space="preserve"> </w:t>
      </w:r>
    </w:p>
    <w:p w:rsidR="00D14E7C" w:rsidRDefault="008E5131" w:rsidP="00D14E7C">
      <w:pPr>
        <w:pStyle w:val="ListParagraph"/>
        <w:numPr>
          <w:ilvl w:val="1"/>
          <w:numId w:val="15"/>
        </w:numPr>
        <w:jc w:val="both"/>
        <w:rPr>
          <w:bCs/>
          <w:lang w:val="en-GB"/>
        </w:rPr>
      </w:pPr>
      <w:r w:rsidRPr="006D66D2">
        <w:rPr>
          <w:bCs/>
          <w:lang w:val="en-GB"/>
        </w:rPr>
        <w:t xml:space="preserve">The PBAC recalled </w:t>
      </w:r>
      <w:r w:rsidR="003060BC" w:rsidRPr="006D66D2">
        <w:rPr>
          <w:bCs/>
          <w:lang w:val="en-GB"/>
        </w:rPr>
        <w:t xml:space="preserve">it had </w:t>
      </w:r>
      <w:r w:rsidRPr="006D66D2">
        <w:rPr>
          <w:bCs/>
          <w:lang w:val="en-GB"/>
        </w:rPr>
        <w:t xml:space="preserve">previously considered </w:t>
      </w:r>
      <w:r w:rsidR="00741212" w:rsidRPr="006D66D2">
        <w:rPr>
          <w:bCs/>
          <w:lang w:val="en-GB"/>
        </w:rPr>
        <w:t xml:space="preserve">the </w:t>
      </w:r>
      <w:r w:rsidRPr="006D66D2">
        <w:rPr>
          <w:bCs/>
          <w:lang w:val="en-GB"/>
        </w:rPr>
        <w:t xml:space="preserve">number of patients </w:t>
      </w:r>
      <w:r w:rsidR="00741212" w:rsidRPr="006D66D2">
        <w:rPr>
          <w:bCs/>
          <w:lang w:val="en-GB"/>
        </w:rPr>
        <w:t xml:space="preserve">with chronic migraine that would be treated with CGRP inhibitors to be </w:t>
      </w:r>
      <w:r w:rsidRPr="006D66D2">
        <w:rPr>
          <w:bCs/>
          <w:lang w:val="en-GB"/>
        </w:rPr>
        <w:t>highly uncertain</w:t>
      </w:r>
      <w:r w:rsidR="00741212" w:rsidRPr="006D66D2">
        <w:rPr>
          <w:bCs/>
          <w:lang w:val="en-GB"/>
        </w:rPr>
        <w:t xml:space="preserve"> (paragraph 7.3, fremanezumab</w:t>
      </w:r>
      <w:r w:rsidR="00E162B2">
        <w:rPr>
          <w:bCs/>
          <w:lang w:val="en-GB"/>
        </w:rPr>
        <w:t xml:space="preserve"> PSD</w:t>
      </w:r>
      <w:r w:rsidR="00741212" w:rsidRPr="006D66D2">
        <w:rPr>
          <w:bCs/>
          <w:lang w:val="en-GB"/>
        </w:rPr>
        <w:t>, November 2019 PBAC meeting; paragraph 7.4, galcanezumab</w:t>
      </w:r>
      <w:r w:rsidR="00407265">
        <w:rPr>
          <w:bCs/>
          <w:lang w:val="en-GB"/>
        </w:rPr>
        <w:t xml:space="preserve"> PSD</w:t>
      </w:r>
      <w:r w:rsidR="00741212" w:rsidRPr="006D66D2">
        <w:rPr>
          <w:bCs/>
          <w:lang w:val="en-GB"/>
        </w:rPr>
        <w:t>, July 2019 PBAC meeting;</w:t>
      </w:r>
      <w:r w:rsidR="006D66D2" w:rsidRPr="006D66D2">
        <w:rPr>
          <w:bCs/>
          <w:lang w:val="en-GB"/>
        </w:rPr>
        <w:t xml:space="preserve"> paragraph 7.12, erenumab</w:t>
      </w:r>
      <w:r w:rsidR="00407265">
        <w:rPr>
          <w:bCs/>
          <w:lang w:val="en-GB"/>
        </w:rPr>
        <w:t xml:space="preserve"> PSD</w:t>
      </w:r>
      <w:r w:rsidR="006D66D2" w:rsidRPr="006D66D2">
        <w:rPr>
          <w:bCs/>
          <w:lang w:val="en-GB"/>
        </w:rPr>
        <w:t>, March 2019 PBAC meeting</w:t>
      </w:r>
      <w:r w:rsidR="00741212" w:rsidRPr="006D66D2">
        <w:rPr>
          <w:bCs/>
          <w:lang w:val="en-GB"/>
        </w:rPr>
        <w:t>)</w:t>
      </w:r>
      <w:r w:rsidRPr="006D66D2">
        <w:rPr>
          <w:bCs/>
          <w:lang w:val="en-GB"/>
        </w:rPr>
        <w:t xml:space="preserve">. The PBAC noted the </w:t>
      </w:r>
      <w:r w:rsidR="00297E86">
        <w:rPr>
          <w:bCs/>
          <w:lang w:val="en-GB"/>
        </w:rPr>
        <w:t xml:space="preserve">revised </w:t>
      </w:r>
      <w:r w:rsidRPr="006D66D2">
        <w:rPr>
          <w:bCs/>
          <w:lang w:val="en-GB"/>
        </w:rPr>
        <w:t xml:space="preserve">patient numbers </w:t>
      </w:r>
      <w:r w:rsidR="006D66D2" w:rsidRPr="006D66D2">
        <w:rPr>
          <w:bCs/>
          <w:lang w:val="en-GB"/>
        </w:rPr>
        <w:t xml:space="preserve">included in the </w:t>
      </w:r>
      <w:r w:rsidR="000875E0">
        <w:rPr>
          <w:bCs/>
          <w:lang w:val="en-GB"/>
        </w:rPr>
        <w:t xml:space="preserve">current </w:t>
      </w:r>
      <w:r w:rsidR="006D66D2">
        <w:rPr>
          <w:bCs/>
          <w:lang w:val="en-GB"/>
        </w:rPr>
        <w:t xml:space="preserve">fremanezumab </w:t>
      </w:r>
      <w:r w:rsidR="006D66D2" w:rsidRPr="006D66D2">
        <w:rPr>
          <w:bCs/>
          <w:lang w:val="en-GB"/>
        </w:rPr>
        <w:t xml:space="preserve">proposal </w:t>
      </w:r>
      <w:r w:rsidRPr="006D66D2">
        <w:rPr>
          <w:bCs/>
          <w:lang w:val="en-GB"/>
        </w:rPr>
        <w:t xml:space="preserve">were </w:t>
      </w:r>
      <w:r w:rsidR="006D66D2" w:rsidRPr="00316438">
        <w:rPr>
          <w:bCs/>
          <w:lang w:val="en-GB"/>
        </w:rPr>
        <w:t xml:space="preserve">significantly </w:t>
      </w:r>
      <w:r w:rsidRPr="00316438">
        <w:rPr>
          <w:bCs/>
          <w:lang w:val="en-GB"/>
        </w:rPr>
        <w:t>lower</w:t>
      </w:r>
      <w:r w:rsidR="006D66D2" w:rsidRPr="00316438">
        <w:rPr>
          <w:bCs/>
          <w:lang w:val="en-GB"/>
        </w:rPr>
        <w:t xml:space="preserve"> than those in the </w:t>
      </w:r>
      <w:r w:rsidR="003A5352" w:rsidRPr="00316438">
        <w:rPr>
          <w:bCs/>
          <w:lang w:val="en-GB"/>
        </w:rPr>
        <w:t>previous fremanezumab submission</w:t>
      </w:r>
      <w:r w:rsidR="00C812DE">
        <w:rPr>
          <w:bCs/>
          <w:lang w:val="en-GB"/>
        </w:rPr>
        <w:t xml:space="preserve">. </w:t>
      </w:r>
      <w:r w:rsidR="000875E0">
        <w:rPr>
          <w:bCs/>
          <w:lang w:val="en-GB"/>
        </w:rPr>
        <w:t>However, t</w:t>
      </w:r>
      <w:r w:rsidR="00D5645E">
        <w:rPr>
          <w:bCs/>
          <w:lang w:val="en-GB"/>
        </w:rPr>
        <w:t xml:space="preserve">he PBAC considered the methodology used to estimate the </w:t>
      </w:r>
      <w:r w:rsidRPr="006D66D2">
        <w:rPr>
          <w:bCs/>
          <w:lang w:val="en-GB"/>
        </w:rPr>
        <w:t xml:space="preserve">number of treated patients </w:t>
      </w:r>
      <w:r w:rsidR="000875E0">
        <w:rPr>
          <w:bCs/>
          <w:lang w:val="en-GB"/>
        </w:rPr>
        <w:t xml:space="preserve">remained </w:t>
      </w:r>
      <w:r w:rsidR="00D5645E">
        <w:rPr>
          <w:bCs/>
          <w:lang w:val="en-GB"/>
        </w:rPr>
        <w:t xml:space="preserve">unclear and the number of patients likely to be treated </w:t>
      </w:r>
      <w:r w:rsidRPr="006D66D2">
        <w:rPr>
          <w:bCs/>
          <w:lang w:val="en-GB"/>
        </w:rPr>
        <w:t>continued to be uncertain</w:t>
      </w:r>
      <w:r w:rsidR="00FE13F4">
        <w:rPr>
          <w:bCs/>
          <w:lang w:val="en-GB"/>
        </w:rPr>
        <w:t xml:space="preserve">. </w:t>
      </w:r>
    </w:p>
    <w:p w:rsidR="00B36123" w:rsidRDefault="00B36123" w:rsidP="00B36123">
      <w:pPr>
        <w:pStyle w:val="ListParagraph"/>
        <w:numPr>
          <w:ilvl w:val="1"/>
          <w:numId w:val="15"/>
        </w:numPr>
        <w:jc w:val="both"/>
        <w:rPr>
          <w:lang w:eastAsia="en-US"/>
        </w:rPr>
      </w:pPr>
      <w:r w:rsidRPr="00586DFC">
        <w:rPr>
          <w:lang w:eastAsia="en-US"/>
        </w:rPr>
        <w:t xml:space="preserve">The PBAC considered a 12 week continuation rate of </w:t>
      </w:r>
      <w:r w:rsidR="00920C75">
        <w:rPr>
          <w:noProof/>
          <w:color w:val="000000"/>
          <w:highlight w:val="black"/>
          <w:lang w:eastAsia="en-US"/>
        </w:rPr>
        <w:t>'''''</w:t>
      </w:r>
      <w:r w:rsidRPr="00586DFC">
        <w:rPr>
          <w:lang w:eastAsia="en-US"/>
        </w:rPr>
        <w:t>% should be applied</w:t>
      </w:r>
      <w:r w:rsidR="00302446">
        <w:rPr>
          <w:lang w:eastAsia="en-US"/>
        </w:rPr>
        <w:t xml:space="preserve"> to the financial estimates</w:t>
      </w:r>
      <w:r w:rsidRPr="00586DFC">
        <w:rPr>
          <w:lang w:eastAsia="en-US"/>
        </w:rPr>
        <w:t xml:space="preserve"> to reflect the proportion of patients with a ≥50% redu</w:t>
      </w:r>
      <w:r>
        <w:rPr>
          <w:lang w:eastAsia="en-US"/>
        </w:rPr>
        <w:t xml:space="preserve">ction in monthly average number </w:t>
      </w:r>
      <w:r w:rsidRPr="00586DFC">
        <w:rPr>
          <w:lang w:eastAsia="en-US"/>
        </w:rPr>
        <w:t>of migraine days observed in the clinical trial for the monthly dose (paragraph 6.</w:t>
      </w:r>
      <w:r>
        <w:rPr>
          <w:lang w:eastAsia="en-US"/>
        </w:rPr>
        <w:t>29</w:t>
      </w:r>
      <w:r w:rsidRPr="00586DFC">
        <w:rPr>
          <w:lang w:eastAsia="en-US"/>
        </w:rPr>
        <w:t xml:space="preserve">, </w:t>
      </w:r>
      <w:r w:rsidRPr="006B17BE">
        <w:rPr>
          <w:lang w:eastAsia="en-US"/>
        </w:rPr>
        <w:t>fremanezumab</w:t>
      </w:r>
      <w:r w:rsidR="00407265">
        <w:rPr>
          <w:lang w:eastAsia="en-US"/>
        </w:rPr>
        <w:t xml:space="preserve"> PSD</w:t>
      </w:r>
      <w:r w:rsidR="00566F8E">
        <w:rPr>
          <w:lang w:eastAsia="en-US"/>
        </w:rPr>
        <w:t>, November 2019 PBAC meeting).</w:t>
      </w:r>
    </w:p>
    <w:p w:rsidR="00B36123" w:rsidRDefault="00B36123" w:rsidP="00B36123">
      <w:pPr>
        <w:pStyle w:val="ListParagraph"/>
        <w:numPr>
          <w:ilvl w:val="1"/>
          <w:numId w:val="15"/>
        </w:numPr>
        <w:jc w:val="both"/>
        <w:rPr>
          <w:lang w:eastAsia="en-US"/>
        </w:rPr>
      </w:pPr>
      <w:r w:rsidRPr="00586DFC">
        <w:rPr>
          <w:lang w:eastAsia="en-US"/>
        </w:rPr>
        <w:t xml:space="preserve">The PBAC recalled it had previously considered the </w:t>
      </w:r>
      <w:r w:rsidR="00920C75">
        <w:rPr>
          <w:noProof/>
          <w:color w:val="000000"/>
          <w:highlight w:val="black"/>
          <w:lang w:eastAsia="en-US"/>
        </w:rPr>
        <w:t>'''''</w:t>
      </w:r>
      <w:r w:rsidRPr="00586DFC">
        <w:rPr>
          <w:lang w:eastAsia="en-US"/>
        </w:rPr>
        <w:t xml:space="preserve">% discontinuation rate applied to the financial estimates to be high given the lack of alternative treatments and convenience of fremanezumab compared to Botox (paragraph 6.82, fremanezumab </w:t>
      </w:r>
      <w:r w:rsidR="00407265">
        <w:rPr>
          <w:lang w:eastAsia="en-US"/>
        </w:rPr>
        <w:t>PSD</w:t>
      </w:r>
      <w:r w:rsidRPr="00586DFC">
        <w:rPr>
          <w:lang w:eastAsia="en-US"/>
        </w:rPr>
        <w:t xml:space="preserve">, November 2019 PBAC meeting). The PBAC noted </w:t>
      </w:r>
      <w:r>
        <w:rPr>
          <w:lang w:eastAsia="en-US"/>
        </w:rPr>
        <w:t xml:space="preserve">the proposal applied </w:t>
      </w:r>
      <w:r w:rsidRPr="00586DFC">
        <w:rPr>
          <w:lang w:eastAsia="en-US"/>
        </w:rPr>
        <w:t>an even higher discontinuation rate to the financial estimates (</w:t>
      </w:r>
      <w:r w:rsidR="00920C75">
        <w:rPr>
          <w:noProof/>
          <w:color w:val="000000"/>
          <w:highlight w:val="black"/>
          <w:lang w:eastAsia="en-US"/>
        </w:rPr>
        <w:t>''''''</w:t>
      </w:r>
      <w:r w:rsidRPr="00586DFC">
        <w:rPr>
          <w:lang w:eastAsia="en-US"/>
        </w:rPr>
        <w:t xml:space="preserve">%) and advised a discontinuation rate of </w:t>
      </w:r>
      <w:r>
        <w:rPr>
          <w:lang w:eastAsia="en-US"/>
        </w:rPr>
        <w:t xml:space="preserve">approximately </w:t>
      </w:r>
      <w:r w:rsidR="00920C75">
        <w:rPr>
          <w:noProof/>
          <w:color w:val="000000"/>
          <w:highlight w:val="black"/>
          <w:lang w:eastAsia="en-US"/>
        </w:rPr>
        <w:t>'''''</w:t>
      </w:r>
      <w:r w:rsidRPr="00586DFC">
        <w:rPr>
          <w:lang w:eastAsia="en-US"/>
        </w:rPr>
        <w:t xml:space="preserve">% was </w:t>
      </w:r>
      <w:r>
        <w:rPr>
          <w:lang w:eastAsia="en-US"/>
        </w:rPr>
        <w:t xml:space="preserve">likely to be </w:t>
      </w:r>
      <w:r w:rsidRPr="00586DFC">
        <w:rPr>
          <w:lang w:eastAsia="en-US"/>
        </w:rPr>
        <w:t xml:space="preserve">a more reasonable assumption. </w:t>
      </w:r>
    </w:p>
    <w:p w:rsidR="000F3B9A" w:rsidRDefault="00700A64" w:rsidP="00700A64">
      <w:pPr>
        <w:pStyle w:val="ListParagraph"/>
        <w:numPr>
          <w:ilvl w:val="1"/>
          <w:numId w:val="15"/>
        </w:numPr>
        <w:jc w:val="both"/>
      </w:pPr>
      <w:r w:rsidRPr="0083494A">
        <w:rPr>
          <w:lang w:eastAsia="en-US"/>
        </w:rPr>
        <w:t>The PBAC considered it would be appropriate for the use, and associated expenditure, of fremanezumab to be restricted to the same high need patient population as for Botox.</w:t>
      </w:r>
      <w:r w:rsidR="00566F8E">
        <w:rPr>
          <w:lang w:eastAsia="en-US"/>
        </w:rPr>
        <w:t xml:space="preserve"> </w:t>
      </w:r>
      <w:r w:rsidR="001B2B14">
        <w:t>The PBAC did not consider that incremental expenditure beyond the current PBS spend on Botox was justified</w:t>
      </w:r>
      <w:r w:rsidR="001B2B14">
        <w:rPr>
          <w:lang w:eastAsia="en-US"/>
        </w:rPr>
        <w:t xml:space="preserve">. </w:t>
      </w:r>
      <w:r w:rsidR="001B2B14">
        <w:t>The PBAC recommended that the Department work wi</w:t>
      </w:r>
      <w:r w:rsidR="004923C6">
        <w:t>th the S</w:t>
      </w:r>
      <w:r w:rsidR="001B2B14">
        <w:t xml:space="preserve">ponsor on an appropriate RSA in this context. </w:t>
      </w:r>
    </w:p>
    <w:p w:rsidR="00CD223B" w:rsidRPr="00CD223B" w:rsidRDefault="005F4FFB" w:rsidP="005F4FFB">
      <w:pPr>
        <w:pStyle w:val="ListParagraph"/>
        <w:numPr>
          <w:ilvl w:val="1"/>
          <w:numId w:val="15"/>
        </w:numPr>
        <w:jc w:val="both"/>
      </w:pPr>
      <w:r>
        <w:t>The PBAC considered</w:t>
      </w:r>
      <w:r w:rsidRPr="005F4FFB">
        <w:t xml:space="preserve"> initial treatment </w:t>
      </w:r>
      <w:r>
        <w:t xml:space="preserve">with fremanezumab should be </w:t>
      </w:r>
      <w:r w:rsidRPr="005F4FFB">
        <w:t>prescribed by neurologis</w:t>
      </w:r>
      <w:r>
        <w:t xml:space="preserve">ts and all </w:t>
      </w:r>
      <w:r w:rsidRPr="005F4FFB">
        <w:t xml:space="preserve">continuing treatment </w:t>
      </w:r>
      <w:r>
        <w:t xml:space="preserve">could be </w:t>
      </w:r>
      <w:r w:rsidRPr="005F4FFB">
        <w:t xml:space="preserve">prescribed by, or in conjunction </w:t>
      </w:r>
      <w:r w:rsidRPr="005F4FFB">
        <w:lastRenderedPageBreak/>
        <w:t>with, a neurologist</w:t>
      </w:r>
      <w:r>
        <w:t>, consistent with its previous recommendation (</w:t>
      </w:r>
      <w:r w:rsidRPr="008315E8">
        <w:t>paragraph 7.11, fremanezumab PSD, November 2019 PBAC meeting</w:t>
      </w:r>
      <w:r>
        <w:t>). The PBAC</w:t>
      </w:r>
      <w:r w:rsidR="004717C0">
        <w:t xml:space="preserve"> advised</w:t>
      </w:r>
      <w:r>
        <w:t xml:space="preserve"> the CMA should be revised to reflect one neurologist visit and </w:t>
      </w:r>
      <w:r w:rsidR="004717C0">
        <w:t xml:space="preserve">3.5 GP visits for fremanezumab over 2 years. </w:t>
      </w:r>
    </w:p>
    <w:p w:rsidR="004C54C9" w:rsidRPr="00C14A8C" w:rsidRDefault="00EA4BF9" w:rsidP="001F7B44">
      <w:pPr>
        <w:pStyle w:val="ListParagraph"/>
        <w:numPr>
          <w:ilvl w:val="1"/>
          <w:numId w:val="15"/>
        </w:numPr>
        <w:jc w:val="both"/>
      </w:pPr>
      <w:r w:rsidRPr="000F3B9A">
        <w:rPr>
          <w:bCs/>
          <w:lang w:val="en-GB"/>
        </w:rPr>
        <w:t>The PBAC recalled it had previously considered fremanezumab non-inferior to galcanezumab</w:t>
      </w:r>
      <w:r>
        <w:rPr>
          <w:bCs/>
          <w:lang w:val="en-GB"/>
        </w:rPr>
        <w:t xml:space="preserve"> </w:t>
      </w:r>
      <w:r w:rsidR="00EE7857">
        <w:rPr>
          <w:bCs/>
          <w:lang w:val="en-GB"/>
        </w:rPr>
        <w:t xml:space="preserve">in terms of effectiveness and safety </w:t>
      </w:r>
      <w:r>
        <w:rPr>
          <w:bCs/>
          <w:lang w:val="en-GB"/>
        </w:rPr>
        <w:t>and that the equi-effective doses were fremanezumab 225 mg every month and galcanezumab 240 mg initially followed by 120 mg every month (paragraph 7.6 and 7.8, fremanezumab</w:t>
      </w:r>
      <w:r w:rsidR="00407265">
        <w:rPr>
          <w:bCs/>
          <w:lang w:val="en-GB"/>
        </w:rPr>
        <w:t xml:space="preserve"> PSD</w:t>
      </w:r>
      <w:r>
        <w:rPr>
          <w:bCs/>
          <w:lang w:val="en-GB"/>
        </w:rPr>
        <w:t xml:space="preserve">, November 2019 PBAC meeting). </w:t>
      </w:r>
    </w:p>
    <w:p w:rsidR="004F44D2" w:rsidRPr="004F44D2" w:rsidRDefault="004F44D2" w:rsidP="004F44D2">
      <w:pPr>
        <w:pStyle w:val="ListParagraph"/>
        <w:numPr>
          <w:ilvl w:val="1"/>
          <w:numId w:val="15"/>
        </w:numPr>
        <w:rPr>
          <w:bCs/>
          <w:lang w:val="en-GB"/>
        </w:rPr>
      </w:pPr>
      <w:r w:rsidRPr="004F44D2">
        <w:rPr>
          <w:bCs/>
          <w:lang w:val="en-GB"/>
        </w:rPr>
        <w:t xml:space="preserve">The PBAC noted a number of flow on changes to </w:t>
      </w:r>
      <w:r>
        <w:rPr>
          <w:bCs/>
          <w:lang w:val="en-GB"/>
        </w:rPr>
        <w:t xml:space="preserve">the restriction criteria for </w:t>
      </w:r>
      <w:r w:rsidRPr="004F44D2">
        <w:rPr>
          <w:bCs/>
          <w:lang w:val="en-GB"/>
        </w:rPr>
        <w:t>Botox will be required as described in Section 7.</w:t>
      </w:r>
    </w:p>
    <w:p w:rsidR="0001545F" w:rsidRPr="0090494B" w:rsidRDefault="0001545F" w:rsidP="0001545F">
      <w:pPr>
        <w:pStyle w:val="ListParagraph"/>
        <w:numPr>
          <w:ilvl w:val="1"/>
          <w:numId w:val="15"/>
        </w:numPr>
        <w:jc w:val="both"/>
      </w:pPr>
      <w:r w:rsidRPr="0090494B">
        <w:rPr>
          <w:bCs/>
          <w:lang w:val="en-GB"/>
        </w:rPr>
        <w:t>The PBAC recommended that fremanezumab should not be treated as interchangeable on an individual patient basis with Botox</w:t>
      </w:r>
      <w:r w:rsidR="005C1954" w:rsidRPr="0090494B">
        <w:rPr>
          <w:bCs/>
          <w:lang w:val="en-GB"/>
        </w:rPr>
        <w:t xml:space="preserve"> but </w:t>
      </w:r>
      <w:r w:rsidR="00636564">
        <w:rPr>
          <w:bCs/>
          <w:lang w:val="en-GB"/>
        </w:rPr>
        <w:t>could be treated as</w:t>
      </w:r>
      <w:r w:rsidR="005C1954" w:rsidRPr="0090494B">
        <w:rPr>
          <w:bCs/>
          <w:lang w:val="en-GB"/>
        </w:rPr>
        <w:t xml:space="preserve"> interchangeable on an individual patient basis with galcanezumab</w:t>
      </w:r>
      <w:r w:rsidR="00566F8E">
        <w:rPr>
          <w:bCs/>
          <w:lang w:val="en-GB"/>
        </w:rPr>
        <w:t>.</w:t>
      </w:r>
    </w:p>
    <w:p w:rsidR="0001545F" w:rsidRDefault="0001545F" w:rsidP="0001545F">
      <w:pPr>
        <w:widowControl w:val="0"/>
        <w:numPr>
          <w:ilvl w:val="1"/>
          <w:numId w:val="15"/>
        </w:numPr>
        <w:spacing w:after="120"/>
        <w:rPr>
          <w:rFonts w:asciiTheme="minorHAnsi" w:hAnsiTheme="minorHAnsi" w:cs="Arial"/>
          <w:bCs/>
          <w:snapToGrid w:val="0"/>
          <w:lang w:val="en-GB"/>
        </w:rPr>
      </w:pPr>
      <w:r w:rsidRPr="00D8553E">
        <w:rPr>
          <w:rFonts w:asciiTheme="minorHAnsi" w:hAnsiTheme="minorHAnsi" w:cs="Arial"/>
          <w:bCs/>
          <w:snapToGrid w:val="0"/>
          <w:lang w:val="en-GB"/>
        </w:rPr>
        <w:t xml:space="preserve">The PBAC advised that </w:t>
      </w:r>
      <w:r>
        <w:rPr>
          <w:rFonts w:asciiTheme="minorHAnsi" w:hAnsiTheme="minorHAnsi" w:cs="Arial"/>
          <w:bCs/>
          <w:snapToGrid w:val="0"/>
          <w:lang w:val="en-GB"/>
        </w:rPr>
        <w:t xml:space="preserve">fremanezumab </w:t>
      </w:r>
      <w:r w:rsidRPr="00D8553E">
        <w:rPr>
          <w:rFonts w:asciiTheme="minorHAnsi" w:hAnsiTheme="minorHAnsi" w:cs="Arial"/>
          <w:bCs/>
          <w:snapToGrid w:val="0"/>
          <w:lang w:val="en-GB"/>
        </w:rPr>
        <w:t>is not suitable for presc</w:t>
      </w:r>
      <w:r w:rsidR="00566F8E">
        <w:rPr>
          <w:rFonts w:asciiTheme="minorHAnsi" w:hAnsiTheme="minorHAnsi" w:cs="Arial"/>
          <w:bCs/>
          <w:snapToGrid w:val="0"/>
          <w:lang w:val="en-GB"/>
        </w:rPr>
        <w:t>ribing by nurse practitioners.</w:t>
      </w:r>
    </w:p>
    <w:p w:rsidR="0001545F" w:rsidRPr="00104345" w:rsidRDefault="0001545F" w:rsidP="0001545F">
      <w:pPr>
        <w:widowControl w:val="0"/>
        <w:numPr>
          <w:ilvl w:val="1"/>
          <w:numId w:val="15"/>
        </w:numPr>
        <w:spacing w:after="120"/>
      </w:pPr>
      <w:r w:rsidRPr="00D8553E">
        <w:rPr>
          <w:rFonts w:asciiTheme="minorHAnsi" w:hAnsiTheme="minorHAnsi" w:cs="Arial"/>
          <w:bCs/>
          <w:snapToGrid w:val="0"/>
          <w:lang w:val="en-GB"/>
        </w:rPr>
        <w:t>The PBAC noted that this submission is not eligible for an Independent Review</w:t>
      </w:r>
      <w:r>
        <w:rPr>
          <w:rFonts w:asciiTheme="minorHAnsi" w:hAnsiTheme="minorHAnsi" w:cs="Arial"/>
          <w:bCs/>
          <w:snapToGrid w:val="0"/>
          <w:lang w:val="en-GB"/>
        </w:rPr>
        <w:t>.</w:t>
      </w:r>
    </w:p>
    <w:p w:rsidR="0001545F" w:rsidRDefault="0001545F" w:rsidP="005E617D">
      <w:pPr>
        <w:pStyle w:val="ListParagraph"/>
        <w:numPr>
          <w:ilvl w:val="1"/>
          <w:numId w:val="15"/>
        </w:numPr>
        <w:jc w:val="both"/>
      </w:pPr>
      <w:r>
        <w:t>T</w:t>
      </w:r>
      <w:r w:rsidRPr="0013110B">
        <w:t>he PBAC recommended that the Early Supply Rule should apply</w:t>
      </w:r>
      <w:r>
        <w:t>.</w:t>
      </w:r>
    </w:p>
    <w:p w:rsidR="00912031" w:rsidRDefault="00912031" w:rsidP="00912031">
      <w:pPr>
        <w:pStyle w:val="ListParagraph"/>
        <w:numPr>
          <w:ilvl w:val="1"/>
          <w:numId w:val="15"/>
        </w:numPr>
        <w:jc w:val="both"/>
      </w:pPr>
      <w:r w:rsidRPr="00570AD8">
        <w:t>The PBAC noted that its recommendation was on a cost-minimisation b</w:t>
      </w:r>
      <w:r>
        <w:t>asis and advised that, because</w:t>
      </w:r>
      <w:r w:rsidR="0001545F">
        <w:t xml:space="preserve"> fremanezumab</w:t>
      </w:r>
      <w:r>
        <w:t xml:space="preserve"> </w:t>
      </w:r>
      <w:r w:rsidRPr="00570AD8">
        <w:t xml:space="preserve">is not expected to provide a substantial and clinically relevant improvement in efficacy, </w:t>
      </w:r>
      <w:r>
        <w:t>or reduction of toxicity, over Botox</w:t>
      </w:r>
      <w:r w:rsidRPr="00570AD8">
        <w:t>, or not expected to address a high and u</w:t>
      </w:r>
      <w:r>
        <w:t xml:space="preserve">rgent unmet clinical need </w:t>
      </w:r>
      <w:r w:rsidRPr="00D00578">
        <w:t>given the presence of an alternative therapy</w:t>
      </w:r>
      <w:r w:rsidRPr="00570AD8">
        <w:t>, the criteria prescribed by the National Health (Pharmaceuticals and Vaccines – Cost Recovery) Regulations 2009 for Pricing Pathway A were not met</w:t>
      </w:r>
      <w:r>
        <w:t>.</w:t>
      </w:r>
    </w:p>
    <w:p w:rsidR="00D57CE9" w:rsidRDefault="00912031" w:rsidP="00912031">
      <w:pPr>
        <w:spacing w:after="120"/>
      </w:pPr>
      <w:r w:rsidRPr="00912031">
        <w:rPr>
          <w:b/>
        </w:rPr>
        <w:t>Outcome:</w:t>
      </w:r>
      <w:r w:rsidR="005012B5">
        <w:rPr>
          <w:b/>
        </w:rPr>
        <w:br/>
      </w:r>
      <w:r>
        <w:t>Recommended.</w:t>
      </w:r>
    </w:p>
    <w:p w:rsidR="00CF3593" w:rsidRPr="00CF3593" w:rsidRDefault="00CF3593" w:rsidP="00CF3593">
      <w:pPr>
        <w:pStyle w:val="Heading1"/>
        <w:keepNext/>
        <w:keepLines/>
        <w:numPr>
          <w:ilvl w:val="0"/>
          <w:numId w:val="4"/>
        </w:numPr>
        <w:spacing w:before="240"/>
        <w:ind w:left="709" w:hanging="709"/>
        <w:rPr>
          <w:sz w:val="32"/>
          <w:szCs w:val="32"/>
        </w:rPr>
      </w:pPr>
      <w:r>
        <w:rPr>
          <w:sz w:val="32"/>
          <w:szCs w:val="32"/>
        </w:rPr>
        <w:t>Recommended listing</w:t>
      </w:r>
    </w:p>
    <w:p w:rsidR="00D074CC" w:rsidRPr="009252EC" w:rsidRDefault="0001545F" w:rsidP="00D074CC">
      <w:pPr>
        <w:numPr>
          <w:ilvl w:val="1"/>
          <w:numId w:val="4"/>
        </w:numPr>
        <w:spacing w:after="120"/>
      </w:pPr>
      <w:r>
        <w:rPr>
          <w:rFonts w:asciiTheme="minorHAnsi" w:hAnsiTheme="minorHAnsi" w:cs="Arial"/>
          <w:snapToGrid w:val="0"/>
          <w:lang w:eastAsia="en-US"/>
        </w:rPr>
        <w:t xml:space="preserve">Add new item: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850"/>
        <w:gridCol w:w="709"/>
        <w:gridCol w:w="709"/>
        <w:gridCol w:w="708"/>
        <w:gridCol w:w="993"/>
        <w:gridCol w:w="1275"/>
      </w:tblGrid>
      <w:tr w:rsidR="00D074CC" w:rsidRPr="009A610D" w:rsidTr="009252EC">
        <w:trPr>
          <w:cantSplit/>
          <w:trHeight w:val="471"/>
        </w:trPr>
        <w:tc>
          <w:tcPr>
            <w:tcW w:w="3823" w:type="dxa"/>
          </w:tcPr>
          <w:p w:rsidR="00D074CC" w:rsidRPr="009A610D" w:rsidRDefault="00D074CC" w:rsidP="00D074CC">
            <w:pPr>
              <w:keepNext/>
              <w:ind w:left="-108"/>
              <w:rPr>
                <w:rFonts w:ascii="Arial Narrow" w:hAnsi="Arial Narrow" w:cs="Arial"/>
                <w:b/>
                <w:sz w:val="18"/>
                <w:szCs w:val="18"/>
              </w:rPr>
            </w:pPr>
            <w:r w:rsidRPr="009A610D">
              <w:rPr>
                <w:rFonts w:ascii="Arial Narrow" w:hAnsi="Arial Narrow" w:cs="Arial"/>
                <w:b/>
                <w:sz w:val="18"/>
                <w:szCs w:val="18"/>
              </w:rPr>
              <w:t>Name, Restriction,</w:t>
            </w:r>
          </w:p>
          <w:p w:rsidR="00D074CC" w:rsidRPr="009A610D" w:rsidRDefault="00D074CC" w:rsidP="00D074CC">
            <w:pPr>
              <w:keepNext/>
              <w:ind w:left="-108"/>
              <w:rPr>
                <w:rFonts w:ascii="Arial Narrow" w:hAnsi="Arial Narrow" w:cs="Arial"/>
                <w:b/>
                <w:sz w:val="18"/>
                <w:szCs w:val="18"/>
              </w:rPr>
            </w:pPr>
            <w:r w:rsidRPr="009A610D">
              <w:rPr>
                <w:rFonts w:ascii="Arial Narrow" w:hAnsi="Arial Narrow" w:cs="Arial"/>
                <w:b/>
                <w:sz w:val="18"/>
                <w:szCs w:val="18"/>
              </w:rPr>
              <w:t>Manner of administration and form</w:t>
            </w:r>
          </w:p>
        </w:tc>
        <w:tc>
          <w:tcPr>
            <w:tcW w:w="850" w:type="dxa"/>
          </w:tcPr>
          <w:p w:rsidR="00D074CC" w:rsidRPr="009A610D" w:rsidRDefault="00D074CC" w:rsidP="00D074CC">
            <w:pPr>
              <w:keepNext/>
              <w:ind w:left="-108"/>
              <w:jc w:val="center"/>
              <w:rPr>
                <w:rFonts w:ascii="Arial Narrow" w:hAnsi="Arial Narrow" w:cs="Arial"/>
                <w:b/>
                <w:sz w:val="18"/>
                <w:szCs w:val="18"/>
              </w:rPr>
            </w:pPr>
            <w:r>
              <w:rPr>
                <w:rFonts w:ascii="Arial Narrow" w:hAnsi="Arial Narrow" w:cs="Arial"/>
                <w:b/>
                <w:sz w:val="18"/>
                <w:szCs w:val="18"/>
              </w:rPr>
              <w:t>PBS item code</w:t>
            </w:r>
          </w:p>
        </w:tc>
        <w:tc>
          <w:tcPr>
            <w:tcW w:w="709" w:type="dxa"/>
          </w:tcPr>
          <w:p w:rsidR="00D074CC" w:rsidRPr="009A610D" w:rsidRDefault="00D074CC" w:rsidP="00D074CC">
            <w:pPr>
              <w:keepNext/>
              <w:ind w:left="-108"/>
              <w:jc w:val="center"/>
              <w:rPr>
                <w:rFonts w:ascii="Arial Narrow" w:hAnsi="Arial Narrow" w:cs="Arial"/>
                <w:b/>
                <w:sz w:val="18"/>
                <w:szCs w:val="18"/>
              </w:rPr>
            </w:pPr>
            <w:r w:rsidRPr="009A610D">
              <w:rPr>
                <w:rFonts w:ascii="Arial Narrow" w:hAnsi="Arial Narrow" w:cs="Arial"/>
                <w:b/>
                <w:sz w:val="18"/>
                <w:szCs w:val="18"/>
              </w:rPr>
              <w:t>Max.</w:t>
            </w:r>
            <w:r>
              <w:rPr>
                <w:rFonts w:ascii="Arial Narrow" w:hAnsi="Arial Narrow" w:cs="Arial"/>
                <w:b/>
                <w:sz w:val="18"/>
                <w:szCs w:val="18"/>
              </w:rPr>
              <w:t xml:space="preserve"> q</w:t>
            </w:r>
            <w:r w:rsidRPr="009A610D">
              <w:rPr>
                <w:rFonts w:ascii="Arial Narrow" w:hAnsi="Arial Narrow" w:cs="Arial"/>
                <w:b/>
                <w:sz w:val="18"/>
                <w:szCs w:val="18"/>
              </w:rPr>
              <w:t>ty</w:t>
            </w:r>
            <w:r>
              <w:rPr>
                <w:rFonts w:ascii="Arial Narrow" w:hAnsi="Arial Narrow" w:cs="Arial"/>
                <w:b/>
                <w:sz w:val="18"/>
                <w:szCs w:val="18"/>
              </w:rPr>
              <w:t xml:space="preserve"> packs</w:t>
            </w:r>
          </w:p>
        </w:tc>
        <w:tc>
          <w:tcPr>
            <w:tcW w:w="709" w:type="dxa"/>
          </w:tcPr>
          <w:p w:rsidR="00D074CC" w:rsidRPr="009A610D" w:rsidRDefault="00D074CC" w:rsidP="00D074CC">
            <w:pPr>
              <w:keepNext/>
              <w:ind w:left="-108"/>
              <w:jc w:val="center"/>
              <w:rPr>
                <w:rFonts w:ascii="Arial Narrow" w:hAnsi="Arial Narrow" w:cs="Arial"/>
                <w:b/>
                <w:sz w:val="18"/>
                <w:szCs w:val="18"/>
              </w:rPr>
            </w:pPr>
            <w:r>
              <w:rPr>
                <w:rFonts w:ascii="Arial Narrow" w:hAnsi="Arial Narrow" w:cs="Arial"/>
                <w:b/>
                <w:sz w:val="18"/>
                <w:szCs w:val="18"/>
              </w:rPr>
              <w:t>Max. qty units</w:t>
            </w:r>
          </w:p>
        </w:tc>
        <w:tc>
          <w:tcPr>
            <w:tcW w:w="708" w:type="dxa"/>
          </w:tcPr>
          <w:p w:rsidR="00D074CC" w:rsidRPr="009A610D" w:rsidRDefault="00D074CC" w:rsidP="00D074CC">
            <w:pPr>
              <w:keepNext/>
              <w:ind w:left="-108"/>
              <w:jc w:val="center"/>
              <w:rPr>
                <w:rFonts w:ascii="Arial Narrow" w:hAnsi="Arial Narrow" w:cs="Arial"/>
                <w:b/>
                <w:sz w:val="18"/>
                <w:szCs w:val="18"/>
              </w:rPr>
            </w:pPr>
            <w:r w:rsidRPr="009A610D">
              <w:rPr>
                <w:rFonts w:ascii="Arial Narrow" w:hAnsi="Arial Narrow" w:cs="Arial"/>
                <w:b/>
                <w:sz w:val="18"/>
                <w:szCs w:val="18"/>
              </w:rPr>
              <w:t>№.of</w:t>
            </w:r>
          </w:p>
          <w:p w:rsidR="00D074CC" w:rsidRPr="009A610D" w:rsidRDefault="00D074CC" w:rsidP="00D074CC">
            <w:pPr>
              <w:keepNext/>
              <w:ind w:left="-108"/>
              <w:jc w:val="center"/>
              <w:rPr>
                <w:rFonts w:ascii="Arial Narrow" w:hAnsi="Arial Narrow" w:cs="Arial"/>
                <w:b/>
                <w:sz w:val="18"/>
                <w:szCs w:val="18"/>
              </w:rPr>
            </w:pPr>
            <w:r w:rsidRPr="009A610D">
              <w:rPr>
                <w:rFonts w:ascii="Arial Narrow" w:hAnsi="Arial Narrow" w:cs="Arial"/>
                <w:b/>
                <w:sz w:val="18"/>
                <w:szCs w:val="18"/>
              </w:rPr>
              <w:t>Rpts</w:t>
            </w:r>
          </w:p>
        </w:tc>
        <w:tc>
          <w:tcPr>
            <w:tcW w:w="2268" w:type="dxa"/>
            <w:gridSpan w:val="2"/>
          </w:tcPr>
          <w:p w:rsidR="00D074CC" w:rsidRPr="009A610D" w:rsidRDefault="00D074CC" w:rsidP="00D074CC">
            <w:pPr>
              <w:keepNext/>
              <w:rPr>
                <w:rFonts w:ascii="Arial Narrow" w:hAnsi="Arial Narrow" w:cs="Arial"/>
                <w:b/>
                <w:sz w:val="18"/>
                <w:szCs w:val="18"/>
                <w:lang w:val="fr-FR"/>
              </w:rPr>
            </w:pPr>
            <w:r w:rsidRPr="009A610D">
              <w:rPr>
                <w:rFonts w:ascii="Arial Narrow" w:hAnsi="Arial Narrow" w:cs="Arial"/>
                <w:b/>
                <w:sz w:val="18"/>
                <w:szCs w:val="18"/>
              </w:rPr>
              <w:t>Proprietary Name and Manufacturer</w:t>
            </w:r>
          </w:p>
        </w:tc>
      </w:tr>
      <w:tr w:rsidR="00D074CC" w:rsidRPr="009A610D" w:rsidTr="00713BB1">
        <w:trPr>
          <w:cantSplit/>
          <w:trHeight w:val="672"/>
        </w:trPr>
        <w:tc>
          <w:tcPr>
            <w:tcW w:w="3823" w:type="dxa"/>
          </w:tcPr>
          <w:p w:rsidR="00D074CC" w:rsidRPr="00120A12" w:rsidRDefault="00D074CC" w:rsidP="00D074CC">
            <w:pPr>
              <w:keepNext/>
              <w:ind w:left="-108"/>
              <w:rPr>
                <w:rFonts w:ascii="Arial Narrow" w:hAnsi="Arial Narrow" w:cs="Arial"/>
                <w:sz w:val="18"/>
                <w:szCs w:val="18"/>
              </w:rPr>
            </w:pPr>
            <w:r>
              <w:rPr>
                <w:rFonts w:ascii="Arial Narrow" w:hAnsi="Arial Narrow" w:cs="Arial"/>
                <w:sz w:val="18"/>
                <w:szCs w:val="18"/>
              </w:rPr>
              <w:t>FREMANEZUMAB</w:t>
            </w:r>
          </w:p>
          <w:p w:rsidR="00D074CC" w:rsidRDefault="00D074CC" w:rsidP="00D074CC">
            <w:pPr>
              <w:keepNext/>
              <w:ind w:left="-108"/>
              <w:rPr>
                <w:rFonts w:ascii="Arial Narrow" w:hAnsi="Arial Narrow" w:cs="Arial"/>
                <w:sz w:val="18"/>
                <w:szCs w:val="18"/>
              </w:rPr>
            </w:pPr>
          </w:p>
          <w:p w:rsidR="00D074CC" w:rsidRPr="003803A0" w:rsidRDefault="00D074CC" w:rsidP="009252EC">
            <w:pPr>
              <w:keepNext/>
              <w:ind w:left="-108"/>
              <w:rPr>
                <w:rFonts w:ascii="Arial Narrow" w:hAnsi="Arial Narrow" w:cs="Arial"/>
                <w:sz w:val="18"/>
                <w:szCs w:val="18"/>
              </w:rPr>
            </w:pPr>
            <w:r w:rsidRPr="00D569FD">
              <w:rPr>
                <w:rFonts w:ascii="Arial Narrow" w:hAnsi="Arial Narrow" w:cs="Arial"/>
                <w:sz w:val="18"/>
                <w:szCs w:val="18"/>
              </w:rPr>
              <w:t xml:space="preserve">fremanezumab 225 mg/1.5 mL injection, 1.5 mL syringe </w:t>
            </w:r>
          </w:p>
        </w:tc>
        <w:tc>
          <w:tcPr>
            <w:tcW w:w="850" w:type="dxa"/>
          </w:tcPr>
          <w:p w:rsidR="00D074CC" w:rsidRDefault="00D074CC" w:rsidP="00D074CC">
            <w:pPr>
              <w:keepNext/>
              <w:ind w:left="-108"/>
              <w:jc w:val="center"/>
              <w:rPr>
                <w:rFonts w:ascii="Arial Narrow" w:hAnsi="Arial Narrow" w:cs="Arial"/>
                <w:sz w:val="18"/>
                <w:szCs w:val="18"/>
              </w:rPr>
            </w:pPr>
          </w:p>
          <w:p w:rsidR="00D074CC" w:rsidRDefault="00D074CC" w:rsidP="00D074CC">
            <w:pPr>
              <w:keepNext/>
              <w:ind w:left="-108"/>
              <w:jc w:val="center"/>
              <w:rPr>
                <w:rFonts w:ascii="Arial Narrow" w:hAnsi="Arial Narrow" w:cs="Arial"/>
                <w:sz w:val="18"/>
                <w:szCs w:val="18"/>
              </w:rPr>
            </w:pPr>
          </w:p>
          <w:p w:rsidR="00D074CC" w:rsidRPr="009A610D" w:rsidRDefault="00D074CC" w:rsidP="00D074CC">
            <w:pPr>
              <w:keepNext/>
              <w:ind w:left="-108"/>
              <w:jc w:val="center"/>
              <w:rPr>
                <w:rFonts w:ascii="Arial Narrow" w:hAnsi="Arial Narrow" w:cs="Arial"/>
                <w:sz w:val="18"/>
                <w:szCs w:val="18"/>
              </w:rPr>
            </w:pPr>
            <w:r>
              <w:rPr>
                <w:rFonts w:ascii="Arial Narrow" w:hAnsi="Arial Narrow" w:cs="Arial"/>
                <w:sz w:val="18"/>
                <w:szCs w:val="18"/>
              </w:rPr>
              <w:t>NEW</w:t>
            </w:r>
          </w:p>
        </w:tc>
        <w:tc>
          <w:tcPr>
            <w:tcW w:w="709" w:type="dxa"/>
          </w:tcPr>
          <w:p w:rsidR="00D074CC" w:rsidRDefault="00D074CC" w:rsidP="00D074CC">
            <w:pPr>
              <w:keepNext/>
              <w:jc w:val="center"/>
              <w:rPr>
                <w:rFonts w:ascii="Arial Narrow" w:hAnsi="Arial Narrow" w:cs="Arial"/>
                <w:sz w:val="18"/>
                <w:szCs w:val="18"/>
              </w:rPr>
            </w:pPr>
          </w:p>
          <w:p w:rsidR="00D074CC" w:rsidRDefault="00D074CC" w:rsidP="00D074CC">
            <w:pPr>
              <w:keepNext/>
              <w:ind w:left="-108"/>
              <w:jc w:val="center"/>
              <w:rPr>
                <w:rFonts w:ascii="Arial Narrow" w:hAnsi="Arial Narrow" w:cs="Arial"/>
                <w:sz w:val="18"/>
                <w:szCs w:val="18"/>
              </w:rPr>
            </w:pPr>
          </w:p>
          <w:p w:rsidR="00D074CC" w:rsidRPr="009A610D" w:rsidRDefault="00D074CC" w:rsidP="00D074CC">
            <w:pPr>
              <w:keepNext/>
              <w:jc w:val="center"/>
              <w:rPr>
                <w:rFonts w:ascii="Arial Narrow" w:hAnsi="Arial Narrow" w:cs="Arial"/>
                <w:sz w:val="18"/>
                <w:szCs w:val="18"/>
              </w:rPr>
            </w:pPr>
            <w:r w:rsidRPr="009A610D">
              <w:rPr>
                <w:rFonts w:ascii="Arial Narrow" w:hAnsi="Arial Narrow" w:cs="Arial"/>
                <w:sz w:val="18"/>
                <w:szCs w:val="18"/>
              </w:rPr>
              <w:t>1</w:t>
            </w:r>
          </w:p>
        </w:tc>
        <w:tc>
          <w:tcPr>
            <w:tcW w:w="709" w:type="dxa"/>
          </w:tcPr>
          <w:p w:rsidR="00D074CC" w:rsidRDefault="00D074CC" w:rsidP="00D074CC">
            <w:pPr>
              <w:keepNext/>
              <w:ind w:left="-108"/>
              <w:jc w:val="center"/>
              <w:rPr>
                <w:rFonts w:ascii="Arial Narrow" w:hAnsi="Arial Narrow" w:cs="Arial"/>
                <w:sz w:val="18"/>
                <w:szCs w:val="18"/>
              </w:rPr>
            </w:pPr>
          </w:p>
          <w:p w:rsidR="00D074CC" w:rsidRDefault="00D074CC" w:rsidP="00D074CC">
            <w:pPr>
              <w:keepNext/>
              <w:rPr>
                <w:rFonts w:ascii="Arial Narrow" w:hAnsi="Arial Narrow" w:cs="Arial"/>
                <w:sz w:val="18"/>
                <w:szCs w:val="18"/>
              </w:rPr>
            </w:pPr>
          </w:p>
          <w:p w:rsidR="00D074CC" w:rsidRPr="009A610D" w:rsidRDefault="00D074CC" w:rsidP="00D074CC">
            <w:pPr>
              <w:keepNext/>
              <w:ind w:left="-108"/>
              <w:jc w:val="center"/>
              <w:rPr>
                <w:rFonts w:ascii="Arial Narrow" w:hAnsi="Arial Narrow" w:cs="Arial"/>
                <w:sz w:val="18"/>
                <w:szCs w:val="18"/>
              </w:rPr>
            </w:pPr>
            <w:r>
              <w:rPr>
                <w:rFonts w:ascii="Arial Narrow" w:hAnsi="Arial Narrow" w:cs="Arial"/>
                <w:sz w:val="18"/>
                <w:szCs w:val="18"/>
              </w:rPr>
              <w:t>1</w:t>
            </w:r>
          </w:p>
        </w:tc>
        <w:tc>
          <w:tcPr>
            <w:tcW w:w="708" w:type="dxa"/>
          </w:tcPr>
          <w:p w:rsidR="00D074CC" w:rsidRPr="009A610D" w:rsidRDefault="00D074CC" w:rsidP="00D074CC">
            <w:pPr>
              <w:keepNext/>
              <w:ind w:left="-108"/>
              <w:jc w:val="center"/>
              <w:rPr>
                <w:rFonts w:ascii="Arial Narrow" w:hAnsi="Arial Narrow" w:cs="Arial"/>
                <w:sz w:val="18"/>
                <w:szCs w:val="18"/>
              </w:rPr>
            </w:pPr>
          </w:p>
          <w:p w:rsidR="00D074CC" w:rsidRDefault="00D074CC" w:rsidP="00D074CC">
            <w:pPr>
              <w:keepNext/>
              <w:ind w:left="-108"/>
              <w:jc w:val="center"/>
              <w:rPr>
                <w:rFonts w:ascii="Arial Narrow" w:hAnsi="Arial Narrow" w:cs="Arial"/>
                <w:sz w:val="18"/>
                <w:szCs w:val="18"/>
              </w:rPr>
            </w:pPr>
          </w:p>
          <w:p w:rsidR="00D074CC" w:rsidRPr="009A610D" w:rsidRDefault="00D074CC" w:rsidP="00D074CC">
            <w:pPr>
              <w:keepNext/>
              <w:ind w:left="-108"/>
              <w:jc w:val="center"/>
              <w:rPr>
                <w:rFonts w:ascii="Arial Narrow" w:hAnsi="Arial Narrow" w:cs="Arial"/>
                <w:sz w:val="18"/>
                <w:szCs w:val="18"/>
              </w:rPr>
            </w:pPr>
            <w:r>
              <w:rPr>
                <w:rFonts w:ascii="Arial Narrow" w:hAnsi="Arial Narrow" w:cs="Arial"/>
                <w:sz w:val="18"/>
                <w:szCs w:val="18"/>
              </w:rPr>
              <w:t>2</w:t>
            </w:r>
          </w:p>
          <w:p w:rsidR="00D074CC" w:rsidRPr="009A610D" w:rsidRDefault="00D074CC" w:rsidP="00D074CC">
            <w:pPr>
              <w:keepNext/>
              <w:rPr>
                <w:rFonts w:ascii="Arial Narrow" w:hAnsi="Arial Narrow" w:cs="Arial"/>
                <w:sz w:val="18"/>
                <w:szCs w:val="18"/>
              </w:rPr>
            </w:pPr>
          </w:p>
        </w:tc>
        <w:tc>
          <w:tcPr>
            <w:tcW w:w="993" w:type="dxa"/>
          </w:tcPr>
          <w:p w:rsidR="00D074CC" w:rsidRDefault="00D074CC" w:rsidP="00D074CC">
            <w:pPr>
              <w:keepNext/>
              <w:rPr>
                <w:rFonts w:ascii="Arial Narrow" w:hAnsi="Arial Narrow" w:cs="Arial"/>
                <w:sz w:val="18"/>
                <w:szCs w:val="18"/>
              </w:rPr>
            </w:pPr>
          </w:p>
          <w:p w:rsidR="00D074CC" w:rsidRDefault="00D074CC" w:rsidP="00D074CC">
            <w:pPr>
              <w:keepNext/>
              <w:rPr>
                <w:rFonts w:ascii="Arial Narrow" w:hAnsi="Arial Narrow" w:cs="Arial"/>
                <w:sz w:val="18"/>
                <w:szCs w:val="18"/>
              </w:rPr>
            </w:pPr>
          </w:p>
          <w:p w:rsidR="00D074CC" w:rsidRPr="00D22F1A" w:rsidRDefault="00D074CC" w:rsidP="009252EC">
            <w:pPr>
              <w:keepNext/>
              <w:rPr>
                <w:rFonts w:ascii="Arial Narrow" w:hAnsi="Arial Narrow" w:cs="Arial"/>
                <w:sz w:val="18"/>
                <w:szCs w:val="18"/>
              </w:rPr>
            </w:pPr>
            <w:r>
              <w:rPr>
                <w:rFonts w:ascii="Arial Narrow" w:hAnsi="Arial Narrow" w:cs="Arial"/>
                <w:sz w:val="18"/>
                <w:szCs w:val="18"/>
              </w:rPr>
              <w:t>Ajovy</w:t>
            </w:r>
            <w:r w:rsidRPr="009A610D">
              <w:rPr>
                <w:rFonts w:ascii="Arial Narrow" w:hAnsi="Arial Narrow" w:cs="Arial"/>
                <w:sz w:val="18"/>
                <w:szCs w:val="18"/>
                <w:vertAlign w:val="superscript"/>
              </w:rPr>
              <w:t>®</w:t>
            </w:r>
            <w:r>
              <w:rPr>
                <w:rFonts w:ascii="Arial Narrow" w:hAnsi="Arial Narrow" w:cs="Arial"/>
                <w:sz w:val="18"/>
                <w:szCs w:val="18"/>
                <w:vertAlign w:val="superscript"/>
              </w:rPr>
              <w:t xml:space="preserve"> </w:t>
            </w:r>
          </w:p>
        </w:tc>
        <w:tc>
          <w:tcPr>
            <w:tcW w:w="1275" w:type="dxa"/>
          </w:tcPr>
          <w:p w:rsidR="00D074CC" w:rsidRDefault="00D074CC" w:rsidP="00D074CC">
            <w:pPr>
              <w:keepNext/>
              <w:rPr>
                <w:rFonts w:ascii="Arial Narrow" w:hAnsi="Arial Narrow" w:cs="Arial"/>
                <w:sz w:val="18"/>
                <w:szCs w:val="18"/>
              </w:rPr>
            </w:pPr>
          </w:p>
          <w:p w:rsidR="00D074CC" w:rsidRDefault="00D074CC" w:rsidP="00D074CC">
            <w:pPr>
              <w:keepNext/>
              <w:rPr>
                <w:rFonts w:ascii="Arial Narrow" w:hAnsi="Arial Narrow" w:cs="Arial"/>
                <w:sz w:val="18"/>
                <w:szCs w:val="18"/>
              </w:rPr>
            </w:pPr>
          </w:p>
          <w:p w:rsidR="00D074CC" w:rsidRPr="009A610D" w:rsidRDefault="00D074CC" w:rsidP="00D074CC">
            <w:pPr>
              <w:keepNext/>
              <w:rPr>
                <w:rFonts w:ascii="Arial Narrow" w:hAnsi="Arial Narrow" w:cs="Arial"/>
                <w:sz w:val="18"/>
                <w:szCs w:val="18"/>
              </w:rPr>
            </w:pPr>
            <w:r>
              <w:rPr>
                <w:rFonts w:ascii="Arial Narrow" w:hAnsi="Arial Narrow" w:cs="Arial"/>
                <w:sz w:val="18"/>
                <w:szCs w:val="18"/>
              </w:rPr>
              <w:t>Teva</w:t>
            </w:r>
            <w:r w:rsidRPr="009A610D">
              <w:rPr>
                <w:rFonts w:ascii="Arial Narrow" w:hAnsi="Arial Narrow" w:cs="Arial"/>
                <w:sz w:val="18"/>
                <w:szCs w:val="18"/>
              </w:rPr>
              <w:t xml:space="preserve"> Pty Ltd</w:t>
            </w:r>
          </w:p>
        </w:tc>
      </w:tr>
    </w:tbl>
    <w:p w:rsidR="00D074CC" w:rsidRDefault="00D074CC" w:rsidP="00D074C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9252EC" w:rsidRPr="00120A12" w:rsidTr="009252EC">
        <w:tc>
          <w:tcPr>
            <w:tcW w:w="5000" w:type="pct"/>
            <w:tcBorders>
              <w:top w:val="single" w:sz="4" w:space="0" w:color="auto"/>
              <w:left w:val="single" w:sz="4" w:space="0" w:color="auto"/>
              <w:bottom w:val="single" w:sz="4" w:space="0" w:color="auto"/>
              <w:right w:val="single" w:sz="4" w:space="0" w:color="auto"/>
            </w:tcBorders>
          </w:tcPr>
          <w:p w:rsidR="009252EC" w:rsidRPr="00120A12" w:rsidRDefault="009252EC" w:rsidP="00D074CC">
            <w:pPr>
              <w:rPr>
                <w:rFonts w:ascii="Arial Narrow" w:hAnsi="Arial Narrow" w:cs="Arial"/>
                <w:sz w:val="18"/>
                <w:szCs w:val="18"/>
              </w:rPr>
            </w:pPr>
            <w:r w:rsidRPr="0020649C">
              <w:rPr>
                <w:rFonts w:ascii="Arial Narrow" w:hAnsi="Arial Narrow" w:cs="Arial"/>
                <w:b/>
                <w:sz w:val="18"/>
                <w:szCs w:val="18"/>
              </w:rPr>
              <w:t>Category / Program:</w:t>
            </w:r>
            <w:r w:rsidR="00566F8E">
              <w:rPr>
                <w:rFonts w:ascii="Arial Narrow" w:hAnsi="Arial Narrow" w:cs="Arial"/>
                <w:b/>
                <w:sz w:val="18"/>
                <w:szCs w:val="18"/>
              </w:rPr>
              <w:t xml:space="preserve"> </w:t>
            </w:r>
            <w:r w:rsidRPr="003D201F">
              <w:rPr>
                <w:rFonts w:ascii="Arial Narrow" w:hAnsi="Arial Narrow" w:cs="Arial"/>
                <w:sz w:val="18"/>
                <w:szCs w:val="18"/>
              </w:rPr>
              <w:t>GENERAL – General Schedule (Code GE)</w:t>
            </w:r>
          </w:p>
        </w:tc>
      </w:tr>
      <w:tr w:rsidR="009252EC" w:rsidRPr="00120A12" w:rsidTr="009252EC">
        <w:trPr>
          <w:trHeight w:val="240"/>
        </w:trPr>
        <w:tc>
          <w:tcPr>
            <w:tcW w:w="5000" w:type="pct"/>
            <w:tcBorders>
              <w:top w:val="single" w:sz="4" w:space="0" w:color="auto"/>
              <w:left w:val="single" w:sz="4" w:space="0" w:color="auto"/>
              <w:bottom w:val="single" w:sz="4" w:space="0" w:color="auto"/>
              <w:right w:val="single" w:sz="4" w:space="0" w:color="auto"/>
            </w:tcBorders>
          </w:tcPr>
          <w:p w:rsidR="009252EC" w:rsidRPr="00772067" w:rsidRDefault="009252EC" w:rsidP="00D074CC">
            <w:pPr>
              <w:rPr>
                <w:rFonts w:ascii="Arial Narrow" w:hAnsi="Arial Narrow" w:cs="Arial"/>
                <w:b/>
                <w:sz w:val="18"/>
                <w:szCs w:val="18"/>
              </w:rPr>
            </w:pPr>
            <w:r w:rsidRPr="00120A12">
              <w:rPr>
                <w:rFonts w:ascii="Arial Narrow" w:hAnsi="Arial Narrow" w:cs="Arial"/>
                <w:b/>
                <w:sz w:val="18"/>
                <w:szCs w:val="18"/>
              </w:rPr>
              <w:t>Prescriber type:</w:t>
            </w:r>
            <w:r w:rsidR="00566F8E">
              <w:rPr>
                <w:rFonts w:ascii="Arial Narrow" w:hAnsi="Arial Narrow" w:cs="Arial"/>
                <w:b/>
                <w:sz w:val="18"/>
                <w:szCs w:val="18"/>
              </w:rPr>
              <w:t xml:space="preserve"> </w:t>
            </w:r>
            <w:r w:rsidRPr="00120A12">
              <w:rPr>
                <w:rFonts w:ascii="Arial Narrow" w:hAnsi="Arial Narrow" w:cs="Arial"/>
                <w:sz w:val="18"/>
                <w:szCs w:val="18"/>
              </w:rPr>
              <w:fldChar w:fldCharType="begin">
                <w:ffData>
                  <w:name w:val="Check1"/>
                  <w:enabled/>
                  <w:calcOnExit w:val="0"/>
                  <w:checkBox>
                    <w:sizeAuto/>
                    <w:default w:val="0"/>
                  </w:checkBox>
                </w:ffData>
              </w:fldChar>
            </w:r>
            <w:r w:rsidRPr="00120A12">
              <w:rPr>
                <w:rFonts w:ascii="Arial Narrow" w:hAnsi="Arial Narrow" w:cs="Arial"/>
                <w:sz w:val="18"/>
                <w:szCs w:val="18"/>
              </w:rPr>
              <w:instrText xml:space="preserve"> FORMCHECKBOX </w:instrText>
            </w:r>
            <w:r w:rsidR="008A5CBB">
              <w:rPr>
                <w:rFonts w:ascii="Arial Narrow" w:hAnsi="Arial Narrow" w:cs="Arial"/>
                <w:sz w:val="18"/>
                <w:szCs w:val="18"/>
              </w:rPr>
            </w:r>
            <w:r w:rsidR="008A5CBB">
              <w:rPr>
                <w:rFonts w:ascii="Arial Narrow" w:hAnsi="Arial Narrow" w:cs="Arial"/>
                <w:sz w:val="18"/>
                <w:szCs w:val="18"/>
              </w:rPr>
              <w:fldChar w:fldCharType="separate"/>
            </w:r>
            <w:r w:rsidRPr="00120A12">
              <w:rPr>
                <w:rFonts w:ascii="Arial Narrow" w:hAnsi="Arial Narrow" w:cs="Arial"/>
                <w:sz w:val="18"/>
                <w:szCs w:val="18"/>
              </w:rPr>
              <w:fldChar w:fldCharType="end"/>
            </w:r>
            <w:r w:rsidRPr="00120A12">
              <w:rPr>
                <w:rFonts w:ascii="Arial Narrow" w:hAnsi="Arial Narrow" w:cs="Arial"/>
                <w:sz w:val="18"/>
                <w:szCs w:val="18"/>
              </w:rPr>
              <w:t>Dental</w:t>
            </w:r>
            <w:r w:rsidR="00566F8E">
              <w:rPr>
                <w:rFonts w:ascii="Arial Narrow" w:hAnsi="Arial Narrow" w:cs="Arial"/>
                <w:sz w:val="18"/>
                <w:szCs w:val="18"/>
              </w:rPr>
              <w:t xml:space="preserve"> </w:t>
            </w:r>
            <w:r>
              <w:rPr>
                <w:rFonts w:ascii="Arial Narrow" w:hAnsi="Arial Narrow" w:cs="Arial"/>
                <w:sz w:val="18"/>
                <w:szCs w:val="18"/>
              </w:rPr>
              <w:fldChar w:fldCharType="begin">
                <w:ffData>
                  <w:name w:val=""/>
                  <w:enabled/>
                  <w:calcOnExit w:val="0"/>
                  <w:checkBox>
                    <w:sizeAuto/>
                    <w:default w:val="1"/>
                  </w:checkBox>
                </w:ffData>
              </w:fldChar>
            </w:r>
            <w:r>
              <w:rPr>
                <w:rFonts w:ascii="Arial Narrow" w:hAnsi="Arial Narrow" w:cs="Arial"/>
                <w:sz w:val="18"/>
                <w:szCs w:val="18"/>
              </w:rPr>
              <w:instrText xml:space="preserve"> FORMCHECKBOX </w:instrText>
            </w:r>
            <w:r w:rsidR="008A5CBB">
              <w:rPr>
                <w:rFonts w:ascii="Arial Narrow" w:hAnsi="Arial Narrow" w:cs="Arial"/>
                <w:sz w:val="18"/>
                <w:szCs w:val="18"/>
              </w:rPr>
            </w:r>
            <w:r w:rsidR="008A5CBB">
              <w:rPr>
                <w:rFonts w:ascii="Arial Narrow" w:hAnsi="Arial Narrow" w:cs="Arial"/>
                <w:sz w:val="18"/>
                <w:szCs w:val="18"/>
              </w:rPr>
              <w:fldChar w:fldCharType="separate"/>
            </w:r>
            <w:r>
              <w:rPr>
                <w:rFonts w:ascii="Arial Narrow" w:hAnsi="Arial Narrow" w:cs="Arial"/>
                <w:sz w:val="18"/>
                <w:szCs w:val="18"/>
              </w:rPr>
              <w:fldChar w:fldCharType="end"/>
            </w:r>
            <w:r w:rsidR="00566F8E">
              <w:rPr>
                <w:rFonts w:ascii="Arial Narrow" w:hAnsi="Arial Narrow" w:cs="Arial"/>
                <w:sz w:val="18"/>
                <w:szCs w:val="18"/>
              </w:rPr>
              <w:t xml:space="preserve"> </w:t>
            </w:r>
            <w:r w:rsidRPr="00120A12">
              <w:rPr>
                <w:rFonts w:ascii="Arial Narrow" w:hAnsi="Arial Narrow" w:cs="Arial"/>
                <w:sz w:val="18"/>
                <w:szCs w:val="18"/>
              </w:rPr>
              <w:t>Medical Practitioners</w:t>
            </w:r>
            <w:r w:rsidR="00566F8E">
              <w:rPr>
                <w:rFonts w:ascii="Arial Narrow" w:hAnsi="Arial Narrow" w:cs="Arial"/>
                <w:sz w:val="18"/>
                <w:szCs w:val="18"/>
              </w:rPr>
              <w:t xml:space="preserve"> </w:t>
            </w:r>
            <w:r w:rsidRPr="00120A12">
              <w:rPr>
                <w:rFonts w:ascii="Arial Narrow" w:hAnsi="Arial Narrow" w:cs="Arial"/>
                <w:sz w:val="18"/>
                <w:szCs w:val="18"/>
              </w:rPr>
              <w:fldChar w:fldCharType="begin">
                <w:ffData>
                  <w:name w:val="Check3"/>
                  <w:enabled/>
                  <w:calcOnExit w:val="0"/>
                  <w:checkBox>
                    <w:sizeAuto/>
                    <w:default w:val="0"/>
                  </w:checkBox>
                </w:ffData>
              </w:fldChar>
            </w:r>
            <w:r w:rsidRPr="00120A12">
              <w:rPr>
                <w:rFonts w:ascii="Arial Narrow" w:hAnsi="Arial Narrow" w:cs="Arial"/>
                <w:sz w:val="18"/>
                <w:szCs w:val="18"/>
              </w:rPr>
              <w:instrText xml:space="preserve"> FORMCHECKBOX </w:instrText>
            </w:r>
            <w:r w:rsidR="008A5CBB">
              <w:rPr>
                <w:rFonts w:ascii="Arial Narrow" w:hAnsi="Arial Narrow" w:cs="Arial"/>
                <w:sz w:val="18"/>
                <w:szCs w:val="18"/>
              </w:rPr>
            </w:r>
            <w:r w:rsidR="008A5CBB">
              <w:rPr>
                <w:rFonts w:ascii="Arial Narrow" w:hAnsi="Arial Narrow" w:cs="Arial"/>
                <w:sz w:val="18"/>
                <w:szCs w:val="18"/>
              </w:rPr>
              <w:fldChar w:fldCharType="separate"/>
            </w:r>
            <w:r w:rsidRPr="00120A12">
              <w:rPr>
                <w:rFonts w:ascii="Arial Narrow" w:hAnsi="Arial Narrow" w:cs="Arial"/>
                <w:sz w:val="18"/>
                <w:szCs w:val="18"/>
              </w:rPr>
              <w:fldChar w:fldCharType="end"/>
            </w:r>
            <w:r w:rsidRPr="00120A12">
              <w:rPr>
                <w:rFonts w:ascii="Arial Narrow" w:hAnsi="Arial Narrow" w:cs="Arial"/>
                <w:sz w:val="18"/>
                <w:szCs w:val="18"/>
              </w:rPr>
              <w:t>Nurse practitioners</w:t>
            </w:r>
            <w:r w:rsidR="00566F8E">
              <w:rPr>
                <w:rFonts w:ascii="Arial Narrow" w:hAnsi="Arial Narrow" w:cs="Arial"/>
                <w:sz w:val="18"/>
                <w:szCs w:val="18"/>
              </w:rPr>
              <w:t xml:space="preserve"> </w:t>
            </w:r>
            <w:r w:rsidRPr="00120A12">
              <w:rPr>
                <w:rFonts w:ascii="Arial Narrow" w:hAnsi="Arial Narrow" w:cs="Arial"/>
                <w:sz w:val="18"/>
                <w:szCs w:val="18"/>
              </w:rPr>
              <w:fldChar w:fldCharType="begin">
                <w:ffData>
                  <w:name w:val=""/>
                  <w:enabled/>
                  <w:calcOnExit w:val="0"/>
                  <w:checkBox>
                    <w:sizeAuto/>
                    <w:default w:val="0"/>
                  </w:checkBox>
                </w:ffData>
              </w:fldChar>
            </w:r>
            <w:r w:rsidRPr="00120A12">
              <w:rPr>
                <w:rFonts w:ascii="Arial Narrow" w:hAnsi="Arial Narrow" w:cs="Arial"/>
                <w:sz w:val="18"/>
                <w:szCs w:val="18"/>
              </w:rPr>
              <w:instrText xml:space="preserve"> FORMCHECKBOX </w:instrText>
            </w:r>
            <w:r w:rsidR="008A5CBB">
              <w:rPr>
                <w:rFonts w:ascii="Arial Narrow" w:hAnsi="Arial Narrow" w:cs="Arial"/>
                <w:sz w:val="18"/>
                <w:szCs w:val="18"/>
              </w:rPr>
            </w:r>
            <w:r w:rsidR="008A5CBB">
              <w:rPr>
                <w:rFonts w:ascii="Arial Narrow" w:hAnsi="Arial Narrow" w:cs="Arial"/>
                <w:sz w:val="18"/>
                <w:szCs w:val="18"/>
              </w:rPr>
              <w:fldChar w:fldCharType="separate"/>
            </w:r>
            <w:r w:rsidRPr="00120A12">
              <w:rPr>
                <w:rFonts w:ascii="Arial Narrow" w:hAnsi="Arial Narrow" w:cs="Arial"/>
                <w:sz w:val="18"/>
                <w:szCs w:val="18"/>
              </w:rPr>
              <w:fldChar w:fldCharType="end"/>
            </w:r>
            <w:r w:rsidRPr="00120A12">
              <w:rPr>
                <w:rFonts w:ascii="Arial Narrow" w:hAnsi="Arial Narrow" w:cs="Arial"/>
                <w:sz w:val="18"/>
                <w:szCs w:val="18"/>
              </w:rPr>
              <w:t>Optometrists</w:t>
            </w:r>
            <w:r w:rsidR="00566F8E">
              <w:rPr>
                <w:rFonts w:ascii="Arial Narrow" w:hAnsi="Arial Narrow" w:cs="Arial"/>
                <w:sz w:val="18"/>
                <w:szCs w:val="18"/>
              </w:rPr>
              <w:t xml:space="preserve"> </w:t>
            </w:r>
            <w:r w:rsidRPr="00120A12">
              <w:rPr>
                <w:rFonts w:ascii="Arial Narrow" w:hAnsi="Arial Narrow" w:cs="Arial"/>
                <w:sz w:val="18"/>
                <w:szCs w:val="18"/>
              </w:rPr>
              <w:fldChar w:fldCharType="begin">
                <w:ffData>
                  <w:name w:val="Check5"/>
                  <w:enabled/>
                  <w:calcOnExit w:val="0"/>
                  <w:checkBox>
                    <w:sizeAuto/>
                    <w:default w:val="0"/>
                  </w:checkBox>
                </w:ffData>
              </w:fldChar>
            </w:r>
            <w:r w:rsidRPr="00120A12">
              <w:rPr>
                <w:rFonts w:ascii="Arial Narrow" w:hAnsi="Arial Narrow" w:cs="Arial"/>
                <w:sz w:val="18"/>
                <w:szCs w:val="18"/>
              </w:rPr>
              <w:instrText xml:space="preserve"> FORMCHECKBOX </w:instrText>
            </w:r>
            <w:r w:rsidR="008A5CBB">
              <w:rPr>
                <w:rFonts w:ascii="Arial Narrow" w:hAnsi="Arial Narrow" w:cs="Arial"/>
                <w:sz w:val="18"/>
                <w:szCs w:val="18"/>
              </w:rPr>
            </w:r>
            <w:r w:rsidR="008A5CBB">
              <w:rPr>
                <w:rFonts w:ascii="Arial Narrow" w:hAnsi="Arial Narrow" w:cs="Arial"/>
                <w:sz w:val="18"/>
                <w:szCs w:val="18"/>
              </w:rPr>
              <w:fldChar w:fldCharType="separate"/>
            </w:r>
            <w:r w:rsidRPr="00120A12">
              <w:rPr>
                <w:rFonts w:ascii="Arial Narrow" w:hAnsi="Arial Narrow" w:cs="Arial"/>
                <w:sz w:val="18"/>
                <w:szCs w:val="18"/>
              </w:rPr>
              <w:fldChar w:fldCharType="end"/>
            </w:r>
            <w:r w:rsidRPr="00120A12">
              <w:rPr>
                <w:rFonts w:ascii="Arial Narrow" w:hAnsi="Arial Narrow" w:cs="Arial"/>
                <w:sz w:val="18"/>
                <w:szCs w:val="18"/>
              </w:rPr>
              <w:t>Midwives</w:t>
            </w:r>
          </w:p>
        </w:tc>
      </w:tr>
      <w:tr w:rsidR="009252EC" w:rsidRPr="00120A12" w:rsidTr="009252EC">
        <w:trPr>
          <w:trHeight w:val="270"/>
        </w:trPr>
        <w:tc>
          <w:tcPr>
            <w:tcW w:w="5000" w:type="pct"/>
            <w:tcBorders>
              <w:top w:val="single" w:sz="4" w:space="0" w:color="auto"/>
              <w:left w:val="single" w:sz="4" w:space="0" w:color="auto"/>
              <w:bottom w:val="single" w:sz="4" w:space="0" w:color="auto"/>
              <w:right w:val="single" w:sz="4" w:space="0" w:color="auto"/>
            </w:tcBorders>
          </w:tcPr>
          <w:p w:rsidR="009252EC" w:rsidRPr="009252EC" w:rsidRDefault="009252EC" w:rsidP="00D074CC">
            <w:pPr>
              <w:rPr>
                <w:rFonts w:ascii="Arial Narrow" w:hAnsi="Arial Narrow" w:cs="Arial"/>
                <w:b/>
                <w:sz w:val="18"/>
                <w:szCs w:val="18"/>
              </w:rPr>
            </w:pPr>
            <w:r w:rsidRPr="0020649C">
              <w:rPr>
                <w:rFonts w:ascii="Arial Narrow" w:hAnsi="Arial Narrow" w:cs="Arial"/>
                <w:b/>
                <w:sz w:val="18"/>
                <w:szCs w:val="18"/>
              </w:rPr>
              <w:t>Restriction Level / Method:</w:t>
            </w:r>
            <w:r w:rsidR="00566F8E">
              <w:rPr>
                <w:rFonts w:ascii="Arial Narrow" w:hAnsi="Arial Narrow" w:cs="Arial"/>
                <w:b/>
                <w:sz w:val="18"/>
                <w:szCs w:val="18"/>
              </w:rPr>
              <w:t xml:space="preserve"> </w:t>
            </w:r>
            <w:r>
              <w:rPr>
                <w:rFonts w:ascii="Arial Narrow" w:hAnsi="Arial Narrow" w:cs="Arial"/>
                <w:sz w:val="18"/>
                <w:szCs w:val="18"/>
              </w:rPr>
              <w:fldChar w:fldCharType="begin">
                <w:ffData>
                  <w:name w:val=""/>
                  <w:enabled/>
                  <w:calcOnExit w:val="0"/>
                  <w:checkBox>
                    <w:sizeAuto/>
                    <w:default w:val="1"/>
                  </w:checkBox>
                </w:ffData>
              </w:fldChar>
            </w:r>
            <w:r>
              <w:rPr>
                <w:rFonts w:ascii="Arial Narrow" w:hAnsi="Arial Narrow" w:cs="Arial"/>
                <w:sz w:val="18"/>
                <w:szCs w:val="18"/>
              </w:rPr>
              <w:instrText xml:space="preserve"> FORMCHECKBOX </w:instrText>
            </w:r>
            <w:r w:rsidR="008A5CBB">
              <w:rPr>
                <w:rFonts w:ascii="Arial Narrow" w:hAnsi="Arial Narrow" w:cs="Arial"/>
                <w:sz w:val="18"/>
                <w:szCs w:val="18"/>
              </w:rPr>
            </w:r>
            <w:r w:rsidR="008A5CBB">
              <w:rPr>
                <w:rFonts w:ascii="Arial Narrow" w:hAnsi="Arial Narrow" w:cs="Arial"/>
                <w:sz w:val="18"/>
                <w:szCs w:val="18"/>
              </w:rPr>
              <w:fldChar w:fldCharType="separate"/>
            </w:r>
            <w:r>
              <w:rPr>
                <w:rFonts w:ascii="Arial Narrow" w:hAnsi="Arial Narrow" w:cs="Arial"/>
                <w:sz w:val="18"/>
                <w:szCs w:val="18"/>
              </w:rPr>
              <w:fldChar w:fldCharType="end"/>
            </w:r>
            <w:r w:rsidR="00566F8E">
              <w:rPr>
                <w:rFonts w:ascii="Arial Narrow" w:hAnsi="Arial Narrow" w:cs="Arial"/>
                <w:sz w:val="18"/>
                <w:szCs w:val="18"/>
              </w:rPr>
              <w:t xml:space="preserve"> </w:t>
            </w:r>
            <w:r>
              <w:rPr>
                <w:rFonts w:ascii="Arial Narrow" w:hAnsi="Arial Narrow" w:cs="Arial"/>
                <w:sz w:val="18"/>
                <w:szCs w:val="18"/>
              </w:rPr>
              <w:t xml:space="preserve">Authority Required - </w:t>
            </w:r>
            <w:r w:rsidRPr="00120A12">
              <w:rPr>
                <w:rFonts w:ascii="Arial Narrow" w:hAnsi="Arial Narrow" w:cs="Arial"/>
                <w:sz w:val="18"/>
                <w:szCs w:val="18"/>
              </w:rPr>
              <w:t>Streamlined</w:t>
            </w:r>
          </w:p>
        </w:tc>
      </w:tr>
      <w:tr w:rsidR="009252EC" w:rsidRPr="00120A12" w:rsidTr="009252EC">
        <w:tc>
          <w:tcPr>
            <w:tcW w:w="5000" w:type="pct"/>
            <w:tcBorders>
              <w:bottom w:val="nil"/>
            </w:tcBorders>
            <w:vAlign w:val="center"/>
            <w:hideMark/>
          </w:tcPr>
          <w:p w:rsidR="009252EC" w:rsidRPr="00120A12" w:rsidRDefault="009252EC" w:rsidP="00D074CC">
            <w:pPr>
              <w:rPr>
                <w:rFonts w:ascii="Arial Narrow" w:hAnsi="Arial Narrow"/>
                <w:color w:val="333333"/>
                <w:sz w:val="18"/>
                <w:szCs w:val="18"/>
              </w:rPr>
            </w:pPr>
            <w:r w:rsidRPr="00120A12">
              <w:rPr>
                <w:rFonts w:ascii="Arial Narrow" w:hAnsi="Arial Narrow"/>
                <w:b/>
                <w:bCs/>
                <w:color w:val="333333"/>
                <w:sz w:val="18"/>
                <w:szCs w:val="18"/>
              </w:rPr>
              <w:t>Indication:</w:t>
            </w:r>
            <w:r>
              <w:rPr>
                <w:rFonts w:ascii="Arial Narrow" w:hAnsi="Arial Narrow"/>
                <w:color w:val="333333"/>
                <w:sz w:val="18"/>
                <w:szCs w:val="18"/>
              </w:rPr>
              <w:t xml:space="preserve"> Chronic migraine</w:t>
            </w:r>
          </w:p>
        </w:tc>
      </w:tr>
      <w:tr w:rsidR="009252EC" w:rsidRPr="00120A12" w:rsidTr="009252EC">
        <w:tc>
          <w:tcPr>
            <w:tcW w:w="5000" w:type="pct"/>
            <w:tcBorders>
              <w:top w:val="nil"/>
              <w:bottom w:val="nil"/>
            </w:tcBorders>
            <w:vAlign w:val="center"/>
            <w:hideMark/>
          </w:tcPr>
          <w:p w:rsidR="009252EC" w:rsidRPr="00120A12" w:rsidRDefault="009252EC" w:rsidP="00D074CC">
            <w:pPr>
              <w:rPr>
                <w:rFonts w:ascii="Arial Narrow" w:hAnsi="Arial Narrow"/>
                <w:color w:val="333333"/>
                <w:sz w:val="18"/>
                <w:szCs w:val="18"/>
              </w:rPr>
            </w:pPr>
            <w:r w:rsidRPr="00120A12">
              <w:rPr>
                <w:rFonts w:ascii="Arial Narrow" w:hAnsi="Arial Narrow"/>
                <w:b/>
                <w:bCs/>
                <w:color w:val="333333"/>
                <w:sz w:val="18"/>
                <w:szCs w:val="18"/>
              </w:rPr>
              <w:t>Treatment Phase:</w:t>
            </w:r>
            <w:r>
              <w:rPr>
                <w:rFonts w:ascii="Arial Narrow" w:hAnsi="Arial Narrow"/>
                <w:color w:val="333333"/>
                <w:sz w:val="18"/>
                <w:szCs w:val="18"/>
              </w:rPr>
              <w:t xml:space="preserve"> Initial treatment</w:t>
            </w:r>
          </w:p>
        </w:tc>
      </w:tr>
      <w:tr w:rsidR="009252EC" w:rsidRPr="00120A12" w:rsidTr="009252EC">
        <w:tc>
          <w:tcPr>
            <w:tcW w:w="5000" w:type="pct"/>
            <w:tcBorders>
              <w:top w:val="nil"/>
              <w:bottom w:val="nil"/>
            </w:tcBorders>
            <w:vAlign w:val="center"/>
            <w:hideMark/>
          </w:tcPr>
          <w:p w:rsidR="009252EC" w:rsidRPr="00120A12" w:rsidRDefault="009252EC" w:rsidP="00D074CC">
            <w:pPr>
              <w:rPr>
                <w:rFonts w:ascii="Arial Narrow" w:hAnsi="Arial Narrow"/>
                <w:color w:val="333333"/>
                <w:sz w:val="18"/>
                <w:szCs w:val="18"/>
              </w:rPr>
            </w:pPr>
            <w:r>
              <w:rPr>
                <w:rFonts w:ascii="Arial Narrow" w:hAnsi="Arial Narrow"/>
                <w:b/>
                <w:bCs/>
                <w:color w:val="333333"/>
                <w:sz w:val="18"/>
                <w:szCs w:val="18"/>
              </w:rPr>
              <w:lastRenderedPageBreak/>
              <w:t>Treatment</w:t>
            </w:r>
            <w:r w:rsidRPr="00120A12">
              <w:rPr>
                <w:rFonts w:ascii="Arial Narrow" w:hAnsi="Arial Narrow"/>
                <w:b/>
                <w:bCs/>
                <w:color w:val="333333"/>
                <w:sz w:val="18"/>
                <w:szCs w:val="18"/>
              </w:rPr>
              <w:t xml:space="preserve"> criteria:</w:t>
            </w:r>
          </w:p>
        </w:tc>
      </w:tr>
      <w:tr w:rsidR="009252EC" w:rsidRPr="00120A12" w:rsidTr="009252EC">
        <w:tc>
          <w:tcPr>
            <w:tcW w:w="5000" w:type="pct"/>
            <w:tcBorders>
              <w:top w:val="nil"/>
              <w:bottom w:val="nil"/>
            </w:tcBorders>
            <w:vAlign w:val="center"/>
            <w:hideMark/>
          </w:tcPr>
          <w:p w:rsidR="009252EC" w:rsidRPr="009252EC" w:rsidRDefault="009252EC" w:rsidP="009252EC">
            <w:pPr>
              <w:pStyle w:val="ListParagraph"/>
              <w:numPr>
                <w:ilvl w:val="0"/>
                <w:numId w:val="26"/>
              </w:numPr>
              <w:spacing w:after="0"/>
              <w:rPr>
                <w:rFonts w:ascii="Arial Narrow" w:hAnsi="Arial Narrow"/>
                <w:color w:val="333333"/>
                <w:sz w:val="18"/>
                <w:szCs w:val="18"/>
              </w:rPr>
            </w:pPr>
            <w:r w:rsidRPr="009252EC">
              <w:rPr>
                <w:rFonts w:ascii="Arial Narrow" w:hAnsi="Arial Narrow"/>
                <w:color w:val="333333"/>
                <w:sz w:val="18"/>
                <w:szCs w:val="18"/>
              </w:rPr>
              <w:t>Must be treated by a neurologist</w:t>
            </w:r>
          </w:p>
        </w:tc>
      </w:tr>
      <w:tr w:rsidR="009252EC" w:rsidRPr="00D22F1A" w:rsidTr="009252EC">
        <w:tc>
          <w:tcPr>
            <w:tcW w:w="5000" w:type="pct"/>
            <w:tcBorders>
              <w:top w:val="nil"/>
              <w:bottom w:val="nil"/>
            </w:tcBorders>
            <w:vAlign w:val="center"/>
            <w:hideMark/>
          </w:tcPr>
          <w:p w:rsidR="009252EC" w:rsidRPr="009252EC" w:rsidRDefault="009252EC" w:rsidP="009252EC">
            <w:pPr>
              <w:rPr>
                <w:rFonts w:ascii="Arial Narrow" w:hAnsi="Arial Narrow"/>
                <w:color w:val="333333"/>
                <w:sz w:val="18"/>
                <w:szCs w:val="18"/>
              </w:rPr>
            </w:pPr>
            <w:r w:rsidRPr="009252EC">
              <w:rPr>
                <w:rFonts w:ascii="Arial Narrow" w:hAnsi="Arial Narrow"/>
                <w:b/>
                <w:bCs/>
                <w:color w:val="333333"/>
                <w:sz w:val="18"/>
                <w:szCs w:val="18"/>
              </w:rPr>
              <w:t>Clinical criteria:</w:t>
            </w:r>
          </w:p>
        </w:tc>
      </w:tr>
      <w:tr w:rsidR="009252EC" w:rsidRPr="00D22F1A" w:rsidTr="009252EC">
        <w:tc>
          <w:tcPr>
            <w:tcW w:w="5000" w:type="pct"/>
            <w:tcBorders>
              <w:top w:val="nil"/>
              <w:bottom w:val="nil"/>
            </w:tcBorders>
            <w:vAlign w:val="center"/>
            <w:hideMark/>
          </w:tcPr>
          <w:p w:rsidR="009252EC" w:rsidRPr="009252EC" w:rsidRDefault="009252EC" w:rsidP="009252EC">
            <w:pPr>
              <w:pStyle w:val="ListParagraph"/>
              <w:numPr>
                <w:ilvl w:val="0"/>
                <w:numId w:val="26"/>
              </w:numPr>
              <w:spacing w:after="0"/>
              <w:rPr>
                <w:rFonts w:ascii="Arial Narrow" w:hAnsi="Arial Narrow"/>
                <w:color w:val="333333"/>
                <w:sz w:val="18"/>
                <w:szCs w:val="18"/>
              </w:rPr>
            </w:pPr>
            <w:r w:rsidRPr="009252EC">
              <w:rPr>
                <w:rFonts w:ascii="Arial Narrow" w:hAnsi="Arial Narrow"/>
                <w:color w:val="333333"/>
                <w:sz w:val="18"/>
                <w:szCs w:val="18"/>
              </w:rPr>
              <w:t>Patient must have experienced an average of 15 or more headache days per month, with at least 8 days of migraine, over a period of at least 6 months, prior to commencement of treatment with this medicine for this condition</w:t>
            </w:r>
          </w:p>
        </w:tc>
      </w:tr>
      <w:tr w:rsidR="009252EC" w:rsidRPr="00D22F1A" w:rsidTr="009252EC">
        <w:tc>
          <w:tcPr>
            <w:tcW w:w="5000" w:type="pct"/>
            <w:tcBorders>
              <w:top w:val="nil"/>
              <w:bottom w:val="nil"/>
            </w:tcBorders>
            <w:vAlign w:val="center"/>
            <w:hideMark/>
          </w:tcPr>
          <w:p w:rsidR="009252EC" w:rsidRPr="009252EC" w:rsidRDefault="009252EC" w:rsidP="009252EC">
            <w:pPr>
              <w:pStyle w:val="ListParagraph"/>
              <w:spacing w:after="0"/>
              <w:ind w:left="720" w:firstLine="0"/>
              <w:rPr>
                <w:rFonts w:ascii="Arial Narrow" w:hAnsi="Arial Narrow"/>
                <w:color w:val="333333"/>
                <w:sz w:val="18"/>
                <w:szCs w:val="18"/>
              </w:rPr>
            </w:pPr>
            <w:r w:rsidRPr="009252EC">
              <w:rPr>
                <w:rFonts w:ascii="Arial Narrow" w:hAnsi="Arial Narrow"/>
                <w:b/>
                <w:bCs/>
                <w:color w:val="333333"/>
                <w:sz w:val="18"/>
                <w:szCs w:val="18"/>
              </w:rPr>
              <w:t>AND</w:t>
            </w:r>
          </w:p>
        </w:tc>
      </w:tr>
      <w:tr w:rsidR="009252EC" w:rsidRPr="00D22F1A" w:rsidTr="009252EC">
        <w:tc>
          <w:tcPr>
            <w:tcW w:w="5000" w:type="pct"/>
            <w:tcBorders>
              <w:top w:val="nil"/>
              <w:bottom w:val="nil"/>
            </w:tcBorders>
            <w:vAlign w:val="center"/>
            <w:hideMark/>
          </w:tcPr>
          <w:p w:rsidR="009252EC" w:rsidRPr="009252EC" w:rsidRDefault="009252EC" w:rsidP="009252EC">
            <w:pPr>
              <w:pStyle w:val="ListParagraph"/>
              <w:numPr>
                <w:ilvl w:val="0"/>
                <w:numId w:val="26"/>
              </w:numPr>
              <w:spacing w:after="0"/>
              <w:rPr>
                <w:rFonts w:ascii="Arial Narrow" w:hAnsi="Arial Narrow"/>
                <w:color w:val="333333"/>
                <w:sz w:val="18"/>
                <w:szCs w:val="18"/>
              </w:rPr>
            </w:pPr>
            <w:r w:rsidRPr="009252EC">
              <w:rPr>
                <w:rFonts w:ascii="Arial Narrow" w:hAnsi="Arial Narrow"/>
                <w:color w:val="333333"/>
                <w:sz w:val="18"/>
                <w:szCs w:val="18"/>
              </w:rPr>
              <w:t>Patient must have experienced an inadequate response, intolerance or a contraindication to at least three prophylactic migraine medications prior to commencement of treatment with medicine for this condition</w:t>
            </w:r>
          </w:p>
        </w:tc>
      </w:tr>
      <w:tr w:rsidR="009252EC" w:rsidRPr="00D22F1A" w:rsidTr="009252EC">
        <w:tc>
          <w:tcPr>
            <w:tcW w:w="5000" w:type="pct"/>
            <w:tcBorders>
              <w:top w:val="nil"/>
              <w:bottom w:val="nil"/>
            </w:tcBorders>
            <w:vAlign w:val="center"/>
            <w:hideMark/>
          </w:tcPr>
          <w:p w:rsidR="009252EC" w:rsidRPr="009252EC" w:rsidRDefault="009252EC" w:rsidP="009252EC">
            <w:pPr>
              <w:pStyle w:val="ListParagraph"/>
              <w:spacing w:after="0"/>
              <w:ind w:left="720" w:firstLine="0"/>
              <w:rPr>
                <w:rFonts w:ascii="Arial Narrow" w:hAnsi="Arial Narrow"/>
                <w:color w:val="333333"/>
                <w:sz w:val="18"/>
                <w:szCs w:val="18"/>
              </w:rPr>
            </w:pPr>
            <w:r w:rsidRPr="009252EC">
              <w:rPr>
                <w:rFonts w:ascii="Arial Narrow" w:hAnsi="Arial Narrow"/>
                <w:b/>
                <w:bCs/>
                <w:color w:val="333333"/>
                <w:sz w:val="18"/>
                <w:szCs w:val="18"/>
              </w:rPr>
              <w:t>AND</w:t>
            </w:r>
          </w:p>
        </w:tc>
      </w:tr>
      <w:tr w:rsidR="009252EC" w:rsidRPr="00D22F1A" w:rsidTr="009252EC">
        <w:tc>
          <w:tcPr>
            <w:tcW w:w="5000" w:type="pct"/>
            <w:tcBorders>
              <w:top w:val="nil"/>
              <w:bottom w:val="nil"/>
            </w:tcBorders>
            <w:vAlign w:val="center"/>
            <w:hideMark/>
          </w:tcPr>
          <w:p w:rsidR="009252EC" w:rsidRPr="009252EC" w:rsidRDefault="009252EC" w:rsidP="009252EC">
            <w:pPr>
              <w:pStyle w:val="ListParagraph"/>
              <w:numPr>
                <w:ilvl w:val="0"/>
                <w:numId w:val="26"/>
              </w:numPr>
              <w:spacing w:after="0"/>
              <w:rPr>
                <w:rFonts w:ascii="Arial Narrow" w:hAnsi="Arial Narrow"/>
                <w:color w:val="333333"/>
                <w:sz w:val="18"/>
                <w:szCs w:val="18"/>
              </w:rPr>
            </w:pPr>
            <w:r w:rsidRPr="009252EC">
              <w:rPr>
                <w:rFonts w:ascii="Arial Narrow" w:hAnsi="Arial Narrow"/>
                <w:color w:val="333333"/>
                <w:sz w:val="18"/>
                <w:szCs w:val="18"/>
              </w:rPr>
              <w:t>Patient must be appropriately managed for medication overuse headache, prior to initiation of treatment with this medicine for this condition</w:t>
            </w:r>
          </w:p>
        </w:tc>
      </w:tr>
      <w:tr w:rsidR="009252EC" w:rsidRPr="00D22F1A" w:rsidTr="009252EC">
        <w:tc>
          <w:tcPr>
            <w:tcW w:w="5000" w:type="pct"/>
            <w:tcBorders>
              <w:top w:val="nil"/>
              <w:bottom w:val="nil"/>
            </w:tcBorders>
            <w:vAlign w:val="center"/>
          </w:tcPr>
          <w:p w:rsidR="009252EC" w:rsidRPr="009252EC" w:rsidRDefault="009252EC" w:rsidP="009252EC">
            <w:pPr>
              <w:pStyle w:val="ListParagraph"/>
              <w:spacing w:after="0"/>
              <w:ind w:left="720" w:firstLine="0"/>
              <w:rPr>
                <w:rFonts w:ascii="Arial Narrow" w:hAnsi="Arial Narrow"/>
                <w:color w:val="333333"/>
                <w:sz w:val="18"/>
                <w:szCs w:val="18"/>
              </w:rPr>
            </w:pPr>
            <w:r w:rsidRPr="009252EC">
              <w:rPr>
                <w:rFonts w:ascii="Arial Narrow" w:hAnsi="Arial Narrow"/>
                <w:b/>
                <w:bCs/>
                <w:color w:val="333333"/>
                <w:sz w:val="18"/>
                <w:szCs w:val="18"/>
              </w:rPr>
              <w:t>AND</w:t>
            </w:r>
          </w:p>
        </w:tc>
      </w:tr>
      <w:tr w:rsidR="009252EC" w:rsidRPr="00D22F1A" w:rsidTr="009252EC">
        <w:tc>
          <w:tcPr>
            <w:tcW w:w="5000" w:type="pct"/>
            <w:tcBorders>
              <w:top w:val="nil"/>
              <w:bottom w:val="nil"/>
            </w:tcBorders>
            <w:vAlign w:val="center"/>
          </w:tcPr>
          <w:p w:rsidR="009252EC" w:rsidRPr="009252EC" w:rsidRDefault="009252EC" w:rsidP="009252EC">
            <w:pPr>
              <w:pStyle w:val="ListParagraph"/>
              <w:numPr>
                <w:ilvl w:val="0"/>
                <w:numId w:val="26"/>
              </w:numPr>
              <w:spacing w:after="0"/>
              <w:rPr>
                <w:rFonts w:ascii="Arial Narrow" w:hAnsi="Arial Narrow"/>
                <w:color w:val="333333"/>
                <w:sz w:val="18"/>
                <w:szCs w:val="18"/>
              </w:rPr>
            </w:pPr>
            <w:r w:rsidRPr="009252EC">
              <w:rPr>
                <w:rFonts w:ascii="Arial Narrow" w:hAnsi="Arial Narrow"/>
                <w:color w:val="333333"/>
                <w:sz w:val="18"/>
                <w:szCs w:val="18"/>
              </w:rPr>
              <w:t>The treatment must not be in combination with PBS-subsidised botulinum toxin type A</w:t>
            </w:r>
          </w:p>
        </w:tc>
      </w:tr>
      <w:tr w:rsidR="009252EC" w:rsidRPr="00D22F1A" w:rsidTr="009252EC">
        <w:tc>
          <w:tcPr>
            <w:tcW w:w="5000" w:type="pct"/>
            <w:tcBorders>
              <w:top w:val="nil"/>
              <w:bottom w:val="nil"/>
            </w:tcBorders>
            <w:vAlign w:val="center"/>
            <w:hideMark/>
          </w:tcPr>
          <w:p w:rsidR="009252EC" w:rsidRPr="009252EC" w:rsidRDefault="009252EC" w:rsidP="009252EC">
            <w:pPr>
              <w:pStyle w:val="ListParagraph"/>
              <w:spacing w:after="0"/>
              <w:ind w:left="720" w:firstLine="0"/>
              <w:rPr>
                <w:rFonts w:ascii="Arial Narrow" w:hAnsi="Arial Narrow"/>
                <w:color w:val="333333"/>
                <w:sz w:val="18"/>
                <w:szCs w:val="18"/>
              </w:rPr>
            </w:pPr>
            <w:r w:rsidRPr="009252EC">
              <w:rPr>
                <w:rFonts w:ascii="Arial Narrow" w:hAnsi="Arial Narrow"/>
                <w:b/>
                <w:bCs/>
                <w:color w:val="333333"/>
                <w:sz w:val="18"/>
                <w:szCs w:val="18"/>
              </w:rPr>
              <w:t>AND</w:t>
            </w:r>
          </w:p>
        </w:tc>
      </w:tr>
      <w:tr w:rsidR="009252EC" w:rsidRPr="00D22F1A" w:rsidTr="009252EC">
        <w:tc>
          <w:tcPr>
            <w:tcW w:w="5000" w:type="pct"/>
            <w:tcBorders>
              <w:top w:val="nil"/>
              <w:bottom w:val="nil"/>
            </w:tcBorders>
            <w:vAlign w:val="center"/>
          </w:tcPr>
          <w:p w:rsidR="009252EC" w:rsidRPr="009252EC" w:rsidRDefault="009252EC" w:rsidP="009252EC">
            <w:pPr>
              <w:pStyle w:val="ListParagraph"/>
              <w:numPr>
                <w:ilvl w:val="0"/>
                <w:numId w:val="26"/>
              </w:numPr>
              <w:spacing w:after="0"/>
              <w:rPr>
                <w:rFonts w:ascii="Arial Narrow" w:hAnsi="Arial Narrow"/>
                <w:bCs/>
                <w:color w:val="333333"/>
                <w:sz w:val="18"/>
                <w:szCs w:val="18"/>
              </w:rPr>
            </w:pPr>
            <w:r w:rsidRPr="009252EC">
              <w:rPr>
                <w:rFonts w:ascii="Arial Narrow" w:hAnsi="Arial Narrow"/>
                <w:bCs/>
                <w:color w:val="333333"/>
                <w:sz w:val="18"/>
                <w:szCs w:val="18"/>
              </w:rPr>
              <w:t>Patient must not have previously received PBS-subsidised treatment with this drug for this condition</w:t>
            </w:r>
          </w:p>
        </w:tc>
      </w:tr>
      <w:tr w:rsidR="009252EC" w:rsidRPr="00D22F1A" w:rsidTr="009252EC">
        <w:tc>
          <w:tcPr>
            <w:tcW w:w="5000" w:type="pct"/>
            <w:tcBorders>
              <w:top w:val="nil"/>
              <w:bottom w:val="nil"/>
            </w:tcBorders>
            <w:vAlign w:val="center"/>
            <w:hideMark/>
          </w:tcPr>
          <w:p w:rsidR="009252EC" w:rsidRPr="00D22F1A" w:rsidRDefault="009252EC" w:rsidP="009252EC">
            <w:pPr>
              <w:rPr>
                <w:rFonts w:ascii="Arial Narrow" w:hAnsi="Arial Narrow"/>
                <w:color w:val="333333"/>
                <w:sz w:val="18"/>
                <w:szCs w:val="18"/>
              </w:rPr>
            </w:pPr>
            <w:r w:rsidRPr="00D22F1A">
              <w:rPr>
                <w:rFonts w:ascii="Arial Narrow" w:hAnsi="Arial Narrow"/>
                <w:b/>
                <w:bCs/>
                <w:color w:val="333333"/>
                <w:sz w:val="18"/>
                <w:szCs w:val="18"/>
              </w:rPr>
              <w:t>Population criteria:</w:t>
            </w:r>
          </w:p>
        </w:tc>
      </w:tr>
      <w:tr w:rsidR="009252EC" w:rsidRPr="00D22F1A" w:rsidTr="009252EC">
        <w:tc>
          <w:tcPr>
            <w:tcW w:w="5000" w:type="pct"/>
            <w:tcBorders>
              <w:top w:val="nil"/>
            </w:tcBorders>
            <w:vAlign w:val="center"/>
            <w:hideMark/>
          </w:tcPr>
          <w:p w:rsidR="009252EC" w:rsidRPr="009252EC" w:rsidRDefault="009252EC" w:rsidP="009252EC">
            <w:pPr>
              <w:pStyle w:val="ListParagraph"/>
              <w:numPr>
                <w:ilvl w:val="0"/>
                <w:numId w:val="27"/>
              </w:numPr>
              <w:spacing w:after="0"/>
              <w:rPr>
                <w:rFonts w:ascii="Arial Narrow" w:hAnsi="Arial Narrow"/>
                <w:color w:val="333333"/>
                <w:sz w:val="18"/>
                <w:szCs w:val="18"/>
              </w:rPr>
            </w:pPr>
            <w:r w:rsidRPr="009252EC">
              <w:rPr>
                <w:rFonts w:ascii="Arial Narrow" w:hAnsi="Arial Narrow"/>
                <w:color w:val="333333"/>
                <w:sz w:val="18"/>
                <w:szCs w:val="18"/>
              </w:rPr>
              <w:t>Patient must be aged 18 years or older</w:t>
            </w:r>
          </w:p>
        </w:tc>
      </w:tr>
      <w:tr w:rsidR="009252EC" w:rsidRPr="00D22F1A" w:rsidTr="00377D14">
        <w:trPr>
          <w:trHeight w:val="1073"/>
        </w:trPr>
        <w:tc>
          <w:tcPr>
            <w:tcW w:w="5000" w:type="pct"/>
            <w:vAlign w:val="center"/>
            <w:hideMark/>
          </w:tcPr>
          <w:p w:rsidR="009252EC" w:rsidRPr="00D22F1A" w:rsidRDefault="009252EC" w:rsidP="00D074CC">
            <w:pPr>
              <w:rPr>
                <w:rFonts w:ascii="Arial Narrow" w:hAnsi="Arial Narrow"/>
                <w:color w:val="333333"/>
                <w:sz w:val="18"/>
                <w:szCs w:val="18"/>
              </w:rPr>
            </w:pPr>
            <w:r w:rsidRPr="00D22F1A">
              <w:rPr>
                <w:rFonts w:ascii="Arial Narrow" w:hAnsi="Arial Narrow"/>
                <w:b/>
                <w:bCs/>
                <w:color w:val="333333"/>
                <w:sz w:val="18"/>
                <w:szCs w:val="18"/>
              </w:rPr>
              <w:t>Prescribing Instructions:</w:t>
            </w:r>
          </w:p>
          <w:p w:rsidR="009252EC" w:rsidRPr="00D22F1A" w:rsidRDefault="009252EC" w:rsidP="00D074CC">
            <w:pPr>
              <w:rPr>
                <w:rFonts w:ascii="Arial Narrow" w:hAnsi="Arial Narrow"/>
                <w:color w:val="333333"/>
                <w:sz w:val="18"/>
                <w:szCs w:val="18"/>
              </w:rPr>
            </w:pPr>
            <w:r w:rsidRPr="00B11010">
              <w:rPr>
                <w:rFonts w:ascii="Arial Narrow" w:hAnsi="Arial Narrow"/>
                <w:color w:val="333333"/>
                <w:sz w:val="18"/>
                <w:szCs w:val="18"/>
              </w:rPr>
              <w:t>Prophylactic migraine medications are propanolol, amitriptyline, pizotifen, candesartan, verapamil, nortriptyline, sodium valproate or topiramate.</w:t>
            </w:r>
          </w:p>
          <w:p w:rsidR="009252EC" w:rsidRDefault="009252EC" w:rsidP="00D074CC">
            <w:pPr>
              <w:rPr>
                <w:rFonts w:ascii="Arial Narrow" w:hAnsi="Arial Narrow"/>
                <w:color w:val="333333"/>
                <w:sz w:val="18"/>
                <w:szCs w:val="18"/>
              </w:rPr>
            </w:pPr>
          </w:p>
          <w:p w:rsidR="009252EC" w:rsidRPr="00D22F1A" w:rsidRDefault="009252EC" w:rsidP="00D074CC">
            <w:pPr>
              <w:rPr>
                <w:rFonts w:ascii="Arial Narrow" w:hAnsi="Arial Narrow"/>
                <w:color w:val="333333"/>
                <w:sz w:val="18"/>
                <w:szCs w:val="18"/>
              </w:rPr>
            </w:pPr>
            <w:r>
              <w:rPr>
                <w:rFonts w:ascii="Arial Narrow" w:hAnsi="Arial Narrow"/>
                <w:color w:val="333333"/>
                <w:sz w:val="18"/>
                <w:szCs w:val="18"/>
              </w:rPr>
              <w:t>Patient must have a</w:t>
            </w:r>
            <w:r w:rsidRPr="00B11010">
              <w:rPr>
                <w:rFonts w:ascii="Arial Narrow" w:hAnsi="Arial Narrow"/>
                <w:color w:val="333333"/>
                <w:sz w:val="18"/>
                <w:szCs w:val="18"/>
              </w:rPr>
              <w:t xml:space="preserve"> baseline measurement of the number of migraine days per month documented in </w:t>
            </w:r>
            <w:r>
              <w:rPr>
                <w:rFonts w:ascii="Arial Narrow" w:hAnsi="Arial Narrow"/>
                <w:color w:val="333333"/>
                <w:sz w:val="18"/>
                <w:szCs w:val="18"/>
              </w:rPr>
              <w:t>their</w:t>
            </w:r>
            <w:r w:rsidRPr="00B11010">
              <w:rPr>
                <w:rFonts w:ascii="Arial Narrow" w:hAnsi="Arial Narrow"/>
                <w:color w:val="333333"/>
                <w:sz w:val="18"/>
                <w:szCs w:val="18"/>
              </w:rPr>
              <w:t xml:space="preserve"> medical records.</w:t>
            </w:r>
          </w:p>
        </w:tc>
      </w:tr>
      <w:tr w:rsidR="009252EC" w:rsidRPr="00D22F1A" w:rsidTr="00377D14">
        <w:trPr>
          <w:trHeight w:val="700"/>
        </w:trPr>
        <w:tc>
          <w:tcPr>
            <w:tcW w:w="5000" w:type="pct"/>
            <w:vAlign w:val="center"/>
          </w:tcPr>
          <w:p w:rsidR="009252EC" w:rsidRDefault="009252EC" w:rsidP="00D074CC">
            <w:pPr>
              <w:rPr>
                <w:rFonts w:ascii="Arial Narrow" w:hAnsi="Arial Narrow"/>
                <w:b/>
                <w:bCs/>
                <w:color w:val="333333"/>
                <w:sz w:val="18"/>
                <w:szCs w:val="18"/>
              </w:rPr>
            </w:pPr>
            <w:r w:rsidRPr="00D22F1A">
              <w:rPr>
                <w:rFonts w:ascii="Arial Narrow" w:hAnsi="Arial Narrow"/>
                <w:b/>
                <w:bCs/>
                <w:color w:val="333333"/>
                <w:sz w:val="18"/>
                <w:szCs w:val="18"/>
              </w:rPr>
              <w:t>Administrative Advice:</w:t>
            </w:r>
          </w:p>
          <w:p w:rsidR="009252EC" w:rsidRPr="002731AD" w:rsidRDefault="009252EC" w:rsidP="00D074CC">
            <w:pPr>
              <w:rPr>
                <w:rFonts w:ascii="Arial Narrow" w:hAnsi="Arial Narrow"/>
                <w:bCs/>
                <w:color w:val="333333"/>
                <w:sz w:val="18"/>
                <w:szCs w:val="18"/>
              </w:rPr>
            </w:pPr>
            <w:r w:rsidRPr="002731AD">
              <w:rPr>
                <w:rFonts w:ascii="Arial Narrow" w:hAnsi="Arial Narrow"/>
                <w:bCs/>
                <w:color w:val="333333"/>
                <w:sz w:val="18"/>
                <w:szCs w:val="18"/>
              </w:rPr>
              <w:t>No increase in the maximum quantity or number of units may be authorised.</w:t>
            </w:r>
          </w:p>
          <w:p w:rsidR="009252EC" w:rsidRPr="00D22F1A" w:rsidRDefault="009252EC" w:rsidP="00D074CC">
            <w:pPr>
              <w:rPr>
                <w:rFonts w:ascii="Arial Narrow" w:hAnsi="Arial Narrow"/>
                <w:b/>
                <w:bCs/>
                <w:color w:val="333333"/>
                <w:sz w:val="18"/>
                <w:szCs w:val="18"/>
              </w:rPr>
            </w:pPr>
            <w:r w:rsidRPr="002731AD">
              <w:rPr>
                <w:rFonts w:ascii="Arial Narrow" w:hAnsi="Arial Narrow"/>
                <w:color w:val="333333"/>
                <w:sz w:val="18"/>
                <w:szCs w:val="18"/>
              </w:rPr>
              <w:t>No increase in the maximum number of repeats may be authorised.</w:t>
            </w:r>
          </w:p>
          <w:p w:rsidR="009252EC" w:rsidRPr="002731AD" w:rsidRDefault="009252EC" w:rsidP="00D074CC">
            <w:pPr>
              <w:rPr>
                <w:rFonts w:ascii="Arial Narrow" w:hAnsi="Arial Narrow"/>
                <w:bCs/>
                <w:color w:val="333333"/>
                <w:sz w:val="18"/>
                <w:szCs w:val="18"/>
              </w:rPr>
            </w:pPr>
            <w:r w:rsidRPr="00D22F1A">
              <w:rPr>
                <w:rFonts w:ascii="Arial Narrow" w:hAnsi="Arial Narrow"/>
                <w:color w:val="333333"/>
                <w:sz w:val="18"/>
                <w:szCs w:val="18"/>
              </w:rPr>
              <w:t>Spe</w:t>
            </w:r>
            <w:r>
              <w:rPr>
                <w:rFonts w:ascii="Arial Narrow" w:hAnsi="Arial Narrow"/>
                <w:color w:val="333333"/>
                <w:sz w:val="18"/>
                <w:szCs w:val="18"/>
              </w:rPr>
              <w:t>cial Pricing Arrangements apply</w:t>
            </w:r>
          </w:p>
        </w:tc>
      </w:tr>
    </w:tbl>
    <w:p w:rsidR="00D074CC" w:rsidRPr="00667C9C" w:rsidRDefault="00D074CC" w:rsidP="00D074CC">
      <w:pPr>
        <w:spacing w:after="120"/>
        <w:rPr>
          <w:rFonts w:ascii="Arial Narrow" w:hAnsi="Arial Narrow" w:cstheme="minorHAnsi"/>
          <w:sz w:val="18"/>
          <w:szCs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992"/>
        <w:gridCol w:w="850"/>
        <w:gridCol w:w="709"/>
        <w:gridCol w:w="709"/>
        <w:gridCol w:w="709"/>
        <w:gridCol w:w="1275"/>
      </w:tblGrid>
      <w:tr w:rsidR="00D074CC" w:rsidRPr="009A610D" w:rsidTr="009252EC">
        <w:trPr>
          <w:cantSplit/>
          <w:trHeight w:val="471"/>
        </w:trPr>
        <w:tc>
          <w:tcPr>
            <w:tcW w:w="3823" w:type="dxa"/>
          </w:tcPr>
          <w:p w:rsidR="00D074CC" w:rsidRPr="009A610D" w:rsidRDefault="00D074CC" w:rsidP="00D074CC">
            <w:pPr>
              <w:keepNext/>
              <w:ind w:left="-108"/>
              <w:rPr>
                <w:rFonts w:ascii="Arial Narrow" w:hAnsi="Arial Narrow" w:cs="Arial"/>
                <w:b/>
                <w:sz w:val="18"/>
                <w:szCs w:val="18"/>
              </w:rPr>
            </w:pPr>
            <w:r w:rsidRPr="009A610D">
              <w:rPr>
                <w:rFonts w:ascii="Arial Narrow" w:hAnsi="Arial Narrow" w:cs="Arial"/>
                <w:b/>
                <w:sz w:val="18"/>
                <w:szCs w:val="18"/>
              </w:rPr>
              <w:t>Name, Restriction,</w:t>
            </w:r>
          </w:p>
          <w:p w:rsidR="00D074CC" w:rsidRPr="009A610D" w:rsidRDefault="00D074CC" w:rsidP="00D074CC">
            <w:pPr>
              <w:keepNext/>
              <w:ind w:left="-108"/>
              <w:rPr>
                <w:rFonts w:ascii="Arial Narrow" w:hAnsi="Arial Narrow" w:cs="Arial"/>
                <w:b/>
                <w:sz w:val="18"/>
                <w:szCs w:val="18"/>
              </w:rPr>
            </w:pPr>
            <w:r w:rsidRPr="009A610D">
              <w:rPr>
                <w:rFonts w:ascii="Arial Narrow" w:hAnsi="Arial Narrow" w:cs="Arial"/>
                <w:b/>
                <w:sz w:val="18"/>
                <w:szCs w:val="18"/>
              </w:rPr>
              <w:t>Manner of administration and form</w:t>
            </w:r>
          </w:p>
        </w:tc>
        <w:tc>
          <w:tcPr>
            <w:tcW w:w="992" w:type="dxa"/>
          </w:tcPr>
          <w:p w:rsidR="00D074CC" w:rsidRPr="009A610D" w:rsidRDefault="00D074CC" w:rsidP="00D074CC">
            <w:pPr>
              <w:keepNext/>
              <w:ind w:left="-108"/>
              <w:jc w:val="center"/>
              <w:rPr>
                <w:rFonts w:ascii="Arial Narrow" w:hAnsi="Arial Narrow" w:cs="Arial"/>
                <w:b/>
                <w:sz w:val="18"/>
                <w:szCs w:val="18"/>
              </w:rPr>
            </w:pPr>
            <w:r>
              <w:rPr>
                <w:rFonts w:ascii="Arial Narrow" w:hAnsi="Arial Narrow" w:cs="Arial"/>
                <w:b/>
                <w:sz w:val="18"/>
                <w:szCs w:val="18"/>
              </w:rPr>
              <w:t>PBS item code</w:t>
            </w:r>
          </w:p>
        </w:tc>
        <w:tc>
          <w:tcPr>
            <w:tcW w:w="850" w:type="dxa"/>
          </w:tcPr>
          <w:p w:rsidR="00D074CC" w:rsidRPr="009A610D" w:rsidRDefault="00D074CC" w:rsidP="00D074CC">
            <w:pPr>
              <w:keepNext/>
              <w:ind w:left="-108"/>
              <w:jc w:val="center"/>
              <w:rPr>
                <w:rFonts w:ascii="Arial Narrow" w:hAnsi="Arial Narrow" w:cs="Arial"/>
                <w:b/>
                <w:sz w:val="18"/>
                <w:szCs w:val="18"/>
              </w:rPr>
            </w:pPr>
            <w:r w:rsidRPr="009A610D">
              <w:rPr>
                <w:rFonts w:ascii="Arial Narrow" w:hAnsi="Arial Narrow" w:cs="Arial"/>
                <w:b/>
                <w:sz w:val="18"/>
                <w:szCs w:val="18"/>
              </w:rPr>
              <w:t>Max.</w:t>
            </w:r>
            <w:r>
              <w:rPr>
                <w:rFonts w:ascii="Arial Narrow" w:hAnsi="Arial Narrow" w:cs="Arial"/>
                <w:b/>
                <w:sz w:val="18"/>
                <w:szCs w:val="18"/>
              </w:rPr>
              <w:t xml:space="preserve"> q</w:t>
            </w:r>
            <w:r w:rsidRPr="009A610D">
              <w:rPr>
                <w:rFonts w:ascii="Arial Narrow" w:hAnsi="Arial Narrow" w:cs="Arial"/>
                <w:b/>
                <w:sz w:val="18"/>
                <w:szCs w:val="18"/>
              </w:rPr>
              <w:t>ty</w:t>
            </w:r>
            <w:r>
              <w:rPr>
                <w:rFonts w:ascii="Arial Narrow" w:hAnsi="Arial Narrow" w:cs="Arial"/>
                <w:b/>
                <w:sz w:val="18"/>
                <w:szCs w:val="18"/>
              </w:rPr>
              <w:t xml:space="preserve"> packs</w:t>
            </w:r>
          </w:p>
        </w:tc>
        <w:tc>
          <w:tcPr>
            <w:tcW w:w="709" w:type="dxa"/>
          </w:tcPr>
          <w:p w:rsidR="00D074CC" w:rsidRPr="009A610D" w:rsidRDefault="00D074CC" w:rsidP="00D074CC">
            <w:pPr>
              <w:keepNext/>
              <w:ind w:left="-108"/>
              <w:jc w:val="center"/>
              <w:rPr>
                <w:rFonts w:ascii="Arial Narrow" w:hAnsi="Arial Narrow" w:cs="Arial"/>
                <w:b/>
                <w:sz w:val="18"/>
                <w:szCs w:val="18"/>
              </w:rPr>
            </w:pPr>
            <w:r>
              <w:rPr>
                <w:rFonts w:ascii="Arial Narrow" w:hAnsi="Arial Narrow" w:cs="Arial"/>
                <w:b/>
                <w:sz w:val="18"/>
                <w:szCs w:val="18"/>
              </w:rPr>
              <w:t>Max. qty units</w:t>
            </w:r>
          </w:p>
        </w:tc>
        <w:tc>
          <w:tcPr>
            <w:tcW w:w="709" w:type="dxa"/>
          </w:tcPr>
          <w:p w:rsidR="00D074CC" w:rsidRPr="009A610D" w:rsidRDefault="00D074CC" w:rsidP="00D074CC">
            <w:pPr>
              <w:keepNext/>
              <w:ind w:left="-108"/>
              <w:jc w:val="center"/>
              <w:rPr>
                <w:rFonts w:ascii="Arial Narrow" w:hAnsi="Arial Narrow" w:cs="Arial"/>
                <w:b/>
                <w:sz w:val="18"/>
                <w:szCs w:val="18"/>
              </w:rPr>
            </w:pPr>
            <w:r w:rsidRPr="009A610D">
              <w:rPr>
                <w:rFonts w:ascii="Arial Narrow" w:hAnsi="Arial Narrow" w:cs="Arial"/>
                <w:b/>
                <w:sz w:val="18"/>
                <w:szCs w:val="18"/>
              </w:rPr>
              <w:t>№.of</w:t>
            </w:r>
          </w:p>
          <w:p w:rsidR="00D074CC" w:rsidRPr="009A610D" w:rsidRDefault="00D074CC" w:rsidP="00D074CC">
            <w:pPr>
              <w:keepNext/>
              <w:ind w:left="-108"/>
              <w:jc w:val="center"/>
              <w:rPr>
                <w:rFonts w:ascii="Arial Narrow" w:hAnsi="Arial Narrow" w:cs="Arial"/>
                <w:b/>
                <w:sz w:val="18"/>
                <w:szCs w:val="18"/>
              </w:rPr>
            </w:pPr>
            <w:r w:rsidRPr="009A610D">
              <w:rPr>
                <w:rFonts w:ascii="Arial Narrow" w:hAnsi="Arial Narrow" w:cs="Arial"/>
                <w:b/>
                <w:sz w:val="18"/>
                <w:szCs w:val="18"/>
              </w:rPr>
              <w:t>Rpts</w:t>
            </w:r>
          </w:p>
        </w:tc>
        <w:tc>
          <w:tcPr>
            <w:tcW w:w="1984" w:type="dxa"/>
            <w:gridSpan w:val="2"/>
          </w:tcPr>
          <w:p w:rsidR="00D074CC" w:rsidRPr="009A610D" w:rsidRDefault="00D074CC" w:rsidP="00D074CC">
            <w:pPr>
              <w:keepNext/>
              <w:rPr>
                <w:rFonts w:ascii="Arial Narrow" w:hAnsi="Arial Narrow" w:cs="Arial"/>
                <w:b/>
                <w:sz w:val="18"/>
                <w:szCs w:val="18"/>
                <w:lang w:val="fr-FR"/>
              </w:rPr>
            </w:pPr>
            <w:r w:rsidRPr="009A610D">
              <w:rPr>
                <w:rFonts w:ascii="Arial Narrow" w:hAnsi="Arial Narrow" w:cs="Arial"/>
                <w:b/>
                <w:sz w:val="18"/>
                <w:szCs w:val="18"/>
              </w:rPr>
              <w:t>Proprietary Name and Manufacturer</w:t>
            </w:r>
          </w:p>
        </w:tc>
      </w:tr>
      <w:tr w:rsidR="00D074CC" w:rsidRPr="009A610D" w:rsidTr="00D7686F">
        <w:trPr>
          <w:cantSplit/>
          <w:trHeight w:val="724"/>
        </w:trPr>
        <w:tc>
          <w:tcPr>
            <w:tcW w:w="3823" w:type="dxa"/>
          </w:tcPr>
          <w:p w:rsidR="00D074CC" w:rsidRPr="00120A12" w:rsidRDefault="00D074CC" w:rsidP="00D074CC">
            <w:pPr>
              <w:keepNext/>
              <w:ind w:left="-108"/>
              <w:rPr>
                <w:rFonts w:ascii="Arial Narrow" w:hAnsi="Arial Narrow" w:cs="Arial"/>
                <w:sz w:val="18"/>
                <w:szCs w:val="18"/>
              </w:rPr>
            </w:pPr>
            <w:r>
              <w:rPr>
                <w:rFonts w:ascii="Arial Narrow" w:hAnsi="Arial Narrow" w:cs="Arial"/>
                <w:sz w:val="18"/>
                <w:szCs w:val="18"/>
              </w:rPr>
              <w:t>FREMANEZUMAB</w:t>
            </w:r>
          </w:p>
          <w:p w:rsidR="00D074CC" w:rsidRDefault="00D074CC" w:rsidP="00D074CC">
            <w:pPr>
              <w:keepNext/>
              <w:ind w:left="-108"/>
              <w:rPr>
                <w:rFonts w:ascii="Arial Narrow" w:hAnsi="Arial Narrow" w:cs="Arial"/>
                <w:sz w:val="18"/>
                <w:szCs w:val="18"/>
              </w:rPr>
            </w:pPr>
          </w:p>
          <w:p w:rsidR="00D074CC" w:rsidRPr="003803A0" w:rsidRDefault="00D074CC" w:rsidP="009252EC">
            <w:pPr>
              <w:keepNext/>
              <w:ind w:left="-108"/>
              <w:rPr>
                <w:rFonts w:ascii="Arial Narrow" w:hAnsi="Arial Narrow" w:cs="Arial"/>
                <w:sz w:val="18"/>
                <w:szCs w:val="18"/>
              </w:rPr>
            </w:pPr>
            <w:r w:rsidRPr="00D569FD">
              <w:rPr>
                <w:rFonts w:ascii="Arial Narrow" w:hAnsi="Arial Narrow" w:cs="Arial"/>
                <w:sz w:val="18"/>
                <w:szCs w:val="18"/>
              </w:rPr>
              <w:t xml:space="preserve">fremanezumab 225 mg/1.5 mL injection, 1.5 mL syringe </w:t>
            </w:r>
          </w:p>
        </w:tc>
        <w:tc>
          <w:tcPr>
            <w:tcW w:w="992" w:type="dxa"/>
          </w:tcPr>
          <w:p w:rsidR="00D074CC" w:rsidRDefault="00D074CC" w:rsidP="00D074CC">
            <w:pPr>
              <w:keepNext/>
              <w:ind w:left="-108"/>
              <w:jc w:val="center"/>
              <w:rPr>
                <w:rFonts w:ascii="Arial Narrow" w:hAnsi="Arial Narrow" w:cs="Arial"/>
                <w:sz w:val="18"/>
                <w:szCs w:val="18"/>
              </w:rPr>
            </w:pPr>
          </w:p>
          <w:p w:rsidR="00D074CC" w:rsidRDefault="00D074CC" w:rsidP="00D074CC">
            <w:pPr>
              <w:keepNext/>
              <w:ind w:left="-108"/>
              <w:jc w:val="center"/>
              <w:rPr>
                <w:rFonts w:ascii="Arial Narrow" w:hAnsi="Arial Narrow" w:cs="Arial"/>
                <w:sz w:val="18"/>
                <w:szCs w:val="18"/>
              </w:rPr>
            </w:pPr>
          </w:p>
          <w:p w:rsidR="00D074CC" w:rsidRPr="009A610D" w:rsidRDefault="00D074CC" w:rsidP="00D074CC">
            <w:pPr>
              <w:keepNext/>
              <w:ind w:left="-108"/>
              <w:jc w:val="center"/>
              <w:rPr>
                <w:rFonts w:ascii="Arial Narrow" w:hAnsi="Arial Narrow" w:cs="Arial"/>
                <w:sz w:val="18"/>
                <w:szCs w:val="18"/>
              </w:rPr>
            </w:pPr>
            <w:r>
              <w:rPr>
                <w:rFonts w:ascii="Arial Narrow" w:hAnsi="Arial Narrow" w:cs="Arial"/>
                <w:sz w:val="18"/>
                <w:szCs w:val="18"/>
              </w:rPr>
              <w:t>NEW</w:t>
            </w:r>
          </w:p>
        </w:tc>
        <w:tc>
          <w:tcPr>
            <w:tcW w:w="850" w:type="dxa"/>
          </w:tcPr>
          <w:p w:rsidR="00D074CC" w:rsidRDefault="00D074CC" w:rsidP="00D074CC">
            <w:pPr>
              <w:keepNext/>
              <w:jc w:val="center"/>
              <w:rPr>
                <w:rFonts w:ascii="Arial Narrow" w:hAnsi="Arial Narrow" w:cs="Arial"/>
                <w:sz w:val="18"/>
                <w:szCs w:val="18"/>
              </w:rPr>
            </w:pPr>
          </w:p>
          <w:p w:rsidR="00D074CC" w:rsidRDefault="00D074CC" w:rsidP="00D074CC">
            <w:pPr>
              <w:keepNext/>
              <w:ind w:left="-108"/>
              <w:jc w:val="center"/>
              <w:rPr>
                <w:rFonts w:ascii="Arial Narrow" w:hAnsi="Arial Narrow" w:cs="Arial"/>
                <w:sz w:val="18"/>
                <w:szCs w:val="18"/>
              </w:rPr>
            </w:pPr>
          </w:p>
          <w:p w:rsidR="00D074CC" w:rsidRPr="009A610D" w:rsidRDefault="00D074CC" w:rsidP="00D074CC">
            <w:pPr>
              <w:keepNext/>
              <w:jc w:val="center"/>
              <w:rPr>
                <w:rFonts w:ascii="Arial Narrow" w:hAnsi="Arial Narrow" w:cs="Arial"/>
                <w:sz w:val="18"/>
                <w:szCs w:val="18"/>
              </w:rPr>
            </w:pPr>
            <w:r w:rsidRPr="009A610D">
              <w:rPr>
                <w:rFonts w:ascii="Arial Narrow" w:hAnsi="Arial Narrow" w:cs="Arial"/>
                <w:sz w:val="18"/>
                <w:szCs w:val="18"/>
              </w:rPr>
              <w:t>1</w:t>
            </w:r>
          </w:p>
        </w:tc>
        <w:tc>
          <w:tcPr>
            <w:tcW w:w="709" w:type="dxa"/>
          </w:tcPr>
          <w:p w:rsidR="00D074CC" w:rsidRDefault="00D074CC" w:rsidP="00D074CC">
            <w:pPr>
              <w:keepNext/>
              <w:ind w:left="-108"/>
              <w:jc w:val="center"/>
              <w:rPr>
                <w:rFonts w:ascii="Arial Narrow" w:hAnsi="Arial Narrow" w:cs="Arial"/>
                <w:sz w:val="18"/>
                <w:szCs w:val="18"/>
              </w:rPr>
            </w:pPr>
          </w:p>
          <w:p w:rsidR="00D074CC" w:rsidRDefault="00D074CC" w:rsidP="00D074CC">
            <w:pPr>
              <w:keepNext/>
              <w:rPr>
                <w:rFonts w:ascii="Arial Narrow" w:hAnsi="Arial Narrow" w:cs="Arial"/>
                <w:sz w:val="18"/>
                <w:szCs w:val="18"/>
              </w:rPr>
            </w:pPr>
          </w:p>
          <w:p w:rsidR="00D074CC" w:rsidRPr="009A610D" w:rsidRDefault="00D074CC" w:rsidP="00D074CC">
            <w:pPr>
              <w:keepNext/>
              <w:ind w:left="-108"/>
              <w:jc w:val="center"/>
              <w:rPr>
                <w:rFonts w:ascii="Arial Narrow" w:hAnsi="Arial Narrow" w:cs="Arial"/>
                <w:sz w:val="18"/>
                <w:szCs w:val="18"/>
              </w:rPr>
            </w:pPr>
            <w:r>
              <w:rPr>
                <w:rFonts w:ascii="Arial Narrow" w:hAnsi="Arial Narrow" w:cs="Arial"/>
                <w:sz w:val="18"/>
                <w:szCs w:val="18"/>
              </w:rPr>
              <w:t>1</w:t>
            </w:r>
          </w:p>
        </w:tc>
        <w:tc>
          <w:tcPr>
            <w:tcW w:w="709" w:type="dxa"/>
          </w:tcPr>
          <w:p w:rsidR="00D074CC" w:rsidRPr="009A610D" w:rsidRDefault="00D074CC" w:rsidP="00D074CC">
            <w:pPr>
              <w:keepNext/>
              <w:ind w:left="-108"/>
              <w:jc w:val="center"/>
              <w:rPr>
                <w:rFonts w:ascii="Arial Narrow" w:hAnsi="Arial Narrow" w:cs="Arial"/>
                <w:sz w:val="18"/>
                <w:szCs w:val="18"/>
              </w:rPr>
            </w:pPr>
          </w:p>
          <w:p w:rsidR="00D074CC" w:rsidRDefault="00D074CC" w:rsidP="00D074CC">
            <w:pPr>
              <w:keepNext/>
              <w:ind w:left="-108"/>
              <w:jc w:val="center"/>
              <w:rPr>
                <w:rFonts w:ascii="Arial Narrow" w:hAnsi="Arial Narrow" w:cs="Arial"/>
                <w:sz w:val="18"/>
                <w:szCs w:val="18"/>
              </w:rPr>
            </w:pPr>
          </w:p>
          <w:p w:rsidR="00D074CC" w:rsidRPr="009A610D" w:rsidRDefault="00D074CC" w:rsidP="00D074CC">
            <w:pPr>
              <w:keepNext/>
              <w:ind w:left="-108"/>
              <w:jc w:val="center"/>
              <w:rPr>
                <w:rFonts w:ascii="Arial Narrow" w:hAnsi="Arial Narrow" w:cs="Arial"/>
                <w:sz w:val="18"/>
                <w:szCs w:val="18"/>
              </w:rPr>
            </w:pPr>
            <w:r>
              <w:rPr>
                <w:rFonts w:ascii="Arial Narrow" w:hAnsi="Arial Narrow" w:cs="Arial"/>
                <w:sz w:val="18"/>
                <w:szCs w:val="18"/>
              </w:rPr>
              <w:t>5</w:t>
            </w:r>
          </w:p>
          <w:p w:rsidR="00D074CC" w:rsidRPr="009A610D" w:rsidRDefault="00D074CC" w:rsidP="00D074CC">
            <w:pPr>
              <w:keepNext/>
              <w:rPr>
                <w:rFonts w:ascii="Arial Narrow" w:hAnsi="Arial Narrow" w:cs="Arial"/>
                <w:sz w:val="18"/>
                <w:szCs w:val="18"/>
              </w:rPr>
            </w:pPr>
          </w:p>
        </w:tc>
        <w:tc>
          <w:tcPr>
            <w:tcW w:w="709" w:type="dxa"/>
          </w:tcPr>
          <w:p w:rsidR="00D074CC" w:rsidRDefault="00D074CC" w:rsidP="00D074CC">
            <w:pPr>
              <w:keepNext/>
              <w:rPr>
                <w:rFonts w:ascii="Arial Narrow" w:hAnsi="Arial Narrow" w:cs="Arial"/>
                <w:sz w:val="18"/>
                <w:szCs w:val="18"/>
              </w:rPr>
            </w:pPr>
          </w:p>
          <w:p w:rsidR="00D074CC" w:rsidRDefault="00D074CC" w:rsidP="00D074CC">
            <w:pPr>
              <w:keepNext/>
              <w:rPr>
                <w:rFonts w:ascii="Arial Narrow" w:hAnsi="Arial Narrow" w:cs="Arial"/>
                <w:sz w:val="18"/>
                <w:szCs w:val="18"/>
              </w:rPr>
            </w:pPr>
          </w:p>
          <w:p w:rsidR="00D074CC" w:rsidRPr="00D22F1A" w:rsidRDefault="00D074CC" w:rsidP="009252EC">
            <w:pPr>
              <w:keepNext/>
              <w:rPr>
                <w:rFonts w:ascii="Arial Narrow" w:hAnsi="Arial Narrow" w:cs="Arial"/>
                <w:sz w:val="18"/>
                <w:szCs w:val="18"/>
              </w:rPr>
            </w:pPr>
            <w:r>
              <w:rPr>
                <w:rFonts w:ascii="Arial Narrow" w:hAnsi="Arial Narrow" w:cs="Arial"/>
                <w:sz w:val="18"/>
                <w:szCs w:val="18"/>
              </w:rPr>
              <w:t>Ajovy</w:t>
            </w:r>
            <w:r w:rsidRPr="009A610D">
              <w:rPr>
                <w:rFonts w:ascii="Arial Narrow" w:hAnsi="Arial Narrow" w:cs="Arial"/>
                <w:sz w:val="18"/>
                <w:szCs w:val="18"/>
                <w:vertAlign w:val="superscript"/>
              </w:rPr>
              <w:t>®</w:t>
            </w:r>
            <w:r>
              <w:rPr>
                <w:rFonts w:ascii="Arial Narrow" w:hAnsi="Arial Narrow" w:cs="Arial"/>
                <w:sz w:val="18"/>
                <w:szCs w:val="18"/>
                <w:vertAlign w:val="superscript"/>
              </w:rPr>
              <w:t xml:space="preserve"> </w:t>
            </w:r>
          </w:p>
        </w:tc>
        <w:tc>
          <w:tcPr>
            <w:tcW w:w="1275" w:type="dxa"/>
          </w:tcPr>
          <w:p w:rsidR="00D074CC" w:rsidRDefault="00D074CC" w:rsidP="00D074CC">
            <w:pPr>
              <w:keepNext/>
              <w:rPr>
                <w:rFonts w:ascii="Arial Narrow" w:hAnsi="Arial Narrow" w:cs="Arial"/>
                <w:sz w:val="18"/>
                <w:szCs w:val="18"/>
              </w:rPr>
            </w:pPr>
          </w:p>
          <w:p w:rsidR="00D074CC" w:rsidRDefault="00D074CC" w:rsidP="00D074CC">
            <w:pPr>
              <w:keepNext/>
              <w:rPr>
                <w:rFonts w:ascii="Arial Narrow" w:hAnsi="Arial Narrow" w:cs="Arial"/>
                <w:sz w:val="18"/>
                <w:szCs w:val="18"/>
              </w:rPr>
            </w:pPr>
          </w:p>
          <w:p w:rsidR="00D074CC" w:rsidRPr="009A610D" w:rsidRDefault="00D074CC" w:rsidP="00D074CC">
            <w:pPr>
              <w:keepNext/>
              <w:rPr>
                <w:rFonts w:ascii="Arial Narrow" w:hAnsi="Arial Narrow" w:cs="Arial"/>
                <w:sz w:val="18"/>
                <w:szCs w:val="18"/>
              </w:rPr>
            </w:pPr>
            <w:r>
              <w:rPr>
                <w:rFonts w:ascii="Arial Narrow" w:hAnsi="Arial Narrow" w:cs="Arial"/>
                <w:sz w:val="18"/>
                <w:szCs w:val="18"/>
              </w:rPr>
              <w:t>Teva</w:t>
            </w:r>
            <w:r w:rsidRPr="009A610D">
              <w:rPr>
                <w:rFonts w:ascii="Arial Narrow" w:hAnsi="Arial Narrow" w:cs="Arial"/>
                <w:sz w:val="18"/>
                <w:szCs w:val="18"/>
              </w:rPr>
              <w:t xml:space="preserve"> Pty Ltd</w:t>
            </w:r>
          </w:p>
        </w:tc>
      </w:tr>
    </w:tbl>
    <w:p w:rsidR="00D074CC" w:rsidRPr="00D22F1A" w:rsidRDefault="00D074CC" w:rsidP="00D074C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9252EC" w:rsidRPr="00120A12" w:rsidTr="009252EC">
        <w:tc>
          <w:tcPr>
            <w:tcW w:w="5000" w:type="pct"/>
            <w:tcBorders>
              <w:top w:val="single" w:sz="4" w:space="0" w:color="auto"/>
              <w:left w:val="single" w:sz="4" w:space="0" w:color="auto"/>
              <w:bottom w:val="single" w:sz="4" w:space="0" w:color="auto"/>
              <w:right w:val="single" w:sz="4" w:space="0" w:color="auto"/>
            </w:tcBorders>
          </w:tcPr>
          <w:p w:rsidR="009252EC" w:rsidRPr="00120A12" w:rsidRDefault="009252EC" w:rsidP="00D074CC">
            <w:pPr>
              <w:rPr>
                <w:rFonts w:ascii="Arial Narrow" w:hAnsi="Arial Narrow" w:cs="Arial"/>
                <w:sz w:val="18"/>
                <w:szCs w:val="18"/>
              </w:rPr>
            </w:pPr>
            <w:r w:rsidRPr="0020649C">
              <w:rPr>
                <w:rFonts w:ascii="Arial Narrow" w:hAnsi="Arial Narrow" w:cs="Arial"/>
                <w:b/>
                <w:sz w:val="18"/>
                <w:szCs w:val="18"/>
              </w:rPr>
              <w:t>Category / Program:</w:t>
            </w:r>
            <w:r w:rsidR="00566F8E">
              <w:rPr>
                <w:rFonts w:ascii="Arial Narrow" w:hAnsi="Arial Narrow" w:cs="Arial"/>
                <w:b/>
                <w:sz w:val="18"/>
                <w:szCs w:val="18"/>
              </w:rPr>
              <w:t xml:space="preserve"> </w:t>
            </w:r>
            <w:r w:rsidRPr="003D201F">
              <w:rPr>
                <w:rFonts w:ascii="Arial Narrow" w:hAnsi="Arial Narrow" w:cs="Arial"/>
                <w:sz w:val="18"/>
                <w:szCs w:val="18"/>
              </w:rPr>
              <w:t>GENERAL – General Schedule (Code GE)</w:t>
            </w:r>
          </w:p>
        </w:tc>
      </w:tr>
      <w:tr w:rsidR="009252EC" w:rsidRPr="00120A12" w:rsidTr="009252EC">
        <w:trPr>
          <w:trHeight w:val="240"/>
        </w:trPr>
        <w:tc>
          <w:tcPr>
            <w:tcW w:w="5000" w:type="pct"/>
            <w:tcBorders>
              <w:top w:val="single" w:sz="4" w:space="0" w:color="auto"/>
              <w:left w:val="single" w:sz="4" w:space="0" w:color="auto"/>
              <w:bottom w:val="single" w:sz="4" w:space="0" w:color="auto"/>
              <w:right w:val="single" w:sz="4" w:space="0" w:color="auto"/>
            </w:tcBorders>
          </w:tcPr>
          <w:p w:rsidR="009252EC" w:rsidRPr="00772067" w:rsidRDefault="009252EC" w:rsidP="00D074CC">
            <w:pPr>
              <w:rPr>
                <w:rFonts w:ascii="Arial Narrow" w:hAnsi="Arial Narrow" w:cs="Arial"/>
                <w:b/>
                <w:sz w:val="18"/>
                <w:szCs w:val="18"/>
              </w:rPr>
            </w:pPr>
            <w:r w:rsidRPr="00120A12">
              <w:rPr>
                <w:rFonts w:ascii="Arial Narrow" w:hAnsi="Arial Narrow" w:cs="Arial"/>
                <w:b/>
                <w:sz w:val="18"/>
                <w:szCs w:val="18"/>
              </w:rPr>
              <w:t>Prescriber type:</w:t>
            </w:r>
            <w:r w:rsidR="00566F8E">
              <w:rPr>
                <w:rFonts w:ascii="Arial Narrow" w:hAnsi="Arial Narrow" w:cs="Arial"/>
                <w:b/>
                <w:sz w:val="18"/>
                <w:szCs w:val="18"/>
              </w:rPr>
              <w:t xml:space="preserve"> </w:t>
            </w:r>
            <w:r w:rsidRPr="00120A12">
              <w:rPr>
                <w:rFonts w:ascii="Arial Narrow" w:hAnsi="Arial Narrow" w:cs="Arial"/>
                <w:sz w:val="18"/>
                <w:szCs w:val="18"/>
              </w:rPr>
              <w:fldChar w:fldCharType="begin">
                <w:ffData>
                  <w:name w:val="Check1"/>
                  <w:enabled/>
                  <w:calcOnExit w:val="0"/>
                  <w:checkBox>
                    <w:sizeAuto/>
                    <w:default w:val="0"/>
                  </w:checkBox>
                </w:ffData>
              </w:fldChar>
            </w:r>
            <w:r w:rsidRPr="00120A12">
              <w:rPr>
                <w:rFonts w:ascii="Arial Narrow" w:hAnsi="Arial Narrow" w:cs="Arial"/>
                <w:sz w:val="18"/>
                <w:szCs w:val="18"/>
              </w:rPr>
              <w:instrText xml:space="preserve"> FORMCHECKBOX </w:instrText>
            </w:r>
            <w:r w:rsidR="008A5CBB">
              <w:rPr>
                <w:rFonts w:ascii="Arial Narrow" w:hAnsi="Arial Narrow" w:cs="Arial"/>
                <w:sz w:val="18"/>
                <w:szCs w:val="18"/>
              </w:rPr>
            </w:r>
            <w:r w:rsidR="008A5CBB">
              <w:rPr>
                <w:rFonts w:ascii="Arial Narrow" w:hAnsi="Arial Narrow" w:cs="Arial"/>
                <w:sz w:val="18"/>
                <w:szCs w:val="18"/>
              </w:rPr>
              <w:fldChar w:fldCharType="separate"/>
            </w:r>
            <w:r w:rsidRPr="00120A12">
              <w:rPr>
                <w:rFonts w:ascii="Arial Narrow" w:hAnsi="Arial Narrow" w:cs="Arial"/>
                <w:sz w:val="18"/>
                <w:szCs w:val="18"/>
              </w:rPr>
              <w:fldChar w:fldCharType="end"/>
            </w:r>
            <w:r w:rsidRPr="00120A12">
              <w:rPr>
                <w:rFonts w:ascii="Arial Narrow" w:hAnsi="Arial Narrow" w:cs="Arial"/>
                <w:sz w:val="18"/>
                <w:szCs w:val="18"/>
              </w:rPr>
              <w:t>Dental</w:t>
            </w:r>
            <w:r w:rsidR="00566F8E">
              <w:rPr>
                <w:rFonts w:ascii="Arial Narrow" w:hAnsi="Arial Narrow" w:cs="Arial"/>
                <w:sz w:val="18"/>
                <w:szCs w:val="18"/>
              </w:rPr>
              <w:t xml:space="preserve"> </w:t>
            </w:r>
            <w:r>
              <w:rPr>
                <w:rFonts w:ascii="Arial Narrow" w:hAnsi="Arial Narrow" w:cs="Arial"/>
                <w:sz w:val="18"/>
                <w:szCs w:val="18"/>
              </w:rPr>
              <w:fldChar w:fldCharType="begin">
                <w:ffData>
                  <w:name w:val=""/>
                  <w:enabled/>
                  <w:calcOnExit w:val="0"/>
                  <w:checkBox>
                    <w:sizeAuto/>
                    <w:default w:val="1"/>
                  </w:checkBox>
                </w:ffData>
              </w:fldChar>
            </w:r>
            <w:r>
              <w:rPr>
                <w:rFonts w:ascii="Arial Narrow" w:hAnsi="Arial Narrow" w:cs="Arial"/>
                <w:sz w:val="18"/>
                <w:szCs w:val="18"/>
              </w:rPr>
              <w:instrText xml:space="preserve"> FORMCHECKBOX </w:instrText>
            </w:r>
            <w:r w:rsidR="008A5CBB">
              <w:rPr>
                <w:rFonts w:ascii="Arial Narrow" w:hAnsi="Arial Narrow" w:cs="Arial"/>
                <w:sz w:val="18"/>
                <w:szCs w:val="18"/>
              </w:rPr>
            </w:r>
            <w:r w:rsidR="008A5CBB">
              <w:rPr>
                <w:rFonts w:ascii="Arial Narrow" w:hAnsi="Arial Narrow" w:cs="Arial"/>
                <w:sz w:val="18"/>
                <w:szCs w:val="18"/>
              </w:rPr>
              <w:fldChar w:fldCharType="separate"/>
            </w:r>
            <w:r>
              <w:rPr>
                <w:rFonts w:ascii="Arial Narrow" w:hAnsi="Arial Narrow" w:cs="Arial"/>
                <w:sz w:val="18"/>
                <w:szCs w:val="18"/>
              </w:rPr>
              <w:fldChar w:fldCharType="end"/>
            </w:r>
            <w:r w:rsidR="00566F8E">
              <w:rPr>
                <w:rFonts w:ascii="Arial Narrow" w:hAnsi="Arial Narrow" w:cs="Arial"/>
                <w:sz w:val="18"/>
                <w:szCs w:val="18"/>
              </w:rPr>
              <w:t xml:space="preserve"> </w:t>
            </w:r>
            <w:r w:rsidRPr="00120A12">
              <w:rPr>
                <w:rFonts w:ascii="Arial Narrow" w:hAnsi="Arial Narrow" w:cs="Arial"/>
                <w:sz w:val="18"/>
                <w:szCs w:val="18"/>
              </w:rPr>
              <w:t>Medical Practitioners</w:t>
            </w:r>
            <w:r w:rsidR="00566F8E">
              <w:rPr>
                <w:rFonts w:ascii="Arial Narrow" w:hAnsi="Arial Narrow" w:cs="Arial"/>
                <w:sz w:val="18"/>
                <w:szCs w:val="18"/>
              </w:rPr>
              <w:t xml:space="preserve"> </w:t>
            </w:r>
            <w:r w:rsidRPr="00120A12">
              <w:rPr>
                <w:rFonts w:ascii="Arial Narrow" w:hAnsi="Arial Narrow" w:cs="Arial"/>
                <w:sz w:val="18"/>
                <w:szCs w:val="18"/>
              </w:rPr>
              <w:fldChar w:fldCharType="begin">
                <w:ffData>
                  <w:name w:val="Check3"/>
                  <w:enabled/>
                  <w:calcOnExit w:val="0"/>
                  <w:checkBox>
                    <w:sizeAuto/>
                    <w:default w:val="0"/>
                  </w:checkBox>
                </w:ffData>
              </w:fldChar>
            </w:r>
            <w:r w:rsidRPr="00120A12">
              <w:rPr>
                <w:rFonts w:ascii="Arial Narrow" w:hAnsi="Arial Narrow" w:cs="Arial"/>
                <w:sz w:val="18"/>
                <w:szCs w:val="18"/>
              </w:rPr>
              <w:instrText xml:space="preserve"> FORMCHECKBOX </w:instrText>
            </w:r>
            <w:r w:rsidR="008A5CBB">
              <w:rPr>
                <w:rFonts w:ascii="Arial Narrow" w:hAnsi="Arial Narrow" w:cs="Arial"/>
                <w:sz w:val="18"/>
                <w:szCs w:val="18"/>
              </w:rPr>
            </w:r>
            <w:r w:rsidR="008A5CBB">
              <w:rPr>
                <w:rFonts w:ascii="Arial Narrow" w:hAnsi="Arial Narrow" w:cs="Arial"/>
                <w:sz w:val="18"/>
                <w:szCs w:val="18"/>
              </w:rPr>
              <w:fldChar w:fldCharType="separate"/>
            </w:r>
            <w:r w:rsidRPr="00120A12">
              <w:rPr>
                <w:rFonts w:ascii="Arial Narrow" w:hAnsi="Arial Narrow" w:cs="Arial"/>
                <w:sz w:val="18"/>
                <w:szCs w:val="18"/>
              </w:rPr>
              <w:fldChar w:fldCharType="end"/>
            </w:r>
            <w:r w:rsidRPr="00120A12">
              <w:rPr>
                <w:rFonts w:ascii="Arial Narrow" w:hAnsi="Arial Narrow" w:cs="Arial"/>
                <w:sz w:val="18"/>
                <w:szCs w:val="18"/>
              </w:rPr>
              <w:t>Nurse practitioners</w:t>
            </w:r>
            <w:r w:rsidR="00566F8E">
              <w:rPr>
                <w:rFonts w:ascii="Arial Narrow" w:hAnsi="Arial Narrow" w:cs="Arial"/>
                <w:sz w:val="18"/>
                <w:szCs w:val="18"/>
              </w:rPr>
              <w:t xml:space="preserve"> </w:t>
            </w:r>
            <w:r w:rsidRPr="00120A12">
              <w:rPr>
                <w:rFonts w:ascii="Arial Narrow" w:hAnsi="Arial Narrow" w:cs="Arial"/>
                <w:sz w:val="18"/>
                <w:szCs w:val="18"/>
              </w:rPr>
              <w:fldChar w:fldCharType="begin">
                <w:ffData>
                  <w:name w:val=""/>
                  <w:enabled/>
                  <w:calcOnExit w:val="0"/>
                  <w:checkBox>
                    <w:sizeAuto/>
                    <w:default w:val="0"/>
                  </w:checkBox>
                </w:ffData>
              </w:fldChar>
            </w:r>
            <w:r w:rsidRPr="00120A12">
              <w:rPr>
                <w:rFonts w:ascii="Arial Narrow" w:hAnsi="Arial Narrow" w:cs="Arial"/>
                <w:sz w:val="18"/>
                <w:szCs w:val="18"/>
              </w:rPr>
              <w:instrText xml:space="preserve"> FORMCHECKBOX </w:instrText>
            </w:r>
            <w:r w:rsidR="008A5CBB">
              <w:rPr>
                <w:rFonts w:ascii="Arial Narrow" w:hAnsi="Arial Narrow" w:cs="Arial"/>
                <w:sz w:val="18"/>
                <w:szCs w:val="18"/>
              </w:rPr>
            </w:r>
            <w:r w:rsidR="008A5CBB">
              <w:rPr>
                <w:rFonts w:ascii="Arial Narrow" w:hAnsi="Arial Narrow" w:cs="Arial"/>
                <w:sz w:val="18"/>
                <w:szCs w:val="18"/>
              </w:rPr>
              <w:fldChar w:fldCharType="separate"/>
            </w:r>
            <w:r w:rsidRPr="00120A12">
              <w:rPr>
                <w:rFonts w:ascii="Arial Narrow" w:hAnsi="Arial Narrow" w:cs="Arial"/>
                <w:sz w:val="18"/>
                <w:szCs w:val="18"/>
              </w:rPr>
              <w:fldChar w:fldCharType="end"/>
            </w:r>
            <w:r w:rsidRPr="00120A12">
              <w:rPr>
                <w:rFonts w:ascii="Arial Narrow" w:hAnsi="Arial Narrow" w:cs="Arial"/>
                <w:sz w:val="18"/>
                <w:szCs w:val="18"/>
              </w:rPr>
              <w:t>Optometrists</w:t>
            </w:r>
            <w:r w:rsidR="00566F8E">
              <w:rPr>
                <w:rFonts w:ascii="Arial Narrow" w:hAnsi="Arial Narrow" w:cs="Arial"/>
                <w:sz w:val="18"/>
                <w:szCs w:val="18"/>
              </w:rPr>
              <w:t xml:space="preserve"> </w:t>
            </w:r>
            <w:r w:rsidRPr="00120A12">
              <w:rPr>
                <w:rFonts w:ascii="Arial Narrow" w:hAnsi="Arial Narrow" w:cs="Arial"/>
                <w:sz w:val="18"/>
                <w:szCs w:val="18"/>
              </w:rPr>
              <w:fldChar w:fldCharType="begin">
                <w:ffData>
                  <w:name w:val="Check5"/>
                  <w:enabled/>
                  <w:calcOnExit w:val="0"/>
                  <w:checkBox>
                    <w:sizeAuto/>
                    <w:default w:val="0"/>
                  </w:checkBox>
                </w:ffData>
              </w:fldChar>
            </w:r>
            <w:r w:rsidRPr="00120A12">
              <w:rPr>
                <w:rFonts w:ascii="Arial Narrow" w:hAnsi="Arial Narrow" w:cs="Arial"/>
                <w:sz w:val="18"/>
                <w:szCs w:val="18"/>
              </w:rPr>
              <w:instrText xml:space="preserve"> FORMCHECKBOX </w:instrText>
            </w:r>
            <w:r w:rsidR="008A5CBB">
              <w:rPr>
                <w:rFonts w:ascii="Arial Narrow" w:hAnsi="Arial Narrow" w:cs="Arial"/>
                <w:sz w:val="18"/>
                <w:szCs w:val="18"/>
              </w:rPr>
            </w:r>
            <w:r w:rsidR="008A5CBB">
              <w:rPr>
                <w:rFonts w:ascii="Arial Narrow" w:hAnsi="Arial Narrow" w:cs="Arial"/>
                <w:sz w:val="18"/>
                <w:szCs w:val="18"/>
              </w:rPr>
              <w:fldChar w:fldCharType="separate"/>
            </w:r>
            <w:r w:rsidRPr="00120A12">
              <w:rPr>
                <w:rFonts w:ascii="Arial Narrow" w:hAnsi="Arial Narrow" w:cs="Arial"/>
                <w:sz w:val="18"/>
                <w:szCs w:val="18"/>
              </w:rPr>
              <w:fldChar w:fldCharType="end"/>
            </w:r>
            <w:r w:rsidRPr="00120A12">
              <w:rPr>
                <w:rFonts w:ascii="Arial Narrow" w:hAnsi="Arial Narrow" w:cs="Arial"/>
                <w:sz w:val="18"/>
                <w:szCs w:val="18"/>
              </w:rPr>
              <w:t>Midwives</w:t>
            </w:r>
          </w:p>
        </w:tc>
      </w:tr>
      <w:tr w:rsidR="009252EC" w:rsidRPr="00120A12" w:rsidTr="009252EC">
        <w:trPr>
          <w:trHeight w:val="180"/>
        </w:trPr>
        <w:tc>
          <w:tcPr>
            <w:tcW w:w="5000" w:type="pct"/>
            <w:tcBorders>
              <w:top w:val="single" w:sz="4" w:space="0" w:color="auto"/>
              <w:left w:val="single" w:sz="4" w:space="0" w:color="auto"/>
              <w:bottom w:val="single" w:sz="4" w:space="0" w:color="auto"/>
              <w:right w:val="single" w:sz="4" w:space="0" w:color="auto"/>
            </w:tcBorders>
          </w:tcPr>
          <w:p w:rsidR="009252EC" w:rsidRPr="009252EC" w:rsidRDefault="009252EC" w:rsidP="00D074CC">
            <w:pPr>
              <w:rPr>
                <w:rFonts w:ascii="Arial Narrow" w:hAnsi="Arial Narrow" w:cs="Arial"/>
                <w:b/>
                <w:sz w:val="18"/>
                <w:szCs w:val="18"/>
              </w:rPr>
            </w:pPr>
            <w:r w:rsidRPr="0020649C">
              <w:rPr>
                <w:rFonts w:ascii="Arial Narrow" w:hAnsi="Arial Narrow" w:cs="Arial"/>
                <w:b/>
                <w:sz w:val="18"/>
                <w:szCs w:val="18"/>
              </w:rPr>
              <w:t>Restriction Level / Method:</w:t>
            </w:r>
            <w:r w:rsidR="00566F8E">
              <w:rPr>
                <w:rFonts w:ascii="Arial Narrow" w:hAnsi="Arial Narrow" w:cs="Arial"/>
                <w:b/>
                <w:sz w:val="18"/>
                <w:szCs w:val="18"/>
              </w:rPr>
              <w:t xml:space="preserve"> </w:t>
            </w:r>
            <w:r>
              <w:rPr>
                <w:rFonts w:ascii="Arial Narrow" w:hAnsi="Arial Narrow" w:cs="Arial"/>
                <w:sz w:val="18"/>
                <w:szCs w:val="18"/>
              </w:rPr>
              <w:fldChar w:fldCharType="begin">
                <w:ffData>
                  <w:name w:val=""/>
                  <w:enabled/>
                  <w:calcOnExit w:val="0"/>
                  <w:checkBox>
                    <w:sizeAuto/>
                    <w:default w:val="1"/>
                  </w:checkBox>
                </w:ffData>
              </w:fldChar>
            </w:r>
            <w:r>
              <w:rPr>
                <w:rFonts w:ascii="Arial Narrow" w:hAnsi="Arial Narrow" w:cs="Arial"/>
                <w:sz w:val="18"/>
                <w:szCs w:val="18"/>
              </w:rPr>
              <w:instrText xml:space="preserve"> FORMCHECKBOX </w:instrText>
            </w:r>
            <w:r w:rsidR="008A5CBB">
              <w:rPr>
                <w:rFonts w:ascii="Arial Narrow" w:hAnsi="Arial Narrow" w:cs="Arial"/>
                <w:sz w:val="18"/>
                <w:szCs w:val="18"/>
              </w:rPr>
            </w:r>
            <w:r w:rsidR="008A5CBB">
              <w:rPr>
                <w:rFonts w:ascii="Arial Narrow" w:hAnsi="Arial Narrow" w:cs="Arial"/>
                <w:sz w:val="18"/>
                <w:szCs w:val="18"/>
              </w:rPr>
              <w:fldChar w:fldCharType="separate"/>
            </w:r>
            <w:r>
              <w:rPr>
                <w:rFonts w:ascii="Arial Narrow" w:hAnsi="Arial Narrow" w:cs="Arial"/>
                <w:sz w:val="18"/>
                <w:szCs w:val="18"/>
              </w:rPr>
              <w:fldChar w:fldCharType="end"/>
            </w:r>
            <w:r w:rsidR="00566F8E">
              <w:rPr>
                <w:rFonts w:ascii="Arial Narrow" w:hAnsi="Arial Narrow" w:cs="Arial"/>
                <w:sz w:val="18"/>
                <w:szCs w:val="18"/>
              </w:rPr>
              <w:t xml:space="preserve"> </w:t>
            </w:r>
            <w:r>
              <w:rPr>
                <w:rFonts w:ascii="Arial Narrow" w:hAnsi="Arial Narrow" w:cs="Arial"/>
                <w:sz w:val="18"/>
                <w:szCs w:val="18"/>
              </w:rPr>
              <w:t xml:space="preserve">Authority Required - </w:t>
            </w:r>
            <w:r w:rsidRPr="00120A12">
              <w:rPr>
                <w:rFonts w:ascii="Arial Narrow" w:hAnsi="Arial Narrow" w:cs="Arial"/>
                <w:sz w:val="18"/>
                <w:szCs w:val="18"/>
              </w:rPr>
              <w:t>Streamlined</w:t>
            </w:r>
          </w:p>
        </w:tc>
      </w:tr>
      <w:tr w:rsidR="009252EC" w:rsidRPr="00120A12" w:rsidTr="009252EC">
        <w:tc>
          <w:tcPr>
            <w:tcW w:w="5000" w:type="pct"/>
            <w:tcBorders>
              <w:bottom w:val="nil"/>
            </w:tcBorders>
            <w:vAlign w:val="center"/>
            <w:hideMark/>
          </w:tcPr>
          <w:p w:rsidR="009252EC" w:rsidRPr="00120A12" w:rsidRDefault="009252EC" w:rsidP="00D074CC">
            <w:pPr>
              <w:rPr>
                <w:rFonts w:ascii="Arial Narrow" w:hAnsi="Arial Narrow"/>
                <w:color w:val="333333"/>
                <w:sz w:val="18"/>
                <w:szCs w:val="18"/>
              </w:rPr>
            </w:pPr>
            <w:r w:rsidRPr="00120A12">
              <w:rPr>
                <w:rFonts w:ascii="Arial Narrow" w:hAnsi="Arial Narrow"/>
                <w:b/>
                <w:bCs/>
                <w:color w:val="333333"/>
                <w:sz w:val="18"/>
                <w:szCs w:val="18"/>
              </w:rPr>
              <w:t>Indication:</w:t>
            </w:r>
            <w:r>
              <w:rPr>
                <w:rFonts w:ascii="Arial Narrow" w:hAnsi="Arial Narrow"/>
                <w:color w:val="333333"/>
                <w:sz w:val="18"/>
                <w:szCs w:val="18"/>
              </w:rPr>
              <w:t xml:space="preserve"> Chronic migraine</w:t>
            </w:r>
          </w:p>
        </w:tc>
      </w:tr>
      <w:tr w:rsidR="009252EC" w:rsidRPr="00120A12" w:rsidTr="009252EC">
        <w:tc>
          <w:tcPr>
            <w:tcW w:w="5000" w:type="pct"/>
            <w:tcBorders>
              <w:top w:val="nil"/>
              <w:bottom w:val="nil"/>
            </w:tcBorders>
            <w:vAlign w:val="center"/>
            <w:hideMark/>
          </w:tcPr>
          <w:p w:rsidR="009252EC" w:rsidRPr="00120A12" w:rsidRDefault="009252EC" w:rsidP="004717C0">
            <w:pPr>
              <w:rPr>
                <w:rFonts w:ascii="Arial Narrow" w:hAnsi="Arial Narrow"/>
                <w:color w:val="333333"/>
                <w:sz w:val="18"/>
                <w:szCs w:val="18"/>
              </w:rPr>
            </w:pPr>
            <w:r w:rsidRPr="00120A12">
              <w:rPr>
                <w:rFonts w:ascii="Arial Narrow" w:hAnsi="Arial Narrow"/>
                <w:b/>
                <w:bCs/>
                <w:color w:val="333333"/>
                <w:sz w:val="18"/>
                <w:szCs w:val="18"/>
              </w:rPr>
              <w:t>Treatment Phase:</w:t>
            </w:r>
            <w:r>
              <w:rPr>
                <w:rFonts w:ascii="Arial Narrow" w:hAnsi="Arial Narrow"/>
                <w:b/>
                <w:bCs/>
                <w:color w:val="333333"/>
                <w:sz w:val="18"/>
                <w:szCs w:val="18"/>
              </w:rPr>
              <w:t xml:space="preserve"> </w:t>
            </w:r>
            <w:r w:rsidR="004717C0">
              <w:rPr>
                <w:rFonts w:ascii="Arial Narrow" w:hAnsi="Arial Narrow"/>
                <w:color w:val="333333"/>
                <w:sz w:val="18"/>
                <w:szCs w:val="18"/>
              </w:rPr>
              <w:t>C</w:t>
            </w:r>
            <w:r>
              <w:rPr>
                <w:rFonts w:ascii="Arial Narrow" w:hAnsi="Arial Narrow"/>
                <w:color w:val="333333"/>
                <w:sz w:val="18"/>
                <w:szCs w:val="18"/>
              </w:rPr>
              <w:t>ontinuing treatment</w:t>
            </w:r>
          </w:p>
        </w:tc>
      </w:tr>
      <w:tr w:rsidR="009252EC" w:rsidRPr="00120A12" w:rsidTr="009252EC">
        <w:tc>
          <w:tcPr>
            <w:tcW w:w="5000" w:type="pct"/>
            <w:tcBorders>
              <w:top w:val="nil"/>
              <w:bottom w:val="nil"/>
            </w:tcBorders>
            <w:vAlign w:val="center"/>
            <w:hideMark/>
          </w:tcPr>
          <w:p w:rsidR="009252EC" w:rsidRPr="00120A12" w:rsidRDefault="009252EC" w:rsidP="00D074CC">
            <w:pPr>
              <w:rPr>
                <w:rFonts w:ascii="Arial Narrow" w:hAnsi="Arial Narrow"/>
                <w:color w:val="333333"/>
                <w:sz w:val="18"/>
                <w:szCs w:val="18"/>
              </w:rPr>
            </w:pPr>
            <w:r>
              <w:rPr>
                <w:rFonts w:ascii="Arial Narrow" w:hAnsi="Arial Narrow"/>
                <w:b/>
                <w:bCs/>
                <w:color w:val="333333"/>
                <w:sz w:val="18"/>
                <w:szCs w:val="18"/>
              </w:rPr>
              <w:t>Treatment</w:t>
            </w:r>
            <w:r w:rsidRPr="00120A12">
              <w:rPr>
                <w:rFonts w:ascii="Arial Narrow" w:hAnsi="Arial Narrow"/>
                <w:b/>
                <w:bCs/>
                <w:color w:val="333333"/>
                <w:sz w:val="18"/>
                <w:szCs w:val="18"/>
              </w:rPr>
              <w:t xml:space="preserve"> criteria:</w:t>
            </w:r>
          </w:p>
        </w:tc>
      </w:tr>
      <w:tr w:rsidR="009252EC" w:rsidRPr="00120A12" w:rsidTr="009252EC">
        <w:tc>
          <w:tcPr>
            <w:tcW w:w="5000" w:type="pct"/>
            <w:tcBorders>
              <w:top w:val="nil"/>
              <w:bottom w:val="nil"/>
            </w:tcBorders>
            <w:vAlign w:val="center"/>
            <w:hideMark/>
          </w:tcPr>
          <w:p w:rsidR="009252EC" w:rsidRPr="009252EC" w:rsidRDefault="004717C0" w:rsidP="009252EC">
            <w:pPr>
              <w:pStyle w:val="ListParagraph"/>
              <w:numPr>
                <w:ilvl w:val="0"/>
                <w:numId w:val="27"/>
              </w:numPr>
              <w:spacing w:after="0"/>
              <w:rPr>
                <w:rFonts w:ascii="Arial Narrow" w:hAnsi="Arial Narrow"/>
                <w:color w:val="333333"/>
                <w:sz w:val="18"/>
                <w:szCs w:val="18"/>
              </w:rPr>
            </w:pPr>
            <w:r w:rsidRPr="00713BB1">
              <w:rPr>
                <w:rFonts w:ascii="Arial Narrow" w:hAnsi="Arial Narrow"/>
                <w:color w:val="333333"/>
                <w:sz w:val="18"/>
                <w:szCs w:val="18"/>
              </w:rPr>
              <w:t>Must be treated by, or in consultation with, a neurologist</w:t>
            </w:r>
            <w:r>
              <w:rPr>
                <w:rFonts w:ascii="Arial Narrow" w:hAnsi="Arial Narrow"/>
                <w:color w:val="333333"/>
                <w:sz w:val="18"/>
                <w:szCs w:val="18"/>
              </w:rPr>
              <w:t xml:space="preserve"> </w:t>
            </w:r>
          </w:p>
        </w:tc>
      </w:tr>
      <w:tr w:rsidR="009252EC" w:rsidRPr="00D22F1A" w:rsidTr="009252EC">
        <w:tc>
          <w:tcPr>
            <w:tcW w:w="5000" w:type="pct"/>
            <w:tcBorders>
              <w:top w:val="nil"/>
              <w:bottom w:val="nil"/>
            </w:tcBorders>
            <w:vAlign w:val="center"/>
            <w:hideMark/>
          </w:tcPr>
          <w:p w:rsidR="009252EC" w:rsidRPr="009252EC" w:rsidRDefault="009252EC" w:rsidP="009252EC">
            <w:pPr>
              <w:rPr>
                <w:rFonts w:ascii="Arial Narrow" w:hAnsi="Arial Narrow"/>
                <w:color w:val="333333"/>
                <w:sz w:val="18"/>
                <w:szCs w:val="18"/>
              </w:rPr>
            </w:pPr>
            <w:r w:rsidRPr="009252EC">
              <w:rPr>
                <w:rFonts w:ascii="Arial Narrow" w:hAnsi="Arial Narrow"/>
                <w:b/>
                <w:bCs/>
                <w:color w:val="333333"/>
                <w:sz w:val="18"/>
                <w:szCs w:val="18"/>
              </w:rPr>
              <w:t>Clinical criteria:</w:t>
            </w:r>
          </w:p>
        </w:tc>
      </w:tr>
      <w:tr w:rsidR="009252EC" w:rsidRPr="00D22F1A" w:rsidTr="009252EC">
        <w:tc>
          <w:tcPr>
            <w:tcW w:w="5000" w:type="pct"/>
            <w:tcBorders>
              <w:top w:val="nil"/>
              <w:bottom w:val="nil"/>
            </w:tcBorders>
            <w:vAlign w:val="center"/>
          </w:tcPr>
          <w:p w:rsidR="009252EC" w:rsidRPr="009252EC" w:rsidRDefault="009252EC" w:rsidP="009252EC">
            <w:pPr>
              <w:pStyle w:val="ListParagraph"/>
              <w:numPr>
                <w:ilvl w:val="0"/>
                <w:numId w:val="27"/>
              </w:numPr>
              <w:spacing w:after="0"/>
              <w:rPr>
                <w:rFonts w:ascii="Arial Narrow" w:hAnsi="Arial Narrow"/>
                <w:color w:val="333333"/>
                <w:sz w:val="18"/>
                <w:szCs w:val="18"/>
              </w:rPr>
            </w:pPr>
            <w:r w:rsidRPr="009252EC">
              <w:rPr>
                <w:rFonts w:ascii="Arial Narrow" w:hAnsi="Arial Narrow"/>
                <w:color w:val="333333"/>
                <w:sz w:val="18"/>
                <w:szCs w:val="18"/>
              </w:rPr>
              <w:t>Patient must have previously received PBS-subsidised treatment with this drug for this condition</w:t>
            </w:r>
          </w:p>
        </w:tc>
      </w:tr>
      <w:tr w:rsidR="009252EC" w:rsidRPr="00D22F1A" w:rsidTr="009252EC">
        <w:tc>
          <w:tcPr>
            <w:tcW w:w="5000" w:type="pct"/>
            <w:tcBorders>
              <w:top w:val="nil"/>
              <w:bottom w:val="nil"/>
            </w:tcBorders>
            <w:vAlign w:val="center"/>
            <w:hideMark/>
          </w:tcPr>
          <w:p w:rsidR="009252EC" w:rsidRPr="009252EC" w:rsidRDefault="009252EC" w:rsidP="009252EC">
            <w:pPr>
              <w:pStyle w:val="ListParagraph"/>
              <w:spacing w:after="0"/>
              <w:ind w:left="720" w:firstLine="0"/>
              <w:rPr>
                <w:rFonts w:ascii="Arial Narrow" w:hAnsi="Arial Narrow"/>
                <w:color w:val="333333"/>
                <w:sz w:val="18"/>
                <w:szCs w:val="18"/>
              </w:rPr>
            </w:pPr>
            <w:r w:rsidRPr="009252EC">
              <w:rPr>
                <w:rFonts w:ascii="Arial Narrow" w:hAnsi="Arial Narrow"/>
                <w:b/>
                <w:bCs/>
                <w:color w:val="333333"/>
                <w:sz w:val="18"/>
                <w:szCs w:val="18"/>
              </w:rPr>
              <w:t>AND</w:t>
            </w:r>
          </w:p>
        </w:tc>
      </w:tr>
      <w:tr w:rsidR="009252EC" w:rsidRPr="00D22F1A" w:rsidTr="009252EC">
        <w:tc>
          <w:tcPr>
            <w:tcW w:w="5000" w:type="pct"/>
            <w:tcBorders>
              <w:top w:val="nil"/>
              <w:bottom w:val="nil"/>
            </w:tcBorders>
            <w:vAlign w:val="center"/>
            <w:hideMark/>
          </w:tcPr>
          <w:p w:rsidR="009252EC" w:rsidRPr="009252EC" w:rsidRDefault="009252EC" w:rsidP="009252EC">
            <w:pPr>
              <w:pStyle w:val="ListParagraph"/>
              <w:numPr>
                <w:ilvl w:val="0"/>
                <w:numId w:val="27"/>
              </w:numPr>
              <w:spacing w:after="0"/>
              <w:rPr>
                <w:rFonts w:ascii="Arial Narrow" w:hAnsi="Arial Narrow"/>
                <w:color w:val="333333"/>
                <w:sz w:val="18"/>
                <w:szCs w:val="18"/>
              </w:rPr>
            </w:pPr>
            <w:r w:rsidRPr="009252EC">
              <w:rPr>
                <w:rFonts w:ascii="Arial Narrow" w:hAnsi="Arial Narrow"/>
                <w:color w:val="333333"/>
                <w:sz w:val="18"/>
                <w:szCs w:val="18"/>
              </w:rPr>
              <w:t>Patient must have achieved a</w:t>
            </w:r>
            <w:r w:rsidR="004717C0">
              <w:rPr>
                <w:rFonts w:ascii="Arial Narrow" w:hAnsi="Arial Narrow"/>
                <w:color w:val="333333"/>
                <w:sz w:val="18"/>
                <w:szCs w:val="18"/>
              </w:rPr>
              <w:t>nd maintained a</w:t>
            </w:r>
            <w:r w:rsidRPr="009252EC">
              <w:rPr>
                <w:rFonts w:ascii="Arial Narrow" w:hAnsi="Arial Narrow"/>
                <w:color w:val="333333"/>
                <w:sz w:val="18"/>
                <w:szCs w:val="18"/>
              </w:rPr>
              <w:t xml:space="preserve"> 50% or greater reduction from baseline in the number of migraine days per month </w:t>
            </w:r>
          </w:p>
        </w:tc>
      </w:tr>
      <w:tr w:rsidR="009252EC" w:rsidRPr="00D22F1A" w:rsidTr="009252EC">
        <w:tc>
          <w:tcPr>
            <w:tcW w:w="5000" w:type="pct"/>
            <w:tcBorders>
              <w:top w:val="nil"/>
              <w:bottom w:val="nil"/>
            </w:tcBorders>
            <w:vAlign w:val="center"/>
            <w:hideMark/>
          </w:tcPr>
          <w:p w:rsidR="009252EC" w:rsidRPr="009252EC" w:rsidRDefault="009252EC" w:rsidP="009252EC">
            <w:pPr>
              <w:pStyle w:val="ListParagraph"/>
              <w:spacing w:after="0"/>
              <w:ind w:left="720" w:firstLine="0"/>
              <w:rPr>
                <w:rFonts w:ascii="Arial Narrow" w:hAnsi="Arial Narrow"/>
                <w:color w:val="333333"/>
                <w:sz w:val="18"/>
                <w:szCs w:val="18"/>
              </w:rPr>
            </w:pPr>
            <w:r w:rsidRPr="009252EC">
              <w:rPr>
                <w:rFonts w:ascii="Arial Narrow" w:hAnsi="Arial Narrow"/>
                <w:b/>
                <w:bCs/>
                <w:color w:val="333333"/>
                <w:sz w:val="18"/>
                <w:szCs w:val="18"/>
              </w:rPr>
              <w:t>AND</w:t>
            </w:r>
          </w:p>
        </w:tc>
      </w:tr>
      <w:tr w:rsidR="009252EC" w:rsidRPr="00D22F1A" w:rsidTr="009252EC">
        <w:tc>
          <w:tcPr>
            <w:tcW w:w="5000" w:type="pct"/>
            <w:tcBorders>
              <w:top w:val="nil"/>
              <w:bottom w:val="nil"/>
            </w:tcBorders>
            <w:vAlign w:val="center"/>
            <w:hideMark/>
          </w:tcPr>
          <w:p w:rsidR="009252EC" w:rsidRPr="009252EC" w:rsidRDefault="009252EC" w:rsidP="009252EC">
            <w:pPr>
              <w:pStyle w:val="ListParagraph"/>
              <w:numPr>
                <w:ilvl w:val="0"/>
                <w:numId w:val="28"/>
              </w:numPr>
              <w:spacing w:after="0"/>
              <w:rPr>
                <w:rFonts w:ascii="Arial Narrow" w:hAnsi="Arial Narrow"/>
                <w:color w:val="333333"/>
                <w:sz w:val="18"/>
                <w:szCs w:val="18"/>
              </w:rPr>
            </w:pPr>
            <w:r w:rsidRPr="009252EC">
              <w:rPr>
                <w:rFonts w:ascii="Arial Narrow" w:hAnsi="Arial Narrow"/>
                <w:color w:val="333333"/>
                <w:sz w:val="18"/>
                <w:szCs w:val="18"/>
              </w:rPr>
              <w:t>Patient must continue to be appropriately managed for medication overuse headache</w:t>
            </w:r>
          </w:p>
        </w:tc>
      </w:tr>
      <w:tr w:rsidR="009252EC" w:rsidRPr="00D22F1A" w:rsidTr="009252EC">
        <w:tc>
          <w:tcPr>
            <w:tcW w:w="5000" w:type="pct"/>
            <w:tcBorders>
              <w:top w:val="nil"/>
              <w:bottom w:val="nil"/>
            </w:tcBorders>
            <w:vAlign w:val="center"/>
          </w:tcPr>
          <w:p w:rsidR="009252EC" w:rsidRPr="009252EC" w:rsidRDefault="009252EC" w:rsidP="009252EC">
            <w:pPr>
              <w:pStyle w:val="ListParagraph"/>
              <w:spacing w:after="0"/>
              <w:ind w:left="720" w:firstLine="0"/>
              <w:rPr>
                <w:rFonts w:ascii="Arial Narrow" w:hAnsi="Arial Narrow"/>
                <w:color w:val="333333"/>
                <w:sz w:val="18"/>
                <w:szCs w:val="18"/>
              </w:rPr>
            </w:pPr>
            <w:r w:rsidRPr="009252EC">
              <w:rPr>
                <w:rFonts w:ascii="Arial Narrow" w:hAnsi="Arial Narrow"/>
                <w:b/>
                <w:bCs/>
                <w:color w:val="333333"/>
                <w:sz w:val="18"/>
                <w:szCs w:val="18"/>
              </w:rPr>
              <w:t>AND</w:t>
            </w:r>
          </w:p>
        </w:tc>
      </w:tr>
      <w:tr w:rsidR="009252EC" w:rsidRPr="00D22F1A" w:rsidTr="009252EC">
        <w:tc>
          <w:tcPr>
            <w:tcW w:w="5000" w:type="pct"/>
            <w:tcBorders>
              <w:top w:val="nil"/>
            </w:tcBorders>
            <w:vAlign w:val="center"/>
          </w:tcPr>
          <w:p w:rsidR="009252EC" w:rsidRPr="009252EC" w:rsidRDefault="009252EC" w:rsidP="009252EC">
            <w:pPr>
              <w:pStyle w:val="ListParagraph"/>
              <w:numPr>
                <w:ilvl w:val="0"/>
                <w:numId w:val="28"/>
              </w:numPr>
              <w:spacing w:after="0"/>
              <w:rPr>
                <w:rFonts w:ascii="Arial Narrow" w:hAnsi="Arial Narrow"/>
                <w:color w:val="333333"/>
                <w:sz w:val="18"/>
                <w:szCs w:val="18"/>
              </w:rPr>
            </w:pPr>
            <w:r w:rsidRPr="009252EC">
              <w:rPr>
                <w:rFonts w:ascii="Arial Narrow" w:hAnsi="Arial Narrow"/>
                <w:color w:val="333333"/>
                <w:sz w:val="18"/>
                <w:szCs w:val="18"/>
              </w:rPr>
              <w:t>The treatment must not be in combination with PBS-subsidised botulinum toxin type A</w:t>
            </w:r>
          </w:p>
        </w:tc>
      </w:tr>
      <w:tr w:rsidR="009252EC" w:rsidRPr="00D22F1A" w:rsidTr="009252EC">
        <w:tc>
          <w:tcPr>
            <w:tcW w:w="5000" w:type="pct"/>
            <w:vAlign w:val="center"/>
          </w:tcPr>
          <w:p w:rsidR="009252EC" w:rsidRPr="00D22F1A" w:rsidRDefault="009252EC" w:rsidP="00D074CC">
            <w:pPr>
              <w:rPr>
                <w:rFonts w:ascii="Arial Narrow" w:hAnsi="Arial Narrow"/>
                <w:color w:val="333333"/>
                <w:sz w:val="18"/>
                <w:szCs w:val="18"/>
              </w:rPr>
            </w:pPr>
            <w:r w:rsidRPr="00D22F1A">
              <w:rPr>
                <w:rFonts w:ascii="Arial Narrow" w:hAnsi="Arial Narrow"/>
                <w:b/>
                <w:bCs/>
                <w:color w:val="333333"/>
                <w:sz w:val="18"/>
                <w:szCs w:val="18"/>
              </w:rPr>
              <w:t>Prescribing Instructions:</w:t>
            </w:r>
          </w:p>
          <w:p w:rsidR="009252EC" w:rsidRPr="00D22F1A" w:rsidRDefault="009252EC" w:rsidP="00D074CC">
            <w:pPr>
              <w:rPr>
                <w:rFonts w:ascii="Arial Narrow" w:hAnsi="Arial Narrow"/>
                <w:b/>
                <w:bCs/>
                <w:color w:val="333333"/>
                <w:sz w:val="18"/>
                <w:szCs w:val="18"/>
              </w:rPr>
            </w:pPr>
            <w:r>
              <w:rPr>
                <w:rFonts w:ascii="Arial Narrow" w:hAnsi="Arial Narrow"/>
                <w:color w:val="333333"/>
                <w:sz w:val="18"/>
                <w:szCs w:val="18"/>
              </w:rPr>
              <w:t xml:space="preserve">Patient must have </w:t>
            </w:r>
            <w:r w:rsidRPr="00B11010">
              <w:rPr>
                <w:rFonts w:ascii="Arial Narrow" w:hAnsi="Arial Narrow"/>
                <w:color w:val="333333"/>
                <w:sz w:val="18"/>
                <w:szCs w:val="18"/>
              </w:rPr>
              <w:t xml:space="preserve">the number of migraine days per month documented in </w:t>
            </w:r>
            <w:r>
              <w:rPr>
                <w:rFonts w:ascii="Arial Narrow" w:hAnsi="Arial Narrow"/>
                <w:color w:val="333333"/>
                <w:sz w:val="18"/>
                <w:szCs w:val="18"/>
              </w:rPr>
              <w:t>their</w:t>
            </w:r>
            <w:r w:rsidRPr="00B11010">
              <w:rPr>
                <w:rFonts w:ascii="Arial Narrow" w:hAnsi="Arial Narrow"/>
                <w:color w:val="333333"/>
                <w:sz w:val="18"/>
                <w:szCs w:val="18"/>
              </w:rPr>
              <w:t xml:space="preserve"> medical records.</w:t>
            </w:r>
          </w:p>
        </w:tc>
      </w:tr>
      <w:tr w:rsidR="009252EC" w:rsidRPr="00D22F1A" w:rsidTr="00377D14">
        <w:trPr>
          <w:trHeight w:val="700"/>
        </w:trPr>
        <w:tc>
          <w:tcPr>
            <w:tcW w:w="5000" w:type="pct"/>
            <w:vAlign w:val="center"/>
          </w:tcPr>
          <w:p w:rsidR="009252EC" w:rsidRDefault="009252EC" w:rsidP="00D074CC">
            <w:pPr>
              <w:rPr>
                <w:rFonts w:ascii="Arial Narrow" w:hAnsi="Arial Narrow"/>
                <w:color w:val="333333"/>
                <w:sz w:val="18"/>
                <w:szCs w:val="18"/>
              </w:rPr>
            </w:pPr>
            <w:r w:rsidRPr="00D22F1A">
              <w:rPr>
                <w:rFonts w:ascii="Arial Narrow" w:hAnsi="Arial Narrow"/>
                <w:b/>
                <w:bCs/>
                <w:color w:val="333333"/>
                <w:sz w:val="18"/>
                <w:szCs w:val="18"/>
              </w:rPr>
              <w:lastRenderedPageBreak/>
              <w:t>Administrative Advice:</w:t>
            </w:r>
            <w:r>
              <w:rPr>
                <w:rFonts w:ascii="Arial Narrow" w:hAnsi="Arial Narrow"/>
                <w:color w:val="333333"/>
                <w:sz w:val="18"/>
                <w:szCs w:val="18"/>
              </w:rPr>
              <w:t xml:space="preserve"> </w:t>
            </w:r>
          </w:p>
          <w:p w:rsidR="009252EC" w:rsidRPr="002731AD" w:rsidRDefault="009252EC" w:rsidP="00D074CC">
            <w:pPr>
              <w:rPr>
                <w:rFonts w:ascii="Arial Narrow" w:hAnsi="Arial Narrow"/>
                <w:bCs/>
                <w:color w:val="333333"/>
                <w:sz w:val="18"/>
                <w:szCs w:val="18"/>
              </w:rPr>
            </w:pPr>
            <w:r w:rsidRPr="002731AD">
              <w:rPr>
                <w:rFonts w:ascii="Arial Narrow" w:hAnsi="Arial Narrow"/>
                <w:bCs/>
                <w:color w:val="333333"/>
                <w:sz w:val="18"/>
                <w:szCs w:val="18"/>
              </w:rPr>
              <w:t>No increase in the maximum quantity or nu</w:t>
            </w:r>
            <w:r>
              <w:rPr>
                <w:rFonts w:ascii="Arial Narrow" w:hAnsi="Arial Narrow"/>
                <w:bCs/>
                <w:color w:val="333333"/>
                <w:sz w:val="18"/>
                <w:szCs w:val="18"/>
              </w:rPr>
              <w:t>mber of units may be authorised</w:t>
            </w:r>
          </w:p>
          <w:p w:rsidR="009252EC" w:rsidRPr="00D22F1A" w:rsidRDefault="009252EC" w:rsidP="00D074CC">
            <w:pPr>
              <w:rPr>
                <w:rFonts w:ascii="Arial Narrow" w:hAnsi="Arial Narrow"/>
                <w:b/>
                <w:bCs/>
                <w:color w:val="333333"/>
                <w:sz w:val="18"/>
                <w:szCs w:val="18"/>
              </w:rPr>
            </w:pPr>
            <w:r w:rsidRPr="002731AD">
              <w:rPr>
                <w:rFonts w:ascii="Arial Narrow" w:hAnsi="Arial Narrow"/>
                <w:color w:val="333333"/>
                <w:sz w:val="18"/>
                <w:szCs w:val="18"/>
              </w:rPr>
              <w:t>No increase in the maximum numb</w:t>
            </w:r>
            <w:r>
              <w:rPr>
                <w:rFonts w:ascii="Arial Narrow" w:hAnsi="Arial Narrow"/>
                <w:color w:val="333333"/>
                <w:sz w:val="18"/>
                <w:szCs w:val="18"/>
              </w:rPr>
              <w:t>er of repeats may be authorised</w:t>
            </w:r>
          </w:p>
          <w:p w:rsidR="009252EC" w:rsidRPr="002731AD" w:rsidRDefault="009252EC" w:rsidP="00D074CC">
            <w:pPr>
              <w:rPr>
                <w:rFonts w:ascii="Arial Narrow" w:hAnsi="Arial Narrow"/>
                <w:bCs/>
                <w:color w:val="333333"/>
                <w:sz w:val="18"/>
                <w:szCs w:val="18"/>
              </w:rPr>
            </w:pPr>
            <w:r w:rsidRPr="00D22F1A">
              <w:rPr>
                <w:rFonts w:ascii="Arial Narrow" w:hAnsi="Arial Narrow"/>
                <w:color w:val="333333"/>
                <w:sz w:val="18"/>
                <w:szCs w:val="18"/>
              </w:rPr>
              <w:t>Spe</w:t>
            </w:r>
            <w:r>
              <w:rPr>
                <w:rFonts w:ascii="Arial Narrow" w:hAnsi="Arial Narrow"/>
                <w:color w:val="333333"/>
                <w:sz w:val="18"/>
                <w:szCs w:val="18"/>
              </w:rPr>
              <w:t>cial Pricing Arrangements apply</w:t>
            </w:r>
          </w:p>
        </w:tc>
      </w:tr>
    </w:tbl>
    <w:p w:rsidR="00D074CC" w:rsidRPr="00563E9C" w:rsidRDefault="00E71B4D" w:rsidP="002058E4">
      <w:pPr>
        <w:spacing w:before="120" w:after="120"/>
        <w:rPr>
          <w:rFonts w:asciiTheme="minorHAnsi" w:hAnsiTheme="minorHAnsi" w:cstheme="minorHAnsi"/>
          <w:i/>
          <w:strike/>
        </w:rPr>
      </w:pPr>
      <w:r>
        <w:rPr>
          <w:rFonts w:asciiTheme="minorHAnsi" w:hAnsiTheme="minorHAnsi" w:cstheme="minorHAnsi"/>
          <w:i/>
        </w:rPr>
        <w:t>F</w:t>
      </w:r>
      <w:r w:rsidR="00D074CC">
        <w:rPr>
          <w:rFonts w:asciiTheme="minorHAnsi" w:hAnsiTheme="minorHAnsi" w:cstheme="minorHAnsi"/>
          <w:i/>
        </w:rPr>
        <w:t xml:space="preserve">low-on changes to botulinum toxin type A’s </w:t>
      </w:r>
      <w:r w:rsidR="00713BB1">
        <w:rPr>
          <w:rFonts w:asciiTheme="minorHAnsi" w:hAnsiTheme="minorHAnsi" w:cstheme="minorHAnsi"/>
          <w:i/>
        </w:rPr>
        <w:t>listing are as follows:</w:t>
      </w:r>
      <w:r w:rsidR="00D074CC">
        <w:rPr>
          <w:rFonts w:asciiTheme="minorHAnsi" w:hAnsiTheme="minorHAnsi" w:cstheme="minorHAnsi"/>
          <w:i/>
        </w:rPr>
        <w:t xml:space="preserve"> </w:t>
      </w:r>
    </w:p>
    <w:p w:rsidR="00D074CC" w:rsidRPr="00B1468E" w:rsidRDefault="00713BB1" w:rsidP="00D074CC">
      <w:pPr>
        <w:spacing w:after="120"/>
        <w:rPr>
          <w:rFonts w:asciiTheme="minorHAnsi" w:hAnsiTheme="minorHAnsi" w:cstheme="minorHAnsi"/>
          <w:i/>
        </w:rPr>
      </w:pPr>
      <w:r w:rsidRPr="00713BB1">
        <w:rPr>
          <w:rFonts w:asciiTheme="minorHAnsi" w:hAnsiTheme="minorHAnsi" w:cstheme="minorHAnsi"/>
          <w:i/>
        </w:rPr>
        <w:t>1)</w:t>
      </w:r>
      <w:r>
        <w:rPr>
          <w:rFonts w:ascii="Arial Narrow" w:hAnsi="Arial Narrow" w:cs="Arial"/>
          <w:sz w:val="18"/>
          <w:szCs w:val="18"/>
        </w:rPr>
        <w:t xml:space="preserve"> </w:t>
      </w:r>
      <w:r w:rsidRPr="00713BB1">
        <w:rPr>
          <w:rFonts w:asciiTheme="minorHAnsi" w:hAnsiTheme="minorHAnsi" w:cstheme="minorHAnsi"/>
          <w:i/>
        </w:rPr>
        <w:t>D</w:t>
      </w:r>
      <w:r w:rsidR="00D074CC">
        <w:rPr>
          <w:rFonts w:asciiTheme="minorHAnsi" w:hAnsiTheme="minorHAnsi" w:cstheme="minorHAnsi"/>
          <w:i/>
        </w:rPr>
        <w:t>elete</w:t>
      </w:r>
      <w:r w:rsidR="00D074CC" w:rsidRPr="000C63BC">
        <w:rPr>
          <w:rFonts w:asciiTheme="minorHAnsi" w:hAnsiTheme="minorHAnsi" w:cstheme="minorHAnsi"/>
          <w:i/>
        </w:rPr>
        <w:t xml:space="preserve"> the word</w:t>
      </w:r>
      <w:r w:rsidR="00D074CC">
        <w:rPr>
          <w:rFonts w:asciiTheme="minorHAnsi" w:hAnsiTheme="minorHAnsi" w:cstheme="minorHAnsi"/>
          <w:i/>
        </w:rPr>
        <w:t>s ‘by his or her practitioner</w:t>
      </w:r>
      <w:r w:rsidR="00D074CC" w:rsidRPr="000C63BC">
        <w:rPr>
          <w:rFonts w:asciiTheme="minorHAnsi" w:hAnsiTheme="minorHAnsi" w:cstheme="minorHAnsi"/>
          <w:i/>
        </w:rPr>
        <w:t>’</w:t>
      </w:r>
      <w:r w:rsidR="00D074CC">
        <w:rPr>
          <w:rFonts w:asciiTheme="minorHAnsi" w:hAnsiTheme="minorHAnsi" w:cstheme="minorHAnsi"/>
          <w:i/>
        </w:rPr>
        <w:t xml:space="preserve"> </w:t>
      </w:r>
      <w:r>
        <w:rPr>
          <w:rFonts w:asciiTheme="minorHAnsi" w:hAnsiTheme="minorHAnsi" w:cstheme="minorHAnsi"/>
          <w:i/>
        </w:rPr>
        <w:t>where they appear for consistency with fremanezumab;</w:t>
      </w:r>
    </w:p>
    <w:p w:rsidR="00D074CC" w:rsidRPr="00EB38C2" w:rsidRDefault="00713BB1" w:rsidP="00D074CC">
      <w:pPr>
        <w:spacing w:after="120"/>
        <w:rPr>
          <w:rFonts w:asciiTheme="minorHAnsi" w:hAnsiTheme="minorHAnsi" w:cstheme="minorHAnsi"/>
          <w:sz w:val="18"/>
          <w:szCs w:val="18"/>
        </w:rPr>
      </w:pPr>
      <w:r>
        <w:rPr>
          <w:rFonts w:asciiTheme="minorHAnsi" w:hAnsiTheme="minorHAnsi" w:cstheme="minorHAnsi"/>
          <w:i/>
        </w:rPr>
        <w:t>2) I</w:t>
      </w:r>
      <w:r w:rsidR="00D074CC" w:rsidRPr="000C63BC">
        <w:rPr>
          <w:rFonts w:asciiTheme="minorHAnsi" w:hAnsiTheme="minorHAnsi" w:cstheme="minorHAnsi"/>
          <w:i/>
        </w:rPr>
        <w:t xml:space="preserve">nsert </w:t>
      </w:r>
      <w:r>
        <w:rPr>
          <w:rFonts w:asciiTheme="minorHAnsi" w:hAnsiTheme="minorHAnsi" w:cstheme="minorHAnsi"/>
          <w:i/>
        </w:rPr>
        <w:t>a new Clinical criterion to prevent simultaneous PBS-su</w:t>
      </w:r>
      <w:r w:rsidR="00377D14">
        <w:rPr>
          <w:rFonts w:asciiTheme="minorHAnsi" w:hAnsiTheme="minorHAnsi" w:cstheme="minorHAnsi"/>
          <w:i/>
        </w:rPr>
        <w:t>b</w:t>
      </w:r>
      <w:r>
        <w:rPr>
          <w:rFonts w:asciiTheme="minorHAnsi" w:hAnsiTheme="minorHAnsi" w:cstheme="minorHAnsi"/>
          <w:i/>
        </w:rPr>
        <w:t>sidy of Botox and fremanezumab;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D074CC" w:rsidRPr="00D22F1A" w:rsidTr="00D074CC">
        <w:tc>
          <w:tcPr>
            <w:tcW w:w="4452" w:type="pct"/>
            <w:vAlign w:val="center"/>
          </w:tcPr>
          <w:p w:rsidR="00D074CC" w:rsidRPr="00D22F1A" w:rsidRDefault="00D074CC" w:rsidP="00D074CC">
            <w:pPr>
              <w:rPr>
                <w:rFonts w:ascii="Arial Narrow" w:hAnsi="Arial Narrow"/>
                <w:color w:val="333333"/>
                <w:sz w:val="18"/>
                <w:szCs w:val="18"/>
              </w:rPr>
            </w:pPr>
            <w:r w:rsidRPr="00D22F1A">
              <w:rPr>
                <w:rFonts w:ascii="Arial Narrow" w:hAnsi="Arial Narrow"/>
                <w:b/>
                <w:bCs/>
                <w:color w:val="333333"/>
                <w:sz w:val="18"/>
                <w:szCs w:val="18"/>
              </w:rPr>
              <w:t>Clinical criteria:</w:t>
            </w:r>
          </w:p>
        </w:tc>
      </w:tr>
      <w:tr w:rsidR="00D074CC" w:rsidRPr="00D22F1A" w:rsidTr="00D074CC">
        <w:tc>
          <w:tcPr>
            <w:tcW w:w="4452" w:type="pct"/>
            <w:vAlign w:val="center"/>
          </w:tcPr>
          <w:p w:rsidR="00D074CC" w:rsidRPr="00D22F1A" w:rsidRDefault="00D074CC" w:rsidP="00D074CC">
            <w:pPr>
              <w:rPr>
                <w:rFonts w:ascii="Arial Narrow" w:hAnsi="Arial Narrow"/>
                <w:color w:val="333333"/>
                <w:sz w:val="18"/>
                <w:szCs w:val="18"/>
              </w:rPr>
            </w:pPr>
            <w:r w:rsidRPr="001F64FE">
              <w:rPr>
                <w:rFonts w:ascii="Arial Narrow" w:hAnsi="Arial Narrow"/>
                <w:color w:val="333333"/>
                <w:sz w:val="18"/>
                <w:szCs w:val="18"/>
              </w:rPr>
              <w:t xml:space="preserve">The treatment must not be in combination with PBS-subsidised </w:t>
            </w:r>
            <w:r w:rsidRPr="00332557">
              <w:rPr>
                <w:rFonts w:ascii="Arial Narrow" w:hAnsi="Arial Narrow"/>
                <w:color w:val="333333"/>
                <w:sz w:val="18"/>
                <w:szCs w:val="18"/>
              </w:rPr>
              <w:t>calcitonin gene-related peptide (CGRP) inhibitors</w:t>
            </w:r>
          </w:p>
        </w:tc>
      </w:tr>
    </w:tbl>
    <w:p w:rsidR="00D074CC" w:rsidRDefault="00713BB1" w:rsidP="002058E4">
      <w:pPr>
        <w:spacing w:before="120" w:after="120"/>
        <w:rPr>
          <w:rFonts w:ascii="Arial Narrow" w:hAnsi="Arial Narrow" w:cs="Arial"/>
          <w:sz w:val="18"/>
          <w:szCs w:val="18"/>
        </w:rPr>
      </w:pPr>
      <w:r>
        <w:rPr>
          <w:rFonts w:asciiTheme="minorHAnsi" w:hAnsiTheme="minorHAnsi" w:cstheme="minorHAnsi"/>
          <w:i/>
        </w:rPr>
        <w:t>3) U</w:t>
      </w:r>
      <w:r w:rsidR="00D074CC" w:rsidRPr="000C63BC">
        <w:rPr>
          <w:rFonts w:asciiTheme="minorHAnsi" w:hAnsiTheme="minorHAnsi" w:cstheme="minorHAnsi"/>
          <w:i/>
        </w:rPr>
        <w:t>pdate</w:t>
      </w:r>
      <w:r>
        <w:rPr>
          <w:rFonts w:asciiTheme="minorHAnsi" w:hAnsiTheme="minorHAnsi" w:cstheme="minorHAnsi"/>
          <w:i/>
        </w:rPr>
        <w:t xml:space="preserve"> the</w:t>
      </w:r>
      <w:r w:rsidR="00D074CC" w:rsidRPr="000C63BC">
        <w:rPr>
          <w:rFonts w:asciiTheme="minorHAnsi" w:hAnsiTheme="minorHAnsi" w:cstheme="minorHAnsi"/>
          <w:i/>
        </w:rPr>
        <w:t xml:space="preserve"> existing list of prophylactic migraine medications </w:t>
      </w:r>
      <w:r>
        <w:rPr>
          <w:rFonts w:asciiTheme="minorHAnsi" w:hAnsiTheme="minorHAnsi" w:cstheme="minorHAnsi"/>
          <w:i/>
        </w:rPr>
        <w:t xml:space="preserve">to be consistent with the list appearing in the prescribing instruction </w:t>
      </w:r>
      <w:r w:rsidR="002058E4">
        <w:rPr>
          <w:rFonts w:asciiTheme="minorHAnsi" w:hAnsiTheme="minorHAnsi" w:cstheme="minorHAnsi"/>
          <w:i/>
        </w:rPr>
        <w:t>of the fremanezumab</w:t>
      </w:r>
      <w:r>
        <w:rPr>
          <w:rFonts w:asciiTheme="minorHAnsi" w:hAnsiTheme="minorHAnsi" w:cstheme="minorHAnsi"/>
          <w:i/>
        </w:rPr>
        <w:t xml:space="preserve"> initial treatment listing above</w:t>
      </w:r>
      <w:r w:rsidR="004155EC">
        <w:rPr>
          <w:rFonts w:asciiTheme="minorHAnsi" w:hAnsiTheme="minorHAnsi" w:cstheme="minorHAnsi"/>
          <w:i/>
        </w:rPr>
        <w:t>.</w:t>
      </w:r>
    </w:p>
    <w:p w:rsidR="004155EC" w:rsidRDefault="004155EC">
      <w:pPr>
        <w:rPr>
          <w:rFonts w:asciiTheme="minorHAnsi" w:hAnsiTheme="minorHAnsi" w:cstheme="minorHAnsi"/>
          <w:b/>
        </w:rPr>
      </w:pPr>
      <w:r w:rsidRPr="00125FC2">
        <w:rPr>
          <w:rFonts w:asciiTheme="minorHAnsi" w:hAnsiTheme="minorHAnsi" w:cstheme="minorHAnsi"/>
          <w:b/>
          <w:i/>
        </w:rPr>
        <w:t>This restriction may be subject to further review. Should there be any changes made to the restriction the Sponsor will be informed</w:t>
      </w:r>
      <w:r w:rsidRPr="00125FC2">
        <w:rPr>
          <w:rFonts w:asciiTheme="minorHAnsi" w:hAnsiTheme="minorHAnsi" w:cstheme="minorHAnsi"/>
          <w:b/>
        </w:rPr>
        <w:t>.</w:t>
      </w:r>
    </w:p>
    <w:p w:rsidR="007D1DE2" w:rsidRDefault="007D1DE2" w:rsidP="007D1DE2">
      <w:pPr>
        <w:pStyle w:val="2Sections"/>
        <w:numPr>
          <w:ilvl w:val="0"/>
          <w:numId w:val="2"/>
        </w:numPr>
        <w:rPr>
          <w:color w:val="1F497D"/>
        </w:rPr>
      </w:pPr>
      <w:r w:rsidRPr="00C07617">
        <w:t>Context for Decision</w:t>
      </w:r>
    </w:p>
    <w:p w:rsidR="007D1DE2" w:rsidRPr="007129F2" w:rsidRDefault="007D1DE2" w:rsidP="007D1DE2">
      <w:pPr>
        <w:ind w:left="709"/>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7D1DE2" w:rsidRPr="00C07617" w:rsidRDefault="007D1DE2" w:rsidP="007D1DE2">
      <w:pPr>
        <w:pStyle w:val="2Sections"/>
        <w:numPr>
          <w:ilvl w:val="0"/>
          <w:numId w:val="2"/>
        </w:numPr>
        <w:rPr>
          <w:b w:val="0"/>
        </w:rPr>
      </w:pPr>
      <w:r>
        <w:t>Sponsor’s Comment</w:t>
      </w:r>
    </w:p>
    <w:p w:rsidR="007D1DE2" w:rsidRPr="007A1390" w:rsidRDefault="007A1390" w:rsidP="007A1390">
      <w:pPr>
        <w:spacing w:after="120"/>
        <w:ind w:left="709"/>
        <w:rPr>
          <w:rFonts w:asciiTheme="minorHAnsi" w:hAnsiTheme="minorHAnsi" w:cs="Arial"/>
          <w:bCs/>
        </w:rPr>
      </w:pPr>
      <w:r w:rsidRPr="007A1390">
        <w:rPr>
          <w:rFonts w:asciiTheme="minorHAnsi" w:hAnsiTheme="minorHAnsi" w:cs="Arial"/>
          <w:bCs/>
          <w:lang w:val="en-GB"/>
        </w:rPr>
        <w:t>The Sponsor thanks the PBAC for its deliberations and will continue to work with the Department of Health and the PBAC Secretariat to make fremanezumab available to Australian chronic migraine patients.</w:t>
      </w:r>
    </w:p>
    <w:sectPr w:rsidR="007D1DE2" w:rsidRPr="007A1390"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C75" w:rsidRDefault="00920C75">
      <w:r>
        <w:separator/>
      </w:r>
    </w:p>
    <w:p w:rsidR="00920C75" w:rsidRDefault="00920C75"/>
  </w:endnote>
  <w:endnote w:type="continuationSeparator" w:id="0">
    <w:p w:rsidR="00920C75" w:rsidRDefault="00920C75">
      <w:r>
        <w:continuationSeparator/>
      </w:r>
    </w:p>
    <w:p w:rsidR="00920C75" w:rsidRDefault="00920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old">
    <w:panose1 w:val="020B07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52574" w:rsidTr="005A3173">
      <w:trPr>
        <w:trHeight w:val="151"/>
      </w:trPr>
      <w:tc>
        <w:tcPr>
          <w:tcW w:w="2250" w:type="pct"/>
          <w:tcBorders>
            <w:top w:val="nil"/>
            <w:left w:val="nil"/>
            <w:bottom w:val="single" w:sz="4" w:space="0" w:color="4F81BD"/>
            <w:right w:val="nil"/>
          </w:tcBorders>
        </w:tcPr>
        <w:p w:rsidR="00152574" w:rsidRPr="005A3173" w:rsidRDefault="00152574" w:rsidP="005A3173">
          <w:pPr>
            <w:pStyle w:val="Header"/>
            <w:spacing w:line="276" w:lineRule="auto"/>
            <w:rPr>
              <w:rFonts w:eastAsia="MS Gothic"/>
              <w:b/>
              <w:bCs/>
              <w:color w:val="4F81BD"/>
            </w:rPr>
          </w:pPr>
        </w:p>
      </w:tc>
      <w:tc>
        <w:tcPr>
          <w:tcW w:w="500" w:type="pct"/>
          <w:vMerge w:val="restart"/>
          <w:noWrap/>
          <w:vAlign w:val="center"/>
          <w:hideMark/>
        </w:tcPr>
        <w:p w:rsidR="00152574" w:rsidRPr="005A3173" w:rsidRDefault="0015257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52574" w:rsidRPr="005A3173" w:rsidRDefault="00152574" w:rsidP="005A3173">
          <w:pPr>
            <w:pStyle w:val="Header"/>
            <w:spacing w:line="276" w:lineRule="auto"/>
            <w:rPr>
              <w:rFonts w:eastAsia="MS Gothic"/>
              <w:b/>
              <w:bCs/>
              <w:color w:val="4F81BD"/>
            </w:rPr>
          </w:pPr>
        </w:p>
      </w:tc>
    </w:tr>
    <w:tr w:rsidR="00152574" w:rsidTr="005A3173">
      <w:trPr>
        <w:trHeight w:val="150"/>
      </w:trPr>
      <w:tc>
        <w:tcPr>
          <w:tcW w:w="2250" w:type="pct"/>
          <w:tcBorders>
            <w:top w:val="single" w:sz="4" w:space="0" w:color="4F81BD"/>
            <w:left w:val="nil"/>
            <w:bottom w:val="nil"/>
            <w:right w:val="nil"/>
          </w:tcBorders>
        </w:tcPr>
        <w:p w:rsidR="00152574" w:rsidRPr="005A3173" w:rsidRDefault="00152574" w:rsidP="005A3173">
          <w:pPr>
            <w:pStyle w:val="Header"/>
            <w:spacing w:line="276" w:lineRule="auto"/>
            <w:rPr>
              <w:rFonts w:eastAsia="MS Gothic"/>
              <w:b/>
              <w:bCs/>
              <w:color w:val="4F81BD"/>
            </w:rPr>
          </w:pPr>
        </w:p>
      </w:tc>
      <w:tc>
        <w:tcPr>
          <w:tcW w:w="0" w:type="auto"/>
          <w:vMerge/>
          <w:vAlign w:val="center"/>
          <w:hideMark/>
        </w:tcPr>
        <w:p w:rsidR="00152574" w:rsidRPr="005A3173" w:rsidRDefault="00152574" w:rsidP="005A3173">
          <w:pPr>
            <w:rPr>
              <w:color w:val="365F91"/>
              <w:sz w:val="22"/>
              <w:szCs w:val="22"/>
            </w:rPr>
          </w:pPr>
        </w:p>
      </w:tc>
      <w:tc>
        <w:tcPr>
          <w:tcW w:w="2250" w:type="pct"/>
          <w:tcBorders>
            <w:top w:val="single" w:sz="4" w:space="0" w:color="4F81BD"/>
            <w:left w:val="nil"/>
            <w:bottom w:val="nil"/>
            <w:right w:val="nil"/>
          </w:tcBorders>
        </w:tcPr>
        <w:p w:rsidR="00152574" w:rsidRPr="005A3173" w:rsidRDefault="00152574" w:rsidP="005A3173">
          <w:pPr>
            <w:pStyle w:val="Header"/>
            <w:spacing w:line="276" w:lineRule="auto"/>
            <w:rPr>
              <w:rFonts w:eastAsia="MS Gothic"/>
              <w:b/>
              <w:bCs/>
              <w:color w:val="4F81BD"/>
            </w:rPr>
          </w:pPr>
        </w:p>
      </w:tc>
    </w:tr>
  </w:tbl>
  <w:p w:rsidR="00152574" w:rsidRDefault="00152574"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2574" w:rsidRDefault="00152574">
    <w:pPr>
      <w:pStyle w:val="Footer"/>
    </w:pPr>
  </w:p>
  <w:p w:rsidR="00152574" w:rsidRDefault="0015257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574" w:rsidRDefault="00152574" w:rsidP="00E27234">
    <w:pPr>
      <w:pStyle w:val="PBACFooter"/>
      <w:rPr>
        <w:rFonts w:asciiTheme="minorHAnsi" w:hAnsiTheme="minorHAnsi" w:cstheme="minorHAnsi"/>
        <w:sz w:val="24"/>
      </w:rPr>
    </w:pPr>
  </w:p>
  <w:p w:rsidR="00152574" w:rsidRPr="000F3384" w:rsidRDefault="00152574" w:rsidP="00E27234">
    <w:pPr>
      <w:pStyle w:val="PBACFooter"/>
      <w:rPr>
        <w:rFonts w:asciiTheme="minorHAnsi" w:hAnsiTheme="minorHAnsi" w:cstheme="minorHAnsi"/>
        <w:sz w:val="24"/>
      </w:rPr>
    </w:pPr>
    <w:r w:rsidRPr="0016193C">
      <w:rPr>
        <w:rFonts w:asciiTheme="minorHAnsi" w:hAnsiTheme="minorHAnsi" w:cstheme="minorHAnsi"/>
        <w:sz w:val="24"/>
      </w:rPr>
      <w:fldChar w:fldCharType="begin"/>
    </w:r>
    <w:r w:rsidRPr="0016193C">
      <w:rPr>
        <w:rFonts w:asciiTheme="minorHAnsi" w:hAnsiTheme="minorHAnsi" w:cstheme="minorHAnsi"/>
        <w:sz w:val="24"/>
      </w:rPr>
      <w:instrText xml:space="preserve"> PAGE   \* MERGEFORMAT </w:instrText>
    </w:r>
    <w:r w:rsidRPr="0016193C">
      <w:rPr>
        <w:rFonts w:asciiTheme="minorHAnsi" w:hAnsiTheme="minorHAnsi" w:cstheme="minorHAnsi"/>
        <w:sz w:val="24"/>
      </w:rPr>
      <w:fldChar w:fldCharType="separate"/>
    </w:r>
    <w:r w:rsidR="008A5CBB">
      <w:rPr>
        <w:rFonts w:asciiTheme="minorHAnsi" w:hAnsiTheme="minorHAnsi" w:cstheme="minorHAnsi"/>
        <w:noProof/>
        <w:sz w:val="24"/>
      </w:rPr>
      <w:t>1</w:t>
    </w:r>
    <w:r w:rsidRPr="0016193C">
      <w:rPr>
        <w:rFonts w:asciiTheme="minorHAnsi" w:hAnsiTheme="minorHAnsi" w:cstheme="minorHAnsi"/>
        <w:noProof/>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152574" w:rsidTr="005A3173">
      <w:trPr>
        <w:trHeight w:val="151"/>
      </w:trPr>
      <w:tc>
        <w:tcPr>
          <w:tcW w:w="2250" w:type="pct"/>
          <w:tcBorders>
            <w:top w:val="nil"/>
            <w:left w:val="nil"/>
            <w:bottom w:val="single" w:sz="4" w:space="0" w:color="4F81BD"/>
            <w:right w:val="nil"/>
          </w:tcBorders>
        </w:tcPr>
        <w:p w:rsidR="00152574" w:rsidRPr="005A3173" w:rsidRDefault="00152574" w:rsidP="005A3173">
          <w:pPr>
            <w:pStyle w:val="Header"/>
            <w:spacing w:line="276" w:lineRule="auto"/>
            <w:rPr>
              <w:rFonts w:eastAsia="MS Gothic"/>
              <w:b/>
              <w:bCs/>
              <w:color w:val="4F81BD"/>
            </w:rPr>
          </w:pPr>
        </w:p>
      </w:tc>
      <w:tc>
        <w:tcPr>
          <w:tcW w:w="500" w:type="pct"/>
          <w:vMerge w:val="restart"/>
          <w:noWrap/>
          <w:vAlign w:val="center"/>
          <w:hideMark/>
        </w:tcPr>
        <w:p w:rsidR="00152574" w:rsidRPr="005A3173" w:rsidRDefault="0015257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52574" w:rsidRPr="005A3173" w:rsidRDefault="00152574" w:rsidP="005A3173">
          <w:pPr>
            <w:pStyle w:val="Header"/>
            <w:spacing w:line="276" w:lineRule="auto"/>
            <w:rPr>
              <w:rFonts w:eastAsia="MS Gothic"/>
              <w:b/>
              <w:bCs/>
              <w:color w:val="4F81BD"/>
            </w:rPr>
          </w:pPr>
        </w:p>
      </w:tc>
    </w:tr>
    <w:tr w:rsidR="00152574" w:rsidTr="005A3173">
      <w:trPr>
        <w:trHeight w:val="150"/>
      </w:trPr>
      <w:tc>
        <w:tcPr>
          <w:tcW w:w="2250" w:type="pct"/>
          <w:tcBorders>
            <w:top w:val="single" w:sz="4" w:space="0" w:color="4F81BD"/>
            <w:left w:val="nil"/>
            <w:bottom w:val="nil"/>
            <w:right w:val="nil"/>
          </w:tcBorders>
        </w:tcPr>
        <w:p w:rsidR="00152574" w:rsidRPr="005A3173" w:rsidRDefault="00152574" w:rsidP="005A3173">
          <w:pPr>
            <w:pStyle w:val="Header"/>
            <w:spacing w:line="276" w:lineRule="auto"/>
            <w:rPr>
              <w:rFonts w:eastAsia="MS Gothic"/>
              <w:b/>
              <w:bCs/>
              <w:color w:val="4F81BD"/>
            </w:rPr>
          </w:pPr>
        </w:p>
      </w:tc>
      <w:tc>
        <w:tcPr>
          <w:tcW w:w="0" w:type="auto"/>
          <w:vMerge/>
          <w:vAlign w:val="center"/>
          <w:hideMark/>
        </w:tcPr>
        <w:p w:rsidR="00152574" w:rsidRPr="005A3173" w:rsidRDefault="00152574" w:rsidP="005A3173">
          <w:pPr>
            <w:rPr>
              <w:color w:val="365F91"/>
              <w:sz w:val="22"/>
              <w:szCs w:val="22"/>
            </w:rPr>
          </w:pPr>
        </w:p>
      </w:tc>
      <w:tc>
        <w:tcPr>
          <w:tcW w:w="2250" w:type="pct"/>
          <w:tcBorders>
            <w:top w:val="single" w:sz="4" w:space="0" w:color="4F81BD"/>
            <w:left w:val="nil"/>
            <w:bottom w:val="nil"/>
            <w:right w:val="nil"/>
          </w:tcBorders>
        </w:tcPr>
        <w:p w:rsidR="00152574" w:rsidRPr="005A3173" w:rsidRDefault="00152574"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52574" w:rsidTr="005A3173">
      <w:trPr>
        <w:trHeight w:val="151"/>
      </w:trPr>
      <w:tc>
        <w:tcPr>
          <w:tcW w:w="2250" w:type="pct"/>
          <w:tcBorders>
            <w:top w:val="nil"/>
            <w:left w:val="nil"/>
            <w:bottom w:val="single" w:sz="4" w:space="0" w:color="4F81BD"/>
            <w:right w:val="nil"/>
          </w:tcBorders>
        </w:tcPr>
        <w:p w:rsidR="00152574" w:rsidRPr="005A3173" w:rsidRDefault="00152574" w:rsidP="005A3173">
          <w:pPr>
            <w:pStyle w:val="Header"/>
            <w:spacing w:line="276" w:lineRule="auto"/>
            <w:rPr>
              <w:rFonts w:eastAsia="MS Gothic"/>
              <w:b/>
              <w:bCs/>
              <w:color w:val="4F81BD"/>
            </w:rPr>
          </w:pPr>
        </w:p>
      </w:tc>
      <w:tc>
        <w:tcPr>
          <w:tcW w:w="500" w:type="pct"/>
          <w:vMerge w:val="restart"/>
          <w:noWrap/>
          <w:vAlign w:val="center"/>
          <w:hideMark/>
        </w:tcPr>
        <w:p w:rsidR="00152574" w:rsidRPr="005A3173" w:rsidRDefault="0015257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52574" w:rsidRPr="005A3173" w:rsidRDefault="00152574" w:rsidP="005A3173">
          <w:pPr>
            <w:pStyle w:val="Header"/>
            <w:spacing w:line="276" w:lineRule="auto"/>
            <w:rPr>
              <w:rFonts w:eastAsia="MS Gothic"/>
              <w:b/>
              <w:bCs/>
              <w:color w:val="4F81BD"/>
            </w:rPr>
          </w:pPr>
        </w:p>
      </w:tc>
    </w:tr>
    <w:tr w:rsidR="00152574" w:rsidTr="005A3173">
      <w:trPr>
        <w:trHeight w:val="150"/>
      </w:trPr>
      <w:tc>
        <w:tcPr>
          <w:tcW w:w="2250" w:type="pct"/>
          <w:tcBorders>
            <w:top w:val="single" w:sz="4" w:space="0" w:color="4F81BD"/>
            <w:left w:val="nil"/>
            <w:bottom w:val="nil"/>
            <w:right w:val="nil"/>
          </w:tcBorders>
        </w:tcPr>
        <w:p w:rsidR="00152574" w:rsidRPr="005A3173" w:rsidRDefault="00152574" w:rsidP="005A3173">
          <w:pPr>
            <w:pStyle w:val="Header"/>
            <w:spacing w:line="276" w:lineRule="auto"/>
            <w:rPr>
              <w:rFonts w:eastAsia="MS Gothic"/>
              <w:b/>
              <w:bCs/>
              <w:color w:val="4F81BD"/>
            </w:rPr>
          </w:pPr>
        </w:p>
      </w:tc>
      <w:tc>
        <w:tcPr>
          <w:tcW w:w="0" w:type="auto"/>
          <w:vMerge/>
          <w:vAlign w:val="center"/>
          <w:hideMark/>
        </w:tcPr>
        <w:p w:rsidR="00152574" w:rsidRPr="005A3173" w:rsidRDefault="00152574" w:rsidP="005A3173">
          <w:pPr>
            <w:rPr>
              <w:color w:val="365F91"/>
              <w:sz w:val="22"/>
              <w:szCs w:val="22"/>
            </w:rPr>
          </w:pPr>
        </w:p>
      </w:tc>
      <w:tc>
        <w:tcPr>
          <w:tcW w:w="2250" w:type="pct"/>
          <w:tcBorders>
            <w:top w:val="single" w:sz="4" w:space="0" w:color="4F81BD"/>
            <w:left w:val="nil"/>
            <w:bottom w:val="nil"/>
            <w:right w:val="nil"/>
          </w:tcBorders>
        </w:tcPr>
        <w:p w:rsidR="00152574" w:rsidRPr="005A3173" w:rsidRDefault="00152574" w:rsidP="005A3173">
          <w:pPr>
            <w:pStyle w:val="Header"/>
            <w:spacing w:line="276" w:lineRule="auto"/>
            <w:rPr>
              <w:rFonts w:eastAsia="MS Gothic"/>
              <w:b/>
              <w:bCs/>
              <w:color w:val="4F81BD"/>
            </w:rPr>
          </w:pPr>
        </w:p>
      </w:tc>
    </w:tr>
  </w:tbl>
  <w:p w:rsidR="00152574" w:rsidRPr="007C0F57" w:rsidRDefault="00152574"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152574" w:rsidRPr="007C0F57" w:rsidRDefault="00152574" w:rsidP="007C0F57">
    <w:pPr>
      <w:pStyle w:val="Footer"/>
      <w:jc w:val="center"/>
      <w:rPr>
        <w:b/>
        <w:i/>
        <w:sz w:val="20"/>
        <w:szCs w:val="20"/>
      </w:rPr>
    </w:pPr>
    <w:r w:rsidRPr="007C0F57">
      <w:rPr>
        <w:b/>
        <w:i/>
        <w:sz w:val="20"/>
        <w:szCs w:val="20"/>
      </w:rPr>
      <w:t>Commercial-in-Confidence</w:t>
    </w:r>
  </w:p>
  <w:p w:rsidR="00152574" w:rsidRDefault="0015257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C75" w:rsidRDefault="00920C75">
      <w:r>
        <w:separator/>
      </w:r>
    </w:p>
    <w:p w:rsidR="00920C75" w:rsidRDefault="00920C75"/>
  </w:footnote>
  <w:footnote w:type="continuationSeparator" w:id="0">
    <w:p w:rsidR="00920C75" w:rsidRDefault="00920C75">
      <w:r>
        <w:continuationSeparator/>
      </w:r>
    </w:p>
    <w:p w:rsidR="00920C75" w:rsidRDefault="00920C75"/>
  </w:footnote>
  <w:footnote w:id="1">
    <w:p w:rsidR="00152574" w:rsidRDefault="00152574">
      <w:pPr>
        <w:pStyle w:val="FootnoteText"/>
      </w:pPr>
      <w:r>
        <w:rPr>
          <w:rStyle w:val="FootnoteReference"/>
        </w:rPr>
        <w:footnoteRef/>
      </w:r>
      <w:r>
        <w:t xml:space="preserve"> A major resubmission was withdrawn prior to consideration at the November 2019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152574" w:rsidRPr="008E0D90" w:rsidTr="00A06225">
      <w:trPr>
        <w:trHeight w:val="151"/>
      </w:trPr>
      <w:tc>
        <w:tcPr>
          <w:tcW w:w="2389" w:type="pct"/>
          <w:tcBorders>
            <w:top w:val="nil"/>
            <w:left w:val="nil"/>
            <w:bottom w:val="single" w:sz="4" w:space="0" w:color="4F81BD"/>
            <w:right w:val="nil"/>
          </w:tcBorders>
        </w:tcPr>
        <w:p w:rsidR="00152574" w:rsidRPr="00A06225" w:rsidRDefault="00152574">
          <w:pPr>
            <w:pStyle w:val="Header"/>
            <w:spacing w:line="276" w:lineRule="auto"/>
            <w:rPr>
              <w:rFonts w:ascii="Cambria" w:eastAsia="MS Gothic" w:hAnsi="Cambria"/>
              <w:b/>
              <w:bCs/>
              <w:color w:val="4F81BD"/>
            </w:rPr>
          </w:pPr>
        </w:p>
      </w:tc>
      <w:tc>
        <w:tcPr>
          <w:tcW w:w="333" w:type="pct"/>
          <w:vMerge w:val="restart"/>
          <w:noWrap/>
          <w:vAlign w:val="center"/>
          <w:hideMark/>
        </w:tcPr>
        <w:p w:rsidR="00152574" w:rsidRPr="00A06225" w:rsidRDefault="00152574"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152574" w:rsidRPr="00A06225" w:rsidRDefault="00152574">
          <w:pPr>
            <w:pStyle w:val="Header"/>
            <w:spacing w:line="276" w:lineRule="auto"/>
            <w:rPr>
              <w:rFonts w:ascii="Cambria" w:eastAsia="MS Gothic" w:hAnsi="Cambria"/>
              <w:b/>
              <w:bCs/>
              <w:color w:val="4F81BD"/>
            </w:rPr>
          </w:pPr>
        </w:p>
      </w:tc>
    </w:tr>
    <w:tr w:rsidR="00152574" w:rsidRPr="008E0D90" w:rsidTr="00A06225">
      <w:trPr>
        <w:trHeight w:val="150"/>
      </w:trPr>
      <w:tc>
        <w:tcPr>
          <w:tcW w:w="2389" w:type="pct"/>
          <w:tcBorders>
            <w:top w:val="single" w:sz="4" w:space="0" w:color="4F81BD"/>
            <w:left w:val="nil"/>
            <w:bottom w:val="nil"/>
            <w:right w:val="nil"/>
          </w:tcBorders>
        </w:tcPr>
        <w:p w:rsidR="00152574" w:rsidRPr="00A06225" w:rsidRDefault="00152574">
          <w:pPr>
            <w:pStyle w:val="Header"/>
            <w:spacing w:line="276" w:lineRule="auto"/>
            <w:rPr>
              <w:rFonts w:ascii="Cambria" w:eastAsia="MS Gothic" w:hAnsi="Cambria"/>
              <w:b/>
              <w:bCs/>
              <w:color w:val="4F81BD"/>
            </w:rPr>
          </w:pPr>
        </w:p>
      </w:tc>
      <w:tc>
        <w:tcPr>
          <w:tcW w:w="0" w:type="auto"/>
          <w:vMerge/>
          <w:vAlign w:val="center"/>
          <w:hideMark/>
        </w:tcPr>
        <w:p w:rsidR="00152574" w:rsidRPr="00A06225" w:rsidRDefault="00152574">
          <w:pPr>
            <w:rPr>
              <w:rFonts w:ascii="Cambria" w:hAnsi="Cambria"/>
              <w:color w:val="4F81BD"/>
              <w:sz w:val="22"/>
              <w:szCs w:val="22"/>
            </w:rPr>
          </w:pPr>
        </w:p>
      </w:tc>
      <w:tc>
        <w:tcPr>
          <w:tcW w:w="2278" w:type="pct"/>
          <w:tcBorders>
            <w:top w:val="single" w:sz="4" w:space="0" w:color="4F81BD"/>
            <w:left w:val="nil"/>
            <w:bottom w:val="nil"/>
            <w:right w:val="nil"/>
          </w:tcBorders>
        </w:tcPr>
        <w:p w:rsidR="00152574" w:rsidRPr="00A06225" w:rsidRDefault="00152574">
          <w:pPr>
            <w:pStyle w:val="Header"/>
            <w:spacing w:line="276" w:lineRule="auto"/>
            <w:rPr>
              <w:rFonts w:ascii="Cambria" w:eastAsia="MS Gothic" w:hAnsi="Cambria"/>
              <w:b/>
              <w:bCs/>
              <w:color w:val="4F81BD"/>
            </w:rPr>
          </w:pPr>
        </w:p>
      </w:tc>
    </w:tr>
  </w:tbl>
  <w:p w:rsidR="00152574" w:rsidRDefault="00152574">
    <w:pPr>
      <w:pStyle w:val="Header"/>
    </w:pPr>
  </w:p>
  <w:p w:rsidR="00152574" w:rsidRDefault="0015257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574" w:rsidRPr="00600FD3" w:rsidRDefault="00152574" w:rsidP="007D1DE2">
    <w:pPr>
      <w:pStyle w:val="MinorOVRHeader"/>
      <w:jc w:val="center"/>
      <w:rPr>
        <w:i/>
        <w:noProof/>
      </w:rPr>
    </w:pPr>
    <w:r>
      <w:rPr>
        <w:i/>
      </w:rPr>
      <w:t>Public Summary Document</w:t>
    </w:r>
    <w:r w:rsidRPr="00600FD3">
      <w:rPr>
        <w:i/>
      </w:rPr>
      <w:t xml:space="preserve"> – March 2020 PBAC Meeting </w:t>
    </w:r>
  </w:p>
  <w:p w:rsidR="00152574" w:rsidRDefault="00152574"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C75" w:rsidRDefault="00920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2744D0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0015B3"/>
    <w:multiLevelType w:val="hybridMultilevel"/>
    <w:tmpl w:val="0786D91A"/>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pStyle w:val="3-BodyTex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96683"/>
    <w:multiLevelType w:val="hybridMultilevel"/>
    <w:tmpl w:val="9492516E"/>
    <w:lvl w:ilvl="0" w:tplc="7C06699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0509A7"/>
    <w:multiLevelType w:val="hybridMultilevel"/>
    <w:tmpl w:val="DB8AF54E"/>
    <w:lvl w:ilvl="0" w:tplc="01A44E6E">
      <w:start w:val="1"/>
      <w:numFmt w:val="bullet"/>
      <w:pStyle w:val="DashEndLis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26E56935"/>
    <w:multiLevelType w:val="hybridMultilevel"/>
    <w:tmpl w:val="01A21E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AF59F0"/>
    <w:multiLevelType w:val="hybridMultilevel"/>
    <w:tmpl w:val="F042A47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1A41686"/>
    <w:multiLevelType w:val="hybridMultilevel"/>
    <w:tmpl w:val="4CF008D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3E5A68"/>
    <w:multiLevelType w:val="hybridMultilevel"/>
    <w:tmpl w:val="231EB4A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0" w15:restartNumberingAfterBreak="0">
    <w:nsid w:val="400A0232"/>
    <w:multiLevelType w:val="hybridMultilevel"/>
    <w:tmpl w:val="5E54490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0571C8"/>
    <w:multiLevelType w:val="hybridMultilevel"/>
    <w:tmpl w:val="D1FE823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FE6E3D"/>
    <w:multiLevelType w:val="hybridMultilevel"/>
    <w:tmpl w:val="D51E89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D4E5FE1"/>
    <w:multiLevelType w:val="hybridMultilevel"/>
    <w:tmpl w:val="BC76B1A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7453C5"/>
    <w:multiLevelType w:val="hybridMultilevel"/>
    <w:tmpl w:val="FC224798"/>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16" w15:restartNumberingAfterBreak="0">
    <w:nsid w:val="5139332A"/>
    <w:multiLevelType w:val="hybridMultilevel"/>
    <w:tmpl w:val="BC62B366"/>
    <w:lvl w:ilvl="0" w:tplc="05946E42">
      <w:start w:val="1"/>
      <w:numFmt w:val="bullet"/>
      <w:pStyle w:val="Bulletpoints"/>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BF7840"/>
    <w:multiLevelType w:val="hybridMultilevel"/>
    <w:tmpl w:val="4E126076"/>
    <w:lvl w:ilvl="0" w:tplc="70A0498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EBF0BEF"/>
    <w:multiLevelType w:val="hybridMultilevel"/>
    <w:tmpl w:val="55B2F29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002034E"/>
    <w:multiLevelType w:val="hybridMultilevel"/>
    <w:tmpl w:val="7C206AB8"/>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84D033C"/>
    <w:multiLevelType w:val="multilevel"/>
    <w:tmpl w:val="77AC8FF0"/>
    <w:lvl w:ilvl="0">
      <w:start w:val="1"/>
      <w:numFmt w:val="decimal"/>
      <w:pStyle w:val="2-SectionHeading"/>
      <w:lvlText w:val="%1"/>
      <w:lvlJc w:val="left"/>
      <w:pPr>
        <w:ind w:left="720" w:hanging="720"/>
      </w:pPr>
      <w:rPr>
        <w:rFonts w:hint="default"/>
        <w:b/>
        <w:color w:val="auto"/>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F26212C"/>
    <w:multiLevelType w:val="hybridMultilevel"/>
    <w:tmpl w:val="99500C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
  </w:num>
  <w:num w:numId="2">
    <w:abstractNumId w:val="23"/>
  </w:num>
  <w:num w:numId="3">
    <w:abstractNumId w:val="0"/>
  </w:num>
  <w:num w:numId="4">
    <w:abstractNumId w:val="23"/>
  </w:num>
  <w:num w:numId="5">
    <w:abstractNumId w:val="18"/>
  </w:num>
  <w:num w:numId="6">
    <w:abstractNumId w:val="16"/>
  </w:num>
  <w:num w:numId="7">
    <w:abstractNumId w:val="24"/>
  </w:num>
  <w:num w:numId="8">
    <w:abstractNumId w:val="21"/>
  </w:num>
  <w:num w:numId="9">
    <w:abstractNumId w:val="22"/>
  </w:num>
  <w:num w:numId="10">
    <w:abstractNumId w:val="12"/>
  </w:num>
  <w:num w:numId="11">
    <w:abstractNumId w:val="3"/>
  </w:num>
  <w:num w:numId="12">
    <w:abstractNumId w:val="9"/>
    <w:lvlOverride w:ilvl="0">
      <w:startOverride w:val="1"/>
    </w:lvlOverride>
  </w:num>
  <w:num w:numId="13">
    <w:abstractNumId w:val="23"/>
  </w:num>
  <w:num w:numId="14">
    <w:abstractNumId w:val="1"/>
  </w:num>
  <w:num w:numId="15">
    <w:abstractNumId w:val="23"/>
  </w:num>
  <w:num w:numId="16">
    <w:abstractNumId w:val="11"/>
  </w:num>
  <w:num w:numId="17">
    <w:abstractNumId w:val="6"/>
  </w:num>
  <w:num w:numId="18">
    <w:abstractNumId w:val="25"/>
  </w:num>
  <w:num w:numId="19">
    <w:abstractNumId w:val="13"/>
  </w:num>
  <w:num w:numId="20">
    <w:abstractNumId w:val="5"/>
  </w:num>
  <w:num w:numId="21">
    <w:abstractNumId w:val="19"/>
  </w:num>
  <w:num w:numId="22">
    <w:abstractNumId w:val="4"/>
  </w:num>
  <w:num w:numId="23">
    <w:abstractNumId w:val="15"/>
  </w:num>
  <w:num w:numId="24">
    <w:abstractNumId w:val="17"/>
  </w:num>
  <w:num w:numId="25">
    <w:abstractNumId w:val="20"/>
  </w:num>
  <w:num w:numId="26">
    <w:abstractNumId w:val="10"/>
  </w:num>
  <w:num w:numId="27">
    <w:abstractNumId w:val="14"/>
  </w:num>
  <w:num w:numId="28">
    <w:abstractNumId w:val="7"/>
  </w:num>
  <w:num w:numId="2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E66"/>
    <w:rsid w:val="00001663"/>
    <w:rsid w:val="000025AD"/>
    <w:rsid w:val="0000335D"/>
    <w:rsid w:val="0000376F"/>
    <w:rsid w:val="00007934"/>
    <w:rsid w:val="00011A59"/>
    <w:rsid w:val="00012730"/>
    <w:rsid w:val="0001545F"/>
    <w:rsid w:val="00016918"/>
    <w:rsid w:val="000169B9"/>
    <w:rsid w:val="00016A41"/>
    <w:rsid w:val="000214D1"/>
    <w:rsid w:val="00021C23"/>
    <w:rsid w:val="0002464A"/>
    <w:rsid w:val="0003106B"/>
    <w:rsid w:val="00033CFB"/>
    <w:rsid w:val="00033E3A"/>
    <w:rsid w:val="00034905"/>
    <w:rsid w:val="0004023A"/>
    <w:rsid w:val="000421A1"/>
    <w:rsid w:val="0004240E"/>
    <w:rsid w:val="000458EE"/>
    <w:rsid w:val="00045E26"/>
    <w:rsid w:val="00046FA6"/>
    <w:rsid w:val="00050E85"/>
    <w:rsid w:val="000514B5"/>
    <w:rsid w:val="00051F73"/>
    <w:rsid w:val="00054235"/>
    <w:rsid w:val="000554BC"/>
    <w:rsid w:val="0006048E"/>
    <w:rsid w:val="00060E64"/>
    <w:rsid w:val="00064065"/>
    <w:rsid w:val="000643A6"/>
    <w:rsid w:val="00066755"/>
    <w:rsid w:val="00072697"/>
    <w:rsid w:val="000726B7"/>
    <w:rsid w:val="00074267"/>
    <w:rsid w:val="000763D5"/>
    <w:rsid w:val="00077143"/>
    <w:rsid w:val="00080E6D"/>
    <w:rsid w:val="00082169"/>
    <w:rsid w:val="000875E0"/>
    <w:rsid w:val="000918CB"/>
    <w:rsid w:val="00091B06"/>
    <w:rsid w:val="000951C4"/>
    <w:rsid w:val="00095ADA"/>
    <w:rsid w:val="000969AD"/>
    <w:rsid w:val="00096F7A"/>
    <w:rsid w:val="00097DF2"/>
    <w:rsid w:val="000A3AA2"/>
    <w:rsid w:val="000A44B2"/>
    <w:rsid w:val="000A5A29"/>
    <w:rsid w:val="000B44C3"/>
    <w:rsid w:val="000B558D"/>
    <w:rsid w:val="000B55D8"/>
    <w:rsid w:val="000B6EFC"/>
    <w:rsid w:val="000C04F5"/>
    <w:rsid w:val="000C5F95"/>
    <w:rsid w:val="000C6996"/>
    <w:rsid w:val="000D07AC"/>
    <w:rsid w:val="000D09E9"/>
    <w:rsid w:val="000D1D51"/>
    <w:rsid w:val="000D23BA"/>
    <w:rsid w:val="000D4F16"/>
    <w:rsid w:val="000E5A5B"/>
    <w:rsid w:val="000E681E"/>
    <w:rsid w:val="000E6DC0"/>
    <w:rsid w:val="000F0003"/>
    <w:rsid w:val="000F13E3"/>
    <w:rsid w:val="000F3384"/>
    <w:rsid w:val="000F3B9A"/>
    <w:rsid w:val="000F4E6A"/>
    <w:rsid w:val="000F5975"/>
    <w:rsid w:val="000F7354"/>
    <w:rsid w:val="00100640"/>
    <w:rsid w:val="00101ABE"/>
    <w:rsid w:val="00102202"/>
    <w:rsid w:val="00102FE1"/>
    <w:rsid w:val="00104227"/>
    <w:rsid w:val="00104964"/>
    <w:rsid w:val="001107BF"/>
    <w:rsid w:val="00111BB6"/>
    <w:rsid w:val="00113649"/>
    <w:rsid w:val="001139CB"/>
    <w:rsid w:val="001155E2"/>
    <w:rsid w:val="0012417C"/>
    <w:rsid w:val="00125FC2"/>
    <w:rsid w:val="0012749D"/>
    <w:rsid w:val="00133CB8"/>
    <w:rsid w:val="00142395"/>
    <w:rsid w:val="00142714"/>
    <w:rsid w:val="00144BA3"/>
    <w:rsid w:val="001452ED"/>
    <w:rsid w:val="00147D84"/>
    <w:rsid w:val="00147FE5"/>
    <w:rsid w:val="00151E3D"/>
    <w:rsid w:val="00152574"/>
    <w:rsid w:val="0015286B"/>
    <w:rsid w:val="001549C1"/>
    <w:rsid w:val="00160D84"/>
    <w:rsid w:val="0016193C"/>
    <w:rsid w:val="00162D4E"/>
    <w:rsid w:val="00163329"/>
    <w:rsid w:val="00164623"/>
    <w:rsid w:val="001652DE"/>
    <w:rsid w:val="00165B64"/>
    <w:rsid w:val="00177610"/>
    <w:rsid w:val="00177D3A"/>
    <w:rsid w:val="00180713"/>
    <w:rsid w:val="00182F22"/>
    <w:rsid w:val="001830CE"/>
    <w:rsid w:val="00185C58"/>
    <w:rsid w:val="0018643B"/>
    <w:rsid w:val="00186E2F"/>
    <w:rsid w:val="00190C85"/>
    <w:rsid w:val="00195D0F"/>
    <w:rsid w:val="00196307"/>
    <w:rsid w:val="001A2EAD"/>
    <w:rsid w:val="001A33EA"/>
    <w:rsid w:val="001A4C4F"/>
    <w:rsid w:val="001A76FB"/>
    <w:rsid w:val="001B017F"/>
    <w:rsid w:val="001B0278"/>
    <w:rsid w:val="001B0B24"/>
    <w:rsid w:val="001B2B14"/>
    <w:rsid w:val="001B2BBC"/>
    <w:rsid w:val="001B3FFE"/>
    <w:rsid w:val="001B5129"/>
    <w:rsid w:val="001B7D41"/>
    <w:rsid w:val="001C0B4C"/>
    <w:rsid w:val="001C1195"/>
    <w:rsid w:val="001C2E42"/>
    <w:rsid w:val="001D1F5F"/>
    <w:rsid w:val="001D3FAC"/>
    <w:rsid w:val="001E06D2"/>
    <w:rsid w:val="001E2BAC"/>
    <w:rsid w:val="001E4265"/>
    <w:rsid w:val="001E5681"/>
    <w:rsid w:val="001F01DD"/>
    <w:rsid w:val="001F1850"/>
    <w:rsid w:val="001F3189"/>
    <w:rsid w:val="001F3D87"/>
    <w:rsid w:val="001F7557"/>
    <w:rsid w:val="001F7B44"/>
    <w:rsid w:val="00201910"/>
    <w:rsid w:val="002025F8"/>
    <w:rsid w:val="00203FAC"/>
    <w:rsid w:val="002058E4"/>
    <w:rsid w:val="00212D70"/>
    <w:rsid w:val="00213CFB"/>
    <w:rsid w:val="00214CD1"/>
    <w:rsid w:val="0021553C"/>
    <w:rsid w:val="0021557B"/>
    <w:rsid w:val="0021566A"/>
    <w:rsid w:val="002174FD"/>
    <w:rsid w:val="00217BE1"/>
    <w:rsid w:val="00220BC2"/>
    <w:rsid w:val="00232887"/>
    <w:rsid w:val="00234252"/>
    <w:rsid w:val="00235A97"/>
    <w:rsid w:val="00237AC6"/>
    <w:rsid w:val="00244490"/>
    <w:rsid w:val="00244A90"/>
    <w:rsid w:val="002458CF"/>
    <w:rsid w:val="00251DD8"/>
    <w:rsid w:val="00253499"/>
    <w:rsid w:val="002551A4"/>
    <w:rsid w:val="002575D8"/>
    <w:rsid w:val="00257664"/>
    <w:rsid w:val="00265151"/>
    <w:rsid w:val="00266509"/>
    <w:rsid w:val="00271BA1"/>
    <w:rsid w:val="002721D7"/>
    <w:rsid w:val="0027448F"/>
    <w:rsid w:val="00274D2E"/>
    <w:rsid w:val="002762FA"/>
    <w:rsid w:val="00277505"/>
    <w:rsid w:val="00280261"/>
    <w:rsid w:val="002823B6"/>
    <w:rsid w:val="00292CC5"/>
    <w:rsid w:val="002939FA"/>
    <w:rsid w:val="00294274"/>
    <w:rsid w:val="0029458F"/>
    <w:rsid w:val="00297E86"/>
    <w:rsid w:val="002A0E04"/>
    <w:rsid w:val="002A104C"/>
    <w:rsid w:val="002A2102"/>
    <w:rsid w:val="002A494D"/>
    <w:rsid w:val="002A4960"/>
    <w:rsid w:val="002A6548"/>
    <w:rsid w:val="002B0AE0"/>
    <w:rsid w:val="002B1AE6"/>
    <w:rsid w:val="002B1B80"/>
    <w:rsid w:val="002B1D51"/>
    <w:rsid w:val="002B2DE8"/>
    <w:rsid w:val="002B30F8"/>
    <w:rsid w:val="002B388A"/>
    <w:rsid w:val="002B5596"/>
    <w:rsid w:val="002B6F5E"/>
    <w:rsid w:val="002C1ACF"/>
    <w:rsid w:val="002C212F"/>
    <w:rsid w:val="002C7485"/>
    <w:rsid w:val="002D07FE"/>
    <w:rsid w:val="002D1920"/>
    <w:rsid w:val="002D283A"/>
    <w:rsid w:val="002D4543"/>
    <w:rsid w:val="002D7D03"/>
    <w:rsid w:val="002E3153"/>
    <w:rsid w:val="002E5292"/>
    <w:rsid w:val="002E678E"/>
    <w:rsid w:val="002E72CA"/>
    <w:rsid w:val="002F04E6"/>
    <w:rsid w:val="002F2224"/>
    <w:rsid w:val="002F600D"/>
    <w:rsid w:val="002F61CA"/>
    <w:rsid w:val="002F7529"/>
    <w:rsid w:val="00300AD6"/>
    <w:rsid w:val="00300B1B"/>
    <w:rsid w:val="003019D0"/>
    <w:rsid w:val="00302446"/>
    <w:rsid w:val="00303755"/>
    <w:rsid w:val="003047FF"/>
    <w:rsid w:val="003060BC"/>
    <w:rsid w:val="003064AF"/>
    <w:rsid w:val="003118B6"/>
    <w:rsid w:val="00312E11"/>
    <w:rsid w:val="003132D1"/>
    <w:rsid w:val="00316438"/>
    <w:rsid w:val="00317C6C"/>
    <w:rsid w:val="00320861"/>
    <w:rsid w:val="00320CD3"/>
    <w:rsid w:val="00326E79"/>
    <w:rsid w:val="003301B1"/>
    <w:rsid w:val="0033105D"/>
    <w:rsid w:val="00331189"/>
    <w:rsid w:val="0033263D"/>
    <w:rsid w:val="00334C43"/>
    <w:rsid w:val="0033518A"/>
    <w:rsid w:val="003367EF"/>
    <w:rsid w:val="00337578"/>
    <w:rsid w:val="00341656"/>
    <w:rsid w:val="00341AE4"/>
    <w:rsid w:val="00344BCF"/>
    <w:rsid w:val="003476EE"/>
    <w:rsid w:val="003534F0"/>
    <w:rsid w:val="003736C9"/>
    <w:rsid w:val="00374AD6"/>
    <w:rsid w:val="003765DB"/>
    <w:rsid w:val="00377D14"/>
    <w:rsid w:val="00384988"/>
    <w:rsid w:val="00386DF4"/>
    <w:rsid w:val="003872CF"/>
    <w:rsid w:val="0038796F"/>
    <w:rsid w:val="0039048F"/>
    <w:rsid w:val="00397302"/>
    <w:rsid w:val="0039782C"/>
    <w:rsid w:val="003A21C5"/>
    <w:rsid w:val="003A5352"/>
    <w:rsid w:val="003A5B4A"/>
    <w:rsid w:val="003A7237"/>
    <w:rsid w:val="003B23C5"/>
    <w:rsid w:val="003B2527"/>
    <w:rsid w:val="003B2A75"/>
    <w:rsid w:val="003B6124"/>
    <w:rsid w:val="003B650A"/>
    <w:rsid w:val="003B6D7A"/>
    <w:rsid w:val="003C093A"/>
    <w:rsid w:val="003C1429"/>
    <w:rsid w:val="003C174C"/>
    <w:rsid w:val="003C1ECF"/>
    <w:rsid w:val="003C2FB5"/>
    <w:rsid w:val="003D24C5"/>
    <w:rsid w:val="003D4AC4"/>
    <w:rsid w:val="003D5E59"/>
    <w:rsid w:val="003D63B7"/>
    <w:rsid w:val="003E468B"/>
    <w:rsid w:val="003E553E"/>
    <w:rsid w:val="003E62BD"/>
    <w:rsid w:val="003F0C3A"/>
    <w:rsid w:val="003F25D0"/>
    <w:rsid w:val="003F269E"/>
    <w:rsid w:val="003F3002"/>
    <w:rsid w:val="003F3228"/>
    <w:rsid w:val="003F5C8C"/>
    <w:rsid w:val="003F775A"/>
    <w:rsid w:val="004008BA"/>
    <w:rsid w:val="00400E55"/>
    <w:rsid w:val="0040128E"/>
    <w:rsid w:val="0040216B"/>
    <w:rsid w:val="00407265"/>
    <w:rsid w:val="00411DB2"/>
    <w:rsid w:val="00411FD5"/>
    <w:rsid w:val="004155EC"/>
    <w:rsid w:val="004252EC"/>
    <w:rsid w:val="00430D39"/>
    <w:rsid w:val="00431A19"/>
    <w:rsid w:val="004344CA"/>
    <w:rsid w:val="0044183B"/>
    <w:rsid w:val="00442090"/>
    <w:rsid w:val="00444D5F"/>
    <w:rsid w:val="004465BD"/>
    <w:rsid w:val="00451B84"/>
    <w:rsid w:val="004539D8"/>
    <w:rsid w:val="00457F4E"/>
    <w:rsid w:val="00461A44"/>
    <w:rsid w:val="00463330"/>
    <w:rsid w:val="00466ADA"/>
    <w:rsid w:val="00466D7D"/>
    <w:rsid w:val="004675FD"/>
    <w:rsid w:val="004702BB"/>
    <w:rsid w:val="004717C0"/>
    <w:rsid w:val="004732BC"/>
    <w:rsid w:val="0047436C"/>
    <w:rsid w:val="0047494B"/>
    <w:rsid w:val="00476245"/>
    <w:rsid w:val="00477A9B"/>
    <w:rsid w:val="00482564"/>
    <w:rsid w:val="00483035"/>
    <w:rsid w:val="00483356"/>
    <w:rsid w:val="00485940"/>
    <w:rsid w:val="004904B9"/>
    <w:rsid w:val="004923C6"/>
    <w:rsid w:val="004945C4"/>
    <w:rsid w:val="004A2484"/>
    <w:rsid w:val="004A2825"/>
    <w:rsid w:val="004A2EBE"/>
    <w:rsid w:val="004A5311"/>
    <w:rsid w:val="004A5A85"/>
    <w:rsid w:val="004A6030"/>
    <w:rsid w:val="004A71D1"/>
    <w:rsid w:val="004A7C5B"/>
    <w:rsid w:val="004B1845"/>
    <w:rsid w:val="004B2E98"/>
    <w:rsid w:val="004B5640"/>
    <w:rsid w:val="004C0333"/>
    <w:rsid w:val="004C1BD7"/>
    <w:rsid w:val="004C31FE"/>
    <w:rsid w:val="004C524C"/>
    <w:rsid w:val="004C54C9"/>
    <w:rsid w:val="004C691D"/>
    <w:rsid w:val="004C6C07"/>
    <w:rsid w:val="004C76B7"/>
    <w:rsid w:val="004D37CF"/>
    <w:rsid w:val="004D4AAC"/>
    <w:rsid w:val="004D4FF6"/>
    <w:rsid w:val="004E2755"/>
    <w:rsid w:val="004E692D"/>
    <w:rsid w:val="004E7D87"/>
    <w:rsid w:val="004F0125"/>
    <w:rsid w:val="004F2553"/>
    <w:rsid w:val="004F44D2"/>
    <w:rsid w:val="00500104"/>
    <w:rsid w:val="005012B5"/>
    <w:rsid w:val="00501554"/>
    <w:rsid w:val="00502086"/>
    <w:rsid w:val="00502AFE"/>
    <w:rsid w:val="00503AD7"/>
    <w:rsid w:val="00504DC0"/>
    <w:rsid w:val="00504E0C"/>
    <w:rsid w:val="005109D4"/>
    <w:rsid w:val="005115AE"/>
    <w:rsid w:val="00514CD7"/>
    <w:rsid w:val="0052098A"/>
    <w:rsid w:val="00520D6A"/>
    <w:rsid w:val="00521562"/>
    <w:rsid w:val="00522594"/>
    <w:rsid w:val="00522DB6"/>
    <w:rsid w:val="00525DB7"/>
    <w:rsid w:val="0052792D"/>
    <w:rsid w:val="005319B2"/>
    <w:rsid w:val="005320CB"/>
    <w:rsid w:val="00532402"/>
    <w:rsid w:val="00532C74"/>
    <w:rsid w:val="0053306B"/>
    <w:rsid w:val="00534E2E"/>
    <w:rsid w:val="00535C7B"/>
    <w:rsid w:val="00540809"/>
    <w:rsid w:val="00544552"/>
    <w:rsid w:val="00547EFA"/>
    <w:rsid w:val="00551ABC"/>
    <w:rsid w:val="0055286A"/>
    <w:rsid w:val="005528E2"/>
    <w:rsid w:val="00555745"/>
    <w:rsid w:val="005577D8"/>
    <w:rsid w:val="00557D4F"/>
    <w:rsid w:val="00563ECA"/>
    <w:rsid w:val="0056484E"/>
    <w:rsid w:val="00566F8E"/>
    <w:rsid w:val="005703A2"/>
    <w:rsid w:val="00573A69"/>
    <w:rsid w:val="005746B3"/>
    <w:rsid w:val="005764CD"/>
    <w:rsid w:val="00577C4D"/>
    <w:rsid w:val="00580532"/>
    <w:rsid w:val="00581932"/>
    <w:rsid w:val="00586DFC"/>
    <w:rsid w:val="005963BB"/>
    <w:rsid w:val="005A209F"/>
    <w:rsid w:val="005A3173"/>
    <w:rsid w:val="005A3223"/>
    <w:rsid w:val="005A3457"/>
    <w:rsid w:val="005A3AF5"/>
    <w:rsid w:val="005A3DA3"/>
    <w:rsid w:val="005A4A9B"/>
    <w:rsid w:val="005A52C4"/>
    <w:rsid w:val="005A67E9"/>
    <w:rsid w:val="005B0F9F"/>
    <w:rsid w:val="005B1766"/>
    <w:rsid w:val="005B5C51"/>
    <w:rsid w:val="005C1954"/>
    <w:rsid w:val="005C2D1A"/>
    <w:rsid w:val="005D038F"/>
    <w:rsid w:val="005D03AB"/>
    <w:rsid w:val="005D05C1"/>
    <w:rsid w:val="005D1F14"/>
    <w:rsid w:val="005D5017"/>
    <w:rsid w:val="005D63FA"/>
    <w:rsid w:val="005E1333"/>
    <w:rsid w:val="005E3136"/>
    <w:rsid w:val="005E507D"/>
    <w:rsid w:val="005E54BF"/>
    <w:rsid w:val="005E617D"/>
    <w:rsid w:val="005E7391"/>
    <w:rsid w:val="005F1275"/>
    <w:rsid w:val="005F4FFB"/>
    <w:rsid w:val="00600FD3"/>
    <w:rsid w:val="00601A91"/>
    <w:rsid w:val="00602BA3"/>
    <w:rsid w:val="00602E2B"/>
    <w:rsid w:val="00605B63"/>
    <w:rsid w:val="00605F9A"/>
    <w:rsid w:val="00606EED"/>
    <w:rsid w:val="00610A26"/>
    <w:rsid w:val="00610E7F"/>
    <w:rsid w:val="00611BB5"/>
    <w:rsid w:val="00612E34"/>
    <w:rsid w:val="00614159"/>
    <w:rsid w:val="00616C5F"/>
    <w:rsid w:val="00616DAC"/>
    <w:rsid w:val="00616F27"/>
    <w:rsid w:val="00617C00"/>
    <w:rsid w:val="00621699"/>
    <w:rsid w:val="00624503"/>
    <w:rsid w:val="00625D9B"/>
    <w:rsid w:val="006263BF"/>
    <w:rsid w:val="0062748A"/>
    <w:rsid w:val="00630A2C"/>
    <w:rsid w:val="00633C3A"/>
    <w:rsid w:val="00633E48"/>
    <w:rsid w:val="00633EB5"/>
    <w:rsid w:val="00634C60"/>
    <w:rsid w:val="00636564"/>
    <w:rsid w:val="0063682E"/>
    <w:rsid w:val="00642DA8"/>
    <w:rsid w:val="006436CD"/>
    <w:rsid w:val="00643ABF"/>
    <w:rsid w:val="00647E18"/>
    <w:rsid w:val="00651169"/>
    <w:rsid w:val="00653696"/>
    <w:rsid w:val="00653D69"/>
    <w:rsid w:val="006552E6"/>
    <w:rsid w:val="00657C63"/>
    <w:rsid w:val="00662785"/>
    <w:rsid w:val="00662A4D"/>
    <w:rsid w:val="00667094"/>
    <w:rsid w:val="006670BE"/>
    <w:rsid w:val="0067097E"/>
    <w:rsid w:val="00670A76"/>
    <w:rsid w:val="006711AA"/>
    <w:rsid w:val="00672A5F"/>
    <w:rsid w:val="00672B57"/>
    <w:rsid w:val="00675622"/>
    <w:rsid w:val="0067747D"/>
    <w:rsid w:val="00681CA4"/>
    <w:rsid w:val="0069039D"/>
    <w:rsid w:val="006906DB"/>
    <w:rsid w:val="00691E6C"/>
    <w:rsid w:val="00693571"/>
    <w:rsid w:val="00693DFB"/>
    <w:rsid w:val="00694DE2"/>
    <w:rsid w:val="0069501D"/>
    <w:rsid w:val="00696129"/>
    <w:rsid w:val="00696B29"/>
    <w:rsid w:val="00697CF2"/>
    <w:rsid w:val="006A12A5"/>
    <w:rsid w:val="006A44E6"/>
    <w:rsid w:val="006A5E20"/>
    <w:rsid w:val="006B0D94"/>
    <w:rsid w:val="006B17BE"/>
    <w:rsid w:val="006B1D1C"/>
    <w:rsid w:val="006B485D"/>
    <w:rsid w:val="006C334C"/>
    <w:rsid w:val="006C6E2A"/>
    <w:rsid w:val="006C708E"/>
    <w:rsid w:val="006D14E7"/>
    <w:rsid w:val="006D4444"/>
    <w:rsid w:val="006D5979"/>
    <w:rsid w:val="006D6493"/>
    <w:rsid w:val="006D66D2"/>
    <w:rsid w:val="006D6EC7"/>
    <w:rsid w:val="006E1BCD"/>
    <w:rsid w:val="006E6E77"/>
    <w:rsid w:val="006E7C25"/>
    <w:rsid w:val="006F1155"/>
    <w:rsid w:val="006F40C2"/>
    <w:rsid w:val="006F5125"/>
    <w:rsid w:val="006F5677"/>
    <w:rsid w:val="006F733D"/>
    <w:rsid w:val="007000AE"/>
    <w:rsid w:val="00700A52"/>
    <w:rsid w:val="00700A64"/>
    <w:rsid w:val="00702B6F"/>
    <w:rsid w:val="007037D6"/>
    <w:rsid w:val="00706A2F"/>
    <w:rsid w:val="0070718E"/>
    <w:rsid w:val="0070772B"/>
    <w:rsid w:val="00712D30"/>
    <w:rsid w:val="0071340B"/>
    <w:rsid w:val="00713BB1"/>
    <w:rsid w:val="00713F67"/>
    <w:rsid w:val="007174BB"/>
    <w:rsid w:val="0072025D"/>
    <w:rsid w:val="00727B82"/>
    <w:rsid w:val="0073137C"/>
    <w:rsid w:val="00732E35"/>
    <w:rsid w:val="00732EE6"/>
    <w:rsid w:val="00734308"/>
    <w:rsid w:val="007353D3"/>
    <w:rsid w:val="0074087B"/>
    <w:rsid w:val="00740A9F"/>
    <w:rsid w:val="00741212"/>
    <w:rsid w:val="0074156B"/>
    <w:rsid w:val="007535FE"/>
    <w:rsid w:val="007555E8"/>
    <w:rsid w:val="0076420C"/>
    <w:rsid w:val="00766A50"/>
    <w:rsid w:val="00771D07"/>
    <w:rsid w:val="0077239A"/>
    <w:rsid w:val="00773BE3"/>
    <w:rsid w:val="00774E2C"/>
    <w:rsid w:val="007753C2"/>
    <w:rsid w:val="007838B8"/>
    <w:rsid w:val="007915BA"/>
    <w:rsid w:val="007A071A"/>
    <w:rsid w:val="007A1390"/>
    <w:rsid w:val="007B35E5"/>
    <w:rsid w:val="007B3DDC"/>
    <w:rsid w:val="007B72A6"/>
    <w:rsid w:val="007C0F57"/>
    <w:rsid w:val="007C2398"/>
    <w:rsid w:val="007C40B6"/>
    <w:rsid w:val="007C729F"/>
    <w:rsid w:val="007D18B5"/>
    <w:rsid w:val="007D1DE2"/>
    <w:rsid w:val="007D503D"/>
    <w:rsid w:val="007D53B9"/>
    <w:rsid w:val="007E1D28"/>
    <w:rsid w:val="007E60C2"/>
    <w:rsid w:val="007F0021"/>
    <w:rsid w:val="007F2641"/>
    <w:rsid w:val="007F7C36"/>
    <w:rsid w:val="0080066A"/>
    <w:rsid w:val="00806796"/>
    <w:rsid w:val="00807F7D"/>
    <w:rsid w:val="008108B5"/>
    <w:rsid w:val="00810E67"/>
    <w:rsid w:val="00811CC0"/>
    <w:rsid w:val="00812AFA"/>
    <w:rsid w:val="008151D6"/>
    <w:rsid w:val="008159D9"/>
    <w:rsid w:val="008177C7"/>
    <w:rsid w:val="008213B2"/>
    <w:rsid w:val="00821527"/>
    <w:rsid w:val="008239A5"/>
    <w:rsid w:val="00825AD1"/>
    <w:rsid w:val="008268BB"/>
    <w:rsid w:val="00826F6D"/>
    <w:rsid w:val="008306F3"/>
    <w:rsid w:val="00830727"/>
    <w:rsid w:val="00830E40"/>
    <w:rsid w:val="008315E8"/>
    <w:rsid w:val="0083494A"/>
    <w:rsid w:val="00834AE1"/>
    <w:rsid w:val="00836330"/>
    <w:rsid w:val="00847452"/>
    <w:rsid w:val="00855FD6"/>
    <w:rsid w:val="00856DDD"/>
    <w:rsid w:val="00863E68"/>
    <w:rsid w:val="008647B5"/>
    <w:rsid w:val="00865D9D"/>
    <w:rsid w:val="00870281"/>
    <w:rsid w:val="00875DCB"/>
    <w:rsid w:val="00882085"/>
    <w:rsid w:val="00883188"/>
    <w:rsid w:val="00884E9A"/>
    <w:rsid w:val="00886C7E"/>
    <w:rsid w:val="00893602"/>
    <w:rsid w:val="00896C1A"/>
    <w:rsid w:val="00897D58"/>
    <w:rsid w:val="00897F22"/>
    <w:rsid w:val="008A0B39"/>
    <w:rsid w:val="008A1956"/>
    <w:rsid w:val="008A4937"/>
    <w:rsid w:val="008A50F1"/>
    <w:rsid w:val="008A59D9"/>
    <w:rsid w:val="008A5CBB"/>
    <w:rsid w:val="008A6819"/>
    <w:rsid w:val="008A7AB9"/>
    <w:rsid w:val="008B2EC0"/>
    <w:rsid w:val="008B3090"/>
    <w:rsid w:val="008C1AF7"/>
    <w:rsid w:val="008C6306"/>
    <w:rsid w:val="008C7D8D"/>
    <w:rsid w:val="008D0C69"/>
    <w:rsid w:val="008D1B5C"/>
    <w:rsid w:val="008D3C82"/>
    <w:rsid w:val="008D447E"/>
    <w:rsid w:val="008D76CA"/>
    <w:rsid w:val="008D7A41"/>
    <w:rsid w:val="008E0C14"/>
    <w:rsid w:val="008E179B"/>
    <w:rsid w:val="008E2C72"/>
    <w:rsid w:val="008E31E2"/>
    <w:rsid w:val="008E3680"/>
    <w:rsid w:val="008E5131"/>
    <w:rsid w:val="008E5870"/>
    <w:rsid w:val="008F1434"/>
    <w:rsid w:val="008F3FB5"/>
    <w:rsid w:val="008F54C3"/>
    <w:rsid w:val="008F7355"/>
    <w:rsid w:val="00902235"/>
    <w:rsid w:val="009023DC"/>
    <w:rsid w:val="0090494B"/>
    <w:rsid w:val="009067B7"/>
    <w:rsid w:val="00910C12"/>
    <w:rsid w:val="00912031"/>
    <w:rsid w:val="00920269"/>
    <w:rsid w:val="00920C75"/>
    <w:rsid w:val="00922CE2"/>
    <w:rsid w:val="00924020"/>
    <w:rsid w:val="009252EC"/>
    <w:rsid w:val="00926560"/>
    <w:rsid w:val="00930937"/>
    <w:rsid w:val="009324A6"/>
    <w:rsid w:val="00933E6C"/>
    <w:rsid w:val="00934168"/>
    <w:rsid w:val="00934C36"/>
    <w:rsid w:val="00937958"/>
    <w:rsid w:val="00941602"/>
    <w:rsid w:val="00942160"/>
    <w:rsid w:val="009511F1"/>
    <w:rsid w:val="0095146F"/>
    <w:rsid w:val="00951590"/>
    <w:rsid w:val="00954CE8"/>
    <w:rsid w:val="00954FB3"/>
    <w:rsid w:val="00957944"/>
    <w:rsid w:val="009602C5"/>
    <w:rsid w:val="00962223"/>
    <w:rsid w:val="00962C6B"/>
    <w:rsid w:val="00964C79"/>
    <w:rsid w:val="00966C2C"/>
    <w:rsid w:val="00966D0D"/>
    <w:rsid w:val="0096783C"/>
    <w:rsid w:val="00967F33"/>
    <w:rsid w:val="009722B3"/>
    <w:rsid w:val="00974C21"/>
    <w:rsid w:val="00975948"/>
    <w:rsid w:val="0097632F"/>
    <w:rsid w:val="00977BF3"/>
    <w:rsid w:val="009803E4"/>
    <w:rsid w:val="00980B0E"/>
    <w:rsid w:val="009836A3"/>
    <w:rsid w:val="009855A8"/>
    <w:rsid w:val="009857EC"/>
    <w:rsid w:val="009913F4"/>
    <w:rsid w:val="0099465B"/>
    <w:rsid w:val="00995AE4"/>
    <w:rsid w:val="00995CD6"/>
    <w:rsid w:val="009A0CDD"/>
    <w:rsid w:val="009A2CD3"/>
    <w:rsid w:val="009A2D15"/>
    <w:rsid w:val="009A3168"/>
    <w:rsid w:val="009A5640"/>
    <w:rsid w:val="009A61CA"/>
    <w:rsid w:val="009A6206"/>
    <w:rsid w:val="009B02B5"/>
    <w:rsid w:val="009B0C64"/>
    <w:rsid w:val="009B0F67"/>
    <w:rsid w:val="009B217D"/>
    <w:rsid w:val="009C1662"/>
    <w:rsid w:val="009C17AF"/>
    <w:rsid w:val="009C3291"/>
    <w:rsid w:val="009C703C"/>
    <w:rsid w:val="009D206E"/>
    <w:rsid w:val="009D3CAA"/>
    <w:rsid w:val="009D6532"/>
    <w:rsid w:val="009D668F"/>
    <w:rsid w:val="009E3444"/>
    <w:rsid w:val="009E40E1"/>
    <w:rsid w:val="009E79BA"/>
    <w:rsid w:val="009F0EFA"/>
    <w:rsid w:val="009F2026"/>
    <w:rsid w:val="009F4E46"/>
    <w:rsid w:val="009F5B65"/>
    <w:rsid w:val="009F5F2E"/>
    <w:rsid w:val="009F6108"/>
    <w:rsid w:val="00A00D37"/>
    <w:rsid w:val="00A02A11"/>
    <w:rsid w:val="00A06225"/>
    <w:rsid w:val="00A128E6"/>
    <w:rsid w:val="00A12A68"/>
    <w:rsid w:val="00A144D3"/>
    <w:rsid w:val="00A2247D"/>
    <w:rsid w:val="00A22AC3"/>
    <w:rsid w:val="00A23F3F"/>
    <w:rsid w:val="00A24017"/>
    <w:rsid w:val="00A24067"/>
    <w:rsid w:val="00A24AA1"/>
    <w:rsid w:val="00A2744D"/>
    <w:rsid w:val="00A331D9"/>
    <w:rsid w:val="00A34687"/>
    <w:rsid w:val="00A34E6C"/>
    <w:rsid w:val="00A36398"/>
    <w:rsid w:val="00A37C8D"/>
    <w:rsid w:val="00A4020E"/>
    <w:rsid w:val="00A40FB5"/>
    <w:rsid w:val="00A42826"/>
    <w:rsid w:val="00A5273B"/>
    <w:rsid w:val="00A53A9D"/>
    <w:rsid w:val="00A5515A"/>
    <w:rsid w:val="00A55FEE"/>
    <w:rsid w:val="00A61E98"/>
    <w:rsid w:val="00A62507"/>
    <w:rsid w:val="00A62C1A"/>
    <w:rsid w:val="00A63326"/>
    <w:rsid w:val="00A63E5B"/>
    <w:rsid w:val="00A6426D"/>
    <w:rsid w:val="00A665C1"/>
    <w:rsid w:val="00A6710A"/>
    <w:rsid w:val="00A70622"/>
    <w:rsid w:val="00A70977"/>
    <w:rsid w:val="00A70D58"/>
    <w:rsid w:val="00A744F9"/>
    <w:rsid w:val="00A77613"/>
    <w:rsid w:val="00A8390C"/>
    <w:rsid w:val="00A840ED"/>
    <w:rsid w:val="00A86AE0"/>
    <w:rsid w:val="00A90313"/>
    <w:rsid w:val="00A928BD"/>
    <w:rsid w:val="00A96C9A"/>
    <w:rsid w:val="00A97DE9"/>
    <w:rsid w:val="00AA12CD"/>
    <w:rsid w:val="00AA1999"/>
    <w:rsid w:val="00AA4D1C"/>
    <w:rsid w:val="00AA508F"/>
    <w:rsid w:val="00AA6172"/>
    <w:rsid w:val="00AB46D2"/>
    <w:rsid w:val="00AB5856"/>
    <w:rsid w:val="00AC193C"/>
    <w:rsid w:val="00AC4836"/>
    <w:rsid w:val="00AC4DE5"/>
    <w:rsid w:val="00AC5206"/>
    <w:rsid w:val="00AD4322"/>
    <w:rsid w:val="00AE0654"/>
    <w:rsid w:val="00AE11A5"/>
    <w:rsid w:val="00AE13E2"/>
    <w:rsid w:val="00AE22D3"/>
    <w:rsid w:val="00AE5A49"/>
    <w:rsid w:val="00AE6791"/>
    <w:rsid w:val="00AE78B6"/>
    <w:rsid w:val="00AF477A"/>
    <w:rsid w:val="00AF5002"/>
    <w:rsid w:val="00AF62C4"/>
    <w:rsid w:val="00AF62DF"/>
    <w:rsid w:val="00AF68CC"/>
    <w:rsid w:val="00AF70D7"/>
    <w:rsid w:val="00AF7991"/>
    <w:rsid w:val="00B06478"/>
    <w:rsid w:val="00B07CFB"/>
    <w:rsid w:val="00B1059E"/>
    <w:rsid w:val="00B149E2"/>
    <w:rsid w:val="00B170A5"/>
    <w:rsid w:val="00B176C8"/>
    <w:rsid w:val="00B17EE5"/>
    <w:rsid w:val="00B205AA"/>
    <w:rsid w:val="00B22E84"/>
    <w:rsid w:val="00B233AD"/>
    <w:rsid w:val="00B23E25"/>
    <w:rsid w:val="00B25F75"/>
    <w:rsid w:val="00B26B3F"/>
    <w:rsid w:val="00B2778F"/>
    <w:rsid w:val="00B33635"/>
    <w:rsid w:val="00B36123"/>
    <w:rsid w:val="00B43E90"/>
    <w:rsid w:val="00B467DC"/>
    <w:rsid w:val="00B4734E"/>
    <w:rsid w:val="00B52D71"/>
    <w:rsid w:val="00B56118"/>
    <w:rsid w:val="00B63E2E"/>
    <w:rsid w:val="00B67339"/>
    <w:rsid w:val="00B6773F"/>
    <w:rsid w:val="00B706D9"/>
    <w:rsid w:val="00B70EB3"/>
    <w:rsid w:val="00B7240A"/>
    <w:rsid w:val="00B74BAE"/>
    <w:rsid w:val="00B760FB"/>
    <w:rsid w:val="00B76368"/>
    <w:rsid w:val="00B767AB"/>
    <w:rsid w:val="00B801BA"/>
    <w:rsid w:val="00B84D5C"/>
    <w:rsid w:val="00B86A28"/>
    <w:rsid w:val="00B9165C"/>
    <w:rsid w:val="00BA230E"/>
    <w:rsid w:val="00BA2DA8"/>
    <w:rsid w:val="00BA347C"/>
    <w:rsid w:val="00BA5FAF"/>
    <w:rsid w:val="00BA76EE"/>
    <w:rsid w:val="00BB493D"/>
    <w:rsid w:val="00BB69F5"/>
    <w:rsid w:val="00BB6E67"/>
    <w:rsid w:val="00BB7EC3"/>
    <w:rsid w:val="00BC4B9A"/>
    <w:rsid w:val="00BD02C3"/>
    <w:rsid w:val="00BD041F"/>
    <w:rsid w:val="00BD784C"/>
    <w:rsid w:val="00BE020A"/>
    <w:rsid w:val="00BE13DF"/>
    <w:rsid w:val="00BE346C"/>
    <w:rsid w:val="00BE5BEB"/>
    <w:rsid w:val="00BE6911"/>
    <w:rsid w:val="00BF092C"/>
    <w:rsid w:val="00BF0FE9"/>
    <w:rsid w:val="00BF1945"/>
    <w:rsid w:val="00BF27A0"/>
    <w:rsid w:val="00BF3883"/>
    <w:rsid w:val="00BF4670"/>
    <w:rsid w:val="00BF4CB6"/>
    <w:rsid w:val="00C00885"/>
    <w:rsid w:val="00C00D9D"/>
    <w:rsid w:val="00C00DA1"/>
    <w:rsid w:val="00C00DA7"/>
    <w:rsid w:val="00C04CDE"/>
    <w:rsid w:val="00C06965"/>
    <w:rsid w:val="00C12768"/>
    <w:rsid w:val="00C12D70"/>
    <w:rsid w:val="00C13F44"/>
    <w:rsid w:val="00C14A8C"/>
    <w:rsid w:val="00C167CF"/>
    <w:rsid w:val="00C21B09"/>
    <w:rsid w:val="00C237FA"/>
    <w:rsid w:val="00C23853"/>
    <w:rsid w:val="00C2641A"/>
    <w:rsid w:val="00C2673A"/>
    <w:rsid w:val="00C26F51"/>
    <w:rsid w:val="00C27B58"/>
    <w:rsid w:val="00C30EE6"/>
    <w:rsid w:val="00C338B3"/>
    <w:rsid w:val="00C33922"/>
    <w:rsid w:val="00C35996"/>
    <w:rsid w:val="00C43C27"/>
    <w:rsid w:val="00C443AB"/>
    <w:rsid w:val="00C456FB"/>
    <w:rsid w:val="00C4747E"/>
    <w:rsid w:val="00C5151E"/>
    <w:rsid w:val="00C5342C"/>
    <w:rsid w:val="00C53B2B"/>
    <w:rsid w:val="00C60272"/>
    <w:rsid w:val="00C603D4"/>
    <w:rsid w:val="00C60E36"/>
    <w:rsid w:val="00C6256A"/>
    <w:rsid w:val="00C710E2"/>
    <w:rsid w:val="00C71C3F"/>
    <w:rsid w:val="00C7324D"/>
    <w:rsid w:val="00C7409E"/>
    <w:rsid w:val="00C753A2"/>
    <w:rsid w:val="00C76E76"/>
    <w:rsid w:val="00C77891"/>
    <w:rsid w:val="00C812DE"/>
    <w:rsid w:val="00C82512"/>
    <w:rsid w:val="00C85361"/>
    <w:rsid w:val="00C91449"/>
    <w:rsid w:val="00C92D10"/>
    <w:rsid w:val="00C95579"/>
    <w:rsid w:val="00CA232A"/>
    <w:rsid w:val="00CA3487"/>
    <w:rsid w:val="00CA48D9"/>
    <w:rsid w:val="00CB0217"/>
    <w:rsid w:val="00CB1193"/>
    <w:rsid w:val="00CB257C"/>
    <w:rsid w:val="00CB4767"/>
    <w:rsid w:val="00CB493D"/>
    <w:rsid w:val="00CB4A59"/>
    <w:rsid w:val="00CB4A68"/>
    <w:rsid w:val="00CB750B"/>
    <w:rsid w:val="00CC3B97"/>
    <w:rsid w:val="00CC42AB"/>
    <w:rsid w:val="00CD223B"/>
    <w:rsid w:val="00CD30AB"/>
    <w:rsid w:val="00CD3541"/>
    <w:rsid w:val="00CD61AC"/>
    <w:rsid w:val="00CE01C6"/>
    <w:rsid w:val="00CE10C4"/>
    <w:rsid w:val="00CE27B5"/>
    <w:rsid w:val="00CE38FC"/>
    <w:rsid w:val="00CE5431"/>
    <w:rsid w:val="00CE6DAF"/>
    <w:rsid w:val="00CE710E"/>
    <w:rsid w:val="00CF082F"/>
    <w:rsid w:val="00CF3593"/>
    <w:rsid w:val="00CF410A"/>
    <w:rsid w:val="00CF6F4F"/>
    <w:rsid w:val="00D0321E"/>
    <w:rsid w:val="00D03455"/>
    <w:rsid w:val="00D074CC"/>
    <w:rsid w:val="00D07A8A"/>
    <w:rsid w:val="00D13D41"/>
    <w:rsid w:val="00D1455A"/>
    <w:rsid w:val="00D14E7C"/>
    <w:rsid w:val="00D159CA"/>
    <w:rsid w:val="00D22093"/>
    <w:rsid w:val="00D25085"/>
    <w:rsid w:val="00D279F1"/>
    <w:rsid w:val="00D3063D"/>
    <w:rsid w:val="00D31150"/>
    <w:rsid w:val="00D3138B"/>
    <w:rsid w:val="00D3280C"/>
    <w:rsid w:val="00D3406A"/>
    <w:rsid w:val="00D35B47"/>
    <w:rsid w:val="00D370D4"/>
    <w:rsid w:val="00D43146"/>
    <w:rsid w:val="00D441F1"/>
    <w:rsid w:val="00D450EF"/>
    <w:rsid w:val="00D4572C"/>
    <w:rsid w:val="00D469B2"/>
    <w:rsid w:val="00D5429B"/>
    <w:rsid w:val="00D55090"/>
    <w:rsid w:val="00D5645E"/>
    <w:rsid w:val="00D57CE9"/>
    <w:rsid w:val="00D62333"/>
    <w:rsid w:val="00D62783"/>
    <w:rsid w:val="00D65658"/>
    <w:rsid w:val="00D71443"/>
    <w:rsid w:val="00D723F3"/>
    <w:rsid w:val="00D72B6F"/>
    <w:rsid w:val="00D741EB"/>
    <w:rsid w:val="00D7679C"/>
    <w:rsid w:val="00D767D8"/>
    <w:rsid w:val="00D7686F"/>
    <w:rsid w:val="00D820F3"/>
    <w:rsid w:val="00D83605"/>
    <w:rsid w:val="00D83B11"/>
    <w:rsid w:val="00D83EF6"/>
    <w:rsid w:val="00D8478A"/>
    <w:rsid w:val="00D84934"/>
    <w:rsid w:val="00D87597"/>
    <w:rsid w:val="00D878DE"/>
    <w:rsid w:val="00D9119F"/>
    <w:rsid w:val="00D91271"/>
    <w:rsid w:val="00D919F5"/>
    <w:rsid w:val="00D947BF"/>
    <w:rsid w:val="00D94F03"/>
    <w:rsid w:val="00D96B08"/>
    <w:rsid w:val="00DA069E"/>
    <w:rsid w:val="00DA0D14"/>
    <w:rsid w:val="00DA1FC9"/>
    <w:rsid w:val="00DA2C1C"/>
    <w:rsid w:val="00DA2CB5"/>
    <w:rsid w:val="00DA32B8"/>
    <w:rsid w:val="00DA32EB"/>
    <w:rsid w:val="00DA4BAC"/>
    <w:rsid w:val="00DB0151"/>
    <w:rsid w:val="00DB373C"/>
    <w:rsid w:val="00DB4659"/>
    <w:rsid w:val="00DB66B3"/>
    <w:rsid w:val="00DC146E"/>
    <w:rsid w:val="00DC2C3E"/>
    <w:rsid w:val="00DC4880"/>
    <w:rsid w:val="00DD4E6C"/>
    <w:rsid w:val="00DD555A"/>
    <w:rsid w:val="00DE1464"/>
    <w:rsid w:val="00DE6D27"/>
    <w:rsid w:val="00DF01F8"/>
    <w:rsid w:val="00DF1CAB"/>
    <w:rsid w:val="00DF217D"/>
    <w:rsid w:val="00DF26A7"/>
    <w:rsid w:val="00DF3277"/>
    <w:rsid w:val="00DF6ED3"/>
    <w:rsid w:val="00DF7919"/>
    <w:rsid w:val="00E0207E"/>
    <w:rsid w:val="00E03912"/>
    <w:rsid w:val="00E03A56"/>
    <w:rsid w:val="00E078D9"/>
    <w:rsid w:val="00E07EDF"/>
    <w:rsid w:val="00E15627"/>
    <w:rsid w:val="00E15D9D"/>
    <w:rsid w:val="00E162B2"/>
    <w:rsid w:val="00E164B3"/>
    <w:rsid w:val="00E16910"/>
    <w:rsid w:val="00E21196"/>
    <w:rsid w:val="00E2276D"/>
    <w:rsid w:val="00E24E09"/>
    <w:rsid w:val="00E27234"/>
    <w:rsid w:val="00E365C9"/>
    <w:rsid w:val="00E40534"/>
    <w:rsid w:val="00E42BDB"/>
    <w:rsid w:val="00E4344F"/>
    <w:rsid w:val="00E44DC0"/>
    <w:rsid w:val="00E55451"/>
    <w:rsid w:val="00E57EEB"/>
    <w:rsid w:val="00E62D94"/>
    <w:rsid w:val="00E64F37"/>
    <w:rsid w:val="00E65E54"/>
    <w:rsid w:val="00E661C7"/>
    <w:rsid w:val="00E71B4D"/>
    <w:rsid w:val="00E72EA7"/>
    <w:rsid w:val="00E80155"/>
    <w:rsid w:val="00E8134B"/>
    <w:rsid w:val="00E81E0D"/>
    <w:rsid w:val="00E81F28"/>
    <w:rsid w:val="00E83BE0"/>
    <w:rsid w:val="00E848C0"/>
    <w:rsid w:val="00E848FD"/>
    <w:rsid w:val="00E85C4B"/>
    <w:rsid w:val="00E91B96"/>
    <w:rsid w:val="00E93D1E"/>
    <w:rsid w:val="00E941A1"/>
    <w:rsid w:val="00E9444F"/>
    <w:rsid w:val="00E95CE3"/>
    <w:rsid w:val="00EA12B4"/>
    <w:rsid w:val="00EA156C"/>
    <w:rsid w:val="00EA19C9"/>
    <w:rsid w:val="00EA252F"/>
    <w:rsid w:val="00EA2825"/>
    <w:rsid w:val="00EA2EAF"/>
    <w:rsid w:val="00EA4232"/>
    <w:rsid w:val="00EA4BF9"/>
    <w:rsid w:val="00EA6518"/>
    <w:rsid w:val="00EA7466"/>
    <w:rsid w:val="00EA7EDE"/>
    <w:rsid w:val="00EB0B63"/>
    <w:rsid w:val="00EB0DBB"/>
    <w:rsid w:val="00EB1936"/>
    <w:rsid w:val="00EB37BE"/>
    <w:rsid w:val="00EB5088"/>
    <w:rsid w:val="00EC0CF2"/>
    <w:rsid w:val="00EC7CC3"/>
    <w:rsid w:val="00ED1644"/>
    <w:rsid w:val="00ED2593"/>
    <w:rsid w:val="00ED7D9C"/>
    <w:rsid w:val="00EE30EF"/>
    <w:rsid w:val="00EE6815"/>
    <w:rsid w:val="00EE7857"/>
    <w:rsid w:val="00EF0069"/>
    <w:rsid w:val="00EF1EF3"/>
    <w:rsid w:val="00EF44A0"/>
    <w:rsid w:val="00EF4BAB"/>
    <w:rsid w:val="00EF4FED"/>
    <w:rsid w:val="00EF5C70"/>
    <w:rsid w:val="00EF68F6"/>
    <w:rsid w:val="00F007C6"/>
    <w:rsid w:val="00F0172E"/>
    <w:rsid w:val="00F050BD"/>
    <w:rsid w:val="00F05657"/>
    <w:rsid w:val="00F07A7E"/>
    <w:rsid w:val="00F209E2"/>
    <w:rsid w:val="00F20A4F"/>
    <w:rsid w:val="00F25578"/>
    <w:rsid w:val="00F258E5"/>
    <w:rsid w:val="00F25B9C"/>
    <w:rsid w:val="00F26CC6"/>
    <w:rsid w:val="00F300BC"/>
    <w:rsid w:val="00F3263C"/>
    <w:rsid w:val="00F3334E"/>
    <w:rsid w:val="00F36CCB"/>
    <w:rsid w:val="00F374E5"/>
    <w:rsid w:val="00F37B93"/>
    <w:rsid w:val="00F43AF2"/>
    <w:rsid w:val="00F447FF"/>
    <w:rsid w:val="00F5007E"/>
    <w:rsid w:val="00F50EC4"/>
    <w:rsid w:val="00F52232"/>
    <w:rsid w:val="00F53D8A"/>
    <w:rsid w:val="00F550CF"/>
    <w:rsid w:val="00F57A6D"/>
    <w:rsid w:val="00F638CC"/>
    <w:rsid w:val="00F64C9E"/>
    <w:rsid w:val="00F64CC1"/>
    <w:rsid w:val="00F6696C"/>
    <w:rsid w:val="00F72317"/>
    <w:rsid w:val="00F80475"/>
    <w:rsid w:val="00F8247A"/>
    <w:rsid w:val="00F82E5C"/>
    <w:rsid w:val="00F8417C"/>
    <w:rsid w:val="00F90E01"/>
    <w:rsid w:val="00F9629A"/>
    <w:rsid w:val="00F971F9"/>
    <w:rsid w:val="00F97EFC"/>
    <w:rsid w:val="00FA1BDD"/>
    <w:rsid w:val="00FA305C"/>
    <w:rsid w:val="00FA4DD5"/>
    <w:rsid w:val="00FA5883"/>
    <w:rsid w:val="00FA6055"/>
    <w:rsid w:val="00FB12C6"/>
    <w:rsid w:val="00FB322F"/>
    <w:rsid w:val="00FB375A"/>
    <w:rsid w:val="00FB442F"/>
    <w:rsid w:val="00FB7FD7"/>
    <w:rsid w:val="00FC048B"/>
    <w:rsid w:val="00FC154F"/>
    <w:rsid w:val="00FC1929"/>
    <w:rsid w:val="00FC2C29"/>
    <w:rsid w:val="00FC5B46"/>
    <w:rsid w:val="00FD2CD5"/>
    <w:rsid w:val="00FD3730"/>
    <w:rsid w:val="00FD6D8E"/>
    <w:rsid w:val="00FE0E94"/>
    <w:rsid w:val="00FE13F4"/>
    <w:rsid w:val="00FE24D1"/>
    <w:rsid w:val="00FE3CD9"/>
    <w:rsid w:val="00FE3E1F"/>
    <w:rsid w:val="00FF00BD"/>
    <w:rsid w:val="00FF1ED4"/>
    <w:rsid w:val="00FF2315"/>
    <w:rsid w:val="00FF2801"/>
    <w:rsid w:val="00FF60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56C"/>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7D503D"/>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99"/>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7D503D"/>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1 Bulleted List,Summary Bullets,Footer Setting,Bullet List,FooterText,List Paragraph1,numbered,Paragraphe de liste1,Bulletr List Paragraph,列出段落,列出段落1,List Paragraph2,List Paragraph21,L"/>
    <w:next w:val="ListBullet"/>
    <w:link w:val="ListParagraphChar"/>
    <w:uiPriority w:val="34"/>
    <w:qFormat/>
    <w:rsid w:val="007D503D"/>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3"/>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1 Bulleted List Char,Summary Bullets Char,Footer Setting Char,Bullet List Char,FooterText Char,List Paragraph1 Char,numbered Char,Paragraphe de liste1 Char,列出段落 Char"/>
    <w:basedOn w:val="DefaultParagraphFont"/>
    <w:link w:val="ListParagraph"/>
    <w:uiPriority w:val="72"/>
    <w:qFormat/>
    <w:rsid w:val="007D503D"/>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Bodytextitalics"/>
    <w:link w:val="3BodytextChar"/>
    <w:qFormat/>
    <w:rsid w:val="00E0207E"/>
    <w:rPr>
      <w:i w:val="0"/>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E0207E"/>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7D503D"/>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5"/>
      </w:numPr>
    </w:pPr>
  </w:style>
  <w:style w:type="character" w:customStyle="1" w:styleId="TableTextChar0">
    <w:name w:val="Table Text Char"/>
    <w:basedOn w:val="DefaultParagraphFont"/>
    <w:link w:val="TableText0"/>
    <w:rsid w:val="007D503D"/>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rsid w:val="00FA305C"/>
    <w:pPr>
      <w:numPr>
        <w:numId w:val="6"/>
      </w:numPr>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99"/>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12"/>
      </w:numPr>
      <w:spacing w:before="60" w:after="60" w:line="300" w:lineRule="atLeast"/>
      <w:ind w:right="567"/>
    </w:pPr>
    <w:rPr>
      <w:rFonts w:ascii="Tahoma" w:hAnsi="Tahoma"/>
      <w:sz w:val="22"/>
      <w:szCs w:val="20"/>
    </w:rPr>
  </w:style>
  <w:style w:type="paragraph" w:customStyle="1" w:styleId="GeneralHeading">
    <w:name w:val="General Heading"/>
    <w:qFormat/>
    <w:rsid w:val="007D503D"/>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7D503D"/>
    <w:pPr>
      <w:keepNext/>
    </w:pPr>
    <w:rPr>
      <w:rFonts w:ascii="Arial Narrow" w:eastAsiaTheme="majorEastAsia" w:hAnsi="Arial Narrow"/>
      <w:b/>
      <w:szCs w:val="24"/>
      <w:lang w:val="en-US"/>
    </w:rPr>
  </w:style>
  <w:style w:type="paragraph" w:customStyle="1" w:styleId="2-SectionHeading">
    <w:name w:val="2-Section Heading"/>
    <w:qFormat/>
    <w:rsid w:val="007D503D"/>
    <w:pPr>
      <w:keepNext/>
      <w:numPr>
        <w:numId w:val="1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7D503D"/>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7D503D"/>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7D503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7D503D"/>
    <w:rPr>
      <w:rFonts w:ascii="Arial Narrow" w:eastAsiaTheme="majorEastAsia" w:hAnsi="Arial Narrow" w:cstheme="majorBidi"/>
      <w:b/>
      <w:bCs/>
      <w:szCs w:val="24"/>
    </w:rPr>
  </w:style>
  <w:style w:type="paragraph" w:customStyle="1" w:styleId="3-BodyText">
    <w:name w:val="3-Body Text"/>
    <w:link w:val="3-BodyTextChar"/>
    <w:qFormat/>
    <w:rsid w:val="007D503D"/>
    <w:pPr>
      <w:numPr>
        <w:ilvl w:val="1"/>
        <w:numId w:val="1"/>
      </w:numPr>
      <w:tabs>
        <w:tab w:val="clear" w:pos="144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7D503D"/>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7D503D"/>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7D503D"/>
    <w:rPr>
      <w:rFonts w:ascii="Calibri" w:hAnsi="Calibri" w:cs="Arial"/>
      <w:b/>
      <w:sz w:val="24"/>
      <w:szCs w:val="24"/>
    </w:rPr>
  </w:style>
  <w:style w:type="paragraph" w:customStyle="1" w:styleId="TableFigureFooter">
    <w:name w:val="Table/Figure Footer"/>
    <w:basedOn w:val="Normal"/>
    <w:link w:val="TableFigureFooterChar"/>
    <w:qFormat/>
    <w:rsid w:val="007D503D"/>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7D503D"/>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7D503D"/>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7D503D"/>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7D503D"/>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7D503D"/>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14"/>
      </w:numPr>
      <w:contextualSpacing/>
    </w:pPr>
  </w:style>
  <w:style w:type="paragraph" w:customStyle="1" w:styleId="PBACTableText">
    <w:name w:val="PBAC Table Text"/>
    <w:basedOn w:val="Normal"/>
    <w:link w:val="PBACTableTextChar"/>
    <w:rsid w:val="00160D84"/>
    <w:pPr>
      <w:spacing w:before="40" w:after="40"/>
    </w:pPr>
    <w:rPr>
      <w:rFonts w:ascii="Arial Narrow" w:hAnsi="Arial Narrow"/>
      <w:sz w:val="20"/>
      <w:szCs w:val="20"/>
      <w:lang w:eastAsia="en-US"/>
    </w:rPr>
  </w:style>
  <w:style w:type="character" w:customStyle="1" w:styleId="PBACTableTextChar">
    <w:name w:val="PBAC Table Text Char"/>
    <w:basedOn w:val="DefaultParagraphFont"/>
    <w:link w:val="PBACTableText"/>
    <w:rsid w:val="00160D84"/>
    <w:rPr>
      <w:rFonts w:ascii="Arial Narrow" w:hAnsi="Arial Narrow"/>
      <w:lang w:eastAsia="en-US"/>
    </w:rPr>
  </w:style>
  <w:style w:type="paragraph" w:styleId="FootnoteText">
    <w:name w:val="footnote text"/>
    <w:basedOn w:val="Normal"/>
    <w:link w:val="FootnoteTextChar"/>
    <w:semiHidden/>
    <w:unhideWhenUsed/>
    <w:rsid w:val="002F2224"/>
    <w:rPr>
      <w:sz w:val="20"/>
      <w:szCs w:val="20"/>
    </w:rPr>
  </w:style>
  <w:style w:type="character" w:customStyle="1" w:styleId="FootnoteTextChar">
    <w:name w:val="Footnote Text Char"/>
    <w:basedOn w:val="DefaultParagraphFont"/>
    <w:link w:val="FootnoteText"/>
    <w:semiHidden/>
    <w:rsid w:val="002F2224"/>
    <w:rPr>
      <w:rFonts w:ascii="Calibri" w:hAnsi="Calibri"/>
    </w:rPr>
  </w:style>
  <w:style w:type="character" w:styleId="FootnoteReference">
    <w:name w:val="footnote reference"/>
    <w:basedOn w:val="DefaultParagraphFont"/>
    <w:semiHidden/>
    <w:unhideWhenUsed/>
    <w:rsid w:val="002F2224"/>
    <w:rPr>
      <w:vertAlign w:val="superscript"/>
    </w:rPr>
  </w:style>
  <w:style w:type="paragraph" w:styleId="Revision">
    <w:name w:val="Revision"/>
    <w:hidden/>
    <w:uiPriority w:val="71"/>
    <w:semiHidden/>
    <w:rsid w:val="00C60E36"/>
    <w:rPr>
      <w:rFonts w:ascii="Calibri" w:hAnsi="Calibri"/>
      <w:sz w:val="24"/>
      <w:szCs w:val="24"/>
    </w:rPr>
  </w:style>
  <w:style w:type="paragraph" w:customStyle="1" w:styleId="PbacTableHeading">
    <w:name w:val="Pbac Table Heading"/>
    <w:basedOn w:val="PBACTableText"/>
    <w:rsid w:val="005528E2"/>
    <w:pPr>
      <w:spacing w:before="0" w:after="80"/>
      <w:jc w:val="left"/>
    </w:pPr>
    <w:rPr>
      <w:rFonts w:eastAsiaTheme="minorHAnsi" w:cs="Arial"/>
      <w:b/>
    </w:rPr>
  </w:style>
  <w:style w:type="paragraph" w:customStyle="1" w:styleId="DashEndList">
    <w:name w:val="Dash End List"/>
    <w:basedOn w:val="Normal"/>
    <w:rsid w:val="005528E2"/>
    <w:pPr>
      <w:numPr>
        <w:numId w:val="22"/>
      </w:numPr>
      <w:spacing w:after="240"/>
      <w:ind w:left="714" w:hanging="357"/>
      <w:jc w:val="left"/>
    </w:pPr>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00941450">
      <w:bodyDiv w:val="1"/>
      <w:marLeft w:val="0"/>
      <w:marRight w:val="0"/>
      <w:marTop w:val="0"/>
      <w:marBottom w:val="0"/>
      <w:divBdr>
        <w:top w:val="none" w:sz="0" w:space="0" w:color="auto"/>
        <w:left w:val="none" w:sz="0" w:space="0" w:color="auto"/>
        <w:bottom w:val="none" w:sz="0" w:space="0" w:color="auto"/>
        <w:right w:val="none" w:sz="0" w:space="0" w:color="auto"/>
      </w:divBdr>
    </w:div>
    <w:div w:id="1330017571">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56675-6283-4B7C-A953-D4350D780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4861</Words>
  <Characters>28583</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2020-06-19T03:03:00Z</dcterms:created>
  <dcterms:modified xsi:type="dcterms:W3CDTF">2020-06-24T23:34:00Z</dcterms:modified>
</cp:coreProperties>
</file>