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154" w:rsidRPr="00602490" w:rsidRDefault="00075154" w:rsidP="00075154">
      <w:pPr>
        <w:pStyle w:val="1-MainHeading"/>
      </w:pPr>
      <w:bookmarkStart w:id="0" w:name="_Toc30588510"/>
      <w:r w:rsidRPr="00602490">
        <w:t>5.09</w:t>
      </w:r>
      <w:r w:rsidRPr="00602490">
        <w:tab/>
        <w:t>MEPOLIZUMAB,</w:t>
      </w:r>
      <w:r w:rsidRPr="00602490">
        <w:br/>
        <w:t>Injection 100 mg in 1 mL pre-filled syringe,</w:t>
      </w:r>
      <w:r w:rsidRPr="00602490">
        <w:br/>
        <w:t xml:space="preserve">Injection 100 mg in 1 mL pre-filled pen, </w:t>
      </w:r>
      <w:r w:rsidRPr="00602490">
        <w:br/>
        <w:t>Nucala</w:t>
      </w:r>
      <w:r w:rsidRPr="00602490">
        <w:rPr>
          <w:rFonts w:cstheme="minorHAnsi"/>
        </w:rPr>
        <w:t>®</w:t>
      </w:r>
      <w:r w:rsidRPr="00602490">
        <w:t xml:space="preserve">, </w:t>
      </w:r>
      <w:r w:rsidRPr="00602490">
        <w:br/>
        <w:t>GlaxoSmithKline Australia Pty Ltd.</w:t>
      </w:r>
      <w:bookmarkEnd w:id="0"/>
    </w:p>
    <w:p w:rsidR="008A50F1" w:rsidRPr="00602490" w:rsidRDefault="00CE10C4" w:rsidP="00392AFD">
      <w:pPr>
        <w:pStyle w:val="2Sections"/>
        <w:numPr>
          <w:ilvl w:val="0"/>
          <w:numId w:val="6"/>
        </w:numPr>
      </w:pPr>
      <w:r w:rsidRPr="00602490">
        <w:t xml:space="preserve">Purpose of </w:t>
      </w:r>
      <w:r w:rsidR="0004240E" w:rsidRPr="00602490">
        <w:t>Application</w:t>
      </w:r>
      <w:r w:rsidR="00034905" w:rsidRPr="00602490">
        <w:t xml:space="preserve"> </w:t>
      </w:r>
    </w:p>
    <w:p w:rsidR="006A12A5" w:rsidRPr="00602490" w:rsidRDefault="00EF44A0" w:rsidP="00616C19">
      <w:pPr>
        <w:pStyle w:val="3Bodytext"/>
      </w:pPr>
      <w:r w:rsidRPr="00602490">
        <w:t>The mi</w:t>
      </w:r>
      <w:r w:rsidR="00FF2801" w:rsidRPr="00602490">
        <w:t>nor submission sought</w:t>
      </w:r>
      <w:r w:rsidR="00616C19" w:rsidRPr="00602490">
        <w:t xml:space="preserve"> a Section 100 </w:t>
      </w:r>
      <w:r w:rsidR="00CD0AB7" w:rsidRPr="00602490">
        <w:t>(</w:t>
      </w:r>
      <w:r w:rsidR="00616C19" w:rsidRPr="00602490">
        <w:t xml:space="preserve">Highly Specialised Drugs </w:t>
      </w:r>
      <w:r w:rsidR="00CD0AB7" w:rsidRPr="00602490">
        <w:t>P</w:t>
      </w:r>
      <w:r w:rsidR="00616C19" w:rsidRPr="00602490">
        <w:t>rogram</w:t>
      </w:r>
      <w:r w:rsidR="00CD0AB7" w:rsidRPr="00602490">
        <w:t>)</w:t>
      </w:r>
      <w:r w:rsidR="00FF2801" w:rsidRPr="00602490">
        <w:t xml:space="preserve"> </w:t>
      </w:r>
      <w:r w:rsidR="00616C19" w:rsidRPr="00602490">
        <w:t xml:space="preserve">listing for new </w:t>
      </w:r>
      <w:r w:rsidR="00977FA6" w:rsidRPr="00602490">
        <w:t>presentations</w:t>
      </w:r>
      <w:r w:rsidR="00616C19" w:rsidRPr="00602490">
        <w:t xml:space="preserve"> of mepolizumab (Nucala</w:t>
      </w:r>
      <w:r w:rsidR="00367444" w:rsidRPr="00602490">
        <w:t xml:space="preserve"> Pen (pre-filled pen) and Nucala PFS (pre-filled syringe) from herein</w:t>
      </w:r>
      <w:r w:rsidR="00616C19" w:rsidRPr="00602490">
        <w:t>), for the treatment of uncontrolled</w:t>
      </w:r>
      <w:r w:rsidR="00367444" w:rsidRPr="00602490">
        <w:t xml:space="preserve"> severe</w:t>
      </w:r>
      <w:r w:rsidR="00616C19" w:rsidRPr="00602490">
        <w:t xml:space="preserve"> eosinophilic asthma.</w:t>
      </w:r>
    </w:p>
    <w:p w:rsidR="00187964" w:rsidRPr="00602490" w:rsidRDefault="00187964" w:rsidP="00187964">
      <w:pPr>
        <w:pStyle w:val="2Sections"/>
        <w:keepNext/>
      </w:pPr>
      <w:r w:rsidRPr="00602490">
        <w:t xml:space="preserve">Background </w:t>
      </w:r>
    </w:p>
    <w:p w:rsidR="00187964" w:rsidRPr="00602490" w:rsidRDefault="00187964" w:rsidP="008F48FE">
      <w:pPr>
        <w:pStyle w:val="Heading2"/>
      </w:pPr>
      <w:r w:rsidRPr="00602490">
        <w:t xml:space="preserve">Previous PBAC consideration </w:t>
      </w:r>
    </w:p>
    <w:p w:rsidR="00187964" w:rsidRPr="00602490" w:rsidRDefault="00187964" w:rsidP="00CB1121">
      <w:pPr>
        <w:pStyle w:val="3Bodytext"/>
      </w:pPr>
      <w:r w:rsidRPr="00602490">
        <w:t xml:space="preserve">Mepolizumab </w:t>
      </w:r>
      <w:r w:rsidR="00F00B32" w:rsidRPr="00602490">
        <w:t xml:space="preserve">(powder for injection; Nucala Vial from herein) </w:t>
      </w:r>
      <w:r w:rsidRPr="00602490">
        <w:t xml:space="preserve">was first considered by the PBAC </w:t>
      </w:r>
      <w:r w:rsidR="00CB1121" w:rsidRPr="00602490">
        <w:t xml:space="preserve">at its </w:t>
      </w:r>
      <w:r w:rsidRPr="00602490">
        <w:t>March 2016</w:t>
      </w:r>
      <w:r w:rsidR="00CB1121" w:rsidRPr="00602490">
        <w:t xml:space="preserve"> meeting and was </w:t>
      </w:r>
      <w:r w:rsidRPr="00602490">
        <w:t xml:space="preserve">recommended </w:t>
      </w:r>
      <w:r w:rsidR="00CB1121" w:rsidRPr="00602490">
        <w:t xml:space="preserve">by the PBAC </w:t>
      </w:r>
      <w:r w:rsidRPr="00602490">
        <w:t xml:space="preserve">on a cost-minimisation basis with </w:t>
      </w:r>
      <w:proofErr w:type="spellStart"/>
      <w:r w:rsidRPr="00602490">
        <w:t>omalizumab</w:t>
      </w:r>
      <w:proofErr w:type="spellEnd"/>
      <w:r w:rsidR="00CB1121" w:rsidRPr="00602490">
        <w:t xml:space="preserve"> in July 2016. Nucala Vial was PBS-listed on 1 January 2017.</w:t>
      </w:r>
      <w:r w:rsidRPr="00602490">
        <w:t xml:space="preserve"> </w:t>
      </w:r>
    </w:p>
    <w:p w:rsidR="00187964" w:rsidRPr="00602490" w:rsidRDefault="00187964" w:rsidP="008F48FE">
      <w:pPr>
        <w:pStyle w:val="Heading2"/>
      </w:pPr>
      <w:r w:rsidRPr="00602490">
        <w:t>Registration status</w:t>
      </w:r>
    </w:p>
    <w:p w:rsidR="00187964" w:rsidRPr="00602490" w:rsidRDefault="00187964" w:rsidP="00187964">
      <w:pPr>
        <w:pStyle w:val="3Bodytext"/>
      </w:pPr>
      <w:r w:rsidRPr="00602490">
        <w:t xml:space="preserve">Nucala Pen and PFS were both TGA registered on 2 December 2019 with the same indication as Nucala Vial, as add-on treatment for severe eosinophilic asthma in patients aged 12 years and over. </w:t>
      </w:r>
    </w:p>
    <w:p w:rsidR="00187964" w:rsidRPr="00602490" w:rsidRDefault="00187964" w:rsidP="00187964">
      <w:pPr>
        <w:pStyle w:val="Bodytextitalics"/>
        <w:rPr>
          <w:i w:val="0"/>
        </w:rPr>
      </w:pPr>
      <w:r w:rsidRPr="00602490">
        <w:rPr>
          <w:i w:val="0"/>
        </w:rPr>
        <w:t xml:space="preserve">The TGA </w:t>
      </w:r>
      <w:r w:rsidR="00292519" w:rsidRPr="00602490">
        <w:rPr>
          <w:i w:val="0"/>
        </w:rPr>
        <w:t>D</w:t>
      </w:r>
      <w:r w:rsidRPr="00602490">
        <w:rPr>
          <w:i w:val="0"/>
        </w:rPr>
        <w:t xml:space="preserve">elegate determined that mepolizumab solution (contained in the Nucala Pen and PFS) was bio-analytically comparable to </w:t>
      </w:r>
      <w:proofErr w:type="gramStart"/>
      <w:r w:rsidRPr="00602490">
        <w:rPr>
          <w:i w:val="0"/>
        </w:rPr>
        <w:t>mepolizumab lyophilised</w:t>
      </w:r>
      <w:proofErr w:type="gramEnd"/>
      <w:r w:rsidRPr="00602490">
        <w:rPr>
          <w:i w:val="0"/>
        </w:rPr>
        <w:t xml:space="preserve"> powder (contained in Nucala Vial) for injection and were both administered subcutaneously at the same dose regimen (once every four weeks)</w:t>
      </w:r>
      <w:r w:rsidR="004B7EB6" w:rsidRPr="00602490">
        <w:rPr>
          <w:i w:val="0"/>
        </w:rPr>
        <w:t>.</w:t>
      </w:r>
    </w:p>
    <w:p w:rsidR="006A12A5" w:rsidRPr="00602490" w:rsidRDefault="006A12A5" w:rsidP="0033263D">
      <w:pPr>
        <w:pStyle w:val="2Sections"/>
      </w:pPr>
      <w:r w:rsidRPr="00602490">
        <w:t>Requested listing</w:t>
      </w:r>
    </w:p>
    <w:p w:rsidR="001D17C3" w:rsidRDefault="00EF44A0" w:rsidP="00513E91">
      <w:pPr>
        <w:pStyle w:val="3Bodytext"/>
      </w:pPr>
      <w:r w:rsidRPr="00602490">
        <w:t xml:space="preserve">The submission </w:t>
      </w:r>
      <w:r w:rsidR="00FF2801" w:rsidRPr="00602490">
        <w:t>requested</w:t>
      </w:r>
      <w:r w:rsidRPr="00602490">
        <w:t xml:space="preserve"> </w:t>
      </w:r>
      <w:r w:rsidR="00BA0411" w:rsidRPr="00602490">
        <w:t xml:space="preserve">the listing of </w:t>
      </w:r>
      <w:r w:rsidR="00055235" w:rsidRPr="00602490">
        <w:t>Nucala Pen and PFS</w:t>
      </w:r>
      <w:r w:rsidR="006C629F" w:rsidRPr="00602490">
        <w:t xml:space="preserve"> under the same </w:t>
      </w:r>
      <w:r w:rsidR="00833C77" w:rsidRPr="00602490">
        <w:t>c</w:t>
      </w:r>
      <w:r w:rsidR="00BA0411" w:rsidRPr="00602490">
        <w:t xml:space="preserve">onditions </w:t>
      </w:r>
      <w:r w:rsidR="006C629F" w:rsidRPr="00602490">
        <w:t>as the current</w:t>
      </w:r>
      <w:r w:rsidR="00055235" w:rsidRPr="00602490">
        <w:t>ly</w:t>
      </w:r>
      <w:r w:rsidR="006C629F" w:rsidRPr="00602490">
        <w:t xml:space="preserve"> PBS-listed </w:t>
      </w:r>
      <w:r w:rsidR="00055235" w:rsidRPr="00602490">
        <w:t>Nucala Vial</w:t>
      </w:r>
      <w:r w:rsidR="006C629F" w:rsidRPr="00602490">
        <w:t>.</w:t>
      </w:r>
      <w:r w:rsidRPr="00602490">
        <w:t xml:space="preserve"> </w:t>
      </w:r>
    </w:p>
    <w:p w:rsidR="00BC4D21" w:rsidRPr="00602490" w:rsidRDefault="00BA0411" w:rsidP="00D420DA">
      <w:pPr>
        <w:pStyle w:val="3Bodytext"/>
      </w:pPr>
      <w:r w:rsidRPr="00602490">
        <w:t xml:space="preserve">Additionally, a grandfather restriction </w:t>
      </w:r>
      <w:proofErr w:type="gramStart"/>
      <w:r w:rsidRPr="00602490">
        <w:t xml:space="preserve">was </w:t>
      </w:r>
      <w:r w:rsidR="00D420DA">
        <w:t>proposed</w:t>
      </w:r>
      <w:proofErr w:type="gramEnd"/>
      <w:r w:rsidR="00D420DA">
        <w:t xml:space="preserve"> </w:t>
      </w:r>
      <w:r w:rsidRPr="00602490">
        <w:t xml:space="preserve">to allow patients to transition from an Early Access Program </w:t>
      </w:r>
      <w:r w:rsidR="00513E91" w:rsidRPr="00602490">
        <w:t xml:space="preserve">(EAP) </w:t>
      </w:r>
      <w:r w:rsidRPr="00602490">
        <w:t xml:space="preserve">to PBS-subsidised mepolizumab. </w:t>
      </w:r>
      <w:r w:rsidR="001D17C3" w:rsidRPr="00602490">
        <w:t>The grandfather restriction aim</w:t>
      </w:r>
      <w:r w:rsidR="00D420DA">
        <w:t>ed</w:t>
      </w:r>
      <w:r w:rsidR="001D17C3" w:rsidRPr="00602490">
        <w:t xml:space="preserve"> to mirror the current initial treatment restriction, with indices of disease severity </w:t>
      </w:r>
      <w:proofErr w:type="gramStart"/>
      <w:r w:rsidR="001D17C3" w:rsidRPr="00602490">
        <w:t>being measured</w:t>
      </w:r>
      <w:proofErr w:type="gramEnd"/>
      <w:r w:rsidR="001D17C3" w:rsidRPr="00602490">
        <w:t xml:space="preserve"> prior to commencement of non-PBS subsidised therapy. Patients accessing mepolizumab through the EAP will still be required to meet all response criteria prior to </w:t>
      </w:r>
      <w:proofErr w:type="gramStart"/>
      <w:r w:rsidR="001D17C3" w:rsidRPr="00602490">
        <w:t>being approved</w:t>
      </w:r>
      <w:proofErr w:type="gramEnd"/>
      <w:r w:rsidR="001D17C3" w:rsidRPr="00602490">
        <w:t xml:space="preserve"> for continuing treatment. </w:t>
      </w:r>
    </w:p>
    <w:p w:rsidR="00A0268F" w:rsidRPr="00602490" w:rsidRDefault="00AC5C16" w:rsidP="00C51239">
      <w:pPr>
        <w:pStyle w:val="3Bodytext"/>
      </w:pPr>
      <w:r w:rsidRPr="00602490">
        <w:lastRenderedPageBreak/>
        <w:t>The minor submission estimated</w:t>
      </w:r>
      <w:r w:rsidR="004B7EB6" w:rsidRPr="00602490">
        <w:t xml:space="preserve"> that</w:t>
      </w:r>
      <w:r w:rsidRPr="00602490">
        <w:t xml:space="preserve"> </w:t>
      </w:r>
      <w:r w:rsidR="00C67AE4">
        <w:rPr>
          <w:noProof/>
          <w:color w:val="000000"/>
          <w:highlight w:val="black"/>
        </w:rPr>
        <w:t>'''''''</w:t>
      </w:r>
      <w:r w:rsidRPr="00602490">
        <w:t xml:space="preserve"> patients that will be enrolled in an </w:t>
      </w:r>
      <w:r w:rsidR="003821DE" w:rsidRPr="00602490">
        <w:t xml:space="preserve">EAP </w:t>
      </w:r>
      <w:r w:rsidR="007C0224" w:rsidRPr="00602490">
        <w:t xml:space="preserve">which will run </w:t>
      </w:r>
      <w:r w:rsidR="00490DA6" w:rsidRPr="00602490">
        <w:t>from</w:t>
      </w:r>
      <w:r w:rsidR="007C0224" w:rsidRPr="00602490">
        <w:t xml:space="preserve"> February to July 2020</w:t>
      </w:r>
      <w:r w:rsidRPr="00602490">
        <w:t>. The aim of the program is to help patients gain familiarity with the use of the new presentations</w:t>
      </w:r>
      <w:r w:rsidR="00175E5A" w:rsidRPr="00602490">
        <w:t xml:space="preserve"> of mepolizumab</w:t>
      </w:r>
      <w:r w:rsidR="00056C18" w:rsidRPr="00602490">
        <w:t>.</w:t>
      </w:r>
      <w:r w:rsidR="006D2383" w:rsidRPr="00602490">
        <w:t xml:space="preserve"> </w:t>
      </w:r>
      <w:r w:rsidR="00227D2B" w:rsidRPr="00602490">
        <w:t xml:space="preserve">The </w:t>
      </w:r>
      <w:r w:rsidR="00953200" w:rsidRPr="00602490">
        <w:t>p</w:t>
      </w:r>
      <w:r w:rsidR="00227D2B" w:rsidRPr="00602490">
        <w:t xml:space="preserve">re-PBAC response </w:t>
      </w:r>
      <w:r w:rsidR="00953200" w:rsidRPr="00602490">
        <w:t>noted that at the time of writing</w:t>
      </w:r>
      <w:r w:rsidR="004B7EB6" w:rsidRPr="00602490">
        <w:t xml:space="preserve"> (March 2020)</w:t>
      </w:r>
      <w:r w:rsidR="00953200" w:rsidRPr="00602490">
        <w:t xml:space="preserve">, </w:t>
      </w:r>
      <w:r w:rsidR="00227D2B" w:rsidRPr="00602490">
        <w:t xml:space="preserve">the </w:t>
      </w:r>
      <w:r w:rsidR="00953200" w:rsidRPr="00602490">
        <w:t>EAP wa</w:t>
      </w:r>
      <w:r w:rsidR="002F05AA" w:rsidRPr="00602490">
        <w:t xml:space="preserve">s yet to commence and the estimated </w:t>
      </w:r>
      <w:r w:rsidR="00953200" w:rsidRPr="00602490">
        <w:t xml:space="preserve">number of patients who </w:t>
      </w:r>
      <w:proofErr w:type="gramStart"/>
      <w:r w:rsidR="00953200" w:rsidRPr="00602490">
        <w:t>would be enrolled</w:t>
      </w:r>
      <w:proofErr w:type="gramEnd"/>
      <w:r w:rsidR="00953200" w:rsidRPr="00602490">
        <w:t xml:space="preserve"> would </w:t>
      </w:r>
      <w:r w:rsidR="002F05AA" w:rsidRPr="00602490">
        <w:t>likely reduce</w:t>
      </w:r>
      <w:r w:rsidR="00EC7D5F" w:rsidRPr="00602490">
        <w:t xml:space="preserve"> due to the delay</w:t>
      </w:r>
      <w:r w:rsidR="002F05AA" w:rsidRPr="00602490">
        <w:t>.</w:t>
      </w:r>
      <w:r w:rsidR="002F05AA" w:rsidRPr="00602490">
        <w:rPr>
          <w:i/>
        </w:rPr>
        <w:t xml:space="preserve"> </w:t>
      </w:r>
    </w:p>
    <w:p w:rsidR="00C02F82" w:rsidRPr="00602490" w:rsidRDefault="00C02F82" w:rsidP="00C02F82">
      <w:pPr>
        <w:pStyle w:val="3Bodytext"/>
      </w:pPr>
      <w:r w:rsidRPr="00602490">
        <w:t xml:space="preserve">The minor submission requested that substitution at a pharmacy level </w:t>
      </w:r>
      <w:r w:rsidR="004B7EB6" w:rsidRPr="00602490">
        <w:t xml:space="preserve">(‘a’ flagging) </w:t>
      </w:r>
      <w:r w:rsidRPr="00602490">
        <w:t xml:space="preserve">between the three mepolizumab presentations not be permitted once listed. </w:t>
      </w:r>
    </w:p>
    <w:p w:rsidR="0013320C" w:rsidRPr="00602490" w:rsidRDefault="0013320C" w:rsidP="008F48FE">
      <w:pPr>
        <w:pStyle w:val="3Bodytext"/>
        <w:numPr>
          <w:ilvl w:val="0"/>
          <w:numId w:val="0"/>
        </w:numPr>
        <w:ind w:left="720"/>
        <w:rPr>
          <w:i/>
        </w:rPr>
      </w:pPr>
      <w:r w:rsidRPr="00602490">
        <w:rPr>
          <w:i/>
        </w:rPr>
        <w:t xml:space="preserve">For more detail on PBAC’s view, see section </w:t>
      </w:r>
      <w:r w:rsidR="00E9350C" w:rsidRPr="00602490">
        <w:rPr>
          <w:i/>
        </w:rPr>
        <w:t xml:space="preserve">5 </w:t>
      </w:r>
      <w:r w:rsidRPr="00602490">
        <w:rPr>
          <w:i/>
        </w:rPr>
        <w:t>PBAC outcome.</w:t>
      </w:r>
    </w:p>
    <w:p w:rsidR="000B558D" w:rsidRPr="00602490" w:rsidRDefault="008D7A41" w:rsidP="00A50BE8">
      <w:pPr>
        <w:pStyle w:val="2Sections"/>
      </w:pPr>
      <w:r w:rsidRPr="00602490">
        <w:t>C</w:t>
      </w:r>
      <w:r w:rsidR="00D84934" w:rsidRPr="00602490">
        <w:t>onsideration of the evidence</w:t>
      </w:r>
    </w:p>
    <w:p w:rsidR="00D5171E" w:rsidRPr="00602490" w:rsidRDefault="00D5171E" w:rsidP="00D5171E">
      <w:pPr>
        <w:pStyle w:val="Heading2"/>
        <w:rPr>
          <w:snapToGrid w:val="0"/>
        </w:rPr>
      </w:pPr>
      <w:r w:rsidRPr="00602490">
        <w:rPr>
          <w:snapToGrid w:val="0"/>
        </w:rPr>
        <w:t>Sponsor hearing</w:t>
      </w:r>
    </w:p>
    <w:p w:rsidR="00D5171E" w:rsidRPr="00602490" w:rsidRDefault="00D5171E" w:rsidP="00D5171E">
      <w:pPr>
        <w:pStyle w:val="3Bodytext"/>
        <w:rPr>
          <w:snapToGrid w:val="0"/>
        </w:rPr>
      </w:pPr>
      <w:r w:rsidRPr="00602490">
        <w:rPr>
          <w:snapToGrid w:val="0"/>
        </w:rPr>
        <w:t>There was no hearing for this item as it was a minor submission.</w:t>
      </w:r>
    </w:p>
    <w:p w:rsidR="00D5171E" w:rsidRPr="00602490" w:rsidRDefault="00D5171E" w:rsidP="00D5171E">
      <w:pPr>
        <w:pStyle w:val="Heading2"/>
        <w:rPr>
          <w:snapToGrid w:val="0"/>
        </w:rPr>
      </w:pPr>
      <w:r w:rsidRPr="00602490">
        <w:rPr>
          <w:snapToGrid w:val="0"/>
        </w:rPr>
        <w:t>Consumer comments</w:t>
      </w:r>
    </w:p>
    <w:p w:rsidR="00D5171E" w:rsidRPr="00602490" w:rsidRDefault="00D5171E" w:rsidP="00B229B3">
      <w:pPr>
        <w:pStyle w:val="3Bodytext"/>
        <w:rPr>
          <w:snapToGrid w:val="0"/>
        </w:rPr>
      </w:pPr>
      <w:r w:rsidRPr="00602490">
        <w:rPr>
          <w:snapToGrid w:val="0"/>
        </w:rPr>
        <w:t xml:space="preserve">The PBAC noted and welcomed the input from </w:t>
      </w:r>
      <w:proofErr w:type="gramStart"/>
      <w:r w:rsidRPr="00602490">
        <w:rPr>
          <w:snapToGrid w:val="0"/>
        </w:rPr>
        <w:t>1</w:t>
      </w:r>
      <w:proofErr w:type="gramEnd"/>
      <w:r w:rsidRPr="00602490">
        <w:rPr>
          <w:snapToGrid w:val="0"/>
        </w:rPr>
        <w:t xml:space="preserve"> organisation via the Consumer Comments facility on the PBS website. </w:t>
      </w:r>
      <w:r w:rsidR="00B229B3" w:rsidRPr="00602490">
        <w:rPr>
          <w:snapToGrid w:val="0"/>
        </w:rPr>
        <w:t>Asthma Australia provided comments describing</w:t>
      </w:r>
      <w:r w:rsidRPr="00602490">
        <w:rPr>
          <w:snapToGrid w:val="0"/>
        </w:rPr>
        <w:t xml:space="preserve"> a range of benefits </w:t>
      </w:r>
      <w:r w:rsidR="00B229B3" w:rsidRPr="00602490">
        <w:rPr>
          <w:snapToGrid w:val="0"/>
        </w:rPr>
        <w:t xml:space="preserve">of having </w:t>
      </w:r>
      <w:r w:rsidR="00AB491C" w:rsidRPr="00602490">
        <w:rPr>
          <w:snapToGrid w:val="0"/>
        </w:rPr>
        <w:t>different device options for</w:t>
      </w:r>
      <w:r w:rsidR="00B229B3" w:rsidRPr="00602490">
        <w:rPr>
          <w:snapToGrid w:val="0"/>
        </w:rPr>
        <w:t xml:space="preserve"> mepolizumab available</w:t>
      </w:r>
      <w:r w:rsidR="009247F2" w:rsidRPr="00602490">
        <w:rPr>
          <w:snapToGrid w:val="0"/>
        </w:rPr>
        <w:t xml:space="preserve">. The comments noted that the new forms would be more convenient for patients as they can self-administer the new forms of mepolizumab at home in their own time rather than </w:t>
      </w:r>
      <w:r w:rsidR="00BB34CE" w:rsidRPr="00602490">
        <w:rPr>
          <w:snapToGrid w:val="0"/>
        </w:rPr>
        <w:t>having to attend</w:t>
      </w:r>
      <w:r w:rsidR="009247F2" w:rsidRPr="00602490">
        <w:rPr>
          <w:snapToGrid w:val="0"/>
        </w:rPr>
        <w:t xml:space="preserve"> a clinic to be administered the vial. The new forms also </w:t>
      </w:r>
      <w:r w:rsidR="00792270" w:rsidRPr="00602490">
        <w:rPr>
          <w:snapToGrid w:val="0"/>
        </w:rPr>
        <w:t>reduc</w:t>
      </w:r>
      <w:r w:rsidR="009247F2" w:rsidRPr="00602490">
        <w:rPr>
          <w:snapToGrid w:val="0"/>
        </w:rPr>
        <w:t>ed</w:t>
      </w:r>
      <w:r w:rsidR="00792270" w:rsidRPr="00602490">
        <w:rPr>
          <w:snapToGrid w:val="0"/>
        </w:rPr>
        <w:t xml:space="preserve"> the </w:t>
      </w:r>
      <w:r w:rsidR="00B229B3" w:rsidRPr="00602490">
        <w:rPr>
          <w:snapToGrid w:val="0"/>
        </w:rPr>
        <w:t>likelihood of preparation error and contamination</w:t>
      </w:r>
      <w:r w:rsidR="00371D8B" w:rsidRPr="00602490">
        <w:rPr>
          <w:snapToGrid w:val="0"/>
        </w:rPr>
        <w:t xml:space="preserve">, resulting </w:t>
      </w:r>
      <w:r w:rsidR="009247F2" w:rsidRPr="00602490">
        <w:rPr>
          <w:snapToGrid w:val="0"/>
        </w:rPr>
        <w:t>in more accurate and safer delivery of the medicine</w:t>
      </w:r>
      <w:r w:rsidR="00792270" w:rsidRPr="00602490">
        <w:rPr>
          <w:snapToGrid w:val="0"/>
        </w:rPr>
        <w:t>.</w:t>
      </w:r>
    </w:p>
    <w:p w:rsidR="00D84934" w:rsidRPr="00602490" w:rsidRDefault="00D84934" w:rsidP="00261721">
      <w:pPr>
        <w:pStyle w:val="Heading2"/>
      </w:pPr>
      <w:r w:rsidRPr="00602490">
        <w:t>Clinical trials</w:t>
      </w:r>
      <w:r w:rsidR="0099465B" w:rsidRPr="00602490">
        <w:t xml:space="preserve"> </w:t>
      </w:r>
    </w:p>
    <w:p w:rsidR="0076420C" w:rsidRPr="00602490" w:rsidRDefault="00980B0E" w:rsidP="004B7EB6">
      <w:pPr>
        <w:pStyle w:val="3Bodytext"/>
      </w:pPr>
      <w:r w:rsidRPr="00602490">
        <w:t xml:space="preserve">The minor submission </w:t>
      </w:r>
      <w:r w:rsidR="003B3187" w:rsidRPr="00602490">
        <w:t>presented</w:t>
      </w:r>
      <w:r w:rsidRPr="00602490">
        <w:t xml:space="preserve"> </w:t>
      </w:r>
      <w:r w:rsidR="000006A6" w:rsidRPr="00602490">
        <w:t>three clinical study reports</w:t>
      </w:r>
      <w:r w:rsidR="00F61340" w:rsidRPr="00602490">
        <w:t xml:space="preserve"> </w:t>
      </w:r>
      <w:r w:rsidR="004B05CC" w:rsidRPr="00602490">
        <w:t>(CSR</w:t>
      </w:r>
      <w:r w:rsidR="00764B1C" w:rsidRPr="00602490">
        <w:t>s</w:t>
      </w:r>
      <w:r w:rsidR="004B05CC" w:rsidRPr="00602490">
        <w:t>)</w:t>
      </w:r>
      <w:r w:rsidR="003A040A" w:rsidRPr="00602490">
        <w:t xml:space="preserve"> and three full-text primary publications</w:t>
      </w:r>
      <w:r w:rsidR="0063329B" w:rsidRPr="00602490">
        <w:t xml:space="preserve"> to demonstrate that the Nucala Pen and PFS were equivalent to the Nucala Vial</w:t>
      </w:r>
      <w:r w:rsidR="00602490">
        <w:t xml:space="preserve">. </w:t>
      </w:r>
      <w:r w:rsidRPr="00602490">
        <w:t xml:space="preserve">Details of the </w:t>
      </w:r>
      <w:r w:rsidR="00F61340" w:rsidRPr="00602490">
        <w:t>studies</w:t>
      </w:r>
      <w:r w:rsidRPr="00602490">
        <w:t xml:space="preserve"> presented in the submission </w:t>
      </w:r>
      <w:proofErr w:type="gramStart"/>
      <w:r w:rsidRPr="00602490">
        <w:t>are provided</w:t>
      </w:r>
      <w:proofErr w:type="gramEnd"/>
      <w:r w:rsidRPr="00602490">
        <w:t xml:space="preserve"> in the table below.</w:t>
      </w:r>
    </w:p>
    <w:p w:rsidR="00BF092C" w:rsidRPr="00602490" w:rsidRDefault="00BF092C" w:rsidP="00314B1A">
      <w:pPr>
        <w:pStyle w:val="Tabletitles"/>
        <w:keepNext/>
      </w:pPr>
      <w:r w:rsidRPr="00602490">
        <w:t xml:space="preserve">Table </w:t>
      </w:r>
      <w:r w:rsidR="00314B1A">
        <w:t>1:</w:t>
      </w:r>
      <w:r w:rsidRPr="00602490">
        <w:t xml:space="preserve"> Trials and associa</w:t>
      </w:r>
      <w:r w:rsidR="00F61340" w:rsidRPr="00602490">
        <w:t xml:space="preserve">ted reports presented in the </w:t>
      </w:r>
      <w:r w:rsidRPr="00602490">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4537"/>
        <w:gridCol w:w="3065"/>
      </w:tblGrid>
      <w:tr w:rsidR="00FF2330" w:rsidRPr="00602490" w:rsidTr="00314B1A">
        <w:trPr>
          <w:cantSplit/>
          <w:trHeight w:val="106"/>
          <w:tblHeader/>
        </w:trPr>
        <w:tc>
          <w:tcPr>
            <w:tcW w:w="784" w:type="pct"/>
          </w:tcPr>
          <w:p w:rsidR="00FF2330" w:rsidRPr="00602490" w:rsidRDefault="00FF2330" w:rsidP="00314B1A">
            <w:pPr>
              <w:pStyle w:val="TableHeading"/>
              <w:spacing w:before="0" w:after="0"/>
            </w:pPr>
            <w:r w:rsidRPr="00602490">
              <w:t>Trial ID</w:t>
            </w:r>
          </w:p>
        </w:tc>
        <w:tc>
          <w:tcPr>
            <w:tcW w:w="2516" w:type="pct"/>
          </w:tcPr>
          <w:p w:rsidR="00FF2330" w:rsidRPr="00602490" w:rsidRDefault="00FF2330" w:rsidP="00314B1A">
            <w:pPr>
              <w:pStyle w:val="TableHeading"/>
              <w:spacing w:before="0" w:after="0"/>
              <w:jc w:val="center"/>
            </w:pPr>
            <w:r w:rsidRPr="00602490">
              <w:t>Protocol title/ Publication title</w:t>
            </w:r>
          </w:p>
        </w:tc>
        <w:tc>
          <w:tcPr>
            <w:tcW w:w="1701" w:type="pct"/>
          </w:tcPr>
          <w:p w:rsidR="00FF2330" w:rsidRPr="00602490" w:rsidRDefault="00FF2330" w:rsidP="00314B1A">
            <w:pPr>
              <w:pStyle w:val="TableHeading"/>
              <w:spacing w:before="0" w:after="0"/>
              <w:jc w:val="center"/>
            </w:pPr>
            <w:r w:rsidRPr="00602490">
              <w:t>Publication citation</w:t>
            </w:r>
          </w:p>
        </w:tc>
      </w:tr>
      <w:tr w:rsidR="00887212" w:rsidRPr="00602490" w:rsidTr="00314B1A">
        <w:trPr>
          <w:cantSplit/>
          <w:trHeight w:val="68"/>
        </w:trPr>
        <w:tc>
          <w:tcPr>
            <w:tcW w:w="5000" w:type="pct"/>
            <w:gridSpan w:val="3"/>
          </w:tcPr>
          <w:p w:rsidR="00887212" w:rsidRPr="00602490" w:rsidRDefault="00887212" w:rsidP="00314B1A">
            <w:pPr>
              <w:pStyle w:val="TableHeading"/>
              <w:spacing w:before="0" w:after="0"/>
            </w:pPr>
            <w:r w:rsidRPr="00602490">
              <w:t>Direct randomised trials</w:t>
            </w:r>
          </w:p>
        </w:tc>
      </w:tr>
      <w:tr w:rsidR="00887212" w:rsidRPr="00602490" w:rsidTr="00197DDA">
        <w:trPr>
          <w:cantSplit/>
          <w:trHeight w:val="317"/>
        </w:trPr>
        <w:tc>
          <w:tcPr>
            <w:tcW w:w="784" w:type="pct"/>
          </w:tcPr>
          <w:p w:rsidR="00887212" w:rsidRPr="00602490" w:rsidRDefault="00887212" w:rsidP="00314B1A">
            <w:pPr>
              <w:pStyle w:val="TableText0"/>
            </w:pPr>
            <w:r w:rsidRPr="00602490">
              <w:t>CSR 204958</w:t>
            </w:r>
          </w:p>
          <w:p w:rsidR="00887212" w:rsidRPr="00602490" w:rsidRDefault="00887212" w:rsidP="00314B1A">
            <w:pPr>
              <w:pStyle w:val="TableText0"/>
            </w:pPr>
            <w:r w:rsidRPr="00602490">
              <w:t>(GSK 2017a)</w:t>
            </w:r>
          </w:p>
        </w:tc>
        <w:tc>
          <w:tcPr>
            <w:tcW w:w="2516" w:type="pct"/>
          </w:tcPr>
          <w:p w:rsidR="00887212" w:rsidRPr="00602490" w:rsidRDefault="00887212" w:rsidP="00314B1A">
            <w:pPr>
              <w:pStyle w:val="TableText0"/>
            </w:pPr>
            <w:r w:rsidRPr="00602490">
              <w:t xml:space="preserve">An open label, randomised, three arm, single dose, multicentre, parallel group study in healthy subjects to compare the pharmacokinetics of subcutaneous mepolizumab when delivered as a liquid drug product in a pre-filled syringe or an </w:t>
            </w:r>
            <w:proofErr w:type="spellStart"/>
            <w:r w:rsidRPr="00602490">
              <w:t>autoinjector</w:t>
            </w:r>
            <w:proofErr w:type="spellEnd"/>
            <w:r w:rsidRPr="00602490">
              <w:t xml:space="preserve"> with a reconstituted lyophilised drug product from a vial. </w:t>
            </w:r>
          </w:p>
        </w:tc>
        <w:tc>
          <w:tcPr>
            <w:tcW w:w="1701" w:type="pct"/>
          </w:tcPr>
          <w:p w:rsidR="00887212" w:rsidRPr="00602490" w:rsidRDefault="00887212" w:rsidP="00E9269D">
            <w:pPr>
              <w:pStyle w:val="TableText0"/>
            </w:pPr>
            <w:r w:rsidRPr="00602490">
              <w:t xml:space="preserve">GSK Clinical Study Report 2017  </w:t>
            </w:r>
          </w:p>
        </w:tc>
      </w:tr>
      <w:tr w:rsidR="00887212" w:rsidRPr="00602490" w:rsidTr="00197DDA">
        <w:trPr>
          <w:cantSplit/>
          <w:trHeight w:val="317"/>
        </w:trPr>
        <w:tc>
          <w:tcPr>
            <w:tcW w:w="784" w:type="pct"/>
          </w:tcPr>
          <w:p w:rsidR="00887212" w:rsidRPr="00602490" w:rsidRDefault="00887212" w:rsidP="00314B1A">
            <w:pPr>
              <w:pStyle w:val="TableText0"/>
            </w:pPr>
            <w:proofErr w:type="spellStart"/>
            <w:r w:rsidRPr="00602490">
              <w:t>Shabbir</w:t>
            </w:r>
            <w:proofErr w:type="spellEnd"/>
            <w:r w:rsidRPr="00602490">
              <w:t xml:space="preserve"> 2019</w:t>
            </w:r>
          </w:p>
          <w:p w:rsidR="00887212" w:rsidRPr="00602490" w:rsidRDefault="00887212" w:rsidP="00314B1A">
            <w:pPr>
              <w:pStyle w:val="TableText0"/>
            </w:pPr>
            <w:r w:rsidRPr="00602490">
              <w:t>(Primary publication)</w:t>
            </w:r>
          </w:p>
        </w:tc>
        <w:tc>
          <w:tcPr>
            <w:tcW w:w="2516" w:type="pct"/>
          </w:tcPr>
          <w:p w:rsidR="00887212" w:rsidRPr="00602490" w:rsidRDefault="00887212" w:rsidP="00314B1A">
            <w:pPr>
              <w:pStyle w:val="TableText0"/>
            </w:pPr>
            <w:r w:rsidRPr="00602490">
              <w:t xml:space="preserve">The pharmacokinetics and relative bioavailability of mepolizumab 100mg liquid formulation administered subcutaneously to healthy participants: a randomised trial. </w:t>
            </w:r>
          </w:p>
        </w:tc>
        <w:tc>
          <w:tcPr>
            <w:tcW w:w="1701" w:type="pct"/>
          </w:tcPr>
          <w:p w:rsidR="00197DDA" w:rsidRPr="00602490" w:rsidRDefault="00887212" w:rsidP="00E9269D">
            <w:pPr>
              <w:pStyle w:val="TableText0"/>
            </w:pPr>
            <w:proofErr w:type="spellStart"/>
            <w:r w:rsidRPr="00602490">
              <w:t>Shabbir</w:t>
            </w:r>
            <w:proofErr w:type="spellEnd"/>
            <w:r w:rsidRPr="00602490">
              <w:t xml:space="preserve"> S., et al., </w:t>
            </w:r>
            <w:proofErr w:type="spellStart"/>
            <w:r w:rsidRPr="00602490">
              <w:t>Clin</w:t>
            </w:r>
            <w:proofErr w:type="spellEnd"/>
            <w:r w:rsidRPr="00602490">
              <w:t xml:space="preserve"> </w:t>
            </w:r>
            <w:proofErr w:type="spellStart"/>
            <w:r w:rsidRPr="00602490">
              <w:t>Pharmacol</w:t>
            </w:r>
            <w:proofErr w:type="spellEnd"/>
            <w:r w:rsidRPr="00602490">
              <w:t xml:space="preserve"> Drug Dev. 2019 Jul 17. </w:t>
            </w:r>
          </w:p>
          <w:p w:rsidR="00887212" w:rsidRPr="00602490" w:rsidRDefault="00887212" w:rsidP="00E9269D">
            <w:pPr>
              <w:pStyle w:val="TableText0"/>
            </w:pPr>
            <w:proofErr w:type="spellStart"/>
            <w:proofErr w:type="gramStart"/>
            <w:r w:rsidRPr="00602490">
              <w:t>doi</w:t>
            </w:r>
            <w:proofErr w:type="spellEnd"/>
            <w:proofErr w:type="gramEnd"/>
            <w:r w:rsidRPr="00602490">
              <w:t>: 10.1002/cpdd.726. [</w:t>
            </w:r>
            <w:proofErr w:type="spellStart"/>
            <w:r w:rsidRPr="00602490">
              <w:t>Epub</w:t>
            </w:r>
            <w:proofErr w:type="spellEnd"/>
            <w:r w:rsidRPr="00602490">
              <w:t xml:space="preserve"> ahead of print]</w:t>
            </w:r>
          </w:p>
        </w:tc>
      </w:tr>
      <w:tr w:rsidR="00887212" w:rsidRPr="00602490" w:rsidTr="00314B1A">
        <w:trPr>
          <w:cantSplit/>
          <w:trHeight w:val="64"/>
        </w:trPr>
        <w:tc>
          <w:tcPr>
            <w:tcW w:w="5000" w:type="pct"/>
            <w:gridSpan w:val="3"/>
          </w:tcPr>
          <w:p w:rsidR="00887212" w:rsidRPr="00602490" w:rsidRDefault="00887212" w:rsidP="00314B1A">
            <w:pPr>
              <w:pStyle w:val="TableHeading"/>
              <w:spacing w:before="0" w:after="0"/>
            </w:pPr>
            <w:r w:rsidRPr="00602490">
              <w:lastRenderedPageBreak/>
              <w:t xml:space="preserve">Non-randomised studies </w:t>
            </w:r>
          </w:p>
        </w:tc>
      </w:tr>
      <w:tr w:rsidR="00887212" w:rsidRPr="00602490" w:rsidTr="00BD371D">
        <w:trPr>
          <w:cantSplit/>
          <w:trHeight w:val="317"/>
        </w:trPr>
        <w:tc>
          <w:tcPr>
            <w:tcW w:w="784" w:type="pct"/>
          </w:tcPr>
          <w:p w:rsidR="00887212" w:rsidRPr="00602490" w:rsidRDefault="00887212" w:rsidP="00314B1A">
            <w:pPr>
              <w:pStyle w:val="TableText0"/>
            </w:pPr>
            <w:r w:rsidRPr="00602490">
              <w:t>CSR 205667</w:t>
            </w:r>
          </w:p>
          <w:p w:rsidR="00887212" w:rsidRPr="00602490" w:rsidRDefault="00887212" w:rsidP="00314B1A">
            <w:pPr>
              <w:pStyle w:val="TableText0"/>
            </w:pPr>
            <w:r w:rsidRPr="00602490">
              <w:t>(GSK 2017b)</w:t>
            </w:r>
          </w:p>
        </w:tc>
        <w:tc>
          <w:tcPr>
            <w:tcW w:w="2516" w:type="pct"/>
          </w:tcPr>
          <w:p w:rsidR="00887212" w:rsidRPr="00602490" w:rsidRDefault="00887212" w:rsidP="00314B1A">
            <w:pPr>
              <w:pStyle w:val="TableText0"/>
            </w:pPr>
            <w:r w:rsidRPr="00602490">
              <w:t xml:space="preserve">An open-label, single arm, repeat dose, multi-centre study to evaluate the use of a pre-filled syringe for the subcutaneous administration of mepolizumab in subjects with severe eosinophilic asthma. </w:t>
            </w:r>
          </w:p>
        </w:tc>
        <w:tc>
          <w:tcPr>
            <w:tcW w:w="1701" w:type="pct"/>
          </w:tcPr>
          <w:p w:rsidR="00887212" w:rsidRPr="00602490" w:rsidRDefault="00887212" w:rsidP="00E9269D">
            <w:pPr>
              <w:pStyle w:val="TableText0"/>
            </w:pPr>
            <w:r w:rsidRPr="00602490">
              <w:t>GSK Clinical Study Report 2017</w:t>
            </w:r>
          </w:p>
        </w:tc>
      </w:tr>
      <w:tr w:rsidR="00887212" w:rsidRPr="00602490" w:rsidTr="00197DDA">
        <w:trPr>
          <w:cantSplit/>
          <w:trHeight w:val="317"/>
        </w:trPr>
        <w:tc>
          <w:tcPr>
            <w:tcW w:w="784" w:type="pct"/>
          </w:tcPr>
          <w:p w:rsidR="00887212" w:rsidRPr="00602490" w:rsidRDefault="00887212" w:rsidP="00E9269D">
            <w:pPr>
              <w:pStyle w:val="TableText0"/>
            </w:pPr>
            <w:r w:rsidRPr="00602490">
              <w:t>CSR 204959</w:t>
            </w:r>
          </w:p>
          <w:p w:rsidR="00887212" w:rsidRPr="00602490" w:rsidRDefault="00887212" w:rsidP="00E9269D">
            <w:pPr>
              <w:pStyle w:val="TableText0"/>
            </w:pPr>
            <w:r w:rsidRPr="00602490">
              <w:t>(GSK 2017d)</w:t>
            </w:r>
          </w:p>
        </w:tc>
        <w:tc>
          <w:tcPr>
            <w:tcW w:w="2516" w:type="pct"/>
          </w:tcPr>
          <w:p w:rsidR="00887212" w:rsidRPr="00602490" w:rsidRDefault="00887212" w:rsidP="00E9269D">
            <w:pPr>
              <w:pStyle w:val="TableText0"/>
            </w:pPr>
            <w:r w:rsidRPr="00602490">
              <w:t xml:space="preserve">An open-label, single arm, repeat dose, multi-centre study to evaluate the use of an </w:t>
            </w:r>
            <w:proofErr w:type="spellStart"/>
            <w:r w:rsidRPr="00602490">
              <w:t>autoinjector</w:t>
            </w:r>
            <w:proofErr w:type="spellEnd"/>
            <w:r w:rsidRPr="00602490">
              <w:t xml:space="preserve"> for the subcutaneous administration of mepolizumab in subjects with severe eosinophilic asthma. </w:t>
            </w:r>
          </w:p>
        </w:tc>
        <w:tc>
          <w:tcPr>
            <w:tcW w:w="1701" w:type="pct"/>
          </w:tcPr>
          <w:p w:rsidR="00887212" w:rsidRPr="00602490" w:rsidRDefault="00887212" w:rsidP="00E9269D">
            <w:pPr>
              <w:pStyle w:val="TableText0"/>
            </w:pPr>
            <w:r w:rsidRPr="00602490">
              <w:t>GSK Clinical Study Report 2017</w:t>
            </w:r>
          </w:p>
        </w:tc>
      </w:tr>
      <w:tr w:rsidR="00887212" w:rsidRPr="00602490" w:rsidTr="00BD371D">
        <w:trPr>
          <w:cantSplit/>
        </w:trPr>
        <w:tc>
          <w:tcPr>
            <w:tcW w:w="784" w:type="pct"/>
          </w:tcPr>
          <w:p w:rsidR="00887212" w:rsidRPr="00602490" w:rsidRDefault="00887212" w:rsidP="00E9269D">
            <w:pPr>
              <w:pStyle w:val="TableText0"/>
            </w:pPr>
            <w:r w:rsidRPr="00602490">
              <w:t>Bel 2019</w:t>
            </w:r>
          </w:p>
          <w:p w:rsidR="00887212" w:rsidRPr="00602490" w:rsidRDefault="00887212" w:rsidP="00E9269D">
            <w:pPr>
              <w:pStyle w:val="TableText0"/>
            </w:pPr>
            <w:r w:rsidRPr="00602490">
              <w:t>(Primary publication)</w:t>
            </w:r>
          </w:p>
        </w:tc>
        <w:tc>
          <w:tcPr>
            <w:tcW w:w="2516" w:type="pct"/>
          </w:tcPr>
          <w:p w:rsidR="00887212" w:rsidRPr="00602490" w:rsidRDefault="00887212" w:rsidP="00E9269D">
            <w:pPr>
              <w:pStyle w:val="TableText0"/>
              <w:rPr>
                <w:b/>
              </w:rPr>
            </w:pPr>
            <w:r w:rsidRPr="00602490">
              <w:t xml:space="preserve">Usability of mepolizumab single-use pre-filled syringe for patient self-administration. </w:t>
            </w:r>
          </w:p>
        </w:tc>
        <w:tc>
          <w:tcPr>
            <w:tcW w:w="1701" w:type="pct"/>
          </w:tcPr>
          <w:p w:rsidR="00197DDA" w:rsidRPr="00602490" w:rsidRDefault="00887212" w:rsidP="00E9269D">
            <w:pPr>
              <w:pStyle w:val="TableText0"/>
            </w:pPr>
            <w:r w:rsidRPr="00602490">
              <w:t xml:space="preserve">Bel </w:t>
            </w:r>
            <w:proofErr w:type="gramStart"/>
            <w:r w:rsidRPr="00602490">
              <w:t>EH.,</w:t>
            </w:r>
            <w:proofErr w:type="gramEnd"/>
            <w:r w:rsidRPr="00602490">
              <w:t xml:space="preserve"> et al. Journal of Asthma 2019 Apr 24:1-10. </w:t>
            </w:r>
          </w:p>
          <w:p w:rsidR="00887212" w:rsidRPr="00602490" w:rsidRDefault="00887212" w:rsidP="00E9269D">
            <w:pPr>
              <w:pStyle w:val="TableText0"/>
            </w:pPr>
            <w:proofErr w:type="spellStart"/>
            <w:proofErr w:type="gramStart"/>
            <w:r w:rsidRPr="00602490">
              <w:t>doi</w:t>
            </w:r>
            <w:proofErr w:type="spellEnd"/>
            <w:proofErr w:type="gramEnd"/>
            <w:r w:rsidRPr="00602490">
              <w:t>:</w:t>
            </w:r>
            <w:r w:rsidR="00197DDA" w:rsidRPr="00602490">
              <w:t xml:space="preserve"> </w:t>
            </w:r>
            <w:r w:rsidRPr="00602490">
              <w:t>10.1080/02770903.2019.1604745. [</w:t>
            </w:r>
            <w:proofErr w:type="spellStart"/>
            <w:r w:rsidRPr="00602490">
              <w:t>Epub</w:t>
            </w:r>
            <w:proofErr w:type="spellEnd"/>
            <w:r w:rsidRPr="00602490">
              <w:t xml:space="preserve"> ahead of print]</w:t>
            </w:r>
          </w:p>
        </w:tc>
      </w:tr>
      <w:tr w:rsidR="00887212" w:rsidRPr="00602490" w:rsidTr="00BD371D">
        <w:trPr>
          <w:cantSplit/>
        </w:trPr>
        <w:tc>
          <w:tcPr>
            <w:tcW w:w="784" w:type="pct"/>
          </w:tcPr>
          <w:p w:rsidR="00887212" w:rsidRPr="00602490" w:rsidRDefault="00887212" w:rsidP="00E9269D">
            <w:pPr>
              <w:pStyle w:val="TableText0"/>
            </w:pPr>
            <w:r w:rsidRPr="00602490">
              <w:t>Bernstein 2019</w:t>
            </w:r>
          </w:p>
          <w:p w:rsidR="00887212" w:rsidRPr="00602490" w:rsidRDefault="00887212" w:rsidP="00E9269D">
            <w:pPr>
              <w:pStyle w:val="TableText0"/>
            </w:pPr>
            <w:r w:rsidRPr="00602490">
              <w:t>(Primary publication)</w:t>
            </w:r>
          </w:p>
        </w:tc>
        <w:tc>
          <w:tcPr>
            <w:tcW w:w="2516" w:type="pct"/>
          </w:tcPr>
          <w:p w:rsidR="00887212" w:rsidRPr="00602490" w:rsidRDefault="00887212" w:rsidP="00E9269D">
            <w:pPr>
              <w:pStyle w:val="TableText0"/>
              <w:rPr>
                <w:b/>
              </w:rPr>
            </w:pPr>
            <w:r w:rsidRPr="00602490">
              <w:t xml:space="preserve">Usability of mepolizumab single-use </w:t>
            </w:r>
            <w:proofErr w:type="spellStart"/>
            <w:r w:rsidRPr="00602490">
              <w:t>autoinjector</w:t>
            </w:r>
            <w:proofErr w:type="spellEnd"/>
            <w:r w:rsidRPr="00602490">
              <w:t xml:space="preserve"> for patient self-administration. </w:t>
            </w:r>
          </w:p>
        </w:tc>
        <w:tc>
          <w:tcPr>
            <w:tcW w:w="1701" w:type="pct"/>
          </w:tcPr>
          <w:p w:rsidR="00197DDA" w:rsidRPr="00602490" w:rsidRDefault="00887212" w:rsidP="00E9269D">
            <w:pPr>
              <w:pStyle w:val="TableText0"/>
            </w:pPr>
            <w:r w:rsidRPr="00602490">
              <w:t xml:space="preserve">Bernstein D et al., J Asthma. 2019 Jun 28:1-12. </w:t>
            </w:r>
          </w:p>
          <w:p w:rsidR="00887212" w:rsidRPr="00602490" w:rsidRDefault="00197DDA" w:rsidP="00E9269D">
            <w:pPr>
              <w:pStyle w:val="TableText0"/>
            </w:pPr>
            <w:proofErr w:type="spellStart"/>
            <w:proofErr w:type="gramStart"/>
            <w:r w:rsidRPr="00602490">
              <w:t>doi</w:t>
            </w:r>
            <w:proofErr w:type="spellEnd"/>
            <w:proofErr w:type="gramEnd"/>
            <w:r w:rsidRPr="00602490">
              <w:t xml:space="preserve">: </w:t>
            </w:r>
            <w:r w:rsidR="00887212" w:rsidRPr="00602490">
              <w:t>10.1080/02770903.2019.1630641. [</w:t>
            </w:r>
            <w:proofErr w:type="spellStart"/>
            <w:r w:rsidR="00887212" w:rsidRPr="00602490">
              <w:t>Epub</w:t>
            </w:r>
            <w:proofErr w:type="spellEnd"/>
            <w:r w:rsidR="00887212" w:rsidRPr="00602490">
              <w:t xml:space="preserve"> ahead of print]</w:t>
            </w:r>
          </w:p>
        </w:tc>
      </w:tr>
    </w:tbl>
    <w:p w:rsidR="0005246A" w:rsidRPr="00602490" w:rsidRDefault="0005246A" w:rsidP="00E9269D">
      <w:pPr>
        <w:pStyle w:val="TableFooter"/>
      </w:pPr>
      <w:r w:rsidRPr="00602490">
        <w:t xml:space="preserve">Source: </w:t>
      </w:r>
      <w:r w:rsidR="007857FE" w:rsidRPr="00602490">
        <w:t>Minor Submission, Table 8 (</w:t>
      </w:r>
      <w:r w:rsidRPr="00602490">
        <w:t>p</w:t>
      </w:r>
      <w:r w:rsidR="007857FE" w:rsidRPr="00602490">
        <w:t>p</w:t>
      </w:r>
      <w:r w:rsidRPr="00602490">
        <w:t>21</w:t>
      </w:r>
      <w:r w:rsidR="007857FE" w:rsidRPr="00602490">
        <w:t>)</w:t>
      </w:r>
      <w:r w:rsidR="00602490">
        <w:t xml:space="preserve">. </w:t>
      </w:r>
    </w:p>
    <w:p w:rsidR="0005246A" w:rsidRPr="00602490" w:rsidRDefault="0005246A" w:rsidP="0005246A">
      <w:pPr>
        <w:pStyle w:val="TableFooter"/>
      </w:pPr>
    </w:p>
    <w:p w:rsidR="0005246A" w:rsidRPr="00602490" w:rsidRDefault="0005246A" w:rsidP="0005246A">
      <w:pPr>
        <w:pStyle w:val="3Bodytext"/>
      </w:pPr>
      <w:r w:rsidRPr="00602490">
        <w:t>Study 204958 was a randomised, si</w:t>
      </w:r>
      <w:r w:rsidR="007857FE" w:rsidRPr="00602490">
        <w:t>ngle dose study</w:t>
      </w:r>
      <w:r w:rsidR="003A040A" w:rsidRPr="00602490">
        <w:t xml:space="preserve"> looking at the administration of </w:t>
      </w:r>
      <w:r w:rsidR="007857FE" w:rsidRPr="00602490">
        <w:t>Nu</w:t>
      </w:r>
      <w:r w:rsidR="00492565" w:rsidRPr="00602490">
        <w:t>cala Pen or PFS compared to</w:t>
      </w:r>
      <w:r w:rsidR="003C1044" w:rsidRPr="00602490">
        <w:t xml:space="preserve"> Nucala </w:t>
      </w:r>
      <w:proofErr w:type="gramStart"/>
      <w:r w:rsidR="003C1044" w:rsidRPr="00602490">
        <w:t>Vial which</w:t>
      </w:r>
      <w:proofErr w:type="gramEnd"/>
      <w:r w:rsidR="003C1044" w:rsidRPr="00602490">
        <w:t xml:space="preserve"> was</w:t>
      </w:r>
      <w:r w:rsidR="007857FE" w:rsidRPr="00602490">
        <w:t xml:space="preserve"> delivered by a </w:t>
      </w:r>
      <w:r w:rsidR="001F31FB" w:rsidRPr="00602490">
        <w:t>health care practitioner</w:t>
      </w:r>
      <w:r w:rsidR="007857FE" w:rsidRPr="00602490">
        <w:t xml:space="preserve"> subcutaneously to</w:t>
      </w:r>
      <w:r w:rsidRPr="00602490">
        <w:t xml:space="preserve"> 244 healthy patients</w:t>
      </w:r>
      <w:r w:rsidR="003A040A" w:rsidRPr="00602490">
        <w:t xml:space="preserve">. The </w:t>
      </w:r>
      <w:r w:rsidRPr="00602490">
        <w:t xml:space="preserve">primary outcome </w:t>
      </w:r>
      <w:r w:rsidR="003A040A" w:rsidRPr="00602490">
        <w:t xml:space="preserve">observed </w:t>
      </w:r>
      <w:r w:rsidR="007857FE" w:rsidRPr="00602490">
        <w:t>the</w:t>
      </w:r>
      <w:r w:rsidRPr="00602490">
        <w:t xml:space="preserve"> pharmacokinetic (PK) parameters at least 8 hours after</w:t>
      </w:r>
      <w:r w:rsidR="007857FE" w:rsidRPr="00602490">
        <w:t xml:space="preserve"> dosing</w:t>
      </w:r>
      <w:r w:rsidRPr="00602490">
        <w:t>,</w:t>
      </w:r>
      <w:r w:rsidR="007857FE" w:rsidRPr="00602490">
        <w:t xml:space="preserve"> </w:t>
      </w:r>
      <w:r w:rsidRPr="00602490">
        <w:t>and followed up 85 days after</w:t>
      </w:r>
      <w:r w:rsidR="007857FE" w:rsidRPr="00602490">
        <w:t xml:space="preserve"> dosing</w:t>
      </w:r>
      <w:r w:rsidRPr="00602490">
        <w:t xml:space="preserve">. The site of injection </w:t>
      </w:r>
      <w:proofErr w:type="gramStart"/>
      <w:r w:rsidRPr="00602490">
        <w:t>was randomised</w:t>
      </w:r>
      <w:proofErr w:type="gramEnd"/>
      <w:r w:rsidRPr="00602490">
        <w:t xml:space="preserve">. </w:t>
      </w:r>
    </w:p>
    <w:p w:rsidR="00ED3144" w:rsidRPr="00602490" w:rsidRDefault="00562D26" w:rsidP="004B7EB6">
      <w:pPr>
        <w:pStyle w:val="3Bodytext"/>
      </w:pPr>
      <w:r w:rsidRPr="00602490">
        <w:t>Study 204959 (</w:t>
      </w:r>
      <w:r w:rsidR="007857FE" w:rsidRPr="00602490">
        <w:t>Pen</w:t>
      </w:r>
      <w:r w:rsidRPr="00602490">
        <w:t xml:space="preserve">) and 205667 (PFS) </w:t>
      </w:r>
      <w:r w:rsidR="007857FE" w:rsidRPr="00602490">
        <w:t xml:space="preserve">were real-world studies </w:t>
      </w:r>
      <w:r w:rsidRPr="00602490">
        <w:t xml:space="preserve">primarily aimed to evaluate the ability of patients with severe eosinophilic asthma to self-administer </w:t>
      </w:r>
      <w:r w:rsidR="00AE2EDC" w:rsidRPr="00602490">
        <w:t xml:space="preserve">three doses </w:t>
      </w:r>
      <w:r w:rsidR="009F7469" w:rsidRPr="00602490">
        <w:t>of Nucala Pen and PFS</w:t>
      </w:r>
      <w:r w:rsidR="00E55910" w:rsidRPr="00602490">
        <w:t xml:space="preserve">. </w:t>
      </w:r>
      <w:proofErr w:type="spellStart"/>
      <w:r w:rsidR="007857FE" w:rsidRPr="00602490">
        <w:t>Pharmacodynamic</w:t>
      </w:r>
      <w:proofErr w:type="spellEnd"/>
      <w:r w:rsidR="007857FE" w:rsidRPr="00602490">
        <w:t xml:space="preserve"> (</w:t>
      </w:r>
      <w:r w:rsidRPr="00602490">
        <w:t>PD</w:t>
      </w:r>
      <w:r w:rsidR="007857FE" w:rsidRPr="00602490">
        <w:t>)</w:t>
      </w:r>
      <w:r w:rsidRPr="00602490">
        <w:t xml:space="preserve"> </w:t>
      </w:r>
      <w:r w:rsidR="007857FE" w:rsidRPr="00602490">
        <w:t>and PK comparability w</w:t>
      </w:r>
      <w:r w:rsidRPr="00602490">
        <w:t xml:space="preserve">ere other endpoints measured. Both </w:t>
      </w:r>
      <w:r w:rsidR="007D5CD2" w:rsidRPr="00602490">
        <w:t xml:space="preserve">studies </w:t>
      </w:r>
      <w:r w:rsidRPr="00602490">
        <w:t>were open-label, single-arm, multi-dose, multi-centre, 12-week studies</w:t>
      </w:r>
      <w:r w:rsidR="00E1612C" w:rsidRPr="00602490">
        <w:t xml:space="preserve">. Study </w:t>
      </w:r>
      <w:r w:rsidR="006E08F3" w:rsidRPr="00602490">
        <w:t>204959 had 159</w:t>
      </w:r>
      <w:r w:rsidR="00E1612C" w:rsidRPr="00602490">
        <w:t>, and</w:t>
      </w:r>
      <w:r w:rsidR="006E08F3" w:rsidRPr="00602490">
        <w:t xml:space="preserve"> study 205667 had 56 subjects</w:t>
      </w:r>
      <w:r w:rsidR="00E1612C" w:rsidRPr="00602490">
        <w:t xml:space="preserve">. </w:t>
      </w:r>
      <w:r w:rsidR="006E08F3" w:rsidRPr="00602490">
        <w:t xml:space="preserve">Study 204959 </w:t>
      </w:r>
      <w:r w:rsidRPr="00602490">
        <w:t xml:space="preserve">study involved Australian sites. </w:t>
      </w:r>
    </w:p>
    <w:p w:rsidR="005A3173" w:rsidRPr="00602490" w:rsidRDefault="007F0021" w:rsidP="00314B1A">
      <w:pPr>
        <w:pStyle w:val="Heading2"/>
        <w:keepNext/>
      </w:pPr>
      <w:r w:rsidRPr="00602490">
        <w:t xml:space="preserve">Comparative </w:t>
      </w:r>
      <w:r w:rsidR="005A3173" w:rsidRPr="00602490">
        <w:t>effectiveness</w:t>
      </w:r>
    </w:p>
    <w:p w:rsidR="004D126A" w:rsidRPr="00602490" w:rsidRDefault="004D126A" w:rsidP="00314B1A">
      <w:pPr>
        <w:pStyle w:val="Heading3"/>
      </w:pPr>
      <w:r w:rsidRPr="00602490">
        <w:t>Study 204958</w:t>
      </w:r>
    </w:p>
    <w:p w:rsidR="0005246A" w:rsidRPr="00602490" w:rsidRDefault="00ED3144" w:rsidP="00314B1A">
      <w:pPr>
        <w:pStyle w:val="3Bodytext"/>
        <w:keepNext/>
      </w:pPr>
      <w:r w:rsidRPr="00602490">
        <w:rPr>
          <w:rFonts w:cs="Cambria"/>
        </w:rPr>
        <w:t xml:space="preserve">The results of </w:t>
      </w:r>
      <w:r w:rsidRPr="00602490">
        <w:t xml:space="preserve">Study 204958, </w:t>
      </w:r>
      <w:r w:rsidRPr="00602490">
        <w:rPr>
          <w:rFonts w:cs="Cambria"/>
        </w:rPr>
        <w:t>as shown in the table below,</w:t>
      </w:r>
      <w:r w:rsidRPr="00602490">
        <w:t xml:space="preserve"> </w:t>
      </w:r>
      <w:r w:rsidR="0005246A" w:rsidRPr="00602490">
        <w:t xml:space="preserve">demonstrated </w:t>
      </w:r>
      <w:r w:rsidRPr="00602490">
        <w:t xml:space="preserve">that the PK parameters were consistent across all three presentations, and the </w:t>
      </w:r>
      <w:r w:rsidRPr="00602490">
        <w:rPr>
          <w:rFonts w:cs="Cambria"/>
        </w:rPr>
        <w:t xml:space="preserve">90% confidence intervals for all three PK parameters were within the 80-125% range determined for claiming </w:t>
      </w:r>
      <w:r w:rsidR="004D126A" w:rsidRPr="00602490">
        <w:rPr>
          <w:rFonts w:cs="Cambria"/>
        </w:rPr>
        <w:t>bio</w:t>
      </w:r>
      <w:r w:rsidRPr="00602490">
        <w:rPr>
          <w:rFonts w:cs="Cambria"/>
        </w:rPr>
        <w:t>equivalence</w:t>
      </w:r>
      <w:r w:rsidR="00562D26" w:rsidRPr="00602490">
        <w:rPr>
          <w:rFonts w:cs="Cambria"/>
        </w:rPr>
        <w:t xml:space="preserve"> in PK effect</w:t>
      </w:r>
      <w:r w:rsidRPr="00602490">
        <w:rPr>
          <w:rFonts w:cs="Cambria"/>
        </w:rPr>
        <w:t xml:space="preserve">. </w:t>
      </w:r>
    </w:p>
    <w:p w:rsidR="0005246A" w:rsidRPr="00602490" w:rsidRDefault="0005246A" w:rsidP="00E9269D">
      <w:pPr>
        <w:pStyle w:val="Tabletitles"/>
      </w:pPr>
      <w:r w:rsidRPr="00602490">
        <w:t xml:space="preserve">Table </w:t>
      </w:r>
      <w:r w:rsidR="00314B1A">
        <w:t>2:</w:t>
      </w:r>
      <w:r w:rsidRPr="00602490">
        <w:t xml:space="preserve"> </w:t>
      </w:r>
      <w:r w:rsidR="000D2793" w:rsidRPr="00602490">
        <w:t>Statistical analysis of mepolizumab plasma PK parameters</w:t>
      </w:r>
      <w:r w:rsidRPr="00602490">
        <w:t xml:space="preserve"> </w:t>
      </w:r>
    </w:p>
    <w:tbl>
      <w:tblPr>
        <w:tblStyle w:val="TableGrid"/>
        <w:tblW w:w="5000" w:type="pct"/>
        <w:tblLook w:val="04A0" w:firstRow="1" w:lastRow="0" w:firstColumn="1" w:lastColumn="0" w:noHBand="0" w:noVBand="1"/>
        <w:tblCaption w:val="Table 2: Statistical analysis of mepolizumab plasma PK parameters"/>
      </w:tblPr>
      <w:tblGrid>
        <w:gridCol w:w="1134"/>
        <w:gridCol w:w="2011"/>
        <w:gridCol w:w="819"/>
        <w:gridCol w:w="2050"/>
        <w:gridCol w:w="1501"/>
        <w:gridCol w:w="1501"/>
      </w:tblGrid>
      <w:tr w:rsidR="0005246A" w:rsidRPr="00602490" w:rsidTr="00E263D0">
        <w:trPr>
          <w:tblHeader/>
        </w:trPr>
        <w:tc>
          <w:tcPr>
            <w:tcW w:w="629" w:type="pct"/>
            <w:shd w:val="clear" w:color="auto" w:fill="auto"/>
          </w:tcPr>
          <w:p w:rsidR="0005246A" w:rsidRPr="00602490" w:rsidRDefault="0005246A" w:rsidP="00E9269D">
            <w:pPr>
              <w:pStyle w:val="TableHeading"/>
            </w:pPr>
            <w:bookmarkStart w:id="1" w:name="_GoBack" w:colFirst="2" w:colLast="2"/>
            <w:r w:rsidRPr="00602490">
              <w:t>PK Parameter</w:t>
            </w:r>
          </w:p>
        </w:tc>
        <w:tc>
          <w:tcPr>
            <w:tcW w:w="1115" w:type="pct"/>
            <w:shd w:val="clear" w:color="auto" w:fill="auto"/>
          </w:tcPr>
          <w:p w:rsidR="0005246A" w:rsidRPr="00602490" w:rsidRDefault="0005246A" w:rsidP="00E9269D">
            <w:pPr>
              <w:pStyle w:val="TableHeading"/>
            </w:pPr>
            <w:r w:rsidRPr="00602490">
              <w:t>Test Treatment</w:t>
            </w:r>
          </w:p>
        </w:tc>
        <w:tc>
          <w:tcPr>
            <w:tcW w:w="1591" w:type="pct"/>
            <w:gridSpan w:val="2"/>
            <w:shd w:val="clear" w:color="auto" w:fill="auto"/>
          </w:tcPr>
          <w:p w:rsidR="0005246A" w:rsidRPr="00602490" w:rsidRDefault="0005246A" w:rsidP="00E9269D">
            <w:pPr>
              <w:pStyle w:val="TableHeading"/>
            </w:pPr>
            <w:r w:rsidRPr="00602490">
              <w:t>Adjusted Geometric Mean (SE [logs])*</w:t>
            </w:r>
          </w:p>
        </w:tc>
        <w:tc>
          <w:tcPr>
            <w:tcW w:w="832" w:type="pct"/>
            <w:shd w:val="clear" w:color="auto" w:fill="auto"/>
          </w:tcPr>
          <w:p w:rsidR="0005246A" w:rsidRPr="00602490" w:rsidRDefault="0005246A" w:rsidP="00E9269D">
            <w:pPr>
              <w:pStyle w:val="TableHeading"/>
            </w:pPr>
            <w:r w:rsidRPr="00602490">
              <w:t>Ratio</w:t>
            </w:r>
          </w:p>
          <w:p w:rsidR="0005246A" w:rsidRPr="00602490" w:rsidRDefault="0005246A" w:rsidP="00E9269D">
            <w:pPr>
              <w:pStyle w:val="TableHeading"/>
            </w:pPr>
            <w:r w:rsidRPr="00602490">
              <w:t>(Test/Reference)</w:t>
            </w:r>
          </w:p>
        </w:tc>
        <w:tc>
          <w:tcPr>
            <w:tcW w:w="832" w:type="pct"/>
            <w:shd w:val="clear" w:color="auto" w:fill="auto"/>
          </w:tcPr>
          <w:p w:rsidR="0005246A" w:rsidRPr="00602490" w:rsidRDefault="0005246A" w:rsidP="00E9269D">
            <w:pPr>
              <w:pStyle w:val="TableHeading"/>
            </w:pPr>
            <w:r w:rsidRPr="00602490">
              <w:t>90% CI for Ratio</w:t>
            </w:r>
          </w:p>
          <w:p w:rsidR="0005246A" w:rsidRPr="00602490" w:rsidRDefault="0005246A" w:rsidP="00E9269D">
            <w:pPr>
              <w:pStyle w:val="TableHeading"/>
            </w:pPr>
            <w:r w:rsidRPr="00602490">
              <w:t>(Test/Reference)</w:t>
            </w:r>
          </w:p>
        </w:tc>
      </w:tr>
      <w:bookmarkEnd w:id="1"/>
      <w:tr w:rsidR="0005246A" w:rsidRPr="00602490" w:rsidTr="004B6035">
        <w:tc>
          <w:tcPr>
            <w:tcW w:w="629" w:type="pct"/>
            <w:shd w:val="clear" w:color="auto" w:fill="auto"/>
          </w:tcPr>
          <w:p w:rsidR="0005246A" w:rsidRPr="00602490" w:rsidRDefault="0005246A" w:rsidP="00E9269D">
            <w:pPr>
              <w:pStyle w:val="TableHeading"/>
            </w:pPr>
          </w:p>
        </w:tc>
        <w:tc>
          <w:tcPr>
            <w:tcW w:w="1115" w:type="pct"/>
            <w:shd w:val="clear" w:color="auto" w:fill="auto"/>
          </w:tcPr>
          <w:p w:rsidR="0005246A" w:rsidRPr="00602490" w:rsidRDefault="0005246A" w:rsidP="00E9269D">
            <w:pPr>
              <w:pStyle w:val="TableHeading"/>
            </w:pPr>
          </w:p>
        </w:tc>
        <w:tc>
          <w:tcPr>
            <w:tcW w:w="454" w:type="pct"/>
            <w:shd w:val="clear" w:color="auto" w:fill="auto"/>
          </w:tcPr>
          <w:p w:rsidR="0005246A" w:rsidRPr="00602490" w:rsidRDefault="0005246A" w:rsidP="00E9269D">
            <w:pPr>
              <w:pStyle w:val="TableHeading"/>
            </w:pPr>
            <w:r w:rsidRPr="00602490">
              <w:t>Test</w:t>
            </w:r>
          </w:p>
        </w:tc>
        <w:tc>
          <w:tcPr>
            <w:tcW w:w="1137" w:type="pct"/>
            <w:shd w:val="clear" w:color="auto" w:fill="auto"/>
          </w:tcPr>
          <w:p w:rsidR="0005246A" w:rsidRPr="00602490" w:rsidRDefault="00ED3144" w:rsidP="00E9269D">
            <w:pPr>
              <w:pStyle w:val="TableHeading"/>
            </w:pPr>
            <w:r w:rsidRPr="00602490">
              <w:t xml:space="preserve">MEPO Vial </w:t>
            </w:r>
            <w:r w:rsidR="0005246A" w:rsidRPr="00602490">
              <w:t>(Reference)</w:t>
            </w:r>
          </w:p>
        </w:tc>
        <w:tc>
          <w:tcPr>
            <w:tcW w:w="832" w:type="pct"/>
            <w:shd w:val="clear" w:color="auto" w:fill="auto"/>
          </w:tcPr>
          <w:p w:rsidR="0005246A" w:rsidRPr="00602490" w:rsidRDefault="0005246A" w:rsidP="00E9269D">
            <w:pPr>
              <w:pStyle w:val="TableHeading"/>
            </w:pPr>
          </w:p>
        </w:tc>
        <w:tc>
          <w:tcPr>
            <w:tcW w:w="832" w:type="pct"/>
            <w:shd w:val="clear" w:color="auto" w:fill="auto"/>
          </w:tcPr>
          <w:p w:rsidR="0005246A" w:rsidRPr="00602490" w:rsidRDefault="0005246A" w:rsidP="00E9269D">
            <w:pPr>
              <w:pStyle w:val="TableHeading"/>
            </w:pPr>
          </w:p>
        </w:tc>
      </w:tr>
      <w:tr w:rsidR="0005246A" w:rsidRPr="00602490" w:rsidTr="004B6035">
        <w:tc>
          <w:tcPr>
            <w:tcW w:w="629" w:type="pct"/>
            <w:shd w:val="clear" w:color="auto" w:fill="auto"/>
          </w:tcPr>
          <w:p w:rsidR="0005246A" w:rsidRPr="00602490" w:rsidRDefault="0005246A" w:rsidP="00E9269D">
            <w:pPr>
              <w:pStyle w:val="TableText0"/>
            </w:pPr>
            <w:proofErr w:type="spellStart"/>
            <w:r w:rsidRPr="00602490">
              <w:t>Cmax</w:t>
            </w:r>
            <w:proofErr w:type="spellEnd"/>
            <w:r w:rsidRPr="00602490">
              <w:t xml:space="preserve"> (µg/mL)</w:t>
            </w:r>
          </w:p>
        </w:tc>
        <w:tc>
          <w:tcPr>
            <w:tcW w:w="1115" w:type="pct"/>
            <w:shd w:val="clear" w:color="auto" w:fill="auto"/>
          </w:tcPr>
          <w:p w:rsidR="0005246A" w:rsidRPr="00602490" w:rsidRDefault="0005246A" w:rsidP="00E9269D">
            <w:pPr>
              <w:pStyle w:val="TableText0"/>
            </w:pPr>
            <w:r w:rsidRPr="00602490">
              <w:t xml:space="preserve">MEPO Pre-filled pen </w:t>
            </w:r>
          </w:p>
          <w:p w:rsidR="0005246A" w:rsidRPr="00602490" w:rsidRDefault="0005246A" w:rsidP="00E9269D">
            <w:pPr>
              <w:pStyle w:val="TableText0"/>
            </w:pPr>
          </w:p>
        </w:tc>
        <w:tc>
          <w:tcPr>
            <w:tcW w:w="454" w:type="pct"/>
            <w:shd w:val="clear" w:color="auto" w:fill="auto"/>
          </w:tcPr>
          <w:p w:rsidR="0005246A" w:rsidRPr="00602490" w:rsidRDefault="0005246A" w:rsidP="00E9269D">
            <w:pPr>
              <w:pStyle w:val="TableText0"/>
            </w:pPr>
            <w:r w:rsidRPr="00602490">
              <w:t>12.01</w:t>
            </w:r>
          </w:p>
          <w:p w:rsidR="0005246A" w:rsidRPr="00602490" w:rsidRDefault="0005246A" w:rsidP="00E9269D">
            <w:pPr>
              <w:pStyle w:val="TableText0"/>
            </w:pPr>
            <w:r w:rsidRPr="00602490">
              <w:t>(0.028)</w:t>
            </w:r>
          </w:p>
        </w:tc>
        <w:tc>
          <w:tcPr>
            <w:tcW w:w="1137" w:type="pct"/>
            <w:shd w:val="clear" w:color="auto" w:fill="auto"/>
          </w:tcPr>
          <w:p w:rsidR="0005246A" w:rsidRPr="00602490" w:rsidRDefault="0005246A" w:rsidP="00E9269D">
            <w:pPr>
              <w:pStyle w:val="TableText0"/>
            </w:pPr>
            <w:r w:rsidRPr="00602490">
              <w:t>11.55</w:t>
            </w:r>
          </w:p>
          <w:p w:rsidR="0005246A" w:rsidRPr="00602490" w:rsidRDefault="0005246A" w:rsidP="00E9269D">
            <w:pPr>
              <w:pStyle w:val="TableText0"/>
            </w:pPr>
            <w:r w:rsidRPr="00602490">
              <w:t>(0.027)</w:t>
            </w:r>
          </w:p>
        </w:tc>
        <w:tc>
          <w:tcPr>
            <w:tcW w:w="832" w:type="pct"/>
            <w:shd w:val="clear" w:color="auto" w:fill="auto"/>
          </w:tcPr>
          <w:p w:rsidR="0005246A" w:rsidRPr="00602490" w:rsidRDefault="0005246A" w:rsidP="00E9269D">
            <w:pPr>
              <w:pStyle w:val="TableText0"/>
            </w:pPr>
            <w:r w:rsidRPr="00602490">
              <w:t>1.04</w:t>
            </w:r>
          </w:p>
        </w:tc>
        <w:tc>
          <w:tcPr>
            <w:tcW w:w="832" w:type="pct"/>
            <w:shd w:val="clear" w:color="auto" w:fill="auto"/>
          </w:tcPr>
          <w:p w:rsidR="0005246A" w:rsidRPr="00602490" w:rsidRDefault="0005246A" w:rsidP="00E9269D">
            <w:pPr>
              <w:pStyle w:val="TableText0"/>
            </w:pPr>
            <w:r w:rsidRPr="00602490">
              <w:t>(0.98, 1.11)</w:t>
            </w:r>
          </w:p>
        </w:tc>
      </w:tr>
      <w:tr w:rsidR="0005246A" w:rsidRPr="00602490" w:rsidTr="00ED3144">
        <w:tc>
          <w:tcPr>
            <w:tcW w:w="629" w:type="pct"/>
          </w:tcPr>
          <w:p w:rsidR="0005246A" w:rsidRPr="00602490" w:rsidRDefault="0005246A" w:rsidP="00E9269D">
            <w:pPr>
              <w:pStyle w:val="TableText0"/>
            </w:pPr>
          </w:p>
        </w:tc>
        <w:tc>
          <w:tcPr>
            <w:tcW w:w="1115" w:type="pct"/>
          </w:tcPr>
          <w:p w:rsidR="0005246A" w:rsidRPr="00602490" w:rsidRDefault="0005246A" w:rsidP="00E9269D">
            <w:pPr>
              <w:pStyle w:val="TableText0"/>
            </w:pPr>
            <w:r w:rsidRPr="00602490">
              <w:t>MEPO Pre-filled syringe</w:t>
            </w:r>
          </w:p>
        </w:tc>
        <w:tc>
          <w:tcPr>
            <w:tcW w:w="454" w:type="pct"/>
          </w:tcPr>
          <w:p w:rsidR="0005246A" w:rsidRPr="00602490" w:rsidRDefault="0005246A" w:rsidP="00E9269D">
            <w:pPr>
              <w:pStyle w:val="TableText0"/>
            </w:pPr>
            <w:r w:rsidRPr="00602490">
              <w:t xml:space="preserve">12.14 </w:t>
            </w:r>
          </w:p>
          <w:p w:rsidR="0005246A" w:rsidRPr="00602490" w:rsidRDefault="0005246A" w:rsidP="00E9269D">
            <w:pPr>
              <w:pStyle w:val="TableText0"/>
            </w:pPr>
            <w:r w:rsidRPr="00602490">
              <w:t>(0.027)</w:t>
            </w:r>
          </w:p>
        </w:tc>
        <w:tc>
          <w:tcPr>
            <w:tcW w:w="1137" w:type="pct"/>
          </w:tcPr>
          <w:p w:rsidR="0005246A" w:rsidRPr="00602490" w:rsidRDefault="0005246A" w:rsidP="00E9269D">
            <w:pPr>
              <w:pStyle w:val="TableText0"/>
            </w:pPr>
            <w:r w:rsidRPr="00602490">
              <w:t>11.51</w:t>
            </w:r>
          </w:p>
          <w:p w:rsidR="0005246A" w:rsidRPr="00602490" w:rsidRDefault="0005246A" w:rsidP="00E9269D">
            <w:pPr>
              <w:pStyle w:val="TableText0"/>
            </w:pPr>
            <w:r w:rsidRPr="00602490">
              <w:t>(0.027)</w:t>
            </w:r>
          </w:p>
        </w:tc>
        <w:tc>
          <w:tcPr>
            <w:tcW w:w="832" w:type="pct"/>
          </w:tcPr>
          <w:p w:rsidR="0005246A" w:rsidRPr="00602490" w:rsidRDefault="0005246A" w:rsidP="00E9269D">
            <w:pPr>
              <w:pStyle w:val="TableText0"/>
            </w:pPr>
            <w:r w:rsidRPr="00602490">
              <w:t>1.06</w:t>
            </w:r>
          </w:p>
        </w:tc>
        <w:tc>
          <w:tcPr>
            <w:tcW w:w="832" w:type="pct"/>
          </w:tcPr>
          <w:p w:rsidR="0005246A" w:rsidRPr="00602490" w:rsidRDefault="0005246A" w:rsidP="00E9269D">
            <w:pPr>
              <w:pStyle w:val="TableText0"/>
            </w:pPr>
            <w:r w:rsidRPr="00602490">
              <w:t>(0.99, 1.12)</w:t>
            </w:r>
          </w:p>
        </w:tc>
      </w:tr>
      <w:tr w:rsidR="0005246A" w:rsidRPr="00602490" w:rsidTr="00ED3144">
        <w:tc>
          <w:tcPr>
            <w:tcW w:w="629" w:type="pct"/>
          </w:tcPr>
          <w:p w:rsidR="0005246A" w:rsidRPr="00602490" w:rsidRDefault="0005246A" w:rsidP="00E9269D">
            <w:pPr>
              <w:pStyle w:val="TableText0"/>
            </w:pPr>
            <w:r w:rsidRPr="00602490">
              <w:lastRenderedPageBreak/>
              <w:t>AUC (0-∞) (day*µg/mL)</w:t>
            </w:r>
          </w:p>
        </w:tc>
        <w:tc>
          <w:tcPr>
            <w:tcW w:w="1115" w:type="pct"/>
          </w:tcPr>
          <w:p w:rsidR="0005246A" w:rsidRPr="00602490" w:rsidRDefault="0005246A" w:rsidP="00E9269D">
            <w:pPr>
              <w:pStyle w:val="TableText0"/>
            </w:pPr>
            <w:r w:rsidRPr="00602490">
              <w:t>MEPO Pre-filled pen</w:t>
            </w:r>
          </w:p>
          <w:p w:rsidR="0005246A" w:rsidRPr="00602490" w:rsidRDefault="0005246A" w:rsidP="00E9269D">
            <w:pPr>
              <w:pStyle w:val="TableText0"/>
            </w:pPr>
          </w:p>
        </w:tc>
        <w:tc>
          <w:tcPr>
            <w:tcW w:w="454" w:type="pct"/>
          </w:tcPr>
          <w:p w:rsidR="0005246A" w:rsidRPr="00602490" w:rsidRDefault="0005246A" w:rsidP="00E9269D">
            <w:pPr>
              <w:pStyle w:val="TableText0"/>
            </w:pPr>
            <w:r w:rsidRPr="00602490">
              <w:t>478.94</w:t>
            </w:r>
          </w:p>
          <w:p w:rsidR="0005246A" w:rsidRPr="00602490" w:rsidRDefault="0005246A" w:rsidP="00E9269D">
            <w:pPr>
              <w:pStyle w:val="TableText0"/>
            </w:pPr>
            <w:r w:rsidRPr="00602490">
              <w:t>(0.026)</w:t>
            </w:r>
          </w:p>
        </w:tc>
        <w:tc>
          <w:tcPr>
            <w:tcW w:w="1137" w:type="pct"/>
          </w:tcPr>
          <w:p w:rsidR="0005246A" w:rsidRPr="00602490" w:rsidRDefault="0005246A" w:rsidP="00E9269D">
            <w:pPr>
              <w:pStyle w:val="TableText0"/>
            </w:pPr>
            <w:r w:rsidRPr="00602490">
              <w:t xml:space="preserve">449.70 </w:t>
            </w:r>
          </w:p>
          <w:p w:rsidR="0005246A" w:rsidRPr="00602490" w:rsidRDefault="0005246A" w:rsidP="00E9269D">
            <w:pPr>
              <w:pStyle w:val="TableText0"/>
            </w:pPr>
            <w:r w:rsidRPr="00602490">
              <w:t>(0.026)</w:t>
            </w:r>
          </w:p>
        </w:tc>
        <w:tc>
          <w:tcPr>
            <w:tcW w:w="832" w:type="pct"/>
          </w:tcPr>
          <w:p w:rsidR="0005246A" w:rsidRPr="00602490" w:rsidRDefault="0005246A" w:rsidP="00E9269D">
            <w:pPr>
              <w:pStyle w:val="TableText0"/>
            </w:pPr>
            <w:r w:rsidRPr="00602490">
              <w:t>1.07</w:t>
            </w:r>
          </w:p>
          <w:p w:rsidR="0005246A" w:rsidRPr="00602490" w:rsidRDefault="0005246A" w:rsidP="00E9269D">
            <w:pPr>
              <w:pStyle w:val="TableText0"/>
            </w:pPr>
          </w:p>
        </w:tc>
        <w:tc>
          <w:tcPr>
            <w:tcW w:w="832" w:type="pct"/>
          </w:tcPr>
          <w:p w:rsidR="0005246A" w:rsidRPr="00602490" w:rsidRDefault="0005246A" w:rsidP="00E9269D">
            <w:pPr>
              <w:pStyle w:val="TableText0"/>
            </w:pPr>
            <w:r w:rsidRPr="00602490">
              <w:t>(1.00, 1.13)</w:t>
            </w:r>
          </w:p>
        </w:tc>
      </w:tr>
      <w:tr w:rsidR="0005246A" w:rsidRPr="00602490" w:rsidTr="00ED3144">
        <w:tc>
          <w:tcPr>
            <w:tcW w:w="629" w:type="pct"/>
          </w:tcPr>
          <w:p w:rsidR="0005246A" w:rsidRPr="00602490" w:rsidRDefault="0005246A" w:rsidP="00E9269D">
            <w:pPr>
              <w:pStyle w:val="TableText0"/>
            </w:pPr>
          </w:p>
        </w:tc>
        <w:tc>
          <w:tcPr>
            <w:tcW w:w="1115" w:type="pct"/>
          </w:tcPr>
          <w:p w:rsidR="0005246A" w:rsidRPr="00602490" w:rsidRDefault="0005246A" w:rsidP="00E9269D">
            <w:pPr>
              <w:pStyle w:val="TableText0"/>
            </w:pPr>
            <w:r w:rsidRPr="00602490">
              <w:t>MEPO Pre-filled syringe</w:t>
            </w:r>
          </w:p>
        </w:tc>
        <w:tc>
          <w:tcPr>
            <w:tcW w:w="454" w:type="pct"/>
          </w:tcPr>
          <w:p w:rsidR="0005246A" w:rsidRPr="00602490" w:rsidRDefault="0005246A" w:rsidP="00E9269D">
            <w:pPr>
              <w:pStyle w:val="TableText0"/>
            </w:pPr>
            <w:r w:rsidRPr="00602490">
              <w:t>457.03</w:t>
            </w:r>
          </w:p>
          <w:p w:rsidR="0005246A" w:rsidRPr="00602490" w:rsidRDefault="0005246A" w:rsidP="00E9269D">
            <w:pPr>
              <w:pStyle w:val="TableText0"/>
            </w:pPr>
            <w:r w:rsidRPr="00602490">
              <w:t>(0.029)</w:t>
            </w:r>
          </w:p>
        </w:tc>
        <w:tc>
          <w:tcPr>
            <w:tcW w:w="1137" w:type="pct"/>
          </w:tcPr>
          <w:p w:rsidR="0005246A" w:rsidRPr="00602490" w:rsidRDefault="0005246A" w:rsidP="00E9269D">
            <w:pPr>
              <w:pStyle w:val="TableText0"/>
            </w:pPr>
            <w:r w:rsidRPr="00602490">
              <w:t>447.92</w:t>
            </w:r>
          </w:p>
          <w:p w:rsidR="0005246A" w:rsidRPr="00602490" w:rsidRDefault="0005246A" w:rsidP="00E9269D">
            <w:pPr>
              <w:pStyle w:val="TableText0"/>
            </w:pPr>
            <w:r w:rsidRPr="00602490">
              <w:t>(0.028)</w:t>
            </w:r>
          </w:p>
        </w:tc>
        <w:tc>
          <w:tcPr>
            <w:tcW w:w="832" w:type="pct"/>
          </w:tcPr>
          <w:p w:rsidR="0005246A" w:rsidRPr="00602490" w:rsidRDefault="0005246A" w:rsidP="00E9269D">
            <w:pPr>
              <w:pStyle w:val="TableText0"/>
            </w:pPr>
            <w:r w:rsidRPr="00602490">
              <w:t>1.02</w:t>
            </w:r>
          </w:p>
        </w:tc>
        <w:tc>
          <w:tcPr>
            <w:tcW w:w="832" w:type="pct"/>
          </w:tcPr>
          <w:p w:rsidR="0005246A" w:rsidRPr="00602490" w:rsidRDefault="0005246A" w:rsidP="00E9269D">
            <w:pPr>
              <w:pStyle w:val="TableText0"/>
            </w:pPr>
            <w:r w:rsidRPr="00602490">
              <w:t>(0.95, 1.09)</w:t>
            </w:r>
          </w:p>
        </w:tc>
      </w:tr>
      <w:tr w:rsidR="0005246A" w:rsidRPr="00602490" w:rsidTr="00ED3144">
        <w:tc>
          <w:tcPr>
            <w:tcW w:w="629" w:type="pct"/>
          </w:tcPr>
          <w:p w:rsidR="0005246A" w:rsidRPr="00602490" w:rsidRDefault="0005246A" w:rsidP="00E9269D">
            <w:pPr>
              <w:pStyle w:val="TableText0"/>
            </w:pPr>
            <w:r w:rsidRPr="00602490">
              <w:t>AUC (0-t) (day*µg/mL)</w:t>
            </w:r>
          </w:p>
        </w:tc>
        <w:tc>
          <w:tcPr>
            <w:tcW w:w="1115" w:type="pct"/>
          </w:tcPr>
          <w:p w:rsidR="0005246A" w:rsidRPr="00602490" w:rsidRDefault="0005246A" w:rsidP="00E9269D">
            <w:pPr>
              <w:pStyle w:val="TableText0"/>
            </w:pPr>
            <w:r w:rsidRPr="00602490">
              <w:t>MEPO Pre-filled pen</w:t>
            </w:r>
          </w:p>
          <w:p w:rsidR="0005246A" w:rsidRPr="00602490" w:rsidRDefault="0005246A" w:rsidP="00E9269D">
            <w:pPr>
              <w:pStyle w:val="TableText0"/>
            </w:pPr>
          </w:p>
        </w:tc>
        <w:tc>
          <w:tcPr>
            <w:tcW w:w="454" w:type="pct"/>
          </w:tcPr>
          <w:p w:rsidR="0005246A" w:rsidRPr="00602490" w:rsidRDefault="0005246A" w:rsidP="00E9269D">
            <w:pPr>
              <w:pStyle w:val="TableText0"/>
            </w:pPr>
            <w:r w:rsidRPr="00602490">
              <w:t>435.46</w:t>
            </w:r>
          </w:p>
          <w:p w:rsidR="0005246A" w:rsidRPr="00602490" w:rsidRDefault="0005246A" w:rsidP="00E9269D">
            <w:pPr>
              <w:pStyle w:val="TableText0"/>
            </w:pPr>
            <w:r w:rsidRPr="00602490">
              <w:t>(0.029)</w:t>
            </w:r>
          </w:p>
        </w:tc>
        <w:tc>
          <w:tcPr>
            <w:tcW w:w="1137" w:type="pct"/>
          </w:tcPr>
          <w:p w:rsidR="0005246A" w:rsidRPr="00602490" w:rsidRDefault="0005246A" w:rsidP="00E9269D">
            <w:pPr>
              <w:pStyle w:val="TableText0"/>
            </w:pPr>
            <w:r w:rsidRPr="00602490">
              <w:t>403.00</w:t>
            </w:r>
          </w:p>
          <w:p w:rsidR="0005246A" w:rsidRPr="00602490" w:rsidRDefault="0005246A" w:rsidP="00E9269D">
            <w:pPr>
              <w:pStyle w:val="TableText0"/>
            </w:pPr>
            <w:r w:rsidRPr="00602490">
              <w:t>(0.028)</w:t>
            </w:r>
          </w:p>
        </w:tc>
        <w:tc>
          <w:tcPr>
            <w:tcW w:w="832" w:type="pct"/>
          </w:tcPr>
          <w:p w:rsidR="0005246A" w:rsidRPr="00602490" w:rsidRDefault="0005246A" w:rsidP="00E9269D">
            <w:pPr>
              <w:pStyle w:val="TableText0"/>
            </w:pPr>
            <w:r w:rsidRPr="00602490">
              <w:t>1.08</w:t>
            </w:r>
          </w:p>
        </w:tc>
        <w:tc>
          <w:tcPr>
            <w:tcW w:w="832" w:type="pct"/>
          </w:tcPr>
          <w:p w:rsidR="0005246A" w:rsidRPr="00602490" w:rsidRDefault="0005246A" w:rsidP="00E9269D">
            <w:pPr>
              <w:pStyle w:val="TableText0"/>
            </w:pPr>
            <w:r w:rsidRPr="00602490">
              <w:t>(1.01, 1.15)</w:t>
            </w:r>
          </w:p>
        </w:tc>
      </w:tr>
      <w:tr w:rsidR="0005246A" w:rsidRPr="00602490" w:rsidTr="00ED3144">
        <w:tc>
          <w:tcPr>
            <w:tcW w:w="629" w:type="pct"/>
          </w:tcPr>
          <w:p w:rsidR="0005246A" w:rsidRPr="00602490" w:rsidRDefault="0005246A" w:rsidP="00E9269D">
            <w:pPr>
              <w:pStyle w:val="TableText0"/>
            </w:pPr>
          </w:p>
        </w:tc>
        <w:tc>
          <w:tcPr>
            <w:tcW w:w="1115" w:type="pct"/>
          </w:tcPr>
          <w:p w:rsidR="0005246A" w:rsidRPr="00602490" w:rsidRDefault="0005246A" w:rsidP="00E9269D">
            <w:pPr>
              <w:pStyle w:val="TableText0"/>
            </w:pPr>
            <w:r w:rsidRPr="00602490">
              <w:t>MEPO Pre-filled syringe</w:t>
            </w:r>
          </w:p>
        </w:tc>
        <w:tc>
          <w:tcPr>
            <w:tcW w:w="454" w:type="pct"/>
          </w:tcPr>
          <w:p w:rsidR="0005246A" w:rsidRPr="00602490" w:rsidRDefault="0005246A" w:rsidP="00E9269D">
            <w:pPr>
              <w:pStyle w:val="TableText0"/>
            </w:pPr>
            <w:r w:rsidRPr="00602490">
              <w:t xml:space="preserve">417.93 </w:t>
            </w:r>
          </w:p>
          <w:p w:rsidR="0005246A" w:rsidRPr="00602490" w:rsidRDefault="0005246A" w:rsidP="00E9269D">
            <w:pPr>
              <w:pStyle w:val="TableText0"/>
            </w:pPr>
            <w:r w:rsidRPr="00602490">
              <w:t>(0.031)</w:t>
            </w:r>
          </w:p>
        </w:tc>
        <w:tc>
          <w:tcPr>
            <w:tcW w:w="1137" w:type="pct"/>
          </w:tcPr>
          <w:p w:rsidR="0005246A" w:rsidRPr="00602490" w:rsidRDefault="0005246A" w:rsidP="00E9269D">
            <w:pPr>
              <w:pStyle w:val="TableText0"/>
            </w:pPr>
            <w:r w:rsidRPr="00602490">
              <w:t>401.30</w:t>
            </w:r>
          </w:p>
          <w:p w:rsidR="0005246A" w:rsidRPr="00602490" w:rsidRDefault="0005246A" w:rsidP="00E9269D">
            <w:pPr>
              <w:pStyle w:val="TableText0"/>
            </w:pPr>
            <w:r w:rsidRPr="00602490">
              <w:t>(0.030)</w:t>
            </w:r>
          </w:p>
        </w:tc>
        <w:tc>
          <w:tcPr>
            <w:tcW w:w="832" w:type="pct"/>
          </w:tcPr>
          <w:p w:rsidR="0005246A" w:rsidRPr="00602490" w:rsidRDefault="0005246A" w:rsidP="00E9269D">
            <w:pPr>
              <w:pStyle w:val="TableText0"/>
            </w:pPr>
            <w:r w:rsidRPr="00602490">
              <w:t>1.04</w:t>
            </w:r>
          </w:p>
        </w:tc>
        <w:tc>
          <w:tcPr>
            <w:tcW w:w="832" w:type="pct"/>
          </w:tcPr>
          <w:p w:rsidR="0005246A" w:rsidRPr="00602490" w:rsidRDefault="0005246A" w:rsidP="00E9269D">
            <w:pPr>
              <w:pStyle w:val="TableText0"/>
            </w:pPr>
            <w:r w:rsidRPr="00602490">
              <w:t>(0.97, 1.12)</w:t>
            </w:r>
          </w:p>
        </w:tc>
      </w:tr>
    </w:tbl>
    <w:p w:rsidR="00ED3144" w:rsidRPr="00602490" w:rsidRDefault="0005246A" w:rsidP="00E9269D">
      <w:pPr>
        <w:pStyle w:val="TableFooter"/>
      </w:pPr>
      <w:r w:rsidRPr="00602490">
        <w:t xml:space="preserve">Source: </w:t>
      </w:r>
      <w:r w:rsidR="0073058B" w:rsidRPr="00602490">
        <w:t xml:space="preserve">Minor submission, </w:t>
      </w:r>
      <w:r w:rsidRPr="00602490">
        <w:t>Table 11</w:t>
      </w:r>
      <w:r w:rsidR="0073058B" w:rsidRPr="00602490">
        <w:t xml:space="preserve"> (</w:t>
      </w:r>
      <w:r w:rsidR="00ED3144" w:rsidRPr="00602490">
        <w:t>p</w:t>
      </w:r>
      <w:r w:rsidR="0073058B" w:rsidRPr="00602490">
        <w:t>p</w:t>
      </w:r>
      <w:r w:rsidR="00ED3144" w:rsidRPr="00602490">
        <w:t>24</w:t>
      </w:r>
      <w:r w:rsidR="0073058B" w:rsidRPr="00602490">
        <w:t>).</w:t>
      </w:r>
      <w:r w:rsidR="00ED3144" w:rsidRPr="00602490">
        <w:t xml:space="preserve"> </w:t>
      </w:r>
    </w:p>
    <w:p w:rsidR="004B6035" w:rsidRPr="00602490" w:rsidRDefault="00ED3144" w:rsidP="00E9269D">
      <w:pPr>
        <w:pStyle w:val="TableFooter"/>
      </w:pPr>
      <w:r w:rsidRPr="00602490">
        <w:t>* Adjusted for injection site (arm, abdomen, thigh) and baseline weight (log</w:t>
      </w:r>
      <w:r w:rsidRPr="00602490">
        <w:rPr>
          <w:vertAlign w:val="subscript"/>
        </w:rPr>
        <w:t>e</w:t>
      </w:r>
      <w:r w:rsidRPr="00602490">
        <w:t xml:space="preserve"> scale)</w:t>
      </w:r>
      <w:r w:rsidR="0022530E" w:rsidRPr="00602490">
        <w:t xml:space="preserve">; </w:t>
      </w:r>
      <w:r w:rsidR="00AA70AC" w:rsidRPr="00602490">
        <w:t xml:space="preserve">CI = confidence interval; </w:t>
      </w:r>
      <w:r w:rsidR="004B6035" w:rsidRPr="00602490">
        <w:t xml:space="preserve">MEPO = mepolizumab </w:t>
      </w:r>
    </w:p>
    <w:p w:rsidR="0005246A" w:rsidRPr="00602490" w:rsidRDefault="0005246A" w:rsidP="0005246A"/>
    <w:p w:rsidR="004D126A" w:rsidRPr="00602490" w:rsidRDefault="004D126A" w:rsidP="00795B1E">
      <w:pPr>
        <w:pStyle w:val="3Bodytext"/>
      </w:pPr>
      <w:r w:rsidRPr="00602490">
        <w:rPr>
          <w:rFonts w:cs="Cambria"/>
        </w:rPr>
        <w:t xml:space="preserve">The PK effect did not appear to differ markedly when different sites of injection (upper arm, abdomen or thigh) </w:t>
      </w:r>
      <w:proofErr w:type="gramStart"/>
      <w:r w:rsidRPr="00602490">
        <w:rPr>
          <w:rFonts w:cs="Cambria"/>
        </w:rPr>
        <w:t>were used</w:t>
      </w:r>
      <w:proofErr w:type="gramEnd"/>
      <w:r w:rsidRPr="00602490">
        <w:rPr>
          <w:rFonts w:cs="Cambria"/>
        </w:rPr>
        <w:t>.</w:t>
      </w:r>
    </w:p>
    <w:p w:rsidR="004D126A" w:rsidRPr="00602490" w:rsidRDefault="004D126A" w:rsidP="00795B1E">
      <w:pPr>
        <w:pStyle w:val="3Bodytext"/>
      </w:pPr>
      <w:r w:rsidRPr="00602490">
        <w:rPr>
          <w:rFonts w:cs="Cambria"/>
        </w:rPr>
        <w:t xml:space="preserve">The PD effect (as determine by blood eosinophil count) </w:t>
      </w:r>
      <w:proofErr w:type="gramStart"/>
      <w:r w:rsidRPr="00602490">
        <w:rPr>
          <w:rFonts w:cs="Cambria"/>
        </w:rPr>
        <w:t>was measured as a secondary outcome, and found to be similar across all three presentations</w:t>
      </w:r>
      <w:proofErr w:type="gramEnd"/>
      <w:r w:rsidRPr="00602490">
        <w:rPr>
          <w:rFonts w:cs="Cambria"/>
        </w:rPr>
        <w:t xml:space="preserve">. </w:t>
      </w:r>
    </w:p>
    <w:p w:rsidR="004D126A" w:rsidRPr="00602490" w:rsidRDefault="00DF1513" w:rsidP="004D126A">
      <w:pPr>
        <w:pStyle w:val="Heading3"/>
      </w:pPr>
      <w:r w:rsidRPr="00602490">
        <w:t xml:space="preserve">Studies </w:t>
      </w:r>
      <w:r w:rsidR="004D126A" w:rsidRPr="00602490">
        <w:t>204959 and 205667</w:t>
      </w:r>
    </w:p>
    <w:p w:rsidR="00C43DB4" w:rsidRPr="00602490" w:rsidRDefault="000D2793" w:rsidP="00CD0CCD">
      <w:pPr>
        <w:pStyle w:val="3Bodytext"/>
        <w:rPr>
          <w:rFonts w:cs="Cambria"/>
        </w:rPr>
      </w:pPr>
      <w:r w:rsidRPr="00602490">
        <w:t>Both studies</w:t>
      </w:r>
      <w:r w:rsidR="00CD0CCD" w:rsidRPr="00602490">
        <w:t xml:space="preserve"> </w:t>
      </w:r>
      <w:r w:rsidR="00C43DB4" w:rsidRPr="00602490">
        <w:t>showed</w:t>
      </w:r>
      <w:r w:rsidR="00CD0CCD" w:rsidRPr="00602490">
        <w:t xml:space="preserve"> a high injection success rate</w:t>
      </w:r>
      <w:r w:rsidR="0022530E" w:rsidRPr="00602490">
        <w:t>,</w:t>
      </w:r>
      <w:r w:rsidR="00CD0CCD" w:rsidRPr="00602490">
        <w:t xml:space="preserve"> </w:t>
      </w:r>
      <w:r w:rsidRPr="00602490">
        <w:t>with all but one subjec</w:t>
      </w:r>
      <w:r w:rsidR="0022530E" w:rsidRPr="00602490">
        <w:t>t</w:t>
      </w:r>
      <w:r w:rsidR="00CD0CCD" w:rsidRPr="00602490">
        <w:t xml:space="preserve"> being able to self-administer their </w:t>
      </w:r>
      <w:r w:rsidR="0022530E" w:rsidRPr="00602490">
        <w:t>Nucala Pen or PFS</w:t>
      </w:r>
      <w:r w:rsidRPr="00602490">
        <w:t xml:space="preserve">. </w:t>
      </w:r>
    </w:p>
    <w:p w:rsidR="00C43DB4" w:rsidRPr="00602490" w:rsidRDefault="00CD0CCD" w:rsidP="0022530E">
      <w:pPr>
        <w:pStyle w:val="Bulletpoints"/>
      </w:pPr>
      <w:r w:rsidRPr="00602490">
        <w:t>Response</w:t>
      </w:r>
      <w:r w:rsidR="00C43DB4" w:rsidRPr="00602490">
        <w:t>s</w:t>
      </w:r>
      <w:r w:rsidRPr="00602490">
        <w:t xml:space="preserve"> from a questionnaire revealed an overall positive experience from the subjects/caregivers regarding the usability of the PFS</w:t>
      </w:r>
      <w:r w:rsidR="000D2793" w:rsidRPr="00602490">
        <w:t>/pen</w:t>
      </w:r>
      <w:r w:rsidRPr="00602490">
        <w:t xml:space="preserve">. </w:t>
      </w:r>
    </w:p>
    <w:p w:rsidR="004B6035" w:rsidRPr="00602490" w:rsidRDefault="00CD0CCD" w:rsidP="0022530E">
      <w:pPr>
        <w:pStyle w:val="Bulletpoints"/>
      </w:pPr>
      <w:r w:rsidRPr="00602490">
        <w:t xml:space="preserve">For patients who had been receiving treatment with </w:t>
      </w:r>
      <w:r w:rsidR="0022530E" w:rsidRPr="00602490">
        <w:t>Nucala Vial at screening,</w:t>
      </w:r>
      <w:r w:rsidRPr="00602490">
        <w:t xml:space="preserve"> 96% showed a preference for receiving the </w:t>
      </w:r>
      <w:r w:rsidR="0022530E" w:rsidRPr="00602490">
        <w:t>Nucala Pen or PFS</w:t>
      </w:r>
      <w:r w:rsidRPr="00602490">
        <w:t xml:space="preserve"> at ho</w:t>
      </w:r>
      <w:r w:rsidR="000D2793" w:rsidRPr="00602490">
        <w:t>me</w:t>
      </w:r>
      <w:r w:rsidR="00602490">
        <w:t xml:space="preserve">. </w:t>
      </w:r>
      <w:r w:rsidRPr="00602490">
        <w:t xml:space="preserve"> </w:t>
      </w:r>
    </w:p>
    <w:p w:rsidR="00C43DB4" w:rsidRPr="00602490" w:rsidRDefault="00C43DB4" w:rsidP="0022530E">
      <w:pPr>
        <w:pStyle w:val="Bulletpoints"/>
      </w:pPr>
      <w:r w:rsidRPr="00602490">
        <w:t xml:space="preserve">The </w:t>
      </w:r>
      <w:r w:rsidR="000D2793" w:rsidRPr="00602490">
        <w:t>PK and PD results showed that</w:t>
      </w:r>
      <w:r w:rsidRPr="00602490">
        <w:t xml:space="preserve"> mepolizumab plasma concentrations </w:t>
      </w:r>
      <w:r w:rsidR="000D2793" w:rsidRPr="00602490">
        <w:t xml:space="preserve">and blood eosinophil counts </w:t>
      </w:r>
      <w:r w:rsidRPr="00602490">
        <w:t xml:space="preserve">were consistent with those observed for </w:t>
      </w:r>
      <w:r w:rsidR="0022530E" w:rsidRPr="00602490">
        <w:t>Nucala</w:t>
      </w:r>
      <w:r w:rsidR="0073058B" w:rsidRPr="00602490">
        <w:t xml:space="preserve"> V</w:t>
      </w:r>
      <w:r w:rsidRPr="00602490">
        <w:t xml:space="preserve">ial. </w:t>
      </w:r>
    </w:p>
    <w:p w:rsidR="005A3173" w:rsidRPr="00602490" w:rsidRDefault="007F0021" w:rsidP="00314B1A">
      <w:pPr>
        <w:pStyle w:val="Heading2"/>
        <w:keepNext/>
      </w:pPr>
      <w:r w:rsidRPr="00602490">
        <w:t xml:space="preserve">Comparative </w:t>
      </w:r>
      <w:r w:rsidR="005A3173" w:rsidRPr="00602490">
        <w:t>harms</w:t>
      </w:r>
    </w:p>
    <w:p w:rsidR="000D2793" w:rsidRPr="00602490" w:rsidRDefault="000D2793" w:rsidP="00314B1A">
      <w:pPr>
        <w:pStyle w:val="3Bodytext"/>
        <w:keepNext/>
      </w:pPr>
      <w:r w:rsidRPr="00602490">
        <w:t xml:space="preserve">The minor submission claimed that the results from </w:t>
      </w:r>
      <w:r w:rsidR="003D1400" w:rsidRPr="00602490">
        <w:t>S</w:t>
      </w:r>
      <w:r w:rsidRPr="00602490">
        <w:t>tud</w:t>
      </w:r>
      <w:r w:rsidR="00DF1513" w:rsidRPr="00602490">
        <w:t>ies</w:t>
      </w:r>
      <w:r w:rsidRPr="00602490">
        <w:t xml:space="preserve"> 204959 and 205667 demonstrated that the safety profiles of </w:t>
      </w:r>
      <w:r w:rsidR="0073058B" w:rsidRPr="00602490">
        <w:t>Nucala Pen and PFS</w:t>
      </w:r>
      <w:r w:rsidRPr="00602490">
        <w:t xml:space="preserve"> are consistent with that of </w:t>
      </w:r>
      <w:r w:rsidR="0073058B" w:rsidRPr="00602490">
        <w:t>Nucala V</w:t>
      </w:r>
      <w:r w:rsidRPr="00602490">
        <w:t xml:space="preserve">ial and no new safety concerns </w:t>
      </w:r>
      <w:proofErr w:type="gramStart"/>
      <w:r w:rsidRPr="00602490">
        <w:t>were identified</w:t>
      </w:r>
      <w:proofErr w:type="gramEnd"/>
      <w:r w:rsidRPr="00602490">
        <w:t xml:space="preserve">. </w:t>
      </w:r>
    </w:p>
    <w:p w:rsidR="00CB73DF" w:rsidRDefault="00CB73DF">
      <w:pPr>
        <w:rPr>
          <w:rFonts w:asciiTheme="minorHAnsi" w:eastAsiaTheme="minorHAnsi" w:hAnsiTheme="minorHAnsi" w:cstheme="minorBidi"/>
          <w:b/>
          <w:i/>
          <w:color w:val="000000" w:themeColor="text1"/>
          <w:sz w:val="28"/>
          <w:lang w:eastAsia="en-US"/>
        </w:rPr>
      </w:pPr>
      <w:r>
        <w:br w:type="page"/>
      </w:r>
    </w:p>
    <w:p w:rsidR="00977BF3" w:rsidRPr="00602490" w:rsidRDefault="005A3173" w:rsidP="00065B6C">
      <w:pPr>
        <w:pStyle w:val="Heading2"/>
      </w:pPr>
      <w:r w:rsidRPr="00602490">
        <w:lastRenderedPageBreak/>
        <w:t>Clinical claim</w:t>
      </w:r>
    </w:p>
    <w:p w:rsidR="00F57A6D" w:rsidRPr="00602490" w:rsidRDefault="00FF2801" w:rsidP="00616C19">
      <w:pPr>
        <w:pStyle w:val="3Bodytext"/>
      </w:pPr>
      <w:r w:rsidRPr="00602490">
        <w:t xml:space="preserve">The </w:t>
      </w:r>
      <w:r w:rsidR="0073058B" w:rsidRPr="00602490">
        <w:t xml:space="preserve">minor </w:t>
      </w:r>
      <w:r w:rsidRPr="00602490">
        <w:t>submission claimed</w:t>
      </w:r>
      <w:r w:rsidR="00065B6C" w:rsidRPr="00602490">
        <w:t xml:space="preserve"> </w:t>
      </w:r>
      <w:r w:rsidR="0073058B" w:rsidRPr="00602490">
        <w:t>Nucala Pen and PFS</w:t>
      </w:r>
      <w:r w:rsidR="00065B6C" w:rsidRPr="00602490">
        <w:t xml:space="preserve"> are</w:t>
      </w:r>
      <w:r w:rsidR="00BB7EC3" w:rsidRPr="00602490">
        <w:t xml:space="preserve"> non-inferior</w:t>
      </w:r>
      <w:r w:rsidR="00065B6C" w:rsidRPr="00602490">
        <w:t xml:space="preserve"> in terms of </w:t>
      </w:r>
      <w:r w:rsidR="00941F0C" w:rsidRPr="00602490">
        <w:t xml:space="preserve">comparative </w:t>
      </w:r>
      <w:r w:rsidR="00065B6C" w:rsidRPr="00602490">
        <w:t>efficacy</w:t>
      </w:r>
      <w:r w:rsidR="00941F0C" w:rsidRPr="00602490">
        <w:t xml:space="preserve"> and safety </w:t>
      </w:r>
      <w:r w:rsidR="00065B6C" w:rsidRPr="00602490">
        <w:t xml:space="preserve">to </w:t>
      </w:r>
      <w:r w:rsidR="0073058B" w:rsidRPr="00602490">
        <w:t>Nucala V</w:t>
      </w:r>
      <w:r w:rsidR="00065B6C" w:rsidRPr="00602490">
        <w:t>ial</w:t>
      </w:r>
      <w:r w:rsidR="00941F0C" w:rsidRPr="00602490">
        <w:t xml:space="preserve">. The PBAC considered these claims </w:t>
      </w:r>
      <w:r w:rsidR="008510B0" w:rsidRPr="00602490">
        <w:t>reasonable</w:t>
      </w:r>
      <w:r w:rsidR="00941F0C" w:rsidRPr="00602490">
        <w:t>.</w:t>
      </w:r>
    </w:p>
    <w:p w:rsidR="00977BF3" w:rsidRPr="00602490" w:rsidRDefault="005A3173" w:rsidP="00251BFD">
      <w:pPr>
        <w:pStyle w:val="Heading2"/>
      </w:pPr>
      <w:r w:rsidRPr="00602490">
        <w:t>Economic analysis</w:t>
      </w:r>
      <w:r w:rsidR="009803E4" w:rsidRPr="00602490">
        <w:t xml:space="preserve"> </w:t>
      </w:r>
    </w:p>
    <w:p w:rsidR="00977BF3" w:rsidRPr="00602490" w:rsidRDefault="009803E4" w:rsidP="00261721">
      <w:pPr>
        <w:pStyle w:val="3Bodytext"/>
      </w:pPr>
      <w:r w:rsidRPr="00602490">
        <w:rPr>
          <w:snapToGrid w:val="0"/>
        </w:rPr>
        <w:t xml:space="preserve">The minor submission presented a cost-minimisation analysis of </w:t>
      </w:r>
      <w:r w:rsidR="0073058B" w:rsidRPr="00602490">
        <w:rPr>
          <w:snapToGrid w:val="0"/>
        </w:rPr>
        <w:t>Nucala Pen and PFS</w:t>
      </w:r>
      <w:r w:rsidR="00251BFD" w:rsidRPr="00602490">
        <w:rPr>
          <w:snapToGrid w:val="0"/>
        </w:rPr>
        <w:t xml:space="preserve"> </w:t>
      </w:r>
      <w:r w:rsidR="008A59D9" w:rsidRPr="00602490">
        <w:rPr>
          <w:snapToGrid w:val="0"/>
        </w:rPr>
        <w:t>compared with</w:t>
      </w:r>
      <w:r w:rsidR="00251BFD" w:rsidRPr="00602490">
        <w:rPr>
          <w:snapToGrid w:val="0"/>
        </w:rPr>
        <w:t xml:space="preserve"> </w:t>
      </w:r>
      <w:r w:rsidR="0073058B" w:rsidRPr="00602490">
        <w:rPr>
          <w:snapToGrid w:val="0"/>
        </w:rPr>
        <w:t>Nucala V</w:t>
      </w:r>
      <w:r w:rsidR="00251BFD" w:rsidRPr="00602490">
        <w:rPr>
          <w:snapToGrid w:val="0"/>
        </w:rPr>
        <w:t>ial</w:t>
      </w:r>
      <w:r w:rsidR="008A59D9" w:rsidRPr="00602490">
        <w:rPr>
          <w:snapToGrid w:val="0"/>
        </w:rPr>
        <w:t xml:space="preserve">. </w:t>
      </w:r>
      <w:r w:rsidR="008224DA" w:rsidRPr="00602490">
        <w:rPr>
          <w:lang w:eastAsia="en-AU"/>
        </w:rPr>
        <w:t xml:space="preserve">Given </w:t>
      </w:r>
      <w:r w:rsidR="008224DA" w:rsidRPr="00602490">
        <w:t>Nucala Pen</w:t>
      </w:r>
      <w:r w:rsidR="0094439A" w:rsidRPr="00602490">
        <w:t xml:space="preserve"> and </w:t>
      </w:r>
      <w:r w:rsidR="008224DA" w:rsidRPr="00602490">
        <w:t xml:space="preserve">PFS </w:t>
      </w:r>
      <w:r w:rsidR="008224DA" w:rsidRPr="00602490">
        <w:rPr>
          <w:lang w:eastAsia="en-AU"/>
        </w:rPr>
        <w:t xml:space="preserve">have the same dosage regimen as </w:t>
      </w:r>
      <w:r w:rsidR="008224DA" w:rsidRPr="00602490">
        <w:t>Nucala V</w:t>
      </w:r>
      <w:r w:rsidR="008224DA" w:rsidRPr="00602490">
        <w:rPr>
          <w:lang w:eastAsia="en-AU"/>
        </w:rPr>
        <w:t>ial</w:t>
      </w:r>
      <w:r w:rsidR="008224DA" w:rsidRPr="00602490">
        <w:t xml:space="preserve">, </w:t>
      </w:r>
      <w:r w:rsidR="008224DA" w:rsidRPr="00602490">
        <w:rPr>
          <w:snapToGrid w:val="0"/>
        </w:rPr>
        <w:t>t</w:t>
      </w:r>
      <w:r w:rsidR="00CC3B97" w:rsidRPr="00602490">
        <w:rPr>
          <w:snapToGrid w:val="0"/>
        </w:rPr>
        <w:t xml:space="preserve">he </w:t>
      </w:r>
      <w:proofErr w:type="spellStart"/>
      <w:r w:rsidR="00CC3B97" w:rsidRPr="00602490">
        <w:rPr>
          <w:snapToGrid w:val="0"/>
        </w:rPr>
        <w:t>equi</w:t>
      </w:r>
      <w:proofErr w:type="spellEnd"/>
      <w:r w:rsidR="00CC3B97" w:rsidRPr="00602490">
        <w:rPr>
          <w:snapToGrid w:val="0"/>
        </w:rPr>
        <w:t xml:space="preserve">-effective doses </w:t>
      </w:r>
      <w:r w:rsidR="008A59D9" w:rsidRPr="00602490">
        <w:rPr>
          <w:snapToGrid w:val="0"/>
        </w:rPr>
        <w:t>were</w:t>
      </w:r>
      <w:r w:rsidR="00CC3B97" w:rsidRPr="00602490">
        <w:rPr>
          <w:snapToGrid w:val="0"/>
        </w:rPr>
        <w:t xml:space="preserve"> estimated as </w:t>
      </w:r>
      <w:r w:rsidR="00251BFD" w:rsidRPr="00602490">
        <w:rPr>
          <w:snapToGrid w:val="0"/>
        </w:rPr>
        <w:t>one mepolizumab</w:t>
      </w:r>
      <w:r w:rsidR="0073058B" w:rsidRPr="00602490">
        <w:rPr>
          <w:snapToGrid w:val="0"/>
        </w:rPr>
        <w:t xml:space="preserve"> 100 mg </w:t>
      </w:r>
      <w:r w:rsidR="008224DA" w:rsidRPr="00602490">
        <w:rPr>
          <w:snapToGrid w:val="0"/>
        </w:rPr>
        <w:t>pen</w:t>
      </w:r>
      <w:r w:rsidR="0073058B" w:rsidRPr="00602490">
        <w:rPr>
          <w:snapToGrid w:val="0"/>
        </w:rPr>
        <w:t xml:space="preserve"> (solution) or</w:t>
      </w:r>
      <w:r w:rsidR="00251BFD" w:rsidRPr="00602490">
        <w:rPr>
          <w:snapToGrid w:val="0"/>
        </w:rPr>
        <w:t xml:space="preserve"> one mepolizumab 100</w:t>
      </w:r>
      <w:r w:rsidR="0073058B" w:rsidRPr="00602490">
        <w:rPr>
          <w:snapToGrid w:val="0"/>
        </w:rPr>
        <w:t xml:space="preserve"> </w:t>
      </w:r>
      <w:r w:rsidR="00251BFD" w:rsidRPr="00602490">
        <w:rPr>
          <w:snapToGrid w:val="0"/>
        </w:rPr>
        <w:t xml:space="preserve">mg </w:t>
      </w:r>
      <w:r w:rsidR="008224DA" w:rsidRPr="00602490">
        <w:rPr>
          <w:snapToGrid w:val="0"/>
        </w:rPr>
        <w:t>PFS</w:t>
      </w:r>
      <w:r w:rsidR="00251BFD" w:rsidRPr="00602490">
        <w:rPr>
          <w:snapToGrid w:val="0"/>
        </w:rPr>
        <w:t xml:space="preserve"> (solution) and one mepolizumab 100</w:t>
      </w:r>
      <w:r w:rsidR="0073058B" w:rsidRPr="00602490">
        <w:rPr>
          <w:snapToGrid w:val="0"/>
        </w:rPr>
        <w:t xml:space="preserve"> </w:t>
      </w:r>
      <w:r w:rsidR="00251BFD" w:rsidRPr="00602490">
        <w:rPr>
          <w:snapToGrid w:val="0"/>
        </w:rPr>
        <w:t>mg vial (powder for injection).</w:t>
      </w:r>
    </w:p>
    <w:p w:rsidR="00176E1B" w:rsidRPr="00602490" w:rsidRDefault="00733506" w:rsidP="00261721">
      <w:pPr>
        <w:pStyle w:val="3Bodytext"/>
      </w:pPr>
      <w:r w:rsidRPr="00602490">
        <w:rPr>
          <w:snapToGrid w:val="0"/>
        </w:rPr>
        <w:t xml:space="preserve">The minor submission proposed the ex-manufacturer price (AEMP) for Nucala Pen and PFS to be equivalent to Nucala Vial, and that the Special Pricing Arrangement (SPA) for Nucala Vial should apply to Nucala Pen and PFS. </w:t>
      </w:r>
    </w:p>
    <w:p w:rsidR="005A3173" w:rsidRPr="00602490" w:rsidRDefault="005A3173" w:rsidP="00261721">
      <w:pPr>
        <w:pStyle w:val="Heading2"/>
      </w:pPr>
      <w:r w:rsidRPr="00602490">
        <w:t>Estimated PBS usage &amp; financial implications</w:t>
      </w:r>
    </w:p>
    <w:p w:rsidR="008E625D" w:rsidRPr="00602490" w:rsidRDefault="008E625D" w:rsidP="00DD4212">
      <w:pPr>
        <w:pStyle w:val="3Bodytext"/>
      </w:pPr>
      <w:r w:rsidRPr="00602490">
        <w:t xml:space="preserve">The </w:t>
      </w:r>
      <w:r w:rsidR="006953AB" w:rsidRPr="00602490">
        <w:t>minor submission</w:t>
      </w:r>
      <w:r w:rsidRPr="00602490">
        <w:t xml:space="preserve"> </w:t>
      </w:r>
      <w:r w:rsidR="000F7140" w:rsidRPr="00602490">
        <w:t>used</w:t>
      </w:r>
      <w:r w:rsidRPr="00602490">
        <w:t xml:space="preserve"> a market share approach to </w:t>
      </w:r>
      <w:r w:rsidR="006953AB" w:rsidRPr="00602490">
        <w:t xml:space="preserve">estimate </w:t>
      </w:r>
      <w:r w:rsidRPr="00602490">
        <w:t xml:space="preserve">the uptake and </w:t>
      </w:r>
      <w:r w:rsidR="006953AB" w:rsidRPr="00602490">
        <w:t xml:space="preserve">financial implications </w:t>
      </w:r>
      <w:r w:rsidRPr="00602490">
        <w:t xml:space="preserve">of Nucala Pen and PFS </w:t>
      </w:r>
      <w:r w:rsidR="006953AB" w:rsidRPr="00602490">
        <w:t xml:space="preserve">and the currently listed </w:t>
      </w:r>
      <w:r w:rsidRPr="00602490">
        <w:t xml:space="preserve">Nucala Vial. </w:t>
      </w:r>
      <w:r w:rsidR="002159B0" w:rsidRPr="00602490">
        <w:t xml:space="preserve">The minor submission </w:t>
      </w:r>
      <w:r w:rsidR="006953AB" w:rsidRPr="00602490">
        <w:t xml:space="preserve">assumed </w:t>
      </w:r>
      <w:r w:rsidR="002159B0" w:rsidRPr="00602490">
        <w:t xml:space="preserve">that Nucala Pen and PFS </w:t>
      </w:r>
      <w:r w:rsidR="006953AB" w:rsidRPr="00602490">
        <w:t xml:space="preserve">would </w:t>
      </w:r>
      <w:r w:rsidR="009E3FCB" w:rsidRPr="00602490">
        <w:t xml:space="preserve">substitute </w:t>
      </w:r>
      <w:r w:rsidR="006953AB" w:rsidRPr="00602490">
        <w:t xml:space="preserve">for </w:t>
      </w:r>
      <w:r w:rsidR="009E3FCB" w:rsidRPr="00602490">
        <w:t xml:space="preserve">100% of </w:t>
      </w:r>
      <w:r w:rsidR="002159B0" w:rsidRPr="00602490">
        <w:t xml:space="preserve">Nucala Vial </w:t>
      </w:r>
      <w:r w:rsidR="00BF402E" w:rsidRPr="00602490">
        <w:t xml:space="preserve">use </w:t>
      </w:r>
      <w:r w:rsidR="009E3FCB" w:rsidRPr="00602490">
        <w:t xml:space="preserve">within </w:t>
      </w:r>
      <w:r w:rsidR="002159B0" w:rsidRPr="00602490">
        <w:t xml:space="preserve">the first year of listing. </w:t>
      </w:r>
      <w:r w:rsidRPr="00602490">
        <w:t xml:space="preserve">The minor submission predicted no growth </w:t>
      </w:r>
      <w:r w:rsidR="009E3FCB" w:rsidRPr="00602490">
        <w:t xml:space="preserve">within </w:t>
      </w:r>
      <w:r w:rsidRPr="00602490">
        <w:t xml:space="preserve">the mepolizumab market </w:t>
      </w:r>
      <w:r w:rsidR="00F03079" w:rsidRPr="00602490">
        <w:t>n</w:t>
      </w:r>
      <w:r w:rsidR="000400D9" w:rsidRPr="00602490">
        <w:t xml:space="preserve">or the </w:t>
      </w:r>
      <w:r w:rsidRPr="00602490">
        <w:t>overall market for uncontrol</w:t>
      </w:r>
      <w:r w:rsidR="000400D9" w:rsidRPr="00602490">
        <w:t>led severe eosinophilic asthma</w:t>
      </w:r>
      <w:r w:rsidR="006953AB" w:rsidRPr="00602490">
        <w:t xml:space="preserve"> </w:t>
      </w:r>
      <w:proofErr w:type="gramStart"/>
      <w:r w:rsidR="006953AB" w:rsidRPr="00602490">
        <w:t>as a result</w:t>
      </w:r>
      <w:proofErr w:type="gramEnd"/>
      <w:r w:rsidR="006953AB" w:rsidRPr="00602490">
        <w:t xml:space="preserve"> of listing the Pen and PFS forms</w:t>
      </w:r>
      <w:r w:rsidR="009E3FCB" w:rsidRPr="00602490">
        <w:t>.</w:t>
      </w:r>
      <w:r w:rsidRPr="00602490">
        <w:t xml:space="preserve"> </w:t>
      </w:r>
      <w:r w:rsidR="00967A95" w:rsidRPr="00602490">
        <w:t>Therefore,</w:t>
      </w:r>
      <w:r w:rsidR="00F67E61" w:rsidRPr="00602490">
        <w:t xml:space="preserve"> the minor submission estimated there to be no net additional cost to the PBS over six years</w:t>
      </w:r>
      <w:r w:rsidR="002B5AB9" w:rsidRPr="00602490">
        <w:t>.</w:t>
      </w:r>
      <w:r w:rsidR="00F67E61" w:rsidRPr="00602490">
        <w:t xml:space="preserve"> </w:t>
      </w:r>
    </w:p>
    <w:p w:rsidR="00CB73DF" w:rsidRDefault="00CB73DF">
      <w:pPr>
        <w:rPr>
          <w:rFonts w:ascii="Arial Narrow" w:hAnsi="Arial Narrow"/>
          <w:b/>
          <w:sz w:val="20"/>
          <w:szCs w:val="22"/>
        </w:rPr>
      </w:pPr>
      <w:bookmarkStart w:id="2" w:name="_Toc26539439"/>
      <w:r>
        <w:br w:type="page"/>
      </w:r>
    </w:p>
    <w:p w:rsidR="00C37FB0" w:rsidRPr="00602490" w:rsidRDefault="00C37FB0" w:rsidP="00314B1A">
      <w:pPr>
        <w:pStyle w:val="Tabletitles"/>
        <w:keepNext/>
      </w:pPr>
      <w:r w:rsidRPr="00602490">
        <w:lastRenderedPageBreak/>
        <w:t xml:space="preserve">Table </w:t>
      </w:r>
      <w:r w:rsidR="00314B1A">
        <w:t>3:</w:t>
      </w:r>
      <w:r w:rsidRPr="00602490">
        <w:t xml:space="preserve"> Financial impact of MEPO pre-filled pen/pre-filled syringe over six years</w:t>
      </w:r>
      <w:bookmarkEnd w:id="2"/>
    </w:p>
    <w:tbl>
      <w:tblPr>
        <w:tblStyle w:val="TableGrid"/>
        <w:tblW w:w="0" w:type="auto"/>
        <w:tblLayout w:type="fixed"/>
        <w:tblLook w:val="04A0" w:firstRow="1" w:lastRow="0" w:firstColumn="1" w:lastColumn="0" w:noHBand="0" w:noVBand="1"/>
        <w:tblCaption w:val="Table 3: Financial impact of MEPO pre-filled pen/pre-filled syringe over six years"/>
      </w:tblPr>
      <w:tblGrid>
        <w:gridCol w:w="1980"/>
        <w:gridCol w:w="1134"/>
        <w:gridCol w:w="1134"/>
        <w:gridCol w:w="1134"/>
        <w:gridCol w:w="1276"/>
        <w:gridCol w:w="1134"/>
        <w:gridCol w:w="1224"/>
      </w:tblGrid>
      <w:tr w:rsidR="00C37FB0" w:rsidRPr="00602490" w:rsidTr="00E263D0">
        <w:trPr>
          <w:tblHeader/>
        </w:trPr>
        <w:tc>
          <w:tcPr>
            <w:tcW w:w="1980" w:type="dxa"/>
            <w:tcBorders>
              <w:bottom w:val="single" w:sz="4" w:space="0" w:color="000000" w:themeColor="text1"/>
            </w:tcBorders>
            <w:shd w:val="clear" w:color="auto" w:fill="auto"/>
          </w:tcPr>
          <w:p w:rsidR="00C37FB0" w:rsidRPr="00602490" w:rsidRDefault="00C37FB0" w:rsidP="00314B1A">
            <w:pPr>
              <w:keepNext/>
              <w:rPr>
                <w:rFonts w:ascii="Arial Narrow" w:hAnsi="Arial Narrow"/>
                <w:b/>
                <w:sz w:val="20"/>
                <w:szCs w:val="20"/>
              </w:rPr>
            </w:pPr>
          </w:p>
        </w:tc>
        <w:tc>
          <w:tcPr>
            <w:tcW w:w="1134" w:type="dxa"/>
            <w:tcBorders>
              <w:bottom w:val="single" w:sz="4" w:space="0" w:color="000000" w:themeColor="text1"/>
            </w:tcBorders>
            <w:shd w:val="clear" w:color="auto" w:fill="auto"/>
          </w:tcPr>
          <w:p w:rsidR="00C37FB0" w:rsidRPr="00602490" w:rsidRDefault="00C37FB0" w:rsidP="00314B1A">
            <w:pPr>
              <w:keepNext/>
              <w:rPr>
                <w:rFonts w:ascii="Arial Narrow" w:hAnsi="Arial Narrow"/>
                <w:b/>
                <w:sz w:val="20"/>
                <w:szCs w:val="20"/>
              </w:rPr>
            </w:pPr>
            <w:r w:rsidRPr="00602490">
              <w:rPr>
                <w:rFonts w:ascii="Arial Narrow" w:hAnsi="Arial Narrow"/>
                <w:b/>
                <w:sz w:val="20"/>
                <w:szCs w:val="20"/>
              </w:rPr>
              <w:t>Year 1</w:t>
            </w:r>
            <w:r w:rsidR="00DF437F" w:rsidRPr="00602490">
              <w:rPr>
                <w:rFonts w:ascii="Arial Narrow" w:hAnsi="Arial Narrow"/>
                <w:b/>
                <w:sz w:val="20"/>
                <w:szCs w:val="20"/>
                <w:vertAlign w:val="superscript"/>
              </w:rPr>
              <w:t>a</w:t>
            </w:r>
          </w:p>
        </w:tc>
        <w:tc>
          <w:tcPr>
            <w:tcW w:w="1134" w:type="dxa"/>
            <w:tcBorders>
              <w:bottom w:val="single" w:sz="4" w:space="0" w:color="000000" w:themeColor="text1"/>
            </w:tcBorders>
            <w:shd w:val="clear" w:color="auto" w:fill="auto"/>
          </w:tcPr>
          <w:p w:rsidR="00C37FB0" w:rsidRPr="00602490" w:rsidRDefault="00C37FB0" w:rsidP="00314B1A">
            <w:pPr>
              <w:keepNext/>
              <w:rPr>
                <w:rFonts w:ascii="Arial Narrow" w:hAnsi="Arial Narrow"/>
                <w:b/>
                <w:sz w:val="20"/>
                <w:szCs w:val="20"/>
              </w:rPr>
            </w:pPr>
            <w:r w:rsidRPr="00602490">
              <w:rPr>
                <w:rFonts w:ascii="Arial Narrow" w:hAnsi="Arial Narrow"/>
                <w:b/>
                <w:sz w:val="20"/>
                <w:szCs w:val="20"/>
              </w:rPr>
              <w:t>Year 2</w:t>
            </w:r>
          </w:p>
        </w:tc>
        <w:tc>
          <w:tcPr>
            <w:tcW w:w="1134" w:type="dxa"/>
            <w:tcBorders>
              <w:bottom w:val="single" w:sz="4" w:space="0" w:color="000000" w:themeColor="text1"/>
            </w:tcBorders>
            <w:shd w:val="clear" w:color="auto" w:fill="auto"/>
          </w:tcPr>
          <w:p w:rsidR="00C37FB0" w:rsidRPr="00602490" w:rsidRDefault="00C37FB0" w:rsidP="00314B1A">
            <w:pPr>
              <w:keepNext/>
              <w:rPr>
                <w:rFonts w:ascii="Arial Narrow" w:hAnsi="Arial Narrow"/>
                <w:b/>
                <w:sz w:val="20"/>
                <w:szCs w:val="20"/>
              </w:rPr>
            </w:pPr>
            <w:r w:rsidRPr="00602490">
              <w:rPr>
                <w:rFonts w:ascii="Arial Narrow" w:hAnsi="Arial Narrow"/>
                <w:b/>
                <w:sz w:val="20"/>
                <w:szCs w:val="20"/>
              </w:rPr>
              <w:t>Year 3</w:t>
            </w:r>
          </w:p>
        </w:tc>
        <w:tc>
          <w:tcPr>
            <w:tcW w:w="1276" w:type="dxa"/>
            <w:tcBorders>
              <w:bottom w:val="single" w:sz="4" w:space="0" w:color="000000" w:themeColor="text1"/>
            </w:tcBorders>
            <w:shd w:val="clear" w:color="auto" w:fill="auto"/>
          </w:tcPr>
          <w:p w:rsidR="00C37FB0" w:rsidRPr="00602490" w:rsidRDefault="00C37FB0" w:rsidP="00314B1A">
            <w:pPr>
              <w:keepNext/>
              <w:rPr>
                <w:rFonts w:ascii="Arial Narrow" w:hAnsi="Arial Narrow"/>
                <w:b/>
                <w:sz w:val="20"/>
                <w:szCs w:val="20"/>
              </w:rPr>
            </w:pPr>
            <w:r w:rsidRPr="00602490">
              <w:rPr>
                <w:rFonts w:ascii="Arial Narrow" w:hAnsi="Arial Narrow"/>
                <w:b/>
                <w:sz w:val="20"/>
                <w:szCs w:val="20"/>
              </w:rPr>
              <w:t>Year 4</w:t>
            </w:r>
          </w:p>
        </w:tc>
        <w:tc>
          <w:tcPr>
            <w:tcW w:w="1134" w:type="dxa"/>
            <w:tcBorders>
              <w:bottom w:val="single" w:sz="4" w:space="0" w:color="000000" w:themeColor="text1"/>
            </w:tcBorders>
            <w:shd w:val="clear" w:color="auto" w:fill="auto"/>
          </w:tcPr>
          <w:p w:rsidR="00C37FB0" w:rsidRPr="00602490" w:rsidRDefault="00C37FB0" w:rsidP="00314B1A">
            <w:pPr>
              <w:keepNext/>
              <w:rPr>
                <w:rFonts w:ascii="Arial Narrow" w:hAnsi="Arial Narrow"/>
                <w:b/>
                <w:sz w:val="20"/>
                <w:szCs w:val="20"/>
              </w:rPr>
            </w:pPr>
            <w:r w:rsidRPr="00602490">
              <w:rPr>
                <w:rFonts w:ascii="Arial Narrow" w:hAnsi="Arial Narrow"/>
                <w:b/>
                <w:sz w:val="20"/>
                <w:szCs w:val="20"/>
              </w:rPr>
              <w:t>Year 5</w:t>
            </w:r>
          </w:p>
        </w:tc>
        <w:tc>
          <w:tcPr>
            <w:tcW w:w="1224" w:type="dxa"/>
            <w:tcBorders>
              <w:bottom w:val="single" w:sz="4" w:space="0" w:color="000000" w:themeColor="text1"/>
            </w:tcBorders>
            <w:shd w:val="clear" w:color="auto" w:fill="auto"/>
          </w:tcPr>
          <w:p w:rsidR="00C37FB0" w:rsidRPr="00602490" w:rsidRDefault="00C37FB0" w:rsidP="00314B1A">
            <w:pPr>
              <w:keepNext/>
              <w:rPr>
                <w:rFonts w:ascii="Arial Narrow" w:hAnsi="Arial Narrow"/>
                <w:b/>
                <w:sz w:val="20"/>
                <w:szCs w:val="20"/>
              </w:rPr>
            </w:pPr>
            <w:r w:rsidRPr="00602490">
              <w:rPr>
                <w:rFonts w:ascii="Arial Narrow" w:hAnsi="Arial Narrow"/>
                <w:b/>
                <w:sz w:val="20"/>
                <w:szCs w:val="20"/>
              </w:rPr>
              <w:t>Year 6</w:t>
            </w:r>
          </w:p>
        </w:tc>
      </w:tr>
      <w:tr w:rsidR="00C37FB0" w:rsidRPr="00602490" w:rsidTr="00B71AB4">
        <w:tc>
          <w:tcPr>
            <w:tcW w:w="9016" w:type="dxa"/>
            <w:gridSpan w:val="7"/>
            <w:shd w:val="clear" w:color="auto" w:fill="auto"/>
          </w:tcPr>
          <w:p w:rsidR="00C37FB0" w:rsidRPr="00602490" w:rsidRDefault="00C37FB0" w:rsidP="00314B1A">
            <w:pPr>
              <w:keepNext/>
              <w:rPr>
                <w:rFonts w:ascii="Arial Narrow" w:hAnsi="Arial Narrow"/>
                <w:b/>
                <w:sz w:val="20"/>
                <w:szCs w:val="20"/>
              </w:rPr>
            </w:pPr>
            <w:r w:rsidRPr="00602490">
              <w:rPr>
                <w:rFonts w:ascii="Arial Narrow" w:hAnsi="Arial Narrow"/>
                <w:b/>
                <w:sz w:val="20"/>
                <w:szCs w:val="20"/>
              </w:rPr>
              <w:t>Estimated number of PBS/RPBS</w:t>
            </w:r>
            <w:r w:rsidR="00DF437F" w:rsidRPr="00602490">
              <w:rPr>
                <w:rFonts w:ascii="Arial Narrow" w:hAnsi="Arial Narrow"/>
                <w:b/>
                <w:sz w:val="20"/>
                <w:szCs w:val="20"/>
              </w:rPr>
              <w:t xml:space="preserve"> scripts for mepolizumab</w:t>
            </w:r>
          </w:p>
        </w:tc>
      </w:tr>
      <w:tr w:rsidR="00B71AB4" w:rsidRPr="00602490" w:rsidTr="00B71AB4">
        <w:tc>
          <w:tcPr>
            <w:tcW w:w="1980" w:type="dxa"/>
            <w:shd w:val="clear" w:color="auto" w:fill="auto"/>
          </w:tcPr>
          <w:p w:rsidR="00E9349B" w:rsidRPr="00602490" w:rsidRDefault="00E9349B" w:rsidP="00314B1A">
            <w:pPr>
              <w:keepNext/>
              <w:rPr>
                <w:rFonts w:ascii="Arial Narrow" w:hAnsi="Arial Narrow"/>
                <w:sz w:val="20"/>
                <w:szCs w:val="20"/>
              </w:rPr>
            </w:pPr>
            <w:r w:rsidRPr="00602490">
              <w:rPr>
                <w:rFonts w:ascii="Arial Narrow" w:hAnsi="Arial Narrow"/>
                <w:sz w:val="20"/>
                <w:szCs w:val="20"/>
              </w:rPr>
              <w:t>Total number of PBS/RPBS services</w:t>
            </w:r>
          </w:p>
        </w:tc>
        <w:tc>
          <w:tcPr>
            <w:tcW w:w="1134" w:type="dxa"/>
            <w:shd w:val="clear" w:color="auto" w:fill="auto"/>
          </w:tcPr>
          <w:p w:rsidR="00E9349B" w:rsidRPr="00602490" w:rsidRDefault="00E9349B" w:rsidP="00314B1A">
            <w:pPr>
              <w:keepNext/>
              <w:jc w:val="right"/>
              <w:rPr>
                <w:rFonts w:ascii="Arial Narrow" w:hAnsi="Arial Narrow"/>
                <w:sz w:val="20"/>
                <w:szCs w:val="20"/>
              </w:rPr>
            </w:pPr>
            <w:r w:rsidRPr="00602490">
              <w:rPr>
                <w:rFonts w:ascii="Arial Narrow" w:hAnsi="Arial Narrow"/>
                <w:sz w:val="20"/>
                <w:szCs w:val="20"/>
              </w:rPr>
              <w:t>16,650</w:t>
            </w:r>
          </w:p>
        </w:tc>
        <w:tc>
          <w:tcPr>
            <w:tcW w:w="1134" w:type="dxa"/>
            <w:shd w:val="clear" w:color="auto" w:fill="auto"/>
          </w:tcPr>
          <w:p w:rsidR="00E9349B" w:rsidRPr="00602490" w:rsidRDefault="00E9349B" w:rsidP="00314B1A">
            <w:pPr>
              <w:keepNext/>
              <w:jc w:val="right"/>
              <w:rPr>
                <w:rFonts w:ascii="Arial Narrow" w:hAnsi="Arial Narrow"/>
                <w:sz w:val="20"/>
                <w:szCs w:val="20"/>
              </w:rPr>
            </w:pPr>
            <w:r w:rsidRPr="00602490">
              <w:rPr>
                <w:rFonts w:ascii="Arial Narrow" w:hAnsi="Arial Narrow"/>
                <w:sz w:val="20"/>
                <w:szCs w:val="20"/>
              </w:rPr>
              <w:t>22,124</w:t>
            </w:r>
          </w:p>
        </w:tc>
        <w:tc>
          <w:tcPr>
            <w:tcW w:w="1134" w:type="dxa"/>
            <w:shd w:val="clear" w:color="auto" w:fill="auto"/>
          </w:tcPr>
          <w:p w:rsidR="00E9349B" w:rsidRPr="00602490" w:rsidRDefault="00E9349B" w:rsidP="00314B1A">
            <w:pPr>
              <w:keepNext/>
              <w:jc w:val="right"/>
              <w:rPr>
                <w:rFonts w:ascii="Arial Narrow" w:hAnsi="Arial Narrow"/>
                <w:sz w:val="20"/>
                <w:szCs w:val="20"/>
              </w:rPr>
            </w:pPr>
            <w:r w:rsidRPr="00602490">
              <w:rPr>
                <w:rFonts w:ascii="Arial Narrow" w:hAnsi="Arial Narrow"/>
                <w:sz w:val="20"/>
                <w:szCs w:val="20"/>
              </w:rPr>
              <w:t>27,482</w:t>
            </w:r>
          </w:p>
        </w:tc>
        <w:tc>
          <w:tcPr>
            <w:tcW w:w="1276" w:type="dxa"/>
            <w:shd w:val="clear" w:color="auto" w:fill="auto"/>
          </w:tcPr>
          <w:p w:rsidR="00E9349B" w:rsidRPr="00602490" w:rsidRDefault="00E9349B" w:rsidP="00314B1A">
            <w:pPr>
              <w:keepNext/>
              <w:jc w:val="right"/>
              <w:rPr>
                <w:rFonts w:ascii="Arial Narrow" w:hAnsi="Arial Narrow"/>
                <w:sz w:val="20"/>
                <w:szCs w:val="20"/>
              </w:rPr>
            </w:pPr>
            <w:r w:rsidRPr="00602490">
              <w:rPr>
                <w:rFonts w:ascii="Arial Narrow" w:hAnsi="Arial Narrow"/>
                <w:sz w:val="20"/>
                <w:szCs w:val="20"/>
              </w:rPr>
              <w:t>32,840</w:t>
            </w:r>
          </w:p>
        </w:tc>
        <w:tc>
          <w:tcPr>
            <w:tcW w:w="1134" w:type="dxa"/>
            <w:shd w:val="clear" w:color="auto" w:fill="auto"/>
          </w:tcPr>
          <w:p w:rsidR="00E9349B" w:rsidRPr="00602490" w:rsidRDefault="00E9349B" w:rsidP="00314B1A">
            <w:pPr>
              <w:keepNext/>
              <w:jc w:val="right"/>
              <w:rPr>
                <w:rFonts w:ascii="Arial Narrow" w:hAnsi="Arial Narrow"/>
                <w:sz w:val="20"/>
                <w:szCs w:val="20"/>
              </w:rPr>
            </w:pPr>
            <w:r w:rsidRPr="00602490">
              <w:rPr>
                <w:rFonts w:ascii="Arial Narrow" w:hAnsi="Arial Narrow"/>
                <w:sz w:val="20"/>
                <w:szCs w:val="20"/>
              </w:rPr>
              <w:t>38,203</w:t>
            </w:r>
          </w:p>
        </w:tc>
        <w:tc>
          <w:tcPr>
            <w:tcW w:w="1224" w:type="dxa"/>
            <w:shd w:val="clear" w:color="auto" w:fill="auto"/>
          </w:tcPr>
          <w:p w:rsidR="00E9349B" w:rsidRPr="00602490" w:rsidRDefault="00E9349B" w:rsidP="00314B1A">
            <w:pPr>
              <w:keepNext/>
              <w:jc w:val="right"/>
              <w:rPr>
                <w:rFonts w:ascii="Arial Narrow" w:hAnsi="Arial Narrow"/>
                <w:sz w:val="20"/>
                <w:szCs w:val="20"/>
              </w:rPr>
            </w:pPr>
            <w:r w:rsidRPr="00602490">
              <w:rPr>
                <w:rFonts w:ascii="Arial Narrow" w:hAnsi="Arial Narrow"/>
                <w:sz w:val="20"/>
                <w:szCs w:val="20"/>
              </w:rPr>
              <w:t>43,571</w:t>
            </w:r>
          </w:p>
        </w:tc>
      </w:tr>
      <w:tr w:rsidR="00C37FB0" w:rsidRPr="00602490" w:rsidTr="00B71AB4">
        <w:tc>
          <w:tcPr>
            <w:tcW w:w="9016" w:type="dxa"/>
            <w:gridSpan w:val="7"/>
            <w:shd w:val="clear" w:color="auto" w:fill="auto"/>
          </w:tcPr>
          <w:p w:rsidR="00C37FB0" w:rsidRPr="00602490" w:rsidRDefault="00C37FB0" w:rsidP="00314B1A">
            <w:pPr>
              <w:keepNext/>
              <w:rPr>
                <w:rFonts w:ascii="Arial Narrow" w:hAnsi="Arial Narrow"/>
                <w:b/>
                <w:sz w:val="20"/>
                <w:szCs w:val="20"/>
              </w:rPr>
            </w:pPr>
            <w:r w:rsidRPr="00602490">
              <w:rPr>
                <w:rFonts w:ascii="Arial Narrow" w:hAnsi="Arial Narrow"/>
                <w:b/>
                <w:sz w:val="20"/>
                <w:szCs w:val="20"/>
              </w:rPr>
              <w:t>Estimated net cost to PBS/RPBS (effective DPMQ less co-payments)</w:t>
            </w:r>
          </w:p>
        </w:tc>
      </w:tr>
      <w:tr w:rsidR="00B71AB4" w:rsidRPr="00602490" w:rsidTr="00B71AB4">
        <w:tc>
          <w:tcPr>
            <w:tcW w:w="1980" w:type="dxa"/>
            <w:shd w:val="clear" w:color="auto" w:fill="auto"/>
          </w:tcPr>
          <w:p w:rsidR="00E9349B" w:rsidRPr="00602490" w:rsidRDefault="00E9349B" w:rsidP="00314B1A">
            <w:pPr>
              <w:keepNext/>
              <w:rPr>
                <w:rFonts w:ascii="Arial Narrow" w:hAnsi="Arial Narrow"/>
                <w:sz w:val="20"/>
                <w:szCs w:val="20"/>
              </w:rPr>
            </w:pPr>
            <w:r w:rsidRPr="00602490">
              <w:rPr>
                <w:rFonts w:ascii="Arial Narrow" w:hAnsi="Arial Narrow"/>
                <w:sz w:val="20"/>
                <w:szCs w:val="20"/>
              </w:rPr>
              <w:t>Net PBS/RPBS cost</w:t>
            </w:r>
            <w:r w:rsidR="00DF437F" w:rsidRPr="00602490">
              <w:rPr>
                <w:rFonts w:ascii="Arial Narrow" w:hAnsi="Arial Narrow"/>
                <w:sz w:val="20"/>
                <w:szCs w:val="20"/>
              </w:rPr>
              <w:t xml:space="preserve"> for Nucala Pen/PFS</w:t>
            </w:r>
          </w:p>
        </w:tc>
        <w:tc>
          <w:tcPr>
            <w:tcW w:w="1134" w:type="dxa"/>
            <w:shd w:val="clear" w:color="auto" w:fill="auto"/>
          </w:tcPr>
          <w:p w:rsidR="00E9349B" w:rsidRPr="008C0354" w:rsidRDefault="00E9349B" w:rsidP="00314B1A">
            <w:pPr>
              <w:keepNext/>
              <w:jc w:val="right"/>
              <w:rPr>
                <w:rFonts w:ascii="Arial Narrow" w:hAnsi="Arial Narrow"/>
                <w:sz w:val="20"/>
                <w:szCs w:val="20"/>
              </w:rPr>
            </w:pPr>
            <w:r w:rsidRPr="008C0354">
              <w:rPr>
                <w:rFonts w:ascii="Arial Narrow" w:hAnsi="Arial Narrow"/>
                <w:sz w:val="20"/>
                <w:szCs w:val="20"/>
              </w:rPr>
              <w:t>$</w:t>
            </w:r>
            <w:r w:rsidR="00C67AE4">
              <w:rPr>
                <w:rFonts w:ascii="Arial Narrow" w:hAnsi="Arial Narrow"/>
                <w:noProof/>
                <w:color w:val="000000"/>
                <w:sz w:val="20"/>
                <w:szCs w:val="20"/>
                <w:highlight w:val="black"/>
              </w:rPr>
              <w:t>'''''''''''''''''''''''''</w:t>
            </w:r>
          </w:p>
        </w:tc>
        <w:tc>
          <w:tcPr>
            <w:tcW w:w="1134" w:type="dxa"/>
            <w:shd w:val="clear" w:color="auto" w:fill="auto"/>
          </w:tcPr>
          <w:p w:rsidR="00E9349B" w:rsidRPr="008C0354" w:rsidRDefault="00E9349B" w:rsidP="00314B1A">
            <w:pPr>
              <w:keepNext/>
              <w:jc w:val="right"/>
              <w:rPr>
                <w:rFonts w:ascii="Arial Narrow" w:hAnsi="Arial Narrow"/>
                <w:sz w:val="20"/>
                <w:szCs w:val="20"/>
              </w:rPr>
            </w:pPr>
            <w:r w:rsidRPr="008C0354">
              <w:rPr>
                <w:rFonts w:ascii="Arial Narrow" w:hAnsi="Arial Narrow"/>
                <w:sz w:val="20"/>
                <w:szCs w:val="20"/>
              </w:rPr>
              <w:t>$</w:t>
            </w:r>
            <w:r w:rsidR="00C67AE4">
              <w:rPr>
                <w:rFonts w:ascii="Arial Narrow" w:hAnsi="Arial Narrow"/>
                <w:noProof/>
                <w:color w:val="000000"/>
                <w:sz w:val="20"/>
                <w:szCs w:val="20"/>
                <w:highlight w:val="black"/>
              </w:rPr>
              <w:t>''''''''''''''''''''''''</w:t>
            </w:r>
          </w:p>
        </w:tc>
        <w:tc>
          <w:tcPr>
            <w:tcW w:w="1134" w:type="dxa"/>
            <w:shd w:val="clear" w:color="auto" w:fill="auto"/>
          </w:tcPr>
          <w:p w:rsidR="00E9349B" w:rsidRPr="008C0354" w:rsidRDefault="00E9349B" w:rsidP="00314B1A">
            <w:pPr>
              <w:keepNext/>
              <w:jc w:val="right"/>
              <w:rPr>
                <w:rFonts w:ascii="Arial Narrow" w:hAnsi="Arial Narrow"/>
                <w:sz w:val="20"/>
                <w:szCs w:val="20"/>
              </w:rPr>
            </w:pPr>
            <w:r w:rsidRPr="008C0354">
              <w:rPr>
                <w:rFonts w:ascii="Arial Narrow" w:hAnsi="Arial Narrow"/>
                <w:sz w:val="20"/>
                <w:szCs w:val="20"/>
              </w:rPr>
              <w:t>$</w:t>
            </w:r>
            <w:r w:rsidR="00C67AE4">
              <w:rPr>
                <w:rFonts w:ascii="Arial Narrow" w:hAnsi="Arial Narrow"/>
                <w:noProof/>
                <w:color w:val="000000"/>
                <w:sz w:val="20"/>
                <w:szCs w:val="20"/>
                <w:highlight w:val="black"/>
              </w:rPr>
              <w:t>''''''''''''''''''''''''''</w:t>
            </w:r>
          </w:p>
        </w:tc>
        <w:tc>
          <w:tcPr>
            <w:tcW w:w="1276" w:type="dxa"/>
            <w:shd w:val="clear" w:color="auto" w:fill="auto"/>
          </w:tcPr>
          <w:p w:rsidR="00E9349B" w:rsidRPr="008C0354" w:rsidRDefault="00E9349B" w:rsidP="00314B1A">
            <w:pPr>
              <w:keepNext/>
              <w:jc w:val="right"/>
              <w:rPr>
                <w:rFonts w:ascii="Arial Narrow" w:hAnsi="Arial Narrow"/>
                <w:sz w:val="20"/>
                <w:szCs w:val="20"/>
              </w:rPr>
            </w:pPr>
            <w:r w:rsidRPr="008C0354">
              <w:rPr>
                <w:rFonts w:ascii="Arial Narrow" w:hAnsi="Arial Narrow"/>
                <w:sz w:val="20"/>
                <w:szCs w:val="20"/>
              </w:rPr>
              <w:t>$</w:t>
            </w:r>
            <w:r w:rsidR="00C67AE4">
              <w:rPr>
                <w:rFonts w:ascii="Arial Narrow" w:hAnsi="Arial Narrow"/>
                <w:noProof/>
                <w:color w:val="000000"/>
                <w:sz w:val="20"/>
                <w:szCs w:val="20"/>
                <w:highlight w:val="black"/>
              </w:rPr>
              <w:t>'''''''''''''''''''''''''</w:t>
            </w:r>
          </w:p>
        </w:tc>
        <w:tc>
          <w:tcPr>
            <w:tcW w:w="1134" w:type="dxa"/>
            <w:shd w:val="clear" w:color="auto" w:fill="auto"/>
          </w:tcPr>
          <w:p w:rsidR="00E9349B" w:rsidRPr="008C0354" w:rsidRDefault="00E9349B" w:rsidP="00314B1A">
            <w:pPr>
              <w:keepNext/>
              <w:jc w:val="right"/>
              <w:rPr>
                <w:rFonts w:ascii="Arial Narrow" w:hAnsi="Arial Narrow"/>
                <w:sz w:val="20"/>
                <w:szCs w:val="20"/>
              </w:rPr>
            </w:pPr>
            <w:r w:rsidRPr="008C0354">
              <w:rPr>
                <w:rFonts w:ascii="Arial Narrow" w:hAnsi="Arial Narrow"/>
                <w:sz w:val="20"/>
                <w:szCs w:val="20"/>
              </w:rPr>
              <w:t>$</w:t>
            </w:r>
            <w:r w:rsidR="00C67AE4">
              <w:rPr>
                <w:rFonts w:ascii="Arial Narrow" w:hAnsi="Arial Narrow"/>
                <w:noProof/>
                <w:color w:val="000000"/>
                <w:sz w:val="20"/>
                <w:szCs w:val="20"/>
                <w:highlight w:val="black"/>
              </w:rPr>
              <w:t>'''''''''''''''''''''''''</w:t>
            </w:r>
          </w:p>
        </w:tc>
        <w:tc>
          <w:tcPr>
            <w:tcW w:w="1224" w:type="dxa"/>
            <w:shd w:val="clear" w:color="auto" w:fill="auto"/>
          </w:tcPr>
          <w:p w:rsidR="00E9349B" w:rsidRPr="008C0354" w:rsidRDefault="00E9349B" w:rsidP="00314B1A">
            <w:pPr>
              <w:keepNext/>
              <w:jc w:val="right"/>
              <w:rPr>
                <w:rFonts w:ascii="Arial Narrow" w:hAnsi="Arial Narrow"/>
                <w:sz w:val="20"/>
                <w:szCs w:val="20"/>
              </w:rPr>
            </w:pPr>
            <w:r w:rsidRPr="008C0354">
              <w:rPr>
                <w:rFonts w:ascii="Arial Narrow" w:hAnsi="Arial Narrow"/>
                <w:sz w:val="20"/>
                <w:szCs w:val="20"/>
              </w:rPr>
              <w:t>$</w:t>
            </w:r>
            <w:r w:rsidR="00C67AE4">
              <w:rPr>
                <w:rFonts w:ascii="Arial Narrow" w:hAnsi="Arial Narrow"/>
                <w:noProof/>
                <w:color w:val="000000"/>
                <w:sz w:val="20"/>
                <w:szCs w:val="20"/>
                <w:highlight w:val="black"/>
              </w:rPr>
              <w:t>'''''''''''''''''''''''''</w:t>
            </w:r>
          </w:p>
        </w:tc>
      </w:tr>
      <w:tr w:rsidR="00B71AB4" w:rsidRPr="00602490" w:rsidTr="00B71AB4">
        <w:tc>
          <w:tcPr>
            <w:tcW w:w="1980" w:type="dxa"/>
            <w:shd w:val="clear" w:color="auto" w:fill="auto"/>
          </w:tcPr>
          <w:p w:rsidR="00E9349B" w:rsidRPr="00602490" w:rsidRDefault="00D844EA" w:rsidP="00314B1A">
            <w:pPr>
              <w:keepNext/>
              <w:rPr>
                <w:rFonts w:ascii="Arial Narrow" w:hAnsi="Arial Narrow"/>
                <w:sz w:val="20"/>
                <w:szCs w:val="20"/>
              </w:rPr>
            </w:pPr>
            <w:r w:rsidRPr="00602490">
              <w:rPr>
                <w:rFonts w:ascii="Arial Narrow" w:hAnsi="Arial Narrow"/>
                <w:sz w:val="20"/>
                <w:szCs w:val="20"/>
              </w:rPr>
              <w:t xml:space="preserve">Net </w:t>
            </w:r>
            <w:r w:rsidR="00E9349B" w:rsidRPr="00602490">
              <w:rPr>
                <w:rFonts w:ascii="Arial Narrow" w:hAnsi="Arial Narrow"/>
                <w:sz w:val="20"/>
                <w:szCs w:val="20"/>
              </w:rPr>
              <w:t xml:space="preserve">PBS/RPBS </w:t>
            </w:r>
            <w:r w:rsidR="00DF437F" w:rsidRPr="00602490">
              <w:rPr>
                <w:rFonts w:ascii="Arial Narrow" w:hAnsi="Arial Narrow"/>
                <w:sz w:val="20"/>
                <w:szCs w:val="20"/>
              </w:rPr>
              <w:t>saving</w:t>
            </w:r>
            <w:r w:rsidR="00E9349B" w:rsidRPr="00602490">
              <w:rPr>
                <w:rFonts w:ascii="Arial Narrow" w:hAnsi="Arial Narrow"/>
                <w:sz w:val="20"/>
                <w:szCs w:val="20"/>
              </w:rPr>
              <w:t xml:space="preserve"> </w:t>
            </w:r>
            <w:r w:rsidR="00DF437F" w:rsidRPr="00602490">
              <w:rPr>
                <w:rFonts w:ascii="Arial Narrow" w:hAnsi="Arial Narrow"/>
                <w:sz w:val="20"/>
                <w:szCs w:val="20"/>
              </w:rPr>
              <w:t xml:space="preserve">for Nucala </w:t>
            </w:r>
            <w:proofErr w:type="spellStart"/>
            <w:r w:rsidR="00DF437F" w:rsidRPr="00602490">
              <w:rPr>
                <w:rFonts w:ascii="Arial Narrow" w:hAnsi="Arial Narrow"/>
                <w:sz w:val="20"/>
                <w:szCs w:val="20"/>
              </w:rPr>
              <w:t>Vial</w:t>
            </w:r>
            <w:r w:rsidR="00DF437F" w:rsidRPr="00602490">
              <w:rPr>
                <w:rFonts w:ascii="Arial Narrow" w:hAnsi="Arial Narrow"/>
                <w:sz w:val="20"/>
                <w:szCs w:val="20"/>
                <w:vertAlign w:val="superscript"/>
              </w:rPr>
              <w:t>b</w:t>
            </w:r>
            <w:proofErr w:type="spellEnd"/>
          </w:p>
        </w:tc>
        <w:tc>
          <w:tcPr>
            <w:tcW w:w="1134" w:type="dxa"/>
            <w:shd w:val="clear" w:color="auto" w:fill="auto"/>
          </w:tcPr>
          <w:p w:rsidR="00E9349B" w:rsidRPr="008C0354" w:rsidRDefault="00E9349B" w:rsidP="00314B1A">
            <w:pPr>
              <w:keepNext/>
              <w:jc w:val="right"/>
              <w:rPr>
                <w:rFonts w:ascii="Arial Narrow" w:hAnsi="Arial Narrow"/>
                <w:sz w:val="20"/>
                <w:szCs w:val="20"/>
              </w:rPr>
            </w:pPr>
            <w:r w:rsidRPr="008C0354">
              <w:rPr>
                <w:rFonts w:ascii="Arial Narrow" w:hAnsi="Arial Narrow"/>
                <w:sz w:val="20"/>
                <w:szCs w:val="20"/>
              </w:rPr>
              <w:t>$</w:t>
            </w:r>
            <w:r w:rsidR="00C67AE4">
              <w:rPr>
                <w:rFonts w:ascii="Arial Narrow" w:hAnsi="Arial Narrow"/>
                <w:noProof/>
                <w:color w:val="000000"/>
                <w:sz w:val="20"/>
                <w:szCs w:val="20"/>
                <w:highlight w:val="black"/>
              </w:rPr>
              <w:t>''''''''''''''''''''''''''</w:t>
            </w:r>
          </w:p>
        </w:tc>
        <w:tc>
          <w:tcPr>
            <w:tcW w:w="1134" w:type="dxa"/>
            <w:shd w:val="clear" w:color="auto" w:fill="auto"/>
          </w:tcPr>
          <w:p w:rsidR="00E9349B" w:rsidRPr="008C0354" w:rsidRDefault="00E9349B" w:rsidP="00314B1A">
            <w:pPr>
              <w:keepNext/>
              <w:jc w:val="right"/>
              <w:rPr>
                <w:rFonts w:ascii="Arial Narrow" w:hAnsi="Arial Narrow"/>
                <w:sz w:val="20"/>
                <w:szCs w:val="20"/>
              </w:rPr>
            </w:pPr>
            <w:r w:rsidRPr="008C0354">
              <w:rPr>
                <w:rFonts w:ascii="Arial Narrow" w:hAnsi="Arial Narrow"/>
                <w:sz w:val="20"/>
                <w:szCs w:val="20"/>
              </w:rPr>
              <w:t>$</w:t>
            </w:r>
            <w:r w:rsidR="00E263D0">
              <w:rPr>
                <w:rFonts w:ascii="Arial Narrow" w:hAnsi="Arial Narrow"/>
                <w:noProof/>
                <w:color w:val="000000"/>
                <w:sz w:val="20"/>
                <w:szCs w:val="20"/>
                <w:highlight w:val="black"/>
              </w:rPr>
              <w:t>''''''''''''''''''''''''''</w:t>
            </w:r>
          </w:p>
        </w:tc>
        <w:tc>
          <w:tcPr>
            <w:tcW w:w="1134" w:type="dxa"/>
            <w:shd w:val="clear" w:color="auto" w:fill="auto"/>
          </w:tcPr>
          <w:p w:rsidR="00E9349B" w:rsidRPr="008C0354" w:rsidRDefault="00E9349B" w:rsidP="00314B1A">
            <w:pPr>
              <w:keepNext/>
              <w:jc w:val="right"/>
              <w:rPr>
                <w:rFonts w:ascii="Arial Narrow" w:hAnsi="Arial Narrow"/>
                <w:sz w:val="20"/>
                <w:szCs w:val="20"/>
              </w:rPr>
            </w:pPr>
            <w:r w:rsidRPr="008C0354">
              <w:rPr>
                <w:rFonts w:ascii="Arial Narrow" w:hAnsi="Arial Narrow"/>
                <w:sz w:val="20"/>
                <w:szCs w:val="20"/>
              </w:rPr>
              <w:t>$</w:t>
            </w:r>
            <w:r w:rsidR="00C67AE4">
              <w:rPr>
                <w:rFonts w:ascii="Arial Narrow" w:hAnsi="Arial Narrow"/>
                <w:noProof/>
                <w:color w:val="000000"/>
                <w:sz w:val="20"/>
                <w:szCs w:val="20"/>
                <w:highlight w:val="black"/>
              </w:rPr>
              <w:t>'''''''''''''''''''''''</w:t>
            </w:r>
          </w:p>
        </w:tc>
        <w:tc>
          <w:tcPr>
            <w:tcW w:w="1276" w:type="dxa"/>
            <w:shd w:val="clear" w:color="auto" w:fill="auto"/>
          </w:tcPr>
          <w:p w:rsidR="00E9349B" w:rsidRPr="008C0354" w:rsidRDefault="00E9349B" w:rsidP="00314B1A">
            <w:pPr>
              <w:keepNext/>
              <w:jc w:val="right"/>
              <w:rPr>
                <w:rFonts w:ascii="Arial Narrow" w:hAnsi="Arial Narrow"/>
                <w:sz w:val="20"/>
                <w:szCs w:val="20"/>
              </w:rPr>
            </w:pPr>
            <w:r w:rsidRPr="008C0354">
              <w:rPr>
                <w:rFonts w:ascii="Arial Narrow" w:hAnsi="Arial Narrow"/>
                <w:sz w:val="20"/>
                <w:szCs w:val="20"/>
              </w:rPr>
              <w:t>$</w:t>
            </w:r>
            <w:r w:rsidR="00C67AE4">
              <w:rPr>
                <w:rFonts w:ascii="Arial Narrow" w:hAnsi="Arial Narrow"/>
                <w:noProof/>
                <w:color w:val="000000"/>
                <w:sz w:val="20"/>
                <w:szCs w:val="20"/>
                <w:highlight w:val="black"/>
              </w:rPr>
              <w:t>''''''''''''''''''''''''''''</w:t>
            </w:r>
          </w:p>
        </w:tc>
        <w:tc>
          <w:tcPr>
            <w:tcW w:w="1134" w:type="dxa"/>
            <w:shd w:val="clear" w:color="auto" w:fill="auto"/>
          </w:tcPr>
          <w:p w:rsidR="00E9349B" w:rsidRPr="008C0354" w:rsidRDefault="00E9349B" w:rsidP="00314B1A">
            <w:pPr>
              <w:keepNext/>
              <w:jc w:val="right"/>
              <w:rPr>
                <w:rFonts w:ascii="Arial Narrow" w:hAnsi="Arial Narrow"/>
                <w:sz w:val="20"/>
                <w:szCs w:val="20"/>
              </w:rPr>
            </w:pPr>
            <w:r w:rsidRPr="008C0354">
              <w:rPr>
                <w:rFonts w:ascii="Arial Narrow" w:hAnsi="Arial Narrow"/>
                <w:sz w:val="20"/>
                <w:szCs w:val="20"/>
              </w:rPr>
              <w:t>$</w:t>
            </w:r>
            <w:r w:rsidR="00C67AE4">
              <w:rPr>
                <w:rFonts w:ascii="Arial Narrow" w:hAnsi="Arial Narrow"/>
                <w:noProof/>
                <w:color w:val="000000"/>
                <w:sz w:val="20"/>
                <w:szCs w:val="20"/>
                <w:highlight w:val="black"/>
              </w:rPr>
              <w:t>''''''''''''''''''''''''''</w:t>
            </w:r>
          </w:p>
        </w:tc>
        <w:tc>
          <w:tcPr>
            <w:tcW w:w="1224" w:type="dxa"/>
            <w:shd w:val="clear" w:color="auto" w:fill="auto"/>
          </w:tcPr>
          <w:p w:rsidR="00E9349B" w:rsidRPr="008C0354" w:rsidRDefault="00E9349B" w:rsidP="00314B1A">
            <w:pPr>
              <w:keepNext/>
              <w:jc w:val="right"/>
              <w:rPr>
                <w:rFonts w:ascii="Arial Narrow" w:hAnsi="Arial Narrow"/>
                <w:sz w:val="20"/>
                <w:szCs w:val="20"/>
              </w:rPr>
            </w:pPr>
            <w:r w:rsidRPr="008C0354">
              <w:rPr>
                <w:rFonts w:ascii="Arial Narrow" w:hAnsi="Arial Narrow"/>
                <w:sz w:val="20"/>
                <w:szCs w:val="20"/>
              </w:rPr>
              <w:t>$</w:t>
            </w:r>
            <w:r w:rsidR="00C67AE4">
              <w:rPr>
                <w:rFonts w:ascii="Arial Narrow" w:hAnsi="Arial Narrow"/>
                <w:noProof/>
                <w:color w:val="000000"/>
                <w:sz w:val="20"/>
                <w:szCs w:val="20"/>
                <w:highlight w:val="black"/>
              </w:rPr>
              <w:t>''''''''''''''''''''''''</w:t>
            </w:r>
          </w:p>
        </w:tc>
      </w:tr>
      <w:tr w:rsidR="00D844EA" w:rsidRPr="00602490" w:rsidTr="00394B46">
        <w:tc>
          <w:tcPr>
            <w:tcW w:w="9016" w:type="dxa"/>
            <w:gridSpan w:val="7"/>
            <w:shd w:val="clear" w:color="auto" w:fill="auto"/>
          </w:tcPr>
          <w:p w:rsidR="00D844EA" w:rsidRPr="00602490" w:rsidRDefault="00D844EA" w:rsidP="00314B1A">
            <w:pPr>
              <w:keepNext/>
              <w:rPr>
                <w:rFonts w:ascii="Arial Narrow" w:hAnsi="Arial Narrow"/>
                <w:sz w:val="20"/>
                <w:szCs w:val="20"/>
              </w:rPr>
            </w:pPr>
            <w:r w:rsidRPr="00602490">
              <w:rPr>
                <w:rFonts w:ascii="Arial Narrow" w:hAnsi="Arial Narrow"/>
                <w:b/>
                <w:sz w:val="20"/>
                <w:szCs w:val="20"/>
              </w:rPr>
              <w:t xml:space="preserve">Estimated net cost to </w:t>
            </w:r>
            <w:proofErr w:type="spellStart"/>
            <w:r w:rsidRPr="00602490">
              <w:rPr>
                <w:rFonts w:ascii="Arial Narrow" w:hAnsi="Arial Narrow"/>
                <w:b/>
                <w:sz w:val="20"/>
                <w:szCs w:val="20"/>
              </w:rPr>
              <w:t>MBS</w:t>
            </w:r>
            <w:r w:rsidR="00DF437F" w:rsidRPr="00602490">
              <w:rPr>
                <w:rFonts w:ascii="Arial Narrow" w:hAnsi="Arial Narrow"/>
                <w:b/>
                <w:sz w:val="20"/>
                <w:szCs w:val="20"/>
                <w:vertAlign w:val="superscript"/>
              </w:rPr>
              <w:t>c</w:t>
            </w:r>
            <w:proofErr w:type="spellEnd"/>
          </w:p>
        </w:tc>
      </w:tr>
      <w:tr w:rsidR="00D844EA" w:rsidRPr="00602490" w:rsidTr="00394B46">
        <w:tc>
          <w:tcPr>
            <w:tcW w:w="1980" w:type="dxa"/>
            <w:shd w:val="clear" w:color="auto" w:fill="auto"/>
          </w:tcPr>
          <w:p w:rsidR="00D844EA" w:rsidRPr="00602490" w:rsidRDefault="00D844EA" w:rsidP="00314B1A">
            <w:pPr>
              <w:keepNext/>
              <w:rPr>
                <w:rFonts w:ascii="Arial Narrow" w:hAnsi="Arial Narrow"/>
                <w:sz w:val="20"/>
                <w:szCs w:val="20"/>
              </w:rPr>
            </w:pPr>
            <w:r w:rsidRPr="00602490">
              <w:rPr>
                <w:rFonts w:ascii="Arial Narrow" w:hAnsi="Arial Narrow"/>
                <w:sz w:val="20"/>
                <w:szCs w:val="20"/>
              </w:rPr>
              <w:t>Net cost to MBS for Nucala Pen/PFS</w:t>
            </w:r>
          </w:p>
        </w:tc>
        <w:tc>
          <w:tcPr>
            <w:tcW w:w="1134"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color w:val="000000"/>
                <w:sz w:val="20"/>
                <w:szCs w:val="20"/>
              </w:rPr>
              <w:t>$53,893</w:t>
            </w:r>
          </w:p>
        </w:tc>
        <w:tc>
          <w:tcPr>
            <w:tcW w:w="1134"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color w:val="000000"/>
                <w:sz w:val="20"/>
                <w:szCs w:val="20"/>
              </w:rPr>
              <w:t>$70,814</w:t>
            </w:r>
          </w:p>
        </w:tc>
        <w:tc>
          <w:tcPr>
            <w:tcW w:w="1134"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color w:val="000000"/>
                <w:sz w:val="20"/>
                <w:szCs w:val="20"/>
              </w:rPr>
              <w:t>$87,178</w:t>
            </w:r>
          </w:p>
        </w:tc>
        <w:tc>
          <w:tcPr>
            <w:tcW w:w="1276"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color w:val="000000"/>
                <w:sz w:val="20"/>
                <w:szCs w:val="20"/>
              </w:rPr>
              <w:t>$103,542</w:t>
            </w:r>
          </w:p>
        </w:tc>
        <w:tc>
          <w:tcPr>
            <w:tcW w:w="1134"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color w:val="000000"/>
                <w:sz w:val="20"/>
                <w:szCs w:val="20"/>
              </w:rPr>
              <w:t>$119,922</w:t>
            </w:r>
          </w:p>
        </w:tc>
        <w:tc>
          <w:tcPr>
            <w:tcW w:w="1224"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color w:val="000000"/>
                <w:sz w:val="20"/>
                <w:szCs w:val="20"/>
              </w:rPr>
              <w:t>$136,315</w:t>
            </w:r>
          </w:p>
        </w:tc>
      </w:tr>
      <w:tr w:rsidR="00D844EA" w:rsidRPr="00602490" w:rsidTr="00394B46">
        <w:tc>
          <w:tcPr>
            <w:tcW w:w="1980" w:type="dxa"/>
            <w:shd w:val="clear" w:color="auto" w:fill="auto"/>
          </w:tcPr>
          <w:p w:rsidR="00D844EA" w:rsidRPr="00602490" w:rsidRDefault="00D844EA" w:rsidP="00314B1A">
            <w:pPr>
              <w:keepNext/>
              <w:rPr>
                <w:rFonts w:ascii="Arial Narrow" w:hAnsi="Arial Narrow"/>
                <w:sz w:val="20"/>
                <w:szCs w:val="20"/>
              </w:rPr>
            </w:pPr>
            <w:r w:rsidRPr="00602490">
              <w:rPr>
                <w:rFonts w:ascii="Arial Narrow" w:hAnsi="Arial Narrow"/>
                <w:sz w:val="20"/>
                <w:szCs w:val="20"/>
              </w:rPr>
              <w:t xml:space="preserve">Net </w:t>
            </w:r>
            <w:r w:rsidR="00DF437F" w:rsidRPr="00602490">
              <w:rPr>
                <w:rFonts w:ascii="Arial Narrow" w:hAnsi="Arial Narrow"/>
                <w:sz w:val="20"/>
                <w:szCs w:val="20"/>
              </w:rPr>
              <w:t xml:space="preserve">saving </w:t>
            </w:r>
            <w:r w:rsidRPr="00602490">
              <w:rPr>
                <w:rFonts w:ascii="Arial Narrow" w:hAnsi="Arial Narrow"/>
                <w:sz w:val="20"/>
                <w:szCs w:val="20"/>
              </w:rPr>
              <w:t>to MBS for Nucala Vial</w:t>
            </w:r>
          </w:p>
        </w:tc>
        <w:tc>
          <w:tcPr>
            <w:tcW w:w="1134"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color w:val="000000"/>
                <w:sz w:val="20"/>
                <w:szCs w:val="20"/>
              </w:rPr>
              <w:t>$138,030</w:t>
            </w:r>
          </w:p>
        </w:tc>
        <w:tc>
          <w:tcPr>
            <w:tcW w:w="1134"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color w:val="000000"/>
                <w:sz w:val="20"/>
                <w:szCs w:val="20"/>
              </w:rPr>
              <w:t>$183,633</w:t>
            </w:r>
          </w:p>
        </w:tc>
        <w:tc>
          <w:tcPr>
            <w:tcW w:w="1134"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color w:val="000000"/>
                <w:sz w:val="20"/>
                <w:szCs w:val="20"/>
              </w:rPr>
              <w:t>$228,104</w:t>
            </w:r>
          </w:p>
        </w:tc>
        <w:tc>
          <w:tcPr>
            <w:tcW w:w="1276"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color w:val="000000"/>
                <w:sz w:val="20"/>
                <w:szCs w:val="20"/>
              </w:rPr>
              <w:t>$272,575</w:t>
            </w:r>
          </w:p>
        </w:tc>
        <w:tc>
          <w:tcPr>
            <w:tcW w:w="1134"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color w:val="000000"/>
                <w:sz w:val="20"/>
                <w:szCs w:val="20"/>
              </w:rPr>
              <w:t>$317,087</w:t>
            </w:r>
          </w:p>
        </w:tc>
        <w:tc>
          <w:tcPr>
            <w:tcW w:w="1224"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color w:val="000000"/>
                <w:sz w:val="20"/>
                <w:szCs w:val="20"/>
              </w:rPr>
              <w:t>$361,639</w:t>
            </w:r>
          </w:p>
        </w:tc>
      </w:tr>
      <w:tr w:rsidR="00D844EA" w:rsidRPr="00602490" w:rsidTr="00B71AB4">
        <w:tc>
          <w:tcPr>
            <w:tcW w:w="9016" w:type="dxa"/>
            <w:gridSpan w:val="7"/>
            <w:shd w:val="clear" w:color="auto" w:fill="auto"/>
          </w:tcPr>
          <w:p w:rsidR="00D844EA" w:rsidRPr="00602490" w:rsidRDefault="00D844EA" w:rsidP="00314B1A">
            <w:pPr>
              <w:keepNext/>
              <w:rPr>
                <w:rFonts w:ascii="Arial Narrow" w:hAnsi="Arial Narrow"/>
                <w:sz w:val="20"/>
                <w:szCs w:val="20"/>
              </w:rPr>
            </w:pPr>
            <w:r w:rsidRPr="00602490">
              <w:rPr>
                <w:rFonts w:ascii="Arial Narrow" w:hAnsi="Arial Narrow"/>
                <w:b/>
                <w:sz w:val="20"/>
                <w:szCs w:val="20"/>
              </w:rPr>
              <w:t xml:space="preserve">Net </w:t>
            </w:r>
            <w:r w:rsidR="00AD0B83" w:rsidRPr="00602490">
              <w:rPr>
                <w:rFonts w:ascii="Arial Narrow" w:hAnsi="Arial Narrow"/>
                <w:b/>
                <w:sz w:val="20"/>
                <w:szCs w:val="20"/>
              </w:rPr>
              <w:t>financial implications</w:t>
            </w:r>
          </w:p>
        </w:tc>
      </w:tr>
      <w:tr w:rsidR="00D844EA" w:rsidRPr="00602490" w:rsidTr="00B71AB4">
        <w:tc>
          <w:tcPr>
            <w:tcW w:w="1980" w:type="dxa"/>
            <w:shd w:val="clear" w:color="auto" w:fill="auto"/>
          </w:tcPr>
          <w:p w:rsidR="00D844EA" w:rsidRPr="00602490" w:rsidRDefault="00D844EA" w:rsidP="00314B1A">
            <w:pPr>
              <w:keepNext/>
              <w:rPr>
                <w:rFonts w:ascii="Arial Narrow" w:hAnsi="Arial Narrow"/>
                <w:b/>
                <w:sz w:val="20"/>
                <w:szCs w:val="20"/>
              </w:rPr>
            </w:pPr>
            <w:r w:rsidRPr="00602490">
              <w:rPr>
                <w:rFonts w:ascii="Arial Narrow" w:hAnsi="Arial Narrow"/>
                <w:sz w:val="20"/>
                <w:szCs w:val="20"/>
              </w:rPr>
              <w:t>Net cost PBS/RPBS</w:t>
            </w:r>
          </w:p>
        </w:tc>
        <w:tc>
          <w:tcPr>
            <w:tcW w:w="1134" w:type="dxa"/>
            <w:shd w:val="clear" w:color="auto" w:fill="auto"/>
          </w:tcPr>
          <w:p w:rsidR="00D844EA" w:rsidRPr="008C0354" w:rsidRDefault="00D844EA" w:rsidP="00314B1A">
            <w:pPr>
              <w:keepNext/>
              <w:jc w:val="right"/>
              <w:rPr>
                <w:rFonts w:ascii="Arial Narrow" w:hAnsi="Arial Narrow"/>
                <w:sz w:val="20"/>
                <w:szCs w:val="20"/>
              </w:rPr>
            </w:pPr>
            <w:r w:rsidRPr="008C0354">
              <w:rPr>
                <w:rFonts w:ascii="Arial Narrow" w:hAnsi="Arial Narrow"/>
                <w:sz w:val="20"/>
                <w:szCs w:val="20"/>
              </w:rPr>
              <w:t>$0</w:t>
            </w:r>
          </w:p>
        </w:tc>
        <w:tc>
          <w:tcPr>
            <w:tcW w:w="1134" w:type="dxa"/>
            <w:shd w:val="clear" w:color="auto" w:fill="auto"/>
          </w:tcPr>
          <w:p w:rsidR="00D844EA" w:rsidRPr="008C0354" w:rsidRDefault="00D844EA" w:rsidP="00314B1A">
            <w:pPr>
              <w:keepNext/>
              <w:jc w:val="right"/>
              <w:rPr>
                <w:rFonts w:ascii="Arial Narrow" w:hAnsi="Arial Narrow"/>
                <w:sz w:val="20"/>
                <w:szCs w:val="20"/>
              </w:rPr>
            </w:pPr>
            <w:r w:rsidRPr="008C0354">
              <w:rPr>
                <w:rFonts w:ascii="Arial Narrow" w:hAnsi="Arial Narrow"/>
                <w:sz w:val="20"/>
                <w:szCs w:val="20"/>
              </w:rPr>
              <w:t>$0</w:t>
            </w:r>
          </w:p>
        </w:tc>
        <w:tc>
          <w:tcPr>
            <w:tcW w:w="1134" w:type="dxa"/>
            <w:shd w:val="clear" w:color="auto" w:fill="auto"/>
          </w:tcPr>
          <w:p w:rsidR="00D844EA" w:rsidRPr="008C0354" w:rsidRDefault="00D844EA" w:rsidP="00314B1A">
            <w:pPr>
              <w:keepNext/>
              <w:jc w:val="right"/>
              <w:rPr>
                <w:rFonts w:ascii="Arial Narrow" w:hAnsi="Arial Narrow"/>
                <w:sz w:val="20"/>
                <w:szCs w:val="20"/>
              </w:rPr>
            </w:pPr>
            <w:r w:rsidRPr="008C0354">
              <w:rPr>
                <w:rFonts w:ascii="Arial Narrow" w:hAnsi="Arial Narrow"/>
                <w:sz w:val="20"/>
                <w:szCs w:val="20"/>
              </w:rPr>
              <w:t>$0</w:t>
            </w:r>
          </w:p>
        </w:tc>
        <w:tc>
          <w:tcPr>
            <w:tcW w:w="1276" w:type="dxa"/>
            <w:shd w:val="clear" w:color="auto" w:fill="auto"/>
          </w:tcPr>
          <w:p w:rsidR="00D844EA" w:rsidRPr="008C0354" w:rsidRDefault="00D844EA" w:rsidP="00314B1A">
            <w:pPr>
              <w:keepNext/>
              <w:jc w:val="right"/>
              <w:rPr>
                <w:rFonts w:ascii="Arial Narrow" w:hAnsi="Arial Narrow"/>
                <w:sz w:val="20"/>
                <w:szCs w:val="20"/>
              </w:rPr>
            </w:pPr>
            <w:r w:rsidRPr="008C0354">
              <w:rPr>
                <w:rFonts w:ascii="Arial Narrow" w:hAnsi="Arial Narrow"/>
                <w:sz w:val="20"/>
                <w:szCs w:val="20"/>
              </w:rPr>
              <w:t>$0</w:t>
            </w:r>
          </w:p>
        </w:tc>
        <w:tc>
          <w:tcPr>
            <w:tcW w:w="1134" w:type="dxa"/>
            <w:shd w:val="clear" w:color="auto" w:fill="auto"/>
          </w:tcPr>
          <w:p w:rsidR="00D844EA" w:rsidRPr="008C0354" w:rsidRDefault="00D844EA" w:rsidP="00314B1A">
            <w:pPr>
              <w:keepNext/>
              <w:jc w:val="right"/>
              <w:rPr>
                <w:rFonts w:ascii="Arial Narrow" w:hAnsi="Arial Narrow"/>
                <w:sz w:val="20"/>
                <w:szCs w:val="20"/>
              </w:rPr>
            </w:pPr>
            <w:r w:rsidRPr="008C0354">
              <w:rPr>
                <w:rFonts w:ascii="Arial Narrow" w:hAnsi="Arial Narrow"/>
                <w:sz w:val="20"/>
                <w:szCs w:val="20"/>
              </w:rPr>
              <w:t>$0</w:t>
            </w:r>
          </w:p>
        </w:tc>
        <w:tc>
          <w:tcPr>
            <w:tcW w:w="1224" w:type="dxa"/>
            <w:shd w:val="clear" w:color="auto" w:fill="auto"/>
          </w:tcPr>
          <w:p w:rsidR="00D844EA" w:rsidRPr="008C0354" w:rsidRDefault="00D844EA" w:rsidP="00314B1A">
            <w:pPr>
              <w:keepNext/>
              <w:jc w:val="right"/>
              <w:rPr>
                <w:rFonts w:ascii="Arial Narrow" w:hAnsi="Arial Narrow"/>
                <w:sz w:val="20"/>
                <w:szCs w:val="20"/>
              </w:rPr>
            </w:pPr>
            <w:r w:rsidRPr="008C0354">
              <w:rPr>
                <w:rFonts w:ascii="Arial Narrow" w:hAnsi="Arial Narrow"/>
                <w:sz w:val="20"/>
                <w:szCs w:val="20"/>
              </w:rPr>
              <w:t>$0</w:t>
            </w:r>
          </w:p>
        </w:tc>
      </w:tr>
      <w:tr w:rsidR="00D844EA" w:rsidRPr="00602490" w:rsidTr="00B71AB4">
        <w:tc>
          <w:tcPr>
            <w:tcW w:w="1980" w:type="dxa"/>
            <w:shd w:val="clear" w:color="auto" w:fill="auto"/>
          </w:tcPr>
          <w:p w:rsidR="00D844EA" w:rsidRPr="00602490" w:rsidRDefault="00D844EA" w:rsidP="00314B1A">
            <w:pPr>
              <w:keepNext/>
              <w:rPr>
                <w:rFonts w:ascii="Arial Narrow" w:hAnsi="Arial Narrow"/>
                <w:sz w:val="20"/>
                <w:szCs w:val="20"/>
              </w:rPr>
            </w:pPr>
            <w:r w:rsidRPr="00602490">
              <w:rPr>
                <w:rFonts w:ascii="Arial Narrow" w:hAnsi="Arial Narrow"/>
                <w:sz w:val="20"/>
                <w:szCs w:val="20"/>
              </w:rPr>
              <w:t>Net cost MBS</w:t>
            </w:r>
          </w:p>
        </w:tc>
        <w:tc>
          <w:tcPr>
            <w:tcW w:w="1134"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sz w:val="20"/>
                <w:szCs w:val="20"/>
              </w:rPr>
              <w:t>-$84,137</w:t>
            </w:r>
          </w:p>
        </w:tc>
        <w:tc>
          <w:tcPr>
            <w:tcW w:w="1134"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sz w:val="20"/>
                <w:szCs w:val="20"/>
              </w:rPr>
              <w:t>-$112,819</w:t>
            </w:r>
          </w:p>
        </w:tc>
        <w:tc>
          <w:tcPr>
            <w:tcW w:w="1134"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sz w:val="20"/>
                <w:szCs w:val="20"/>
              </w:rPr>
              <w:t>-$140,926</w:t>
            </w:r>
          </w:p>
        </w:tc>
        <w:tc>
          <w:tcPr>
            <w:tcW w:w="1276"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sz w:val="20"/>
                <w:szCs w:val="20"/>
              </w:rPr>
              <w:t>-$169,033</w:t>
            </w:r>
          </w:p>
        </w:tc>
        <w:tc>
          <w:tcPr>
            <w:tcW w:w="1134"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sz w:val="20"/>
                <w:szCs w:val="20"/>
              </w:rPr>
              <w:t>-$194,166</w:t>
            </w:r>
          </w:p>
        </w:tc>
        <w:tc>
          <w:tcPr>
            <w:tcW w:w="1224" w:type="dxa"/>
            <w:shd w:val="clear" w:color="auto" w:fill="auto"/>
            <w:vAlign w:val="center"/>
          </w:tcPr>
          <w:p w:rsidR="00D844EA" w:rsidRPr="00602490" w:rsidRDefault="00D844EA" w:rsidP="00314B1A">
            <w:pPr>
              <w:keepNext/>
              <w:jc w:val="right"/>
              <w:rPr>
                <w:rFonts w:ascii="Arial Narrow" w:hAnsi="Arial Narrow"/>
                <w:sz w:val="20"/>
                <w:szCs w:val="20"/>
              </w:rPr>
            </w:pPr>
            <w:r w:rsidRPr="00602490">
              <w:rPr>
                <w:rFonts w:ascii="Arial Narrow" w:hAnsi="Arial Narrow" w:cs="Calibri"/>
                <w:sz w:val="20"/>
                <w:szCs w:val="20"/>
              </w:rPr>
              <w:t>-$225,324</w:t>
            </w:r>
          </w:p>
        </w:tc>
      </w:tr>
      <w:tr w:rsidR="00D844EA" w:rsidRPr="00602490" w:rsidTr="00B71AB4">
        <w:tc>
          <w:tcPr>
            <w:tcW w:w="1980" w:type="dxa"/>
            <w:shd w:val="clear" w:color="auto" w:fill="auto"/>
          </w:tcPr>
          <w:p w:rsidR="00D844EA" w:rsidRPr="00602490" w:rsidRDefault="00D844EA" w:rsidP="00314B1A">
            <w:pPr>
              <w:keepNext/>
              <w:rPr>
                <w:rFonts w:ascii="Arial Narrow" w:hAnsi="Arial Narrow"/>
                <w:b/>
                <w:sz w:val="20"/>
                <w:szCs w:val="20"/>
              </w:rPr>
            </w:pPr>
            <w:r w:rsidRPr="00602490">
              <w:rPr>
                <w:rFonts w:ascii="Arial Narrow" w:hAnsi="Arial Narrow"/>
                <w:b/>
                <w:sz w:val="20"/>
                <w:szCs w:val="20"/>
              </w:rPr>
              <w:t xml:space="preserve">Net cost to Government </w:t>
            </w:r>
          </w:p>
        </w:tc>
        <w:tc>
          <w:tcPr>
            <w:tcW w:w="1134" w:type="dxa"/>
            <w:shd w:val="clear" w:color="auto" w:fill="auto"/>
            <w:vAlign w:val="center"/>
          </w:tcPr>
          <w:p w:rsidR="00D844EA" w:rsidRPr="008C0354" w:rsidRDefault="00D844EA" w:rsidP="00314B1A">
            <w:pPr>
              <w:keepNext/>
              <w:jc w:val="right"/>
              <w:rPr>
                <w:rFonts w:ascii="Arial Narrow" w:hAnsi="Arial Narrow"/>
                <w:b/>
                <w:sz w:val="20"/>
                <w:szCs w:val="20"/>
              </w:rPr>
            </w:pPr>
            <w:r w:rsidRPr="008C0354">
              <w:rPr>
                <w:rFonts w:ascii="Arial Narrow" w:hAnsi="Arial Narrow" w:cs="Calibri"/>
                <w:b/>
                <w:sz w:val="20"/>
                <w:szCs w:val="20"/>
              </w:rPr>
              <w:t>-$</w:t>
            </w:r>
            <w:r w:rsidR="00C67AE4">
              <w:rPr>
                <w:rFonts w:ascii="Arial Narrow" w:hAnsi="Arial Narrow" w:cs="Calibri"/>
                <w:b/>
                <w:noProof/>
                <w:color w:val="000000"/>
                <w:sz w:val="20"/>
                <w:szCs w:val="20"/>
                <w:highlight w:val="black"/>
              </w:rPr>
              <w:t>''''''''''''''</w:t>
            </w:r>
          </w:p>
        </w:tc>
        <w:tc>
          <w:tcPr>
            <w:tcW w:w="1134" w:type="dxa"/>
            <w:shd w:val="clear" w:color="auto" w:fill="auto"/>
            <w:vAlign w:val="center"/>
          </w:tcPr>
          <w:p w:rsidR="00D844EA" w:rsidRPr="008C0354" w:rsidRDefault="00D844EA" w:rsidP="00314B1A">
            <w:pPr>
              <w:keepNext/>
              <w:jc w:val="right"/>
              <w:rPr>
                <w:rFonts w:ascii="Arial Narrow" w:hAnsi="Arial Narrow"/>
                <w:b/>
                <w:sz w:val="20"/>
                <w:szCs w:val="20"/>
              </w:rPr>
            </w:pPr>
            <w:r w:rsidRPr="008C0354">
              <w:rPr>
                <w:rFonts w:ascii="Arial Narrow" w:hAnsi="Arial Narrow" w:cs="Calibri"/>
                <w:b/>
                <w:sz w:val="20"/>
                <w:szCs w:val="20"/>
              </w:rPr>
              <w:t>-$</w:t>
            </w:r>
            <w:r w:rsidR="00C67AE4">
              <w:rPr>
                <w:rFonts w:ascii="Arial Narrow" w:hAnsi="Arial Narrow" w:cs="Calibri"/>
                <w:b/>
                <w:noProof/>
                <w:color w:val="000000"/>
                <w:sz w:val="20"/>
                <w:szCs w:val="20"/>
                <w:highlight w:val="black"/>
              </w:rPr>
              <w:t>''''''''''''''''</w:t>
            </w:r>
          </w:p>
        </w:tc>
        <w:tc>
          <w:tcPr>
            <w:tcW w:w="1134" w:type="dxa"/>
            <w:shd w:val="clear" w:color="auto" w:fill="auto"/>
            <w:vAlign w:val="center"/>
          </w:tcPr>
          <w:p w:rsidR="00D844EA" w:rsidRPr="008C0354" w:rsidRDefault="00D844EA" w:rsidP="00314B1A">
            <w:pPr>
              <w:keepNext/>
              <w:jc w:val="right"/>
              <w:rPr>
                <w:rFonts w:ascii="Arial Narrow" w:hAnsi="Arial Narrow"/>
                <w:b/>
                <w:sz w:val="20"/>
                <w:szCs w:val="20"/>
              </w:rPr>
            </w:pPr>
            <w:r w:rsidRPr="008C0354">
              <w:rPr>
                <w:rFonts w:ascii="Arial Narrow" w:hAnsi="Arial Narrow" w:cs="Calibri"/>
                <w:b/>
                <w:sz w:val="20"/>
                <w:szCs w:val="20"/>
              </w:rPr>
              <w:t>-$</w:t>
            </w:r>
            <w:r w:rsidR="00C67AE4">
              <w:rPr>
                <w:rFonts w:ascii="Arial Narrow" w:hAnsi="Arial Narrow" w:cs="Calibri"/>
                <w:b/>
                <w:noProof/>
                <w:color w:val="000000"/>
                <w:sz w:val="20"/>
                <w:szCs w:val="20"/>
                <w:highlight w:val="black"/>
              </w:rPr>
              <w:t>''''''''''''''''</w:t>
            </w:r>
          </w:p>
        </w:tc>
        <w:tc>
          <w:tcPr>
            <w:tcW w:w="1276" w:type="dxa"/>
            <w:shd w:val="clear" w:color="auto" w:fill="auto"/>
            <w:vAlign w:val="center"/>
          </w:tcPr>
          <w:p w:rsidR="00D844EA" w:rsidRPr="008C0354" w:rsidRDefault="00D844EA" w:rsidP="00314B1A">
            <w:pPr>
              <w:keepNext/>
              <w:jc w:val="right"/>
              <w:rPr>
                <w:rFonts w:ascii="Arial Narrow" w:hAnsi="Arial Narrow"/>
                <w:b/>
                <w:sz w:val="20"/>
                <w:szCs w:val="20"/>
              </w:rPr>
            </w:pPr>
            <w:r w:rsidRPr="008C0354">
              <w:rPr>
                <w:rFonts w:ascii="Arial Narrow" w:hAnsi="Arial Narrow" w:cs="Calibri"/>
                <w:b/>
                <w:sz w:val="20"/>
                <w:szCs w:val="20"/>
              </w:rPr>
              <w:t>-$</w:t>
            </w:r>
            <w:r w:rsidR="00C67AE4">
              <w:rPr>
                <w:rFonts w:ascii="Arial Narrow" w:hAnsi="Arial Narrow" w:cs="Calibri"/>
                <w:b/>
                <w:noProof/>
                <w:color w:val="000000"/>
                <w:sz w:val="20"/>
                <w:szCs w:val="20"/>
                <w:highlight w:val="black"/>
              </w:rPr>
              <w:t>'''''''''''''''</w:t>
            </w:r>
          </w:p>
        </w:tc>
        <w:tc>
          <w:tcPr>
            <w:tcW w:w="1134" w:type="dxa"/>
            <w:shd w:val="clear" w:color="auto" w:fill="auto"/>
            <w:vAlign w:val="center"/>
          </w:tcPr>
          <w:p w:rsidR="00D844EA" w:rsidRPr="008C0354" w:rsidRDefault="00D844EA" w:rsidP="00314B1A">
            <w:pPr>
              <w:keepNext/>
              <w:jc w:val="right"/>
              <w:rPr>
                <w:rFonts w:ascii="Arial Narrow" w:hAnsi="Arial Narrow"/>
                <w:b/>
                <w:sz w:val="20"/>
                <w:szCs w:val="20"/>
              </w:rPr>
            </w:pPr>
            <w:r w:rsidRPr="008C0354">
              <w:rPr>
                <w:rFonts w:ascii="Arial Narrow" w:hAnsi="Arial Narrow" w:cs="Calibri"/>
                <w:b/>
                <w:sz w:val="20"/>
                <w:szCs w:val="20"/>
              </w:rPr>
              <w:t>-$</w:t>
            </w:r>
            <w:r w:rsidR="00C67AE4">
              <w:rPr>
                <w:rFonts w:ascii="Arial Narrow" w:hAnsi="Arial Narrow" w:cs="Calibri"/>
                <w:b/>
                <w:noProof/>
                <w:color w:val="000000"/>
                <w:sz w:val="20"/>
                <w:szCs w:val="20"/>
                <w:highlight w:val="black"/>
              </w:rPr>
              <w:t>''''''''''''''''</w:t>
            </w:r>
          </w:p>
        </w:tc>
        <w:tc>
          <w:tcPr>
            <w:tcW w:w="1224" w:type="dxa"/>
            <w:shd w:val="clear" w:color="auto" w:fill="auto"/>
            <w:vAlign w:val="center"/>
          </w:tcPr>
          <w:p w:rsidR="00D844EA" w:rsidRPr="008C0354" w:rsidRDefault="00D844EA" w:rsidP="00314B1A">
            <w:pPr>
              <w:keepNext/>
              <w:jc w:val="right"/>
              <w:rPr>
                <w:rFonts w:ascii="Arial Narrow" w:hAnsi="Arial Narrow"/>
                <w:b/>
                <w:sz w:val="20"/>
                <w:szCs w:val="20"/>
              </w:rPr>
            </w:pPr>
            <w:r w:rsidRPr="008C0354">
              <w:rPr>
                <w:rFonts w:ascii="Arial Narrow" w:hAnsi="Arial Narrow" w:cs="Calibri"/>
                <w:b/>
                <w:sz w:val="20"/>
                <w:szCs w:val="20"/>
              </w:rPr>
              <w:t>-$</w:t>
            </w:r>
            <w:r w:rsidR="00C67AE4">
              <w:rPr>
                <w:rFonts w:ascii="Arial Narrow" w:hAnsi="Arial Narrow" w:cs="Calibri"/>
                <w:b/>
                <w:noProof/>
                <w:color w:val="000000"/>
                <w:sz w:val="20"/>
                <w:szCs w:val="20"/>
                <w:highlight w:val="black"/>
              </w:rPr>
              <w:t>''''''''''''''''</w:t>
            </w:r>
          </w:p>
        </w:tc>
      </w:tr>
    </w:tbl>
    <w:p w:rsidR="00C37FB0" w:rsidRPr="00602490" w:rsidRDefault="00DF437F" w:rsidP="00E9269D">
      <w:pPr>
        <w:pStyle w:val="TableFooter"/>
      </w:pPr>
      <w:proofErr w:type="gramStart"/>
      <w:r w:rsidRPr="00602490">
        <w:t>a</w:t>
      </w:r>
      <w:proofErr w:type="gramEnd"/>
      <w:r w:rsidRPr="00602490">
        <w:t xml:space="preserve"> </w:t>
      </w:r>
      <w:r w:rsidR="00C37FB0" w:rsidRPr="00602490">
        <w:t>Year 1 represents financial year Jul 19-Jun 20</w:t>
      </w:r>
    </w:p>
    <w:p w:rsidR="00DF437F" w:rsidRPr="00602490" w:rsidRDefault="00DF437F" w:rsidP="00E9269D">
      <w:pPr>
        <w:pStyle w:val="TableFooter"/>
      </w:pPr>
      <w:proofErr w:type="gramStart"/>
      <w:r w:rsidRPr="00602490">
        <w:t>b</w:t>
      </w:r>
      <w:proofErr w:type="gramEnd"/>
      <w:r w:rsidRPr="00602490">
        <w:t xml:space="preserve"> Assuming 100% substitution with Nucala Pen/PFS</w:t>
      </w:r>
    </w:p>
    <w:p w:rsidR="00DF437F" w:rsidRPr="00602490" w:rsidRDefault="00DF437F" w:rsidP="00E9269D">
      <w:pPr>
        <w:pStyle w:val="TableFooter"/>
      </w:pPr>
      <w:proofErr w:type="gramStart"/>
      <w:r w:rsidRPr="00602490">
        <w:t>c</w:t>
      </w:r>
      <w:proofErr w:type="gramEnd"/>
      <w:r w:rsidRPr="00602490">
        <w:t xml:space="preserve"> Assuming 100% of administrations of Nucala Vial would be by a health care professional and 54% administrations of Nucala PFS/Pen would be by a health care professional in Year 1, reducing to 31% in Year 2 and beyond.</w:t>
      </w:r>
    </w:p>
    <w:p w:rsidR="00C37FB0" w:rsidRPr="00602490" w:rsidRDefault="00C37FB0" w:rsidP="00E9269D">
      <w:pPr>
        <w:pStyle w:val="TableFooter"/>
      </w:pPr>
      <w:r w:rsidRPr="00602490">
        <w:t>S</w:t>
      </w:r>
      <w:r w:rsidRPr="00602490">
        <w:rPr>
          <w:spacing w:val="-2"/>
        </w:rPr>
        <w:t>o</w:t>
      </w:r>
      <w:r w:rsidRPr="00602490">
        <w:rPr>
          <w:spacing w:val="1"/>
        </w:rPr>
        <w:t>u</w:t>
      </w:r>
      <w:r w:rsidRPr="00602490">
        <w:rPr>
          <w:spacing w:val="-1"/>
        </w:rPr>
        <w:t>r</w:t>
      </w:r>
      <w:r w:rsidRPr="00602490">
        <w:rPr>
          <w:spacing w:val="-2"/>
        </w:rPr>
        <w:t>c</w:t>
      </w:r>
      <w:r w:rsidRPr="00602490">
        <w:rPr>
          <w:spacing w:val="1"/>
        </w:rPr>
        <w:t>e</w:t>
      </w:r>
      <w:r w:rsidRPr="00602490">
        <w:t>:</w:t>
      </w:r>
      <w:r w:rsidRPr="00602490">
        <w:rPr>
          <w:spacing w:val="-2"/>
        </w:rPr>
        <w:t xml:space="preserve"> Table 35 and 37 of minor submission; </w:t>
      </w:r>
      <w:r w:rsidRPr="00602490">
        <w:t>E</w:t>
      </w:r>
      <w:r w:rsidRPr="00602490">
        <w:rPr>
          <w:spacing w:val="-1"/>
        </w:rPr>
        <w:t>l</w:t>
      </w:r>
      <w:r w:rsidRPr="00602490">
        <w:rPr>
          <w:spacing w:val="1"/>
        </w:rPr>
        <w:t>e</w:t>
      </w:r>
      <w:r w:rsidRPr="00602490">
        <w:rPr>
          <w:spacing w:val="-2"/>
        </w:rPr>
        <w:t>c</w:t>
      </w:r>
      <w:r w:rsidRPr="00602490">
        <w:rPr>
          <w:spacing w:val="-1"/>
        </w:rPr>
        <w:t>tr</w:t>
      </w:r>
      <w:r w:rsidRPr="00602490">
        <w:rPr>
          <w:spacing w:val="-2"/>
        </w:rPr>
        <w:t>o</w:t>
      </w:r>
      <w:r w:rsidRPr="00602490">
        <w:rPr>
          <w:spacing w:val="1"/>
        </w:rPr>
        <w:t>n</w:t>
      </w:r>
      <w:r w:rsidRPr="00602490">
        <w:rPr>
          <w:spacing w:val="-1"/>
        </w:rPr>
        <w:t>i</w:t>
      </w:r>
      <w:r w:rsidRPr="00602490">
        <w:t>c</w:t>
      </w:r>
      <w:r w:rsidRPr="00602490">
        <w:rPr>
          <w:spacing w:val="-2"/>
        </w:rPr>
        <w:t xml:space="preserve"> </w:t>
      </w:r>
      <w:r w:rsidRPr="00602490">
        <w:t>A</w:t>
      </w:r>
      <w:r w:rsidRPr="00602490">
        <w:rPr>
          <w:spacing w:val="-1"/>
        </w:rPr>
        <w:t>tt</w:t>
      </w:r>
      <w:r w:rsidRPr="00602490">
        <w:rPr>
          <w:spacing w:val="1"/>
        </w:rPr>
        <w:t>a</w:t>
      </w:r>
      <w:r w:rsidRPr="00602490">
        <w:rPr>
          <w:spacing w:val="-2"/>
        </w:rPr>
        <w:t>ch</w:t>
      </w:r>
      <w:r w:rsidRPr="00602490">
        <w:t>m</w:t>
      </w:r>
      <w:r w:rsidRPr="00602490">
        <w:rPr>
          <w:spacing w:val="-2"/>
        </w:rPr>
        <w:t>e</w:t>
      </w:r>
      <w:r w:rsidRPr="00602490">
        <w:rPr>
          <w:spacing w:val="1"/>
        </w:rPr>
        <w:t>n</w:t>
      </w:r>
      <w:r w:rsidRPr="00602490">
        <w:t>t</w:t>
      </w:r>
      <w:r w:rsidRPr="00602490">
        <w:rPr>
          <w:spacing w:val="-2"/>
        </w:rPr>
        <w:t xml:space="preserve"> F </w:t>
      </w:r>
      <w:r w:rsidRPr="00602490">
        <w:rPr>
          <w:spacing w:val="1"/>
        </w:rPr>
        <w:t>MEPO_AI_PFS_utilisation_and_cost_model.xls</w:t>
      </w:r>
    </w:p>
    <w:p w:rsidR="00C37FB0" w:rsidRPr="00602490" w:rsidRDefault="00C37FB0" w:rsidP="00E9269D">
      <w:pPr>
        <w:pStyle w:val="TableFooter"/>
        <w:rPr>
          <w:spacing w:val="18"/>
        </w:rPr>
      </w:pPr>
      <w:r w:rsidRPr="00602490">
        <w:t>A</w:t>
      </w:r>
      <w:r w:rsidRPr="00602490">
        <w:rPr>
          <w:spacing w:val="-2"/>
        </w:rPr>
        <w:t>b</w:t>
      </w:r>
      <w:r w:rsidRPr="00602490">
        <w:rPr>
          <w:spacing w:val="1"/>
        </w:rPr>
        <w:t>b</w:t>
      </w:r>
      <w:r w:rsidRPr="00602490">
        <w:rPr>
          <w:spacing w:val="-1"/>
        </w:rPr>
        <w:t>r</w:t>
      </w:r>
      <w:r w:rsidRPr="00602490">
        <w:rPr>
          <w:spacing w:val="1"/>
        </w:rPr>
        <w:t>e</w:t>
      </w:r>
      <w:r w:rsidRPr="00602490">
        <w:rPr>
          <w:spacing w:val="-2"/>
        </w:rPr>
        <w:t>v</w:t>
      </w:r>
      <w:r w:rsidRPr="00602490">
        <w:rPr>
          <w:spacing w:val="-1"/>
        </w:rPr>
        <w:t>i</w:t>
      </w:r>
      <w:r w:rsidRPr="00602490">
        <w:rPr>
          <w:spacing w:val="1"/>
        </w:rPr>
        <w:t>a</w:t>
      </w:r>
      <w:r w:rsidRPr="00602490">
        <w:rPr>
          <w:spacing w:val="-1"/>
        </w:rPr>
        <w:t>ti</w:t>
      </w:r>
      <w:r w:rsidRPr="00602490">
        <w:rPr>
          <w:spacing w:val="-2"/>
        </w:rPr>
        <w:t>o</w:t>
      </w:r>
      <w:r w:rsidRPr="00602490">
        <w:rPr>
          <w:spacing w:val="1"/>
        </w:rPr>
        <w:t>n</w:t>
      </w:r>
      <w:r w:rsidRPr="00602490">
        <w:rPr>
          <w:spacing w:val="-2"/>
        </w:rPr>
        <w:t>s</w:t>
      </w:r>
      <w:r w:rsidRPr="00602490">
        <w:t>:</w:t>
      </w:r>
      <w:r w:rsidRPr="00602490">
        <w:rPr>
          <w:spacing w:val="19"/>
        </w:rPr>
        <w:t xml:space="preserve"> </w:t>
      </w:r>
      <w:r w:rsidRPr="00602490">
        <w:rPr>
          <w:spacing w:val="-2"/>
        </w:rPr>
        <w:t>P</w:t>
      </w:r>
      <w:r w:rsidRPr="00602490">
        <w:t>BS=</w:t>
      </w:r>
      <w:r w:rsidRPr="00602490">
        <w:rPr>
          <w:spacing w:val="1"/>
        </w:rPr>
        <w:t>p</w:t>
      </w:r>
      <w:r w:rsidRPr="00602490">
        <w:rPr>
          <w:spacing w:val="-2"/>
        </w:rPr>
        <w:t>h</w:t>
      </w:r>
      <w:r w:rsidRPr="00602490">
        <w:rPr>
          <w:spacing w:val="1"/>
        </w:rPr>
        <w:t>a</w:t>
      </w:r>
      <w:r w:rsidRPr="00602490">
        <w:rPr>
          <w:spacing w:val="-1"/>
        </w:rPr>
        <w:t>r</w:t>
      </w:r>
      <w:r w:rsidRPr="00602490">
        <w:rPr>
          <w:spacing w:val="-2"/>
        </w:rPr>
        <w:t>m</w:t>
      </w:r>
      <w:r w:rsidRPr="00602490">
        <w:rPr>
          <w:spacing w:val="1"/>
        </w:rPr>
        <w:t>a</w:t>
      </w:r>
      <w:r w:rsidRPr="00602490">
        <w:rPr>
          <w:spacing w:val="-2"/>
        </w:rPr>
        <w:t>c</w:t>
      </w:r>
      <w:r w:rsidRPr="00602490">
        <w:rPr>
          <w:spacing w:val="1"/>
        </w:rPr>
        <w:t>eu</w:t>
      </w:r>
      <w:r w:rsidRPr="00602490">
        <w:rPr>
          <w:spacing w:val="-1"/>
        </w:rPr>
        <w:t>ti</w:t>
      </w:r>
      <w:r w:rsidRPr="00602490">
        <w:rPr>
          <w:spacing w:val="-2"/>
        </w:rPr>
        <w:t>c</w:t>
      </w:r>
      <w:r w:rsidRPr="00602490">
        <w:rPr>
          <w:spacing w:val="1"/>
        </w:rPr>
        <w:t>a</w:t>
      </w:r>
      <w:r w:rsidRPr="00602490">
        <w:t>l</w:t>
      </w:r>
      <w:r w:rsidRPr="00602490">
        <w:rPr>
          <w:spacing w:val="18"/>
        </w:rPr>
        <w:t xml:space="preserve"> </w:t>
      </w:r>
      <w:r w:rsidRPr="00602490">
        <w:rPr>
          <w:spacing w:val="1"/>
        </w:rPr>
        <w:t>b</w:t>
      </w:r>
      <w:r w:rsidRPr="00602490">
        <w:rPr>
          <w:spacing w:val="-2"/>
        </w:rPr>
        <w:t>en</w:t>
      </w:r>
      <w:r w:rsidRPr="00602490">
        <w:rPr>
          <w:spacing w:val="1"/>
        </w:rPr>
        <w:t>e</w:t>
      </w:r>
      <w:r w:rsidRPr="00602490">
        <w:rPr>
          <w:spacing w:val="-1"/>
        </w:rPr>
        <w:t>fit</w:t>
      </w:r>
      <w:r w:rsidRPr="00602490">
        <w:t>s</w:t>
      </w:r>
      <w:r w:rsidRPr="00602490">
        <w:rPr>
          <w:spacing w:val="19"/>
        </w:rPr>
        <w:t xml:space="preserve"> </w:t>
      </w:r>
      <w:r w:rsidRPr="00602490">
        <w:rPr>
          <w:spacing w:val="-2"/>
        </w:rPr>
        <w:t>sc</w:t>
      </w:r>
      <w:r w:rsidRPr="00602490">
        <w:rPr>
          <w:spacing w:val="1"/>
        </w:rPr>
        <w:t>he</w:t>
      </w:r>
      <w:r w:rsidRPr="00602490">
        <w:t>m</w:t>
      </w:r>
      <w:r w:rsidRPr="00602490">
        <w:rPr>
          <w:spacing w:val="1"/>
        </w:rPr>
        <w:t>e</w:t>
      </w:r>
      <w:r w:rsidRPr="00602490">
        <w:t>;</w:t>
      </w:r>
      <w:r w:rsidRPr="00602490">
        <w:rPr>
          <w:spacing w:val="18"/>
        </w:rPr>
        <w:t xml:space="preserve"> </w:t>
      </w:r>
      <w:r w:rsidRPr="00602490">
        <w:t>R</w:t>
      </w:r>
      <w:r w:rsidRPr="00602490">
        <w:rPr>
          <w:spacing w:val="-2"/>
        </w:rPr>
        <w:t>P</w:t>
      </w:r>
      <w:r w:rsidRPr="00602490">
        <w:t>BS=</w:t>
      </w:r>
      <w:r w:rsidRPr="00602490">
        <w:rPr>
          <w:spacing w:val="20"/>
        </w:rPr>
        <w:t xml:space="preserve"> </w:t>
      </w:r>
      <w:r w:rsidRPr="00602490">
        <w:rPr>
          <w:spacing w:val="-1"/>
        </w:rPr>
        <w:t>r</w:t>
      </w:r>
      <w:r w:rsidRPr="00602490">
        <w:rPr>
          <w:spacing w:val="-2"/>
        </w:rPr>
        <w:t>ep</w:t>
      </w:r>
      <w:r w:rsidRPr="00602490">
        <w:rPr>
          <w:spacing w:val="1"/>
        </w:rPr>
        <w:t>a</w:t>
      </w:r>
      <w:r w:rsidRPr="00602490">
        <w:rPr>
          <w:spacing w:val="-1"/>
        </w:rPr>
        <w:t>tri</w:t>
      </w:r>
      <w:r w:rsidRPr="00602490">
        <w:rPr>
          <w:spacing w:val="1"/>
        </w:rPr>
        <w:t>a</w:t>
      </w:r>
      <w:r w:rsidRPr="00602490">
        <w:rPr>
          <w:spacing w:val="-1"/>
        </w:rPr>
        <w:t>ti</w:t>
      </w:r>
      <w:r w:rsidRPr="00602490">
        <w:rPr>
          <w:spacing w:val="1"/>
        </w:rPr>
        <w:t>o</w:t>
      </w:r>
      <w:r w:rsidRPr="00602490">
        <w:t>n</w:t>
      </w:r>
      <w:r w:rsidRPr="00602490">
        <w:rPr>
          <w:spacing w:val="19"/>
        </w:rPr>
        <w:t xml:space="preserve"> </w:t>
      </w:r>
      <w:r w:rsidRPr="00602490">
        <w:rPr>
          <w:spacing w:val="-2"/>
        </w:rPr>
        <w:t>p</w:t>
      </w:r>
      <w:r w:rsidRPr="00602490">
        <w:rPr>
          <w:spacing w:val="1"/>
        </w:rPr>
        <w:t>ha</w:t>
      </w:r>
      <w:r w:rsidRPr="00602490">
        <w:rPr>
          <w:spacing w:val="-1"/>
        </w:rPr>
        <w:t>r</w:t>
      </w:r>
      <w:r w:rsidRPr="00602490">
        <w:rPr>
          <w:spacing w:val="-2"/>
        </w:rPr>
        <w:t>m</w:t>
      </w:r>
      <w:r w:rsidRPr="00602490">
        <w:rPr>
          <w:spacing w:val="1"/>
        </w:rPr>
        <w:t>a</w:t>
      </w:r>
      <w:r w:rsidRPr="00602490">
        <w:rPr>
          <w:spacing w:val="-2"/>
        </w:rPr>
        <w:t>c</w:t>
      </w:r>
      <w:r w:rsidRPr="00602490">
        <w:rPr>
          <w:spacing w:val="1"/>
        </w:rPr>
        <w:t>eu</w:t>
      </w:r>
      <w:r w:rsidRPr="00602490">
        <w:rPr>
          <w:spacing w:val="-1"/>
        </w:rPr>
        <w:t>ti</w:t>
      </w:r>
      <w:r w:rsidRPr="00602490">
        <w:rPr>
          <w:spacing w:val="-2"/>
        </w:rPr>
        <w:t>c</w:t>
      </w:r>
      <w:r w:rsidRPr="00602490">
        <w:rPr>
          <w:spacing w:val="1"/>
        </w:rPr>
        <w:t>a</w:t>
      </w:r>
      <w:r w:rsidRPr="00602490">
        <w:t>l</w:t>
      </w:r>
      <w:r w:rsidRPr="00602490">
        <w:rPr>
          <w:spacing w:val="18"/>
        </w:rPr>
        <w:t xml:space="preserve"> </w:t>
      </w:r>
      <w:r w:rsidRPr="00602490">
        <w:rPr>
          <w:spacing w:val="1"/>
        </w:rPr>
        <w:t>b</w:t>
      </w:r>
      <w:r w:rsidRPr="00602490">
        <w:rPr>
          <w:spacing w:val="-2"/>
        </w:rPr>
        <w:t>en</w:t>
      </w:r>
      <w:r w:rsidRPr="00602490">
        <w:rPr>
          <w:spacing w:val="1"/>
        </w:rPr>
        <w:t>e</w:t>
      </w:r>
      <w:r w:rsidRPr="00602490">
        <w:rPr>
          <w:spacing w:val="-1"/>
        </w:rPr>
        <w:t>fit</w:t>
      </w:r>
      <w:r w:rsidRPr="00602490">
        <w:t>s</w:t>
      </w:r>
      <w:r w:rsidRPr="00602490">
        <w:rPr>
          <w:spacing w:val="20"/>
        </w:rPr>
        <w:t xml:space="preserve"> </w:t>
      </w:r>
      <w:r w:rsidRPr="00602490">
        <w:rPr>
          <w:spacing w:val="-2"/>
        </w:rPr>
        <w:t>sc</w:t>
      </w:r>
      <w:r w:rsidRPr="00602490">
        <w:rPr>
          <w:spacing w:val="1"/>
        </w:rPr>
        <w:t>he</w:t>
      </w:r>
      <w:r w:rsidRPr="00602490">
        <w:t>m</w:t>
      </w:r>
      <w:r w:rsidRPr="00602490">
        <w:rPr>
          <w:spacing w:val="1"/>
        </w:rPr>
        <w:t>e</w:t>
      </w:r>
      <w:r w:rsidRPr="00602490">
        <w:t>.</w:t>
      </w:r>
      <w:r w:rsidRPr="00602490">
        <w:rPr>
          <w:spacing w:val="18"/>
        </w:rPr>
        <w:t xml:space="preserve"> </w:t>
      </w:r>
    </w:p>
    <w:p w:rsidR="00954D6E" w:rsidRPr="00602490" w:rsidRDefault="00954D6E" w:rsidP="00386062">
      <w:pPr>
        <w:pStyle w:val="3Bodytext"/>
        <w:spacing w:before="120"/>
      </w:pPr>
      <w:r w:rsidRPr="00602490">
        <w:t xml:space="preserve">The minor submission claimed that with the substitution of </w:t>
      </w:r>
      <w:r w:rsidR="008E625D" w:rsidRPr="00602490">
        <w:t>Nucala Pen and PFS</w:t>
      </w:r>
      <w:r w:rsidR="00FA36A9" w:rsidRPr="00602490">
        <w:t xml:space="preserve"> </w:t>
      </w:r>
      <w:r w:rsidR="0099407B" w:rsidRPr="00602490">
        <w:t xml:space="preserve">for </w:t>
      </w:r>
      <w:r w:rsidR="008E625D" w:rsidRPr="00602490">
        <w:t>Nucala V</w:t>
      </w:r>
      <w:r w:rsidR="0099407B" w:rsidRPr="00602490">
        <w:t>ial</w:t>
      </w:r>
      <w:r w:rsidR="00FA36A9" w:rsidRPr="00602490">
        <w:t xml:space="preserve"> would result in savings to the </w:t>
      </w:r>
      <w:r w:rsidR="0099407B" w:rsidRPr="00602490">
        <w:t>MBS</w:t>
      </w:r>
      <w:r w:rsidR="00FA36A9" w:rsidRPr="00602490">
        <w:t xml:space="preserve">, including </w:t>
      </w:r>
      <w:r w:rsidR="0099407B" w:rsidRPr="00602490">
        <w:t>an estimated $84,000 in Year</w:t>
      </w:r>
      <w:r w:rsidR="000D539C" w:rsidRPr="00602490">
        <w:t> </w:t>
      </w:r>
      <w:r w:rsidR="0099407B" w:rsidRPr="00602490">
        <w:t xml:space="preserve">1 and up to </w:t>
      </w:r>
      <w:r w:rsidR="00DE3990" w:rsidRPr="00602490">
        <w:t xml:space="preserve">a total of </w:t>
      </w:r>
      <w:r w:rsidR="0099407B" w:rsidRPr="00602490">
        <w:t xml:space="preserve">$926,000 over the first </w:t>
      </w:r>
      <w:r w:rsidR="000D539C" w:rsidRPr="00602490">
        <w:t>six</w:t>
      </w:r>
      <w:r w:rsidR="0099407B" w:rsidRPr="00602490">
        <w:t xml:space="preserve"> years of listing</w:t>
      </w:r>
      <w:r w:rsidR="00FA36A9" w:rsidRPr="00602490">
        <w:t xml:space="preserve"> due to the reduction in </w:t>
      </w:r>
      <w:r w:rsidR="007C5EDD" w:rsidRPr="00602490">
        <w:t>vis</w:t>
      </w:r>
      <w:r w:rsidR="00FF2330" w:rsidRPr="00602490">
        <w:t>i</w:t>
      </w:r>
      <w:r w:rsidR="007C5EDD" w:rsidRPr="00602490">
        <w:t xml:space="preserve">ts to a </w:t>
      </w:r>
      <w:r w:rsidR="002E6A43" w:rsidRPr="00602490">
        <w:t xml:space="preserve">health care professional </w:t>
      </w:r>
      <w:r w:rsidR="007C5EDD" w:rsidRPr="00602490">
        <w:t>for administration of mepolizumab</w:t>
      </w:r>
      <w:r w:rsidR="0099407B" w:rsidRPr="00602490">
        <w:t>.</w:t>
      </w:r>
      <w:r w:rsidR="000D539C" w:rsidRPr="00602490">
        <w:t xml:space="preserve"> </w:t>
      </w:r>
      <w:r w:rsidR="007C5EDD" w:rsidRPr="00602490">
        <w:t xml:space="preserve">The minor submission assumed that </w:t>
      </w:r>
      <w:r w:rsidR="00E20D13" w:rsidRPr="00602490">
        <w:t>54</w:t>
      </w:r>
      <w:r w:rsidR="007C5EDD" w:rsidRPr="00602490">
        <w:t xml:space="preserve">% of administrations of Nucala PFS and Pen </w:t>
      </w:r>
      <w:proofErr w:type="gramStart"/>
      <w:r w:rsidR="007C5EDD" w:rsidRPr="00602490">
        <w:t>would be by a health care professional</w:t>
      </w:r>
      <w:r w:rsidR="00E20D13" w:rsidRPr="00602490">
        <w:t xml:space="preserve"> in Year 1, reducing to 31% in Year 2 and beyond</w:t>
      </w:r>
      <w:r w:rsidR="007C5EDD" w:rsidRPr="00602490">
        <w:t>, compared</w:t>
      </w:r>
      <w:proofErr w:type="gramEnd"/>
      <w:r w:rsidR="007C5EDD" w:rsidRPr="00602490">
        <w:t xml:space="preserve"> with 100% for Nucala Vial. </w:t>
      </w:r>
    </w:p>
    <w:p w:rsidR="00587341" w:rsidRPr="009D2467" w:rsidRDefault="00587341" w:rsidP="00A23439">
      <w:pPr>
        <w:pStyle w:val="3Bodytext"/>
      </w:pPr>
      <w:r w:rsidRPr="009D2467">
        <w:t xml:space="preserve">The minor submission did not include the grandfathered patients in the financial estimates due to the assumption that they would not have any additional impact on the </w:t>
      </w:r>
      <w:r w:rsidRPr="00602490">
        <w:t>growth of the mepolizumab market, and they would have otherwise initiated Nucala Vial, or switched from another biological anyway, had the EAP not existed</w:t>
      </w:r>
      <w:r w:rsidR="00392AFD" w:rsidRPr="00602490">
        <w:t>.</w:t>
      </w:r>
      <w:r w:rsidR="003475C0" w:rsidRPr="009D2467">
        <w:t xml:space="preserve"> </w:t>
      </w:r>
      <w:r w:rsidR="00A23439" w:rsidRPr="00A23439">
        <w:t>The PBAC considered t</w:t>
      </w:r>
      <w:r w:rsidR="00A23439">
        <w:t>hat it was not appropriate to ex</w:t>
      </w:r>
      <w:r w:rsidR="00A23439" w:rsidRPr="00A23439">
        <w:t>clude an estimate for grandfathered patients and that this should be explicitly included</w:t>
      </w:r>
      <w:r w:rsidR="0070285A">
        <w:t xml:space="preserve"> in the financial model</w:t>
      </w:r>
      <w:r w:rsidR="00A23439" w:rsidRPr="00A23439">
        <w:t>.</w:t>
      </w:r>
    </w:p>
    <w:p w:rsidR="00D5171E" w:rsidRPr="00602490" w:rsidRDefault="00D5171E" w:rsidP="00D5171E">
      <w:pPr>
        <w:pStyle w:val="3Bodytext"/>
        <w:numPr>
          <w:ilvl w:val="0"/>
          <w:numId w:val="0"/>
        </w:numPr>
        <w:ind w:left="720"/>
      </w:pPr>
      <w:r w:rsidRPr="00602490">
        <w:rPr>
          <w:i/>
        </w:rPr>
        <w:t xml:space="preserve">For more detail on PBAC’s view, see section </w:t>
      </w:r>
      <w:r w:rsidR="00E9350C" w:rsidRPr="00602490">
        <w:rPr>
          <w:i/>
        </w:rPr>
        <w:t xml:space="preserve">5 </w:t>
      </w:r>
      <w:r w:rsidRPr="00602490">
        <w:rPr>
          <w:i/>
        </w:rPr>
        <w:t>PBAC outcome.</w:t>
      </w:r>
    </w:p>
    <w:p w:rsidR="00462814" w:rsidRPr="00602490" w:rsidRDefault="00462814" w:rsidP="00462814">
      <w:pPr>
        <w:pStyle w:val="2Sections"/>
        <w:numPr>
          <w:ilvl w:val="0"/>
          <w:numId w:val="1"/>
        </w:numPr>
      </w:pPr>
      <w:r w:rsidRPr="00602490">
        <w:t>PBAC Outcome</w:t>
      </w:r>
    </w:p>
    <w:p w:rsidR="00292519" w:rsidRPr="00FB0D35" w:rsidRDefault="00292519" w:rsidP="00292519">
      <w:pPr>
        <w:pStyle w:val="3Bodytext"/>
        <w:rPr>
          <w:snapToGrid w:val="0"/>
        </w:rPr>
      </w:pPr>
      <w:r w:rsidRPr="00FB0D35">
        <w:rPr>
          <w:snapToGrid w:val="0"/>
        </w:rPr>
        <w:t xml:space="preserve">The PBAC recommended the listing of </w:t>
      </w:r>
      <w:r w:rsidR="002C7B86" w:rsidRPr="00FB0D35">
        <w:rPr>
          <w:snapToGrid w:val="0"/>
        </w:rPr>
        <w:t xml:space="preserve">new forms of mepolizumab </w:t>
      </w:r>
      <w:r w:rsidRPr="00FB0D35">
        <w:rPr>
          <w:snapToGrid w:val="0"/>
        </w:rPr>
        <w:t>(</w:t>
      </w:r>
      <w:r w:rsidRPr="00602490">
        <w:rPr>
          <w:rFonts w:cstheme="minorHAnsi"/>
        </w:rPr>
        <w:t>pre-filled pen and pre-filled syringe</w:t>
      </w:r>
      <w:r w:rsidR="002C7B86" w:rsidRPr="00602490">
        <w:rPr>
          <w:rFonts w:cstheme="minorHAnsi"/>
        </w:rPr>
        <w:t>; Nucala Pen and Nucala PFS</w:t>
      </w:r>
      <w:r w:rsidRPr="00602490">
        <w:rPr>
          <w:rFonts w:cstheme="minorHAnsi"/>
        </w:rPr>
        <w:t xml:space="preserve"> respectively</w:t>
      </w:r>
      <w:r w:rsidRPr="00FB0D35">
        <w:rPr>
          <w:snapToGrid w:val="0"/>
        </w:rPr>
        <w:t xml:space="preserve">), on the basis that they should be available only under special arrangements under Section 100 </w:t>
      </w:r>
      <w:r w:rsidR="00A9211C" w:rsidRPr="00FB0D35">
        <w:rPr>
          <w:snapToGrid w:val="0"/>
        </w:rPr>
        <w:t>(</w:t>
      </w:r>
      <w:r w:rsidRPr="00602490">
        <w:t xml:space="preserve">Highly Specialised Drugs </w:t>
      </w:r>
      <w:r w:rsidR="00A9211C" w:rsidRPr="00602490">
        <w:t>P</w:t>
      </w:r>
      <w:r w:rsidRPr="00602490">
        <w:t>rogram</w:t>
      </w:r>
      <w:r w:rsidR="00A9211C" w:rsidRPr="00602490">
        <w:t>)</w:t>
      </w:r>
      <w:r w:rsidRPr="00602490">
        <w:t xml:space="preserve"> for the treatment of uncontrolled severe eosinophilic </w:t>
      </w:r>
      <w:r w:rsidRPr="00602490">
        <w:lastRenderedPageBreak/>
        <w:t>asthma</w:t>
      </w:r>
      <w:r w:rsidRPr="00FB0D35">
        <w:rPr>
          <w:snapToGrid w:val="0"/>
        </w:rPr>
        <w:t>.</w:t>
      </w:r>
      <w:r w:rsidR="00392AFD" w:rsidRPr="00FB0D35">
        <w:rPr>
          <w:snapToGrid w:val="0"/>
        </w:rPr>
        <w:t xml:space="preserve"> The </w:t>
      </w:r>
      <w:r w:rsidR="00392AFD" w:rsidRPr="00602490">
        <w:t>PBAC considered that a form of mepo</w:t>
      </w:r>
      <w:r w:rsidR="00602490">
        <w:t>lizumab</w:t>
      </w:r>
      <w:r w:rsidR="00392AFD" w:rsidRPr="00602490">
        <w:t xml:space="preserve"> that can be self-administered </w:t>
      </w:r>
      <w:proofErr w:type="gramStart"/>
      <w:r w:rsidR="00392AFD" w:rsidRPr="00602490">
        <w:t>will</w:t>
      </w:r>
      <w:proofErr w:type="gramEnd"/>
      <w:r w:rsidR="00392AFD" w:rsidRPr="00602490">
        <w:t xml:space="preserve"> provide a convenience benefit to some patients.</w:t>
      </w:r>
    </w:p>
    <w:p w:rsidR="00292519" w:rsidRPr="00FB0D35" w:rsidRDefault="00292519" w:rsidP="00292519">
      <w:pPr>
        <w:pStyle w:val="3Bodytext"/>
        <w:rPr>
          <w:snapToGrid w:val="0"/>
        </w:rPr>
      </w:pPr>
      <w:r w:rsidRPr="00FB0D35">
        <w:rPr>
          <w:snapToGrid w:val="0"/>
        </w:rPr>
        <w:t xml:space="preserve">The PBAC recommended the listing of Nucala Pen and PFS on a cost-minimisation basis to </w:t>
      </w:r>
      <w:r w:rsidR="004A15C0" w:rsidRPr="00FB0D35">
        <w:rPr>
          <w:snapToGrid w:val="0"/>
        </w:rPr>
        <w:t xml:space="preserve">mepolizumab </w:t>
      </w:r>
      <w:r w:rsidR="004A15C0" w:rsidRPr="00602490">
        <w:t>powder for injection (</w:t>
      </w:r>
      <w:r w:rsidRPr="00FB0D35">
        <w:rPr>
          <w:snapToGrid w:val="0"/>
        </w:rPr>
        <w:t>Nucala Vial</w:t>
      </w:r>
      <w:r w:rsidR="004A15C0" w:rsidRPr="00FB0D35">
        <w:rPr>
          <w:snapToGrid w:val="0"/>
        </w:rPr>
        <w:t>)</w:t>
      </w:r>
      <w:r w:rsidRPr="00FB0D35">
        <w:rPr>
          <w:snapToGrid w:val="0"/>
        </w:rPr>
        <w:t xml:space="preserve">, with </w:t>
      </w:r>
      <w:proofErr w:type="spellStart"/>
      <w:r w:rsidRPr="00602490">
        <w:rPr>
          <w:snapToGrid w:val="0"/>
        </w:rPr>
        <w:t>equi</w:t>
      </w:r>
      <w:proofErr w:type="spellEnd"/>
      <w:r w:rsidRPr="00602490">
        <w:rPr>
          <w:snapToGrid w:val="0"/>
        </w:rPr>
        <w:t xml:space="preserve">-effective doses being one mepolizumab 100 mg pen </w:t>
      </w:r>
      <w:r w:rsidR="007513C9" w:rsidRPr="00602490">
        <w:rPr>
          <w:snapToGrid w:val="0"/>
        </w:rPr>
        <w:t xml:space="preserve">(solution) </w:t>
      </w:r>
      <w:r w:rsidRPr="00602490">
        <w:rPr>
          <w:snapToGrid w:val="0"/>
        </w:rPr>
        <w:t>or one mepolizumab 100 mg PFS</w:t>
      </w:r>
      <w:r w:rsidR="007513C9" w:rsidRPr="00602490">
        <w:rPr>
          <w:snapToGrid w:val="0"/>
        </w:rPr>
        <w:t xml:space="preserve"> (solution)</w:t>
      </w:r>
      <w:r w:rsidRPr="00602490">
        <w:rPr>
          <w:snapToGrid w:val="0"/>
        </w:rPr>
        <w:t xml:space="preserve"> to one mepolizumab 100 mg vial</w:t>
      </w:r>
      <w:r w:rsidR="007513C9" w:rsidRPr="00602490">
        <w:rPr>
          <w:snapToGrid w:val="0"/>
        </w:rPr>
        <w:t xml:space="preserve"> (powder for injection)</w:t>
      </w:r>
      <w:r w:rsidRPr="00FB0D35">
        <w:rPr>
          <w:snapToGrid w:val="0"/>
        </w:rPr>
        <w:t xml:space="preserve">. </w:t>
      </w:r>
    </w:p>
    <w:p w:rsidR="008722DE" w:rsidRPr="00FB0D35" w:rsidRDefault="008722DE" w:rsidP="008722DE">
      <w:pPr>
        <w:pStyle w:val="3Bodytext"/>
        <w:rPr>
          <w:snapToGrid w:val="0"/>
        </w:rPr>
      </w:pPr>
      <w:r w:rsidRPr="00602490">
        <w:rPr>
          <w:snapToGrid w:val="0"/>
        </w:rPr>
        <w:t xml:space="preserve">The PBAC recommended </w:t>
      </w:r>
      <w:r w:rsidR="002F32C6" w:rsidRPr="00602490">
        <w:rPr>
          <w:snapToGrid w:val="0"/>
        </w:rPr>
        <w:t xml:space="preserve">that </w:t>
      </w:r>
      <w:r w:rsidRPr="00602490">
        <w:rPr>
          <w:snapToGrid w:val="0"/>
        </w:rPr>
        <w:t xml:space="preserve">the </w:t>
      </w:r>
      <w:r w:rsidR="004A15C0" w:rsidRPr="00602490">
        <w:rPr>
          <w:snapToGrid w:val="0"/>
        </w:rPr>
        <w:t xml:space="preserve">restrictions for </w:t>
      </w:r>
      <w:r w:rsidRPr="00602490">
        <w:rPr>
          <w:snapToGrid w:val="0"/>
        </w:rPr>
        <w:t xml:space="preserve">Nucala Pen and PFS should be consistent with those for Nucala Vial </w:t>
      </w:r>
      <w:r w:rsidRPr="00602490">
        <w:t>for the treatment of uncontrolled severe eosinophilic asthma</w:t>
      </w:r>
      <w:r w:rsidRPr="00FB0D35">
        <w:rPr>
          <w:snapToGrid w:val="0"/>
        </w:rPr>
        <w:t>.</w:t>
      </w:r>
    </w:p>
    <w:p w:rsidR="008722DE" w:rsidRPr="00FB0D35" w:rsidRDefault="008722DE" w:rsidP="008722DE">
      <w:pPr>
        <w:pStyle w:val="3Bodytext"/>
        <w:rPr>
          <w:snapToGrid w:val="0"/>
        </w:rPr>
      </w:pPr>
      <w:r w:rsidRPr="00FB0D35">
        <w:rPr>
          <w:snapToGrid w:val="0"/>
        </w:rPr>
        <w:t>The PBAC considered it was reasonable to include a grandfather restriction to allow patients enrolled in an Early Access Program (EAP) to transition onto PBS-subsidised treatment if eligible. The PBAC recommended the following regarding the grandfather</w:t>
      </w:r>
      <w:r w:rsidR="002727CD">
        <w:rPr>
          <w:snapToGrid w:val="0"/>
        </w:rPr>
        <w:t xml:space="preserve"> </w:t>
      </w:r>
      <w:r w:rsidR="00D420DA">
        <w:rPr>
          <w:snapToGrid w:val="0"/>
        </w:rPr>
        <w:t>listing</w:t>
      </w:r>
      <w:r w:rsidRPr="00FB0D35">
        <w:rPr>
          <w:snapToGrid w:val="0"/>
        </w:rPr>
        <w:t>:</w:t>
      </w:r>
    </w:p>
    <w:p w:rsidR="00392AFD" w:rsidRPr="00FB0D35" w:rsidRDefault="00392AFD" w:rsidP="00314B1A">
      <w:pPr>
        <w:pStyle w:val="3Bodytext"/>
        <w:numPr>
          <w:ilvl w:val="0"/>
          <w:numId w:val="11"/>
        </w:numPr>
        <w:ind w:left="1077" w:hanging="357"/>
        <w:rPr>
          <w:snapToGrid w:val="0"/>
        </w:rPr>
      </w:pPr>
      <w:r w:rsidRPr="00FB0D35">
        <w:rPr>
          <w:snapToGrid w:val="0"/>
        </w:rPr>
        <w:t xml:space="preserve">Patients must meet all </w:t>
      </w:r>
      <w:r w:rsidR="006A2C6A">
        <w:rPr>
          <w:snapToGrid w:val="0"/>
        </w:rPr>
        <w:t xml:space="preserve">the usual </w:t>
      </w:r>
      <w:r w:rsidRPr="00FB0D35">
        <w:rPr>
          <w:snapToGrid w:val="0"/>
        </w:rPr>
        <w:t xml:space="preserve">initial </w:t>
      </w:r>
      <w:r w:rsidR="006A2C6A">
        <w:rPr>
          <w:snapToGrid w:val="0"/>
        </w:rPr>
        <w:t xml:space="preserve">entry </w:t>
      </w:r>
      <w:r w:rsidRPr="00FB0D35">
        <w:rPr>
          <w:snapToGrid w:val="0"/>
        </w:rPr>
        <w:t xml:space="preserve">criteria </w:t>
      </w:r>
      <w:r w:rsidR="006A2C6A">
        <w:rPr>
          <w:snapToGrid w:val="0"/>
        </w:rPr>
        <w:t xml:space="preserve">that a non-grandfather patient would be expected to meet </w:t>
      </w:r>
      <w:r w:rsidRPr="00FB0D35">
        <w:rPr>
          <w:snapToGrid w:val="0"/>
        </w:rPr>
        <w:t xml:space="preserve">prior to </w:t>
      </w:r>
      <w:r w:rsidR="006A2C6A">
        <w:rPr>
          <w:snapToGrid w:val="0"/>
        </w:rPr>
        <w:t xml:space="preserve"> having commenced</w:t>
      </w:r>
      <w:r w:rsidR="00E837FD">
        <w:rPr>
          <w:snapToGrid w:val="0"/>
        </w:rPr>
        <w:t xml:space="preserve"> </w:t>
      </w:r>
      <w:r w:rsidRPr="00FB0D35">
        <w:rPr>
          <w:snapToGrid w:val="0"/>
        </w:rPr>
        <w:t>non-PBS subsidised therapy;</w:t>
      </w:r>
    </w:p>
    <w:p w:rsidR="00DA3B33" w:rsidRPr="00471B4C" w:rsidRDefault="006A2C6A" w:rsidP="00314B1A">
      <w:pPr>
        <w:pStyle w:val="3Bodytext"/>
        <w:numPr>
          <w:ilvl w:val="0"/>
          <w:numId w:val="11"/>
        </w:numPr>
        <w:ind w:left="1077" w:hanging="357"/>
        <w:rPr>
          <w:snapToGrid w:val="0"/>
        </w:rPr>
      </w:pPr>
      <w:r>
        <w:t xml:space="preserve">For </w:t>
      </w:r>
      <w:r w:rsidR="00DA3B33">
        <w:t xml:space="preserve">patients who have received 28 weeks or more of therapy, an adequate response to treatment must be declared to have been achieved, consistent with the continuing treatment listing for non-grandfather patients; </w:t>
      </w:r>
    </w:p>
    <w:p w:rsidR="00392AFD" w:rsidRPr="00FB0D35" w:rsidRDefault="00DA3B33" w:rsidP="00314B1A">
      <w:pPr>
        <w:pStyle w:val="3Bodytext"/>
        <w:numPr>
          <w:ilvl w:val="0"/>
          <w:numId w:val="11"/>
        </w:numPr>
        <w:ind w:left="1077" w:hanging="357"/>
        <w:rPr>
          <w:snapToGrid w:val="0"/>
        </w:rPr>
      </w:pPr>
      <w:r>
        <w:t xml:space="preserve">For patients yet to receive </w:t>
      </w:r>
      <w:r w:rsidR="008D637B">
        <w:t xml:space="preserve">an </w:t>
      </w:r>
      <w:r>
        <w:t>adequate treatment</w:t>
      </w:r>
      <w:r w:rsidR="008D637B">
        <w:t xml:space="preserve"> duration up</w:t>
      </w:r>
      <w:r>
        <w:t xml:space="preserve"> </w:t>
      </w:r>
      <w:r w:rsidR="008D637B">
        <w:t xml:space="preserve">to </w:t>
      </w:r>
      <w:r>
        <w:t>the first 32 weeks, the grandfather listing is to provide the balance of 32 weeks of treatment;</w:t>
      </w:r>
      <w:r>
        <w:rPr>
          <w:snapToGrid w:val="0"/>
        </w:rPr>
        <w:t xml:space="preserve"> </w:t>
      </w:r>
    </w:p>
    <w:p w:rsidR="008722DE" w:rsidRPr="00FB0D35" w:rsidRDefault="00D420DA" w:rsidP="00314B1A">
      <w:pPr>
        <w:pStyle w:val="3Bodytext"/>
        <w:numPr>
          <w:ilvl w:val="0"/>
          <w:numId w:val="11"/>
        </w:numPr>
        <w:ind w:left="1077" w:hanging="357"/>
        <w:rPr>
          <w:snapToGrid w:val="0"/>
        </w:rPr>
      </w:pPr>
      <w:r>
        <w:rPr>
          <w:snapToGrid w:val="0"/>
        </w:rPr>
        <w:t xml:space="preserve">The listing </w:t>
      </w:r>
      <w:r w:rsidR="008722DE" w:rsidRPr="00FB0D35">
        <w:rPr>
          <w:snapToGrid w:val="0"/>
        </w:rPr>
        <w:t>be operational for a strict 6 months as this would be sufficient time for patients from the EAP to transition onto PBS-subsidised treatment.</w:t>
      </w:r>
    </w:p>
    <w:p w:rsidR="00292519" w:rsidRPr="00FB0D35" w:rsidRDefault="000B3223" w:rsidP="00292519">
      <w:pPr>
        <w:pStyle w:val="3Bodytext"/>
        <w:rPr>
          <w:snapToGrid w:val="0"/>
        </w:rPr>
      </w:pPr>
      <w:r w:rsidRPr="00FB0D35">
        <w:rPr>
          <w:snapToGrid w:val="0"/>
        </w:rPr>
        <w:t xml:space="preserve">The PBAC considered that </w:t>
      </w:r>
      <w:r w:rsidR="00292519" w:rsidRPr="00FB0D35">
        <w:rPr>
          <w:snapToGrid w:val="0"/>
        </w:rPr>
        <w:t xml:space="preserve">Nucala Pen and PFS were non-inferior to Nucala Vial in terms of comparative efficacy and </w:t>
      </w:r>
      <w:proofErr w:type="gramStart"/>
      <w:r w:rsidR="00292519" w:rsidRPr="00FB0D35">
        <w:rPr>
          <w:snapToGrid w:val="0"/>
        </w:rPr>
        <w:t>safety</w:t>
      </w:r>
      <w:r w:rsidRPr="00602490">
        <w:t xml:space="preserve"> which was supported by </w:t>
      </w:r>
      <w:r w:rsidR="0021043C" w:rsidRPr="00602490">
        <w:t>the clinical evidence provided</w:t>
      </w:r>
      <w:proofErr w:type="gramEnd"/>
      <w:r w:rsidR="003475C0" w:rsidRPr="00602490">
        <w:t xml:space="preserve"> and </w:t>
      </w:r>
      <w:r w:rsidRPr="00602490">
        <w:t xml:space="preserve">the </w:t>
      </w:r>
      <w:r w:rsidR="00292519" w:rsidRPr="00602490">
        <w:t>TGA Delegate</w:t>
      </w:r>
      <w:r w:rsidR="003475C0" w:rsidRPr="009D2467">
        <w:t>’s</w:t>
      </w:r>
      <w:r w:rsidR="00292519" w:rsidRPr="009D2467">
        <w:t xml:space="preserve"> </w:t>
      </w:r>
      <w:r w:rsidR="003475C0" w:rsidRPr="009D2467">
        <w:t>decision</w:t>
      </w:r>
      <w:r w:rsidR="00292519" w:rsidRPr="00602490">
        <w:t xml:space="preserve"> that both presentations were bio-analytically comparable to Nucala Vial.</w:t>
      </w:r>
      <w:r w:rsidR="00292519" w:rsidRPr="00FB0D35">
        <w:rPr>
          <w:snapToGrid w:val="0"/>
        </w:rPr>
        <w:t xml:space="preserve"> </w:t>
      </w:r>
    </w:p>
    <w:p w:rsidR="002E6A43" w:rsidRPr="00602490" w:rsidRDefault="008722DE" w:rsidP="002E6A43">
      <w:pPr>
        <w:pStyle w:val="3Bodytext"/>
      </w:pPr>
      <w:r w:rsidRPr="00FB0D35">
        <w:rPr>
          <w:snapToGrid w:val="0"/>
        </w:rPr>
        <w:t xml:space="preserve">The PBAC </w:t>
      </w:r>
      <w:r w:rsidR="002E6A43" w:rsidRPr="00FB0D35">
        <w:rPr>
          <w:snapToGrid w:val="0"/>
        </w:rPr>
        <w:t>considered it was reasonable that Nucala Pen and PFS would substitute for Nucala Vial use</w:t>
      </w:r>
      <w:r w:rsidR="003631EA" w:rsidRPr="00FB0D35">
        <w:rPr>
          <w:snapToGrid w:val="0"/>
        </w:rPr>
        <w:t xml:space="preserve"> and would </w:t>
      </w:r>
      <w:r w:rsidR="003631EA" w:rsidRPr="00602490">
        <w:t xml:space="preserve">result in </w:t>
      </w:r>
      <w:r w:rsidR="002F74B6">
        <w:t>a</w:t>
      </w:r>
      <w:r w:rsidR="003631EA" w:rsidRPr="00602490">
        <w:t xml:space="preserve"> reduction in visits to a health care professional</w:t>
      </w:r>
      <w:r w:rsidR="002E6A43" w:rsidRPr="00FB0D35">
        <w:rPr>
          <w:snapToGrid w:val="0"/>
        </w:rPr>
        <w:t xml:space="preserve">. The PBAC </w:t>
      </w:r>
      <w:r w:rsidR="00A3054E" w:rsidRPr="00FB0D35">
        <w:rPr>
          <w:snapToGrid w:val="0"/>
        </w:rPr>
        <w:t xml:space="preserve">agreed with the submission that </w:t>
      </w:r>
      <w:r w:rsidR="002E6A43" w:rsidRPr="00FB0D35">
        <w:rPr>
          <w:snapToGrid w:val="0"/>
        </w:rPr>
        <w:t>it was unlikely that the availability of the new forms would grow the mepolizumab market or the overall market for uncontrolled severe eosinophilic asthma. Therefore, the PBAC considered there should be no net additional cost to the PBS over six years</w:t>
      </w:r>
      <w:r w:rsidR="003631EA" w:rsidRPr="00FB0D35">
        <w:rPr>
          <w:snapToGrid w:val="0"/>
        </w:rPr>
        <w:t>.</w:t>
      </w:r>
    </w:p>
    <w:p w:rsidR="0013320C" w:rsidRPr="009D2467" w:rsidRDefault="00BB0109">
      <w:pPr>
        <w:pStyle w:val="3Bodytext"/>
      </w:pPr>
      <w:r w:rsidRPr="00FB0D35">
        <w:rPr>
          <w:rFonts w:cs="Arial"/>
          <w:bCs/>
          <w:snapToGrid w:val="0"/>
        </w:rPr>
        <w:t>The PBAC reaffirmed its March 2018 advice,</w:t>
      </w:r>
      <w:r w:rsidR="0013320C" w:rsidRPr="00602490">
        <w:t xml:space="preserve"> under Section 101 (3BA) of the </w:t>
      </w:r>
      <w:r w:rsidR="0013320C" w:rsidRPr="00602490">
        <w:rPr>
          <w:i/>
        </w:rPr>
        <w:t>National Health Act 1953</w:t>
      </w:r>
      <w:r w:rsidR="0013320C" w:rsidRPr="00602490">
        <w:t xml:space="preserve">, that mepolizumab and benralizumab </w:t>
      </w:r>
      <w:r w:rsidR="0013320C" w:rsidRPr="009D2467">
        <w:t>should be treated as interchangeable on an individual patient basis (paragraph 7.16, item 5.01 benralizumab, Public Summary Document (PSD), March 2018, PBAC meeting).</w:t>
      </w:r>
    </w:p>
    <w:p w:rsidR="00462814" w:rsidRPr="00FB0D35" w:rsidRDefault="0013320C" w:rsidP="003176DF">
      <w:pPr>
        <w:pStyle w:val="3Bodytext"/>
        <w:rPr>
          <w:rFonts w:cs="Arial"/>
          <w:bCs/>
          <w:snapToGrid w:val="0"/>
        </w:rPr>
      </w:pPr>
      <w:proofErr w:type="gramStart"/>
      <w:r w:rsidRPr="00602490">
        <w:t xml:space="preserve">The PBAC advised, under Section 101 (4AACD) of the </w:t>
      </w:r>
      <w:r w:rsidRPr="00602490">
        <w:rPr>
          <w:i/>
        </w:rPr>
        <w:t>National Health Act 1953</w:t>
      </w:r>
      <w:r w:rsidRPr="00602490">
        <w:t xml:space="preserve">, that </w:t>
      </w:r>
      <w:r w:rsidR="003176DF" w:rsidRPr="00602490">
        <w:t>mepolizumab 100 mg in 1 mL pre-filled pen</w:t>
      </w:r>
      <w:r w:rsidRPr="00602490">
        <w:t xml:space="preserve">, </w:t>
      </w:r>
      <w:r w:rsidR="003176DF" w:rsidRPr="00602490">
        <w:t xml:space="preserve">mepolizumab 100 mg in 1 mL pre-filled </w:t>
      </w:r>
      <w:r w:rsidR="003176DF" w:rsidRPr="00602490">
        <w:lastRenderedPageBreak/>
        <w:t xml:space="preserve">syringe </w:t>
      </w:r>
      <w:r w:rsidRPr="00602490">
        <w:t xml:space="preserve">and </w:t>
      </w:r>
      <w:r w:rsidR="003176DF" w:rsidRPr="00602490">
        <w:t xml:space="preserve">mepolizumab powder for injection 100 mg </w:t>
      </w:r>
      <w:r w:rsidRPr="00602490">
        <w:t>should not be considered equivalent for the purposes of substitution (i.e., ‘a’ flagged in the Schedule with a NOTE stating PBS of one form and PBS of another form are equivalent for the purposes of substitution).</w:t>
      </w:r>
      <w:proofErr w:type="gramEnd"/>
      <w:r w:rsidRPr="00602490">
        <w:t xml:space="preserve"> </w:t>
      </w:r>
      <w:r w:rsidR="003176DF" w:rsidRPr="00602490">
        <w:t>The PBAC noted the three forms had different injection techniques and there was a risk of incorrect injecting of a dose if patients are dispensed a different presentation to what they were trained to use.</w:t>
      </w:r>
    </w:p>
    <w:p w:rsidR="00462814" w:rsidRPr="00FB0D35" w:rsidRDefault="00462814" w:rsidP="00462814">
      <w:pPr>
        <w:pStyle w:val="3Bodytext"/>
        <w:rPr>
          <w:snapToGrid w:val="0"/>
        </w:rPr>
      </w:pPr>
      <w:r w:rsidRPr="00FB0D35">
        <w:rPr>
          <w:snapToGrid w:val="0"/>
        </w:rPr>
        <w:t xml:space="preserve">The PBAC advised that </w:t>
      </w:r>
      <w:r w:rsidR="0013320C" w:rsidRPr="00FB0D35">
        <w:rPr>
          <w:snapToGrid w:val="0"/>
        </w:rPr>
        <w:t xml:space="preserve">mepolizumab </w:t>
      </w:r>
      <w:r w:rsidRPr="00FB0D35">
        <w:rPr>
          <w:snapToGrid w:val="0"/>
        </w:rPr>
        <w:t>is not suitable for prescribing by nurse practitioners</w:t>
      </w:r>
      <w:r w:rsidR="00602490">
        <w:rPr>
          <w:snapToGrid w:val="0"/>
        </w:rPr>
        <w:t xml:space="preserve">. </w:t>
      </w:r>
    </w:p>
    <w:p w:rsidR="00462814" w:rsidRPr="00FB0D35" w:rsidRDefault="00462814" w:rsidP="00462814">
      <w:pPr>
        <w:pStyle w:val="3Bodytext"/>
        <w:rPr>
          <w:snapToGrid w:val="0"/>
        </w:rPr>
      </w:pPr>
      <w:r w:rsidRPr="00FB0D35">
        <w:rPr>
          <w:snapToGrid w:val="0"/>
        </w:rPr>
        <w:t xml:space="preserve">The PBAC recommended that the Early Supply Rule should not apply. </w:t>
      </w:r>
    </w:p>
    <w:p w:rsidR="00462814" w:rsidRPr="00FB0D35" w:rsidRDefault="0013320C" w:rsidP="00254A23">
      <w:pPr>
        <w:pStyle w:val="Bodytextitalics"/>
        <w:rPr>
          <w:rFonts w:cs="Arial"/>
          <w:bCs/>
          <w:snapToGrid w:val="0"/>
        </w:rPr>
      </w:pPr>
      <w:r w:rsidRPr="00602490">
        <w:rPr>
          <w:i w:val="0"/>
        </w:rPr>
        <w:t xml:space="preserve">The PBAC noted that this submission is not eligible for an Independent Review as it received a positive recommendation. </w:t>
      </w:r>
    </w:p>
    <w:p w:rsidR="00462814" w:rsidRPr="00FB0D35" w:rsidRDefault="00462814" w:rsidP="00462814">
      <w:pPr>
        <w:spacing w:before="240"/>
        <w:jc w:val="both"/>
        <w:rPr>
          <w:rFonts w:asciiTheme="minorHAnsi" w:hAnsiTheme="minorHAnsi" w:cs="Arial"/>
          <w:b/>
          <w:bCs/>
          <w:snapToGrid w:val="0"/>
        </w:rPr>
      </w:pPr>
      <w:r w:rsidRPr="00FB0D35">
        <w:rPr>
          <w:rFonts w:asciiTheme="minorHAnsi" w:hAnsiTheme="minorHAnsi" w:cs="Arial"/>
          <w:b/>
          <w:bCs/>
          <w:snapToGrid w:val="0"/>
        </w:rPr>
        <w:t>Outcome:</w:t>
      </w:r>
    </w:p>
    <w:p w:rsidR="00462814" w:rsidRPr="00FB0D35" w:rsidRDefault="00462814" w:rsidP="00462814">
      <w:pPr>
        <w:jc w:val="both"/>
        <w:rPr>
          <w:rFonts w:asciiTheme="minorHAnsi" w:hAnsiTheme="minorHAnsi" w:cs="Arial"/>
          <w:bCs/>
          <w:snapToGrid w:val="0"/>
        </w:rPr>
      </w:pPr>
      <w:r w:rsidRPr="00FB0D35">
        <w:rPr>
          <w:rFonts w:asciiTheme="minorHAnsi" w:hAnsiTheme="minorHAnsi" w:cs="Arial"/>
          <w:bCs/>
          <w:snapToGrid w:val="0"/>
        </w:rPr>
        <w:t xml:space="preserve">Recommended </w:t>
      </w:r>
    </w:p>
    <w:p w:rsidR="00462814" w:rsidRPr="00602490" w:rsidRDefault="00462814" w:rsidP="00462814">
      <w:pPr>
        <w:widowControl w:val="0"/>
        <w:jc w:val="both"/>
        <w:rPr>
          <w:rFonts w:asciiTheme="minorHAnsi" w:hAnsiTheme="minorHAnsi" w:cs="Arial"/>
          <w:b/>
          <w:bCs/>
          <w:snapToGrid w:val="0"/>
        </w:rPr>
      </w:pPr>
    </w:p>
    <w:p w:rsidR="00462814" w:rsidRPr="00FB0D35" w:rsidRDefault="00462814" w:rsidP="00462814">
      <w:pPr>
        <w:pStyle w:val="2Sections"/>
        <w:numPr>
          <w:ilvl w:val="0"/>
          <w:numId w:val="1"/>
        </w:numPr>
        <w:rPr>
          <w:i/>
        </w:rPr>
      </w:pPr>
      <w:r w:rsidRPr="00FB0D35">
        <w:t>Recommended listing</w:t>
      </w:r>
    </w:p>
    <w:p w:rsidR="00350121" w:rsidRDefault="00350121" w:rsidP="007F0EB7">
      <w:pPr>
        <w:pStyle w:val="3Bodytext"/>
      </w:pPr>
      <w:r w:rsidRPr="00471B4C">
        <w:rPr>
          <w:snapToGrid w:val="0"/>
        </w:rPr>
        <w:t xml:space="preserve">Add </w:t>
      </w:r>
      <w:r w:rsidR="008D637B" w:rsidRPr="00471B4C">
        <w:rPr>
          <w:snapToGrid w:val="0"/>
        </w:rPr>
        <w:t xml:space="preserve">2 </w:t>
      </w:r>
      <w:r w:rsidRPr="00471B4C">
        <w:rPr>
          <w:snapToGrid w:val="0"/>
        </w:rPr>
        <w:t xml:space="preserve">new </w:t>
      </w:r>
      <w:r w:rsidR="008D637B" w:rsidRPr="00471B4C">
        <w:rPr>
          <w:snapToGrid w:val="0"/>
        </w:rPr>
        <w:t>presentations</w:t>
      </w:r>
      <w:r w:rsidR="00392604" w:rsidRPr="00471B4C">
        <w:rPr>
          <w:snapToGrid w:val="0"/>
        </w:rPr>
        <w:t xml:space="preserve"> (syringe and pen device)</w:t>
      </w:r>
      <w:r w:rsidR="008D637B" w:rsidRPr="00471B4C">
        <w:rPr>
          <w:snapToGrid w:val="0"/>
        </w:rPr>
        <w:t xml:space="preserve"> </w:t>
      </w:r>
      <w:r w:rsidR="003631EA" w:rsidRPr="00471B4C">
        <w:rPr>
          <w:snapToGrid w:val="0"/>
        </w:rPr>
        <w:t xml:space="preserve">to </w:t>
      </w:r>
      <w:r w:rsidR="00392604" w:rsidRPr="00471B4C">
        <w:rPr>
          <w:snapToGrid w:val="0"/>
        </w:rPr>
        <w:t xml:space="preserve">the </w:t>
      </w:r>
      <w:r w:rsidR="00746688" w:rsidRPr="00471B4C">
        <w:rPr>
          <w:snapToGrid w:val="0"/>
        </w:rPr>
        <w:t xml:space="preserve">existing </w:t>
      </w:r>
      <w:r w:rsidR="00392604" w:rsidRPr="00471B4C">
        <w:rPr>
          <w:snapToGrid w:val="0"/>
        </w:rPr>
        <w:t xml:space="preserve">mepolizumab </w:t>
      </w:r>
      <w:r w:rsidR="00746688" w:rsidRPr="00471B4C">
        <w:rPr>
          <w:snapToGrid w:val="0"/>
        </w:rPr>
        <w:t xml:space="preserve">PBS </w:t>
      </w:r>
      <w:r w:rsidR="00392604" w:rsidRPr="00471B4C">
        <w:rPr>
          <w:snapToGrid w:val="0"/>
        </w:rPr>
        <w:t>listing</w:t>
      </w:r>
      <w:r w:rsidR="00471B4C" w:rsidRPr="00471B4C">
        <w:rPr>
          <w:snapToGrid w:val="0"/>
        </w:rPr>
        <w:t>.</w:t>
      </w:r>
    </w:p>
    <w:p w:rsidR="003078C6" w:rsidRDefault="00350121" w:rsidP="00471B4C">
      <w:pPr>
        <w:pStyle w:val="3Bodytext"/>
      </w:pPr>
      <w:r w:rsidRPr="00471B4C">
        <w:rPr>
          <w:snapToGrid w:val="0"/>
        </w:rPr>
        <w:t>Add</w:t>
      </w:r>
      <w:r w:rsidRPr="00602490">
        <w:t xml:space="preserve"> </w:t>
      </w:r>
      <w:r w:rsidR="00392604">
        <w:t xml:space="preserve">a </w:t>
      </w:r>
      <w:r w:rsidR="00746688" w:rsidRPr="00602490">
        <w:t>new grandfather</w:t>
      </w:r>
      <w:r w:rsidR="00392604">
        <w:t xml:space="preserve"> listi</w:t>
      </w:r>
      <w:r w:rsidR="00471B4C">
        <w:t xml:space="preserve">ng for the 2 new presentations: </w:t>
      </w:r>
    </w:p>
    <w:p w:rsidR="002A1F85" w:rsidRDefault="00392604" w:rsidP="00314B1A">
      <w:pPr>
        <w:pStyle w:val="3Bodytext"/>
        <w:numPr>
          <w:ilvl w:val="0"/>
          <w:numId w:val="16"/>
        </w:numPr>
        <w:ind w:left="1077" w:hanging="357"/>
      </w:pPr>
      <w:r>
        <w:t>Listing to be finalised</w:t>
      </w:r>
    </w:p>
    <w:p w:rsidR="001A30C5" w:rsidRDefault="001A30C5" w:rsidP="001A30C5">
      <w:pPr>
        <w:pStyle w:val="3Bodytext"/>
        <w:numPr>
          <w:ilvl w:val="0"/>
          <w:numId w:val="0"/>
        </w:numPr>
        <w:ind w:left="720"/>
        <w:rPr>
          <w:rFonts w:cstheme="minorHAnsi"/>
          <w:b/>
          <w:i/>
          <w:szCs w:val="24"/>
        </w:rPr>
      </w:pPr>
      <w:r w:rsidRPr="001A30C5">
        <w:rPr>
          <w:rFonts w:cstheme="minorHAnsi"/>
          <w:b/>
          <w:i/>
          <w:szCs w:val="24"/>
        </w:rPr>
        <w:t>This restriction may be subject to further review. Should there be any changes made to the restriction the Sponsor will be informed</w:t>
      </w:r>
      <w:r w:rsidR="00B11B11">
        <w:rPr>
          <w:rFonts w:cstheme="minorHAnsi"/>
          <w:b/>
          <w:i/>
          <w:szCs w:val="24"/>
        </w:rPr>
        <w:t>.</w:t>
      </w:r>
    </w:p>
    <w:p w:rsidR="00510058" w:rsidRDefault="00510058" w:rsidP="00510058">
      <w:pPr>
        <w:pStyle w:val="2Sections"/>
        <w:numPr>
          <w:ilvl w:val="0"/>
          <w:numId w:val="1"/>
        </w:numPr>
        <w:rPr>
          <w:color w:val="1F497D"/>
        </w:rPr>
      </w:pPr>
      <w:r w:rsidRPr="00C07617">
        <w:t>Context for Decision</w:t>
      </w:r>
    </w:p>
    <w:p w:rsidR="00510058" w:rsidRPr="007129F2" w:rsidRDefault="00510058" w:rsidP="008B45C8">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7129F2">
        <w:rPr>
          <w:rFonts w:asciiTheme="minorHAnsi" w:hAnsiTheme="minorHAnsi" w:cs="Arial"/>
          <w:bCs/>
          <w:lang w:val="en-GB"/>
        </w:rPr>
        <w:t>should be made</w:t>
      </w:r>
      <w:proofErr w:type="gramEnd"/>
      <w:r w:rsidRPr="007129F2">
        <w:rPr>
          <w:rFonts w:asciiTheme="minorHAnsi" w:hAnsiTheme="minorHAnsi" w:cs="Arial"/>
          <w:bCs/>
          <w:lang w:val="en-GB"/>
        </w:rPr>
        <w:t xml:space="preserve"> available through the PBS. The PBAC welcomes applications containing new information at any time.</w:t>
      </w:r>
    </w:p>
    <w:p w:rsidR="00510058" w:rsidRPr="00C07617" w:rsidRDefault="00510058" w:rsidP="00510058">
      <w:pPr>
        <w:pStyle w:val="2Sections"/>
        <w:numPr>
          <w:ilvl w:val="0"/>
          <w:numId w:val="1"/>
        </w:numPr>
        <w:rPr>
          <w:b w:val="0"/>
        </w:rPr>
      </w:pPr>
      <w:r>
        <w:t>Sponsor’s Comment</w:t>
      </w:r>
    </w:p>
    <w:p w:rsidR="00510058" w:rsidRPr="00076987" w:rsidRDefault="00076987" w:rsidP="008B45C8">
      <w:pPr>
        <w:pStyle w:val="normal2"/>
      </w:pPr>
      <w:r>
        <w:t xml:space="preserve">GSK welcomes the PBAC recommendation. This presentation of </w:t>
      </w:r>
      <w:proofErr w:type="spellStart"/>
      <w:r>
        <w:t>mepolizumab</w:t>
      </w:r>
      <w:proofErr w:type="spellEnd"/>
      <w:r>
        <w:t xml:space="preserve"> provides a welcome additional treatment option for Severe Eosinophilic Asthma patients. The ability to self-administered doses further empowers the patient with their disease management. </w:t>
      </w:r>
    </w:p>
    <w:sectPr w:rsidR="00510058" w:rsidRPr="00076987"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AE4" w:rsidRDefault="00C67AE4">
      <w:r>
        <w:separator/>
      </w:r>
    </w:p>
    <w:p w:rsidR="00C67AE4" w:rsidRDefault="00C67AE4"/>
  </w:endnote>
  <w:endnote w:type="continuationSeparator" w:id="0">
    <w:p w:rsidR="00C67AE4" w:rsidRDefault="00C67AE4">
      <w:r>
        <w:continuationSeparator/>
      </w:r>
    </w:p>
    <w:p w:rsidR="00C67AE4" w:rsidRDefault="00C67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420DA" w:rsidTr="005A3173">
      <w:trPr>
        <w:trHeight w:val="151"/>
      </w:trPr>
      <w:tc>
        <w:tcPr>
          <w:tcW w:w="2250" w:type="pct"/>
          <w:tcBorders>
            <w:top w:val="nil"/>
            <w:left w:val="nil"/>
            <w:bottom w:val="single" w:sz="4" w:space="0" w:color="4F81BD"/>
            <w:right w:val="nil"/>
          </w:tcBorders>
        </w:tcPr>
        <w:p w:rsidR="00D420DA" w:rsidRPr="005A3173" w:rsidRDefault="00D420D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420DA" w:rsidRPr="005A3173" w:rsidRDefault="00D420D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420DA" w:rsidRPr="005A3173" w:rsidRDefault="00D420DA" w:rsidP="005A3173">
          <w:pPr>
            <w:pStyle w:val="Header"/>
            <w:spacing w:line="276" w:lineRule="auto"/>
            <w:rPr>
              <w:rFonts w:ascii="Calibri" w:eastAsia="MS Gothic" w:hAnsi="Calibri"/>
              <w:b/>
              <w:bCs/>
              <w:color w:val="4F81BD"/>
            </w:rPr>
          </w:pPr>
        </w:p>
      </w:tc>
    </w:tr>
    <w:tr w:rsidR="00D420DA" w:rsidTr="005A3173">
      <w:trPr>
        <w:trHeight w:val="150"/>
      </w:trPr>
      <w:tc>
        <w:tcPr>
          <w:tcW w:w="2250" w:type="pct"/>
          <w:tcBorders>
            <w:top w:val="single" w:sz="4" w:space="0" w:color="4F81BD"/>
            <w:left w:val="nil"/>
            <w:bottom w:val="nil"/>
            <w:right w:val="nil"/>
          </w:tcBorders>
        </w:tcPr>
        <w:p w:rsidR="00D420DA" w:rsidRPr="005A3173" w:rsidRDefault="00D420DA" w:rsidP="005A3173">
          <w:pPr>
            <w:pStyle w:val="Header"/>
            <w:spacing w:line="276" w:lineRule="auto"/>
            <w:rPr>
              <w:rFonts w:ascii="Calibri" w:eastAsia="MS Gothic" w:hAnsi="Calibri"/>
              <w:b/>
              <w:bCs/>
              <w:color w:val="4F81BD"/>
            </w:rPr>
          </w:pPr>
        </w:p>
      </w:tc>
      <w:tc>
        <w:tcPr>
          <w:tcW w:w="0" w:type="auto"/>
          <w:vMerge/>
          <w:vAlign w:val="center"/>
          <w:hideMark/>
        </w:tcPr>
        <w:p w:rsidR="00D420DA" w:rsidRPr="005A3173" w:rsidRDefault="00D420DA" w:rsidP="005A3173">
          <w:pPr>
            <w:rPr>
              <w:rFonts w:ascii="Calibri" w:hAnsi="Calibri"/>
              <w:color w:val="365F91"/>
              <w:sz w:val="22"/>
              <w:szCs w:val="22"/>
            </w:rPr>
          </w:pPr>
        </w:p>
      </w:tc>
      <w:tc>
        <w:tcPr>
          <w:tcW w:w="2250" w:type="pct"/>
          <w:tcBorders>
            <w:top w:val="single" w:sz="4" w:space="0" w:color="4F81BD"/>
            <w:left w:val="nil"/>
            <w:bottom w:val="nil"/>
            <w:right w:val="nil"/>
          </w:tcBorders>
        </w:tcPr>
        <w:p w:rsidR="00D420DA" w:rsidRPr="005A3173" w:rsidRDefault="00D420DA" w:rsidP="005A3173">
          <w:pPr>
            <w:pStyle w:val="Header"/>
            <w:spacing w:line="276" w:lineRule="auto"/>
            <w:rPr>
              <w:rFonts w:ascii="Calibri" w:eastAsia="MS Gothic" w:hAnsi="Calibri"/>
              <w:b/>
              <w:bCs/>
              <w:color w:val="4F81BD"/>
            </w:rPr>
          </w:pPr>
        </w:p>
      </w:tc>
    </w:tr>
  </w:tbl>
  <w:p w:rsidR="00D420DA" w:rsidRDefault="00D420D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20DA" w:rsidRDefault="00D420DA">
    <w:pPr>
      <w:pStyle w:val="Footer"/>
    </w:pPr>
  </w:p>
  <w:p w:rsidR="00D420DA" w:rsidRDefault="00D420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0DA" w:rsidRDefault="00D420DA">
    <w:pPr>
      <w:pStyle w:val="Footer"/>
      <w:jc w:val="center"/>
    </w:pPr>
  </w:p>
  <w:p w:rsidR="00D420DA" w:rsidRPr="00075154" w:rsidRDefault="00E263D0" w:rsidP="00075154">
    <w:pPr>
      <w:pStyle w:val="Footer"/>
      <w:jc w:val="center"/>
    </w:pPr>
    <w:sdt>
      <w:sdtPr>
        <w:id w:val="1449042000"/>
        <w:docPartObj>
          <w:docPartGallery w:val="Page Numbers (Bottom of Page)"/>
          <w:docPartUnique/>
        </w:docPartObj>
      </w:sdtPr>
      <w:sdtEndPr>
        <w:rPr>
          <w:noProof/>
        </w:rPr>
      </w:sdtEndPr>
      <w:sdtContent>
        <w:r w:rsidR="00D420DA" w:rsidRPr="00075154">
          <w:rPr>
            <w:rFonts w:asciiTheme="minorHAnsi" w:hAnsiTheme="minorHAnsi" w:cstheme="minorHAnsi"/>
            <w:b/>
          </w:rPr>
          <w:fldChar w:fldCharType="begin"/>
        </w:r>
        <w:r w:rsidR="00D420DA" w:rsidRPr="00075154">
          <w:rPr>
            <w:rFonts w:asciiTheme="minorHAnsi" w:hAnsiTheme="minorHAnsi" w:cstheme="minorHAnsi"/>
            <w:b/>
          </w:rPr>
          <w:instrText xml:space="preserve"> PAGE   \* MERGEFORMAT </w:instrText>
        </w:r>
        <w:r w:rsidR="00D420DA" w:rsidRPr="00075154">
          <w:rPr>
            <w:rFonts w:asciiTheme="minorHAnsi" w:hAnsiTheme="minorHAnsi" w:cstheme="minorHAnsi"/>
            <w:b/>
          </w:rPr>
          <w:fldChar w:fldCharType="separate"/>
        </w:r>
        <w:r>
          <w:rPr>
            <w:rFonts w:asciiTheme="minorHAnsi" w:hAnsiTheme="minorHAnsi" w:cstheme="minorHAnsi"/>
            <w:b/>
            <w:noProof/>
          </w:rPr>
          <w:t>4</w:t>
        </w:r>
        <w:r w:rsidR="00D420DA" w:rsidRPr="00075154">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D420DA" w:rsidTr="005A3173">
      <w:trPr>
        <w:trHeight w:val="151"/>
      </w:trPr>
      <w:tc>
        <w:tcPr>
          <w:tcW w:w="2250" w:type="pct"/>
          <w:tcBorders>
            <w:top w:val="nil"/>
            <w:left w:val="nil"/>
            <w:bottom w:val="single" w:sz="4" w:space="0" w:color="4F81BD"/>
            <w:right w:val="nil"/>
          </w:tcBorders>
        </w:tcPr>
        <w:p w:rsidR="00D420DA" w:rsidRPr="005A3173" w:rsidRDefault="00D420D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420DA" w:rsidRPr="005A3173" w:rsidRDefault="00D420D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420DA" w:rsidRPr="005A3173" w:rsidRDefault="00D420DA" w:rsidP="005A3173">
          <w:pPr>
            <w:pStyle w:val="Header"/>
            <w:spacing w:line="276" w:lineRule="auto"/>
            <w:rPr>
              <w:rFonts w:ascii="Calibri" w:eastAsia="MS Gothic" w:hAnsi="Calibri"/>
              <w:b/>
              <w:bCs/>
              <w:color w:val="4F81BD"/>
            </w:rPr>
          </w:pPr>
        </w:p>
      </w:tc>
    </w:tr>
    <w:tr w:rsidR="00D420DA" w:rsidTr="005A3173">
      <w:trPr>
        <w:trHeight w:val="150"/>
      </w:trPr>
      <w:tc>
        <w:tcPr>
          <w:tcW w:w="2250" w:type="pct"/>
          <w:tcBorders>
            <w:top w:val="single" w:sz="4" w:space="0" w:color="4F81BD"/>
            <w:left w:val="nil"/>
            <w:bottom w:val="nil"/>
            <w:right w:val="nil"/>
          </w:tcBorders>
        </w:tcPr>
        <w:p w:rsidR="00D420DA" w:rsidRPr="005A3173" w:rsidRDefault="00D420DA" w:rsidP="005A3173">
          <w:pPr>
            <w:pStyle w:val="Header"/>
            <w:spacing w:line="276" w:lineRule="auto"/>
            <w:rPr>
              <w:rFonts w:ascii="Calibri" w:eastAsia="MS Gothic" w:hAnsi="Calibri"/>
              <w:b/>
              <w:bCs/>
              <w:color w:val="4F81BD"/>
            </w:rPr>
          </w:pPr>
        </w:p>
      </w:tc>
      <w:tc>
        <w:tcPr>
          <w:tcW w:w="0" w:type="auto"/>
          <w:vMerge/>
          <w:vAlign w:val="center"/>
          <w:hideMark/>
        </w:tcPr>
        <w:p w:rsidR="00D420DA" w:rsidRPr="005A3173" w:rsidRDefault="00D420DA" w:rsidP="005A3173">
          <w:pPr>
            <w:rPr>
              <w:rFonts w:ascii="Calibri" w:hAnsi="Calibri"/>
              <w:color w:val="365F91"/>
              <w:sz w:val="22"/>
              <w:szCs w:val="22"/>
            </w:rPr>
          </w:pPr>
        </w:p>
      </w:tc>
      <w:tc>
        <w:tcPr>
          <w:tcW w:w="2250" w:type="pct"/>
          <w:tcBorders>
            <w:top w:val="single" w:sz="4" w:space="0" w:color="4F81BD"/>
            <w:left w:val="nil"/>
            <w:bottom w:val="nil"/>
            <w:right w:val="nil"/>
          </w:tcBorders>
        </w:tcPr>
        <w:p w:rsidR="00D420DA" w:rsidRPr="005A3173" w:rsidRDefault="00D420DA"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420DA" w:rsidTr="005A3173">
      <w:trPr>
        <w:trHeight w:val="151"/>
      </w:trPr>
      <w:tc>
        <w:tcPr>
          <w:tcW w:w="2250" w:type="pct"/>
          <w:tcBorders>
            <w:top w:val="nil"/>
            <w:left w:val="nil"/>
            <w:bottom w:val="single" w:sz="4" w:space="0" w:color="4F81BD"/>
            <w:right w:val="nil"/>
          </w:tcBorders>
        </w:tcPr>
        <w:p w:rsidR="00D420DA" w:rsidRPr="005A3173" w:rsidRDefault="00D420D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420DA" w:rsidRPr="005A3173" w:rsidRDefault="00D420D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420DA" w:rsidRPr="005A3173" w:rsidRDefault="00D420DA" w:rsidP="005A3173">
          <w:pPr>
            <w:pStyle w:val="Header"/>
            <w:spacing w:line="276" w:lineRule="auto"/>
            <w:rPr>
              <w:rFonts w:ascii="Calibri" w:eastAsia="MS Gothic" w:hAnsi="Calibri"/>
              <w:b/>
              <w:bCs/>
              <w:color w:val="4F81BD"/>
            </w:rPr>
          </w:pPr>
        </w:p>
      </w:tc>
    </w:tr>
    <w:tr w:rsidR="00D420DA" w:rsidTr="005A3173">
      <w:trPr>
        <w:trHeight w:val="150"/>
      </w:trPr>
      <w:tc>
        <w:tcPr>
          <w:tcW w:w="2250" w:type="pct"/>
          <w:tcBorders>
            <w:top w:val="single" w:sz="4" w:space="0" w:color="4F81BD"/>
            <w:left w:val="nil"/>
            <w:bottom w:val="nil"/>
            <w:right w:val="nil"/>
          </w:tcBorders>
        </w:tcPr>
        <w:p w:rsidR="00D420DA" w:rsidRPr="005A3173" w:rsidRDefault="00D420DA" w:rsidP="005A3173">
          <w:pPr>
            <w:pStyle w:val="Header"/>
            <w:spacing w:line="276" w:lineRule="auto"/>
            <w:rPr>
              <w:rFonts w:ascii="Calibri" w:eastAsia="MS Gothic" w:hAnsi="Calibri"/>
              <w:b/>
              <w:bCs/>
              <w:color w:val="4F81BD"/>
            </w:rPr>
          </w:pPr>
        </w:p>
      </w:tc>
      <w:tc>
        <w:tcPr>
          <w:tcW w:w="0" w:type="auto"/>
          <w:vMerge/>
          <w:vAlign w:val="center"/>
          <w:hideMark/>
        </w:tcPr>
        <w:p w:rsidR="00D420DA" w:rsidRPr="005A3173" w:rsidRDefault="00D420DA" w:rsidP="005A3173">
          <w:pPr>
            <w:rPr>
              <w:rFonts w:ascii="Calibri" w:hAnsi="Calibri"/>
              <w:color w:val="365F91"/>
              <w:sz w:val="22"/>
              <w:szCs w:val="22"/>
            </w:rPr>
          </w:pPr>
        </w:p>
      </w:tc>
      <w:tc>
        <w:tcPr>
          <w:tcW w:w="2250" w:type="pct"/>
          <w:tcBorders>
            <w:top w:val="single" w:sz="4" w:space="0" w:color="4F81BD"/>
            <w:left w:val="nil"/>
            <w:bottom w:val="nil"/>
            <w:right w:val="nil"/>
          </w:tcBorders>
        </w:tcPr>
        <w:p w:rsidR="00D420DA" w:rsidRPr="005A3173" w:rsidRDefault="00D420DA" w:rsidP="005A3173">
          <w:pPr>
            <w:pStyle w:val="Header"/>
            <w:spacing w:line="276" w:lineRule="auto"/>
            <w:rPr>
              <w:rFonts w:ascii="Calibri" w:eastAsia="MS Gothic" w:hAnsi="Calibri"/>
              <w:b/>
              <w:bCs/>
              <w:color w:val="4F81BD"/>
            </w:rPr>
          </w:pPr>
        </w:p>
      </w:tc>
    </w:tr>
  </w:tbl>
  <w:p w:rsidR="00D420DA" w:rsidRPr="007C0F57" w:rsidRDefault="00D420D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420DA" w:rsidRPr="007C0F57" w:rsidRDefault="00D420DA" w:rsidP="007C0F57">
    <w:pPr>
      <w:pStyle w:val="Footer"/>
      <w:jc w:val="center"/>
      <w:rPr>
        <w:b/>
        <w:i/>
        <w:sz w:val="20"/>
        <w:szCs w:val="20"/>
      </w:rPr>
    </w:pPr>
    <w:r w:rsidRPr="007C0F57">
      <w:rPr>
        <w:b/>
        <w:i/>
        <w:sz w:val="20"/>
        <w:szCs w:val="20"/>
      </w:rPr>
      <w:t>Commercial-in-Confidence</w:t>
    </w:r>
  </w:p>
  <w:p w:rsidR="00D420DA" w:rsidRDefault="00D420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AE4" w:rsidRDefault="00C67AE4">
      <w:r>
        <w:separator/>
      </w:r>
    </w:p>
    <w:p w:rsidR="00C67AE4" w:rsidRDefault="00C67AE4"/>
  </w:footnote>
  <w:footnote w:type="continuationSeparator" w:id="0">
    <w:p w:rsidR="00C67AE4" w:rsidRDefault="00C67AE4">
      <w:r>
        <w:continuationSeparator/>
      </w:r>
    </w:p>
    <w:p w:rsidR="00C67AE4" w:rsidRDefault="00C67A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420DA" w:rsidRPr="008E0D90" w:rsidTr="00A06225">
      <w:trPr>
        <w:trHeight w:val="151"/>
      </w:trPr>
      <w:tc>
        <w:tcPr>
          <w:tcW w:w="2389" w:type="pct"/>
          <w:tcBorders>
            <w:top w:val="nil"/>
            <w:left w:val="nil"/>
            <w:bottom w:val="single" w:sz="4" w:space="0" w:color="4F81BD"/>
            <w:right w:val="nil"/>
          </w:tcBorders>
        </w:tcPr>
        <w:p w:rsidR="00D420DA" w:rsidRPr="00A06225" w:rsidRDefault="00D420DA">
          <w:pPr>
            <w:pStyle w:val="Header"/>
            <w:spacing w:line="276" w:lineRule="auto"/>
            <w:rPr>
              <w:rFonts w:ascii="Cambria" w:eastAsia="MS Gothic" w:hAnsi="Cambria"/>
              <w:b/>
              <w:bCs/>
              <w:color w:val="4F81BD"/>
            </w:rPr>
          </w:pPr>
        </w:p>
      </w:tc>
      <w:tc>
        <w:tcPr>
          <w:tcW w:w="333" w:type="pct"/>
          <w:vMerge w:val="restart"/>
          <w:noWrap/>
          <w:vAlign w:val="center"/>
          <w:hideMark/>
        </w:tcPr>
        <w:p w:rsidR="00D420DA" w:rsidRPr="00A06225" w:rsidRDefault="00D420D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420DA" w:rsidRPr="00A06225" w:rsidRDefault="00D420DA">
          <w:pPr>
            <w:pStyle w:val="Header"/>
            <w:spacing w:line="276" w:lineRule="auto"/>
            <w:rPr>
              <w:rFonts w:ascii="Cambria" w:eastAsia="MS Gothic" w:hAnsi="Cambria"/>
              <w:b/>
              <w:bCs/>
              <w:color w:val="4F81BD"/>
            </w:rPr>
          </w:pPr>
        </w:p>
      </w:tc>
    </w:tr>
    <w:tr w:rsidR="00D420DA" w:rsidRPr="008E0D90" w:rsidTr="00A06225">
      <w:trPr>
        <w:trHeight w:val="150"/>
      </w:trPr>
      <w:tc>
        <w:tcPr>
          <w:tcW w:w="2389" w:type="pct"/>
          <w:tcBorders>
            <w:top w:val="single" w:sz="4" w:space="0" w:color="4F81BD"/>
            <w:left w:val="nil"/>
            <w:bottom w:val="nil"/>
            <w:right w:val="nil"/>
          </w:tcBorders>
        </w:tcPr>
        <w:p w:rsidR="00D420DA" w:rsidRPr="00A06225" w:rsidRDefault="00D420DA">
          <w:pPr>
            <w:pStyle w:val="Header"/>
            <w:spacing w:line="276" w:lineRule="auto"/>
            <w:rPr>
              <w:rFonts w:ascii="Cambria" w:eastAsia="MS Gothic" w:hAnsi="Cambria"/>
              <w:b/>
              <w:bCs/>
              <w:color w:val="4F81BD"/>
            </w:rPr>
          </w:pPr>
        </w:p>
      </w:tc>
      <w:tc>
        <w:tcPr>
          <w:tcW w:w="0" w:type="auto"/>
          <w:vMerge/>
          <w:vAlign w:val="center"/>
          <w:hideMark/>
        </w:tcPr>
        <w:p w:rsidR="00D420DA" w:rsidRPr="00A06225" w:rsidRDefault="00D420DA">
          <w:pPr>
            <w:rPr>
              <w:rFonts w:ascii="Cambria" w:hAnsi="Cambria"/>
              <w:color w:val="4F81BD"/>
              <w:sz w:val="22"/>
              <w:szCs w:val="22"/>
            </w:rPr>
          </w:pPr>
        </w:p>
      </w:tc>
      <w:tc>
        <w:tcPr>
          <w:tcW w:w="2278" w:type="pct"/>
          <w:tcBorders>
            <w:top w:val="single" w:sz="4" w:space="0" w:color="4F81BD"/>
            <w:left w:val="nil"/>
            <w:bottom w:val="nil"/>
            <w:right w:val="nil"/>
          </w:tcBorders>
        </w:tcPr>
        <w:p w:rsidR="00D420DA" w:rsidRPr="00A06225" w:rsidRDefault="00D420DA">
          <w:pPr>
            <w:pStyle w:val="Header"/>
            <w:spacing w:line="276" w:lineRule="auto"/>
            <w:rPr>
              <w:rFonts w:ascii="Cambria" w:eastAsia="MS Gothic" w:hAnsi="Cambria"/>
              <w:b/>
              <w:bCs/>
              <w:color w:val="4F81BD"/>
            </w:rPr>
          </w:pPr>
        </w:p>
      </w:tc>
    </w:tr>
  </w:tbl>
  <w:p w:rsidR="00D420DA" w:rsidRDefault="00D420DA">
    <w:pPr>
      <w:pStyle w:val="Header"/>
    </w:pPr>
  </w:p>
  <w:p w:rsidR="00D420DA" w:rsidRDefault="00D420D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0DA" w:rsidRDefault="008502B8" w:rsidP="008502B8">
    <w:pPr>
      <w:pStyle w:val="Header"/>
      <w:keepNext/>
      <w:ind w:left="360"/>
      <w:jc w:val="center"/>
      <w:rPr>
        <w:rFonts w:asciiTheme="minorHAnsi" w:hAnsiTheme="minorHAnsi" w:cs="Arial"/>
        <w:i/>
        <w:color w:val="808080"/>
      </w:rPr>
    </w:pPr>
    <w:r>
      <w:rPr>
        <w:rFonts w:asciiTheme="minorHAnsi" w:hAnsiTheme="minorHAnsi" w:cs="Arial"/>
        <w:i/>
        <w:color w:val="808080"/>
      </w:rPr>
      <w:t>Public Summary Document</w:t>
    </w:r>
    <w:r w:rsidR="00D420DA">
      <w:rPr>
        <w:rFonts w:asciiTheme="minorHAnsi" w:hAnsiTheme="minorHAnsi" w:cs="Arial"/>
        <w:i/>
        <w:color w:val="808080"/>
      </w:rPr>
      <w:t xml:space="preserve"> </w:t>
    </w:r>
    <w:r w:rsidR="00D420DA" w:rsidRPr="00056684">
      <w:rPr>
        <w:rFonts w:asciiTheme="minorHAnsi" w:hAnsiTheme="minorHAnsi" w:cs="Arial"/>
        <w:i/>
        <w:color w:val="808080"/>
      </w:rPr>
      <w:t xml:space="preserve">– </w:t>
    </w:r>
    <w:r w:rsidR="00D420DA">
      <w:rPr>
        <w:rFonts w:asciiTheme="minorHAnsi" w:hAnsiTheme="minorHAnsi" w:cs="Arial"/>
        <w:i/>
        <w:color w:val="808080"/>
      </w:rPr>
      <w:t>March 2020</w:t>
    </w:r>
    <w:r w:rsidR="00D420DA" w:rsidRPr="00056684">
      <w:rPr>
        <w:rFonts w:asciiTheme="minorHAnsi" w:hAnsiTheme="minorHAnsi" w:cs="Arial"/>
        <w:i/>
        <w:color w:val="808080"/>
      </w:rPr>
      <w:t xml:space="preserve"> PBAC Meeting</w:t>
    </w:r>
  </w:p>
  <w:p w:rsidR="00D420DA" w:rsidRPr="00075154" w:rsidRDefault="00D420DA" w:rsidP="000751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AE4" w:rsidRDefault="00C67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7614A3E"/>
    <w:multiLevelType w:val="hybridMultilevel"/>
    <w:tmpl w:val="FDCC0AEE"/>
    <w:lvl w:ilvl="0" w:tplc="A536954E">
      <w:start w:val="1"/>
      <w:numFmt w:val="bullet"/>
      <w:pStyle w:val="Bulletpoints"/>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681208D"/>
    <w:multiLevelType w:val="hybridMultilevel"/>
    <w:tmpl w:val="F3C436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4" w15:restartNumberingAfterBreak="0">
    <w:nsid w:val="420B6ECC"/>
    <w:multiLevelType w:val="hybridMultilevel"/>
    <w:tmpl w:val="C23E7B90"/>
    <w:lvl w:ilvl="0" w:tplc="ED1E5F1E">
      <w:start w:val="1"/>
      <w:numFmt w:val="bullet"/>
      <w:pStyle w:val="BulletedList"/>
      <w:lvlText w:val=""/>
      <w:lvlJc w:val="left"/>
      <w:pPr>
        <w:ind w:left="720" w:hanging="360"/>
      </w:pPr>
      <w:rPr>
        <w:rFonts w:ascii="Symbol" w:hAnsi="Symbol" w:hint="default"/>
      </w:rPr>
    </w:lvl>
    <w:lvl w:ilvl="1" w:tplc="9452778A" w:tentative="1">
      <w:start w:val="1"/>
      <w:numFmt w:val="bullet"/>
      <w:lvlText w:val="o"/>
      <w:lvlJc w:val="left"/>
      <w:pPr>
        <w:ind w:left="1440" w:hanging="360"/>
      </w:pPr>
      <w:rPr>
        <w:rFonts w:ascii="Courier New" w:hAnsi="Courier New" w:hint="default"/>
      </w:rPr>
    </w:lvl>
    <w:lvl w:ilvl="2" w:tplc="87E4D1D6" w:tentative="1">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5" w15:restartNumberingAfterBreak="0">
    <w:nsid w:val="50063F9A"/>
    <w:multiLevelType w:val="hybridMultilevel"/>
    <w:tmpl w:val="80CA3C6A"/>
    <w:lvl w:ilvl="0" w:tplc="34167F3E">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46E195B"/>
    <w:multiLevelType w:val="hybridMultilevel"/>
    <w:tmpl w:val="20D287B6"/>
    <w:lvl w:ilvl="0" w:tplc="C1988768">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65AC48EA"/>
    <w:multiLevelType w:val="hybridMultilevel"/>
    <w:tmpl w:val="17C091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99E2AFA"/>
    <w:multiLevelType w:val="multilevel"/>
    <w:tmpl w:val="F8A2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4D033C"/>
    <w:multiLevelType w:val="multilevel"/>
    <w:tmpl w:val="A872C112"/>
    <w:lvl w:ilvl="0">
      <w:start w:val="1"/>
      <w:numFmt w:val="decimal"/>
      <w:pStyle w:val="2Sections"/>
      <w:lvlText w:val="%1"/>
      <w:lvlJc w:val="left"/>
      <w:pPr>
        <w:ind w:left="720" w:hanging="720"/>
      </w:pPr>
      <w:rPr>
        <w:rFonts w:hint="default"/>
        <w:b/>
        <w:i w:val="0"/>
        <w:color w:val="000000" w:themeColor="text1"/>
      </w:rPr>
    </w:lvl>
    <w:lvl w:ilvl="1">
      <w:start w:val="1"/>
      <w:numFmt w:val="decimal"/>
      <w:pStyle w:val="3Bodytext"/>
      <w:lvlText w:val="%1.%2"/>
      <w:lvlJc w:val="left"/>
      <w:pPr>
        <w:ind w:left="720" w:hanging="720"/>
      </w:pPr>
      <w:rPr>
        <w:rFonts w:hint="default"/>
        <w:b w:val="0"/>
        <w:i w:val="0"/>
        <w:strike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AF12AB"/>
    <w:multiLevelType w:val="hybridMultilevel"/>
    <w:tmpl w:val="9A867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4E2BB5"/>
    <w:multiLevelType w:val="hybridMultilevel"/>
    <w:tmpl w:val="38F4375C"/>
    <w:lvl w:ilvl="0" w:tplc="2EA4B2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0"/>
  </w:num>
  <w:num w:numId="3">
    <w:abstractNumId w:val="10"/>
  </w:num>
  <w:num w:numId="4">
    <w:abstractNumId w:val="6"/>
  </w:num>
  <w:num w:numId="5">
    <w:abstractNumId w:val="3"/>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1"/>
  </w:num>
  <w:num w:numId="10">
    <w:abstractNumId w:val="9"/>
  </w:num>
  <w:num w:numId="11">
    <w:abstractNumId w:val="11"/>
  </w:num>
  <w:num w:numId="12">
    <w:abstractNumId w:val="8"/>
  </w:num>
  <w:num w:numId="13">
    <w:abstractNumId w:val="5"/>
  </w:num>
  <w:num w:numId="14">
    <w:abstractNumId w:val="12"/>
  </w:num>
  <w:num w:numId="15">
    <w:abstractNumId w:val="10"/>
  </w:num>
  <w:num w:numId="1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6A6"/>
    <w:rsid w:val="00001663"/>
    <w:rsid w:val="000018AA"/>
    <w:rsid w:val="000025AD"/>
    <w:rsid w:val="0000335D"/>
    <w:rsid w:val="00003DA4"/>
    <w:rsid w:val="00011A59"/>
    <w:rsid w:val="00016A41"/>
    <w:rsid w:val="000214D1"/>
    <w:rsid w:val="0002464A"/>
    <w:rsid w:val="00025FD9"/>
    <w:rsid w:val="0003106B"/>
    <w:rsid w:val="00034905"/>
    <w:rsid w:val="000400D9"/>
    <w:rsid w:val="00040648"/>
    <w:rsid w:val="000421A1"/>
    <w:rsid w:val="0004240E"/>
    <w:rsid w:val="00045E26"/>
    <w:rsid w:val="00047710"/>
    <w:rsid w:val="00047D46"/>
    <w:rsid w:val="000514B5"/>
    <w:rsid w:val="0005246A"/>
    <w:rsid w:val="00052A44"/>
    <w:rsid w:val="000548DB"/>
    <w:rsid w:val="00055235"/>
    <w:rsid w:val="000553D2"/>
    <w:rsid w:val="00056C18"/>
    <w:rsid w:val="00060E64"/>
    <w:rsid w:val="000611C2"/>
    <w:rsid w:val="00065B6C"/>
    <w:rsid w:val="00066755"/>
    <w:rsid w:val="0007143A"/>
    <w:rsid w:val="00075154"/>
    <w:rsid w:val="000763D5"/>
    <w:rsid w:val="00076987"/>
    <w:rsid w:val="00077143"/>
    <w:rsid w:val="00082169"/>
    <w:rsid w:val="00083EA7"/>
    <w:rsid w:val="00085B18"/>
    <w:rsid w:val="000918CB"/>
    <w:rsid w:val="00091B06"/>
    <w:rsid w:val="00091BF9"/>
    <w:rsid w:val="000951C4"/>
    <w:rsid w:val="00095ADA"/>
    <w:rsid w:val="0009627C"/>
    <w:rsid w:val="0009689A"/>
    <w:rsid w:val="000969AD"/>
    <w:rsid w:val="000A1117"/>
    <w:rsid w:val="000A2A61"/>
    <w:rsid w:val="000A3AA2"/>
    <w:rsid w:val="000A44B2"/>
    <w:rsid w:val="000A465B"/>
    <w:rsid w:val="000A5D36"/>
    <w:rsid w:val="000B119A"/>
    <w:rsid w:val="000B3223"/>
    <w:rsid w:val="000B44C3"/>
    <w:rsid w:val="000B558D"/>
    <w:rsid w:val="000B6F0F"/>
    <w:rsid w:val="000C0652"/>
    <w:rsid w:val="000C34B7"/>
    <w:rsid w:val="000C3ED2"/>
    <w:rsid w:val="000C5F95"/>
    <w:rsid w:val="000C6996"/>
    <w:rsid w:val="000C77E2"/>
    <w:rsid w:val="000D09E9"/>
    <w:rsid w:val="000D23BA"/>
    <w:rsid w:val="000D2793"/>
    <w:rsid w:val="000D3A27"/>
    <w:rsid w:val="000D501E"/>
    <w:rsid w:val="000D539C"/>
    <w:rsid w:val="000E4517"/>
    <w:rsid w:val="000E681E"/>
    <w:rsid w:val="000F0003"/>
    <w:rsid w:val="000F07E0"/>
    <w:rsid w:val="000F3384"/>
    <w:rsid w:val="000F4E6A"/>
    <w:rsid w:val="000F7140"/>
    <w:rsid w:val="000F7354"/>
    <w:rsid w:val="00102202"/>
    <w:rsid w:val="00104227"/>
    <w:rsid w:val="00106DD1"/>
    <w:rsid w:val="001107BF"/>
    <w:rsid w:val="0011083B"/>
    <w:rsid w:val="00113649"/>
    <w:rsid w:val="00117E4E"/>
    <w:rsid w:val="00121FA5"/>
    <w:rsid w:val="00123809"/>
    <w:rsid w:val="00123F96"/>
    <w:rsid w:val="0012417C"/>
    <w:rsid w:val="0012749D"/>
    <w:rsid w:val="00127E38"/>
    <w:rsid w:val="00131E63"/>
    <w:rsid w:val="0013320C"/>
    <w:rsid w:val="00134D0F"/>
    <w:rsid w:val="00135DAA"/>
    <w:rsid w:val="00137C80"/>
    <w:rsid w:val="00142395"/>
    <w:rsid w:val="00142714"/>
    <w:rsid w:val="001452ED"/>
    <w:rsid w:val="00147D84"/>
    <w:rsid w:val="001549C1"/>
    <w:rsid w:val="00161BE1"/>
    <w:rsid w:val="00162355"/>
    <w:rsid w:val="001623B1"/>
    <w:rsid w:val="00162BCD"/>
    <w:rsid w:val="00162D4E"/>
    <w:rsid w:val="00163329"/>
    <w:rsid w:val="00164623"/>
    <w:rsid w:val="001652DE"/>
    <w:rsid w:val="001654B9"/>
    <w:rsid w:val="00165B64"/>
    <w:rsid w:val="0016778A"/>
    <w:rsid w:val="00167CD9"/>
    <w:rsid w:val="00175E5A"/>
    <w:rsid w:val="00176E1B"/>
    <w:rsid w:val="00180713"/>
    <w:rsid w:val="00182729"/>
    <w:rsid w:val="001830CE"/>
    <w:rsid w:val="001838B1"/>
    <w:rsid w:val="0018643B"/>
    <w:rsid w:val="00187964"/>
    <w:rsid w:val="00196307"/>
    <w:rsid w:val="00197A8E"/>
    <w:rsid w:val="00197DDA"/>
    <w:rsid w:val="001A002C"/>
    <w:rsid w:val="001A1581"/>
    <w:rsid w:val="001A30C5"/>
    <w:rsid w:val="001A33EA"/>
    <w:rsid w:val="001A4C4F"/>
    <w:rsid w:val="001A56D2"/>
    <w:rsid w:val="001A6223"/>
    <w:rsid w:val="001A76FB"/>
    <w:rsid w:val="001B017F"/>
    <w:rsid w:val="001B2BBC"/>
    <w:rsid w:val="001B3FFE"/>
    <w:rsid w:val="001B4235"/>
    <w:rsid w:val="001B5129"/>
    <w:rsid w:val="001C0B4C"/>
    <w:rsid w:val="001C1195"/>
    <w:rsid w:val="001C5031"/>
    <w:rsid w:val="001C71CA"/>
    <w:rsid w:val="001C74A5"/>
    <w:rsid w:val="001D17C3"/>
    <w:rsid w:val="001D1F5F"/>
    <w:rsid w:val="001E06D2"/>
    <w:rsid w:val="001E16FA"/>
    <w:rsid w:val="001E1CC7"/>
    <w:rsid w:val="001E738B"/>
    <w:rsid w:val="001F1850"/>
    <w:rsid w:val="001F1D46"/>
    <w:rsid w:val="001F2B24"/>
    <w:rsid w:val="001F3189"/>
    <w:rsid w:val="001F31FB"/>
    <w:rsid w:val="001F6F38"/>
    <w:rsid w:val="002017A2"/>
    <w:rsid w:val="00202E37"/>
    <w:rsid w:val="00203FAC"/>
    <w:rsid w:val="002045CF"/>
    <w:rsid w:val="0021043C"/>
    <w:rsid w:val="002111FB"/>
    <w:rsid w:val="0021183D"/>
    <w:rsid w:val="00212D92"/>
    <w:rsid w:val="00213CFB"/>
    <w:rsid w:val="0021553C"/>
    <w:rsid w:val="0021557B"/>
    <w:rsid w:val="002157A7"/>
    <w:rsid w:val="002159B0"/>
    <w:rsid w:val="002174FD"/>
    <w:rsid w:val="00217BE1"/>
    <w:rsid w:val="00220105"/>
    <w:rsid w:val="0022090A"/>
    <w:rsid w:val="002224BC"/>
    <w:rsid w:val="0022530E"/>
    <w:rsid w:val="00227B6F"/>
    <w:rsid w:val="00227D2B"/>
    <w:rsid w:val="00234252"/>
    <w:rsid w:val="002354D2"/>
    <w:rsid w:val="00237AC6"/>
    <w:rsid w:val="00244490"/>
    <w:rsid w:val="0024483F"/>
    <w:rsid w:val="00251BFD"/>
    <w:rsid w:val="00253499"/>
    <w:rsid w:val="00254A23"/>
    <w:rsid w:val="002551A4"/>
    <w:rsid w:val="00256A6C"/>
    <w:rsid w:val="00256F46"/>
    <w:rsid w:val="00257664"/>
    <w:rsid w:val="00257F90"/>
    <w:rsid w:val="00261721"/>
    <w:rsid w:val="00265151"/>
    <w:rsid w:val="00266509"/>
    <w:rsid w:val="00271BA1"/>
    <w:rsid w:val="002727CD"/>
    <w:rsid w:val="002762FA"/>
    <w:rsid w:val="00277505"/>
    <w:rsid w:val="00277FBA"/>
    <w:rsid w:val="002823B6"/>
    <w:rsid w:val="00285F57"/>
    <w:rsid w:val="00287F0F"/>
    <w:rsid w:val="00292519"/>
    <w:rsid w:val="00294274"/>
    <w:rsid w:val="0029458F"/>
    <w:rsid w:val="002956BD"/>
    <w:rsid w:val="002967C2"/>
    <w:rsid w:val="00297AF7"/>
    <w:rsid w:val="002A0256"/>
    <w:rsid w:val="002A0E04"/>
    <w:rsid w:val="002A104C"/>
    <w:rsid w:val="002A1F85"/>
    <w:rsid w:val="002A3FBF"/>
    <w:rsid w:val="002A494D"/>
    <w:rsid w:val="002A4960"/>
    <w:rsid w:val="002B09F9"/>
    <w:rsid w:val="002B0AE0"/>
    <w:rsid w:val="002B1991"/>
    <w:rsid w:val="002B1AE6"/>
    <w:rsid w:val="002B1D51"/>
    <w:rsid w:val="002B2DE8"/>
    <w:rsid w:val="002B2EDA"/>
    <w:rsid w:val="002B30F8"/>
    <w:rsid w:val="002B388A"/>
    <w:rsid w:val="002B5596"/>
    <w:rsid w:val="002B5AB9"/>
    <w:rsid w:val="002C212F"/>
    <w:rsid w:val="002C3A2A"/>
    <w:rsid w:val="002C3E28"/>
    <w:rsid w:val="002C7485"/>
    <w:rsid w:val="002C7B86"/>
    <w:rsid w:val="002D0E78"/>
    <w:rsid w:val="002D283A"/>
    <w:rsid w:val="002D2B95"/>
    <w:rsid w:val="002D4543"/>
    <w:rsid w:val="002D75FF"/>
    <w:rsid w:val="002E3153"/>
    <w:rsid w:val="002E4FC6"/>
    <w:rsid w:val="002E5292"/>
    <w:rsid w:val="002E6A43"/>
    <w:rsid w:val="002E72CA"/>
    <w:rsid w:val="002F05AA"/>
    <w:rsid w:val="002F13A1"/>
    <w:rsid w:val="002F32C6"/>
    <w:rsid w:val="002F600D"/>
    <w:rsid w:val="002F6D2C"/>
    <w:rsid w:val="002F74B6"/>
    <w:rsid w:val="00300AD6"/>
    <w:rsid w:val="00300B1B"/>
    <w:rsid w:val="003019D0"/>
    <w:rsid w:val="00302EAC"/>
    <w:rsid w:val="003064AF"/>
    <w:rsid w:val="00307076"/>
    <w:rsid w:val="003078C6"/>
    <w:rsid w:val="003108AE"/>
    <w:rsid w:val="003116F3"/>
    <w:rsid w:val="00314B1A"/>
    <w:rsid w:val="003176DF"/>
    <w:rsid w:val="00317C6C"/>
    <w:rsid w:val="003201DD"/>
    <w:rsid w:val="00320CD3"/>
    <w:rsid w:val="00321314"/>
    <w:rsid w:val="00323088"/>
    <w:rsid w:val="00323172"/>
    <w:rsid w:val="00326E79"/>
    <w:rsid w:val="003301B1"/>
    <w:rsid w:val="00331189"/>
    <w:rsid w:val="003323FF"/>
    <w:rsid w:val="0033263D"/>
    <w:rsid w:val="0033518A"/>
    <w:rsid w:val="003367EF"/>
    <w:rsid w:val="00336D3E"/>
    <w:rsid w:val="00336F95"/>
    <w:rsid w:val="003408A6"/>
    <w:rsid w:val="00341AE4"/>
    <w:rsid w:val="00346C47"/>
    <w:rsid w:val="003475C0"/>
    <w:rsid w:val="003476EE"/>
    <w:rsid w:val="00350121"/>
    <w:rsid w:val="0035599B"/>
    <w:rsid w:val="00361973"/>
    <w:rsid w:val="003631EA"/>
    <w:rsid w:val="00364F64"/>
    <w:rsid w:val="003669E3"/>
    <w:rsid w:val="00367444"/>
    <w:rsid w:val="00371AA0"/>
    <w:rsid w:val="00371AAA"/>
    <w:rsid w:val="00371D8B"/>
    <w:rsid w:val="003736C9"/>
    <w:rsid w:val="00374E04"/>
    <w:rsid w:val="003821DE"/>
    <w:rsid w:val="00382E07"/>
    <w:rsid w:val="00384988"/>
    <w:rsid w:val="00384B33"/>
    <w:rsid w:val="00386062"/>
    <w:rsid w:val="0038715B"/>
    <w:rsid w:val="003872CF"/>
    <w:rsid w:val="0039097B"/>
    <w:rsid w:val="00391287"/>
    <w:rsid w:val="00392604"/>
    <w:rsid w:val="00392721"/>
    <w:rsid w:val="00392AFD"/>
    <w:rsid w:val="003937C1"/>
    <w:rsid w:val="00393F45"/>
    <w:rsid w:val="00394B46"/>
    <w:rsid w:val="00395082"/>
    <w:rsid w:val="0039782C"/>
    <w:rsid w:val="003A040A"/>
    <w:rsid w:val="003A4427"/>
    <w:rsid w:val="003A5B4A"/>
    <w:rsid w:val="003B0695"/>
    <w:rsid w:val="003B23C5"/>
    <w:rsid w:val="003B2481"/>
    <w:rsid w:val="003B2A75"/>
    <w:rsid w:val="003B3187"/>
    <w:rsid w:val="003B55FE"/>
    <w:rsid w:val="003B6124"/>
    <w:rsid w:val="003B6147"/>
    <w:rsid w:val="003B7C7D"/>
    <w:rsid w:val="003C0841"/>
    <w:rsid w:val="003C093A"/>
    <w:rsid w:val="003C1044"/>
    <w:rsid w:val="003C1ECF"/>
    <w:rsid w:val="003C20AE"/>
    <w:rsid w:val="003C2782"/>
    <w:rsid w:val="003C2FB5"/>
    <w:rsid w:val="003C5AE8"/>
    <w:rsid w:val="003C5F7B"/>
    <w:rsid w:val="003C7B79"/>
    <w:rsid w:val="003D0647"/>
    <w:rsid w:val="003D129E"/>
    <w:rsid w:val="003D1400"/>
    <w:rsid w:val="003D24C5"/>
    <w:rsid w:val="003D2D93"/>
    <w:rsid w:val="003D4AC4"/>
    <w:rsid w:val="003D63B7"/>
    <w:rsid w:val="003E131E"/>
    <w:rsid w:val="003E3C38"/>
    <w:rsid w:val="003E468B"/>
    <w:rsid w:val="003E4A3B"/>
    <w:rsid w:val="003E6281"/>
    <w:rsid w:val="003E62BD"/>
    <w:rsid w:val="003F0C3A"/>
    <w:rsid w:val="003F172E"/>
    <w:rsid w:val="003F21BF"/>
    <w:rsid w:val="003F3228"/>
    <w:rsid w:val="003F5C8C"/>
    <w:rsid w:val="003F6A23"/>
    <w:rsid w:val="003F775A"/>
    <w:rsid w:val="003F78F0"/>
    <w:rsid w:val="003F7D3D"/>
    <w:rsid w:val="00400E55"/>
    <w:rsid w:val="0040128E"/>
    <w:rsid w:val="0040216B"/>
    <w:rsid w:val="00404517"/>
    <w:rsid w:val="004050AE"/>
    <w:rsid w:val="00406ED6"/>
    <w:rsid w:val="00411968"/>
    <w:rsid w:val="00412753"/>
    <w:rsid w:val="00412FCB"/>
    <w:rsid w:val="00414AD8"/>
    <w:rsid w:val="00421A7E"/>
    <w:rsid w:val="004252EC"/>
    <w:rsid w:val="0042720B"/>
    <w:rsid w:val="00430D39"/>
    <w:rsid w:val="004465BD"/>
    <w:rsid w:val="004514EC"/>
    <w:rsid w:val="00451B7F"/>
    <w:rsid w:val="00454F7F"/>
    <w:rsid w:val="00455175"/>
    <w:rsid w:val="00461A44"/>
    <w:rsid w:val="00462814"/>
    <w:rsid w:val="00464BC1"/>
    <w:rsid w:val="00466ADA"/>
    <w:rsid w:val="004702BB"/>
    <w:rsid w:val="00471B4C"/>
    <w:rsid w:val="0047494B"/>
    <w:rsid w:val="00475A8D"/>
    <w:rsid w:val="00476245"/>
    <w:rsid w:val="00477148"/>
    <w:rsid w:val="00477A9B"/>
    <w:rsid w:val="00483035"/>
    <w:rsid w:val="00485940"/>
    <w:rsid w:val="0048617E"/>
    <w:rsid w:val="004904B9"/>
    <w:rsid w:val="00490DA6"/>
    <w:rsid w:val="00492565"/>
    <w:rsid w:val="00492E96"/>
    <w:rsid w:val="004A15C0"/>
    <w:rsid w:val="004A2484"/>
    <w:rsid w:val="004A5A85"/>
    <w:rsid w:val="004A71D1"/>
    <w:rsid w:val="004A7C5B"/>
    <w:rsid w:val="004B05CC"/>
    <w:rsid w:val="004B2E98"/>
    <w:rsid w:val="004B5640"/>
    <w:rsid w:val="004B5B39"/>
    <w:rsid w:val="004B6035"/>
    <w:rsid w:val="004B7EB6"/>
    <w:rsid w:val="004C1A87"/>
    <w:rsid w:val="004C1BD7"/>
    <w:rsid w:val="004C31DA"/>
    <w:rsid w:val="004C31FE"/>
    <w:rsid w:val="004C524C"/>
    <w:rsid w:val="004C65A2"/>
    <w:rsid w:val="004C691D"/>
    <w:rsid w:val="004C6C07"/>
    <w:rsid w:val="004D0518"/>
    <w:rsid w:val="004D1050"/>
    <w:rsid w:val="004D126A"/>
    <w:rsid w:val="004D4FF6"/>
    <w:rsid w:val="004D5F6E"/>
    <w:rsid w:val="004D6CEC"/>
    <w:rsid w:val="004E692D"/>
    <w:rsid w:val="004E7D87"/>
    <w:rsid w:val="004F2350"/>
    <w:rsid w:val="004F2553"/>
    <w:rsid w:val="004F46C5"/>
    <w:rsid w:val="004F4C4E"/>
    <w:rsid w:val="00501554"/>
    <w:rsid w:val="00502AFE"/>
    <w:rsid w:val="00503AD7"/>
    <w:rsid w:val="005043CB"/>
    <w:rsid w:val="00504D02"/>
    <w:rsid w:val="00504E0C"/>
    <w:rsid w:val="00510058"/>
    <w:rsid w:val="005100CD"/>
    <w:rsid w:val="0051049B"/>
    <w:rsid w:val="005109D4"/>
    <w:rsid w:val="00513E91"/>
    <w:rsid w:val="00514CD7"/>
    <w:rsid w:val="005165F5"/>
    <w:rsid w:val="00520D6A"/>
    <w:rsid w:val="00522DB6"/>
    <w:rsid w:val="00525F77"/>
    <w:rsid w:val="0052792D"/>
    <w:rsid w:val="005319B2"/>
    <w:rsid w:val="00531A59"/>
    <w:rsid w:val="00531AAB"/>
    <w:rsid w:val="00532402"/>
    <w:rsid w:val="00532C74"/>
    <w:rsid w:val="00533797"/>
    <w:rsid w:val="00534E2E"/>
    <w:rsid w:val="00537718"/>
    <w:rsid w:val="00540908"/>
    <w:rsid w:val="00543904"/>
    <w:rsid w:val="00544381"/>
    <w:rsid w:val="00544552"/>
    <w:rsid w:val="0055048C"/>
    <w:rsid w:val="0055286A"/>
    <w:rsid w:val="005540EB"/>
    <w:rsid w:val="00555745"/>
    <w:rsid w:val="0055613D"/>
    <w:rsid w:val="00557D4F"/>
    <w:rsid w:val="00562D26"/>
    <w:rsid w:val="0056484E"/>
    <w:rsid w:val="005755A8"/>
    <w:rsid w:val="005764CD"/>
    <w:rsid w:val="00577C4D"/>
    <w:rsid w:val="00580532"/>
    <w:rsid w:val="00581932"/>
    <w:rsid w:val="00587341"/>
    <w:rsid w:val="00590079"/>
    <w:rsid w:val="00594653"/>
    <w:rsid w:val="00595265"/>
    <w:rsid w:val="0059555D"/>
    <w:rsid w:val="005963BB"/>
    <w:rsid w:val="005A0AAA"/>
    <w:rsid w:val="005A3173"/>
    <w:rsid w:val="005A3223"/>
    <w:rsid w:val="005A3CBD"/>
    <w:rsid w:val="005A3DA3"/>
    <w:rsid w:val="005A52C4"/>
    <w:rsid w:val="005A66EC"/>
    <w:rsid w:val="005B4B26"/>
    <w:rsid w:val="005B7929"/>
    <w:rsid w:val="005C14A1"/>
    <w:rsid w:val="005C177E"/>
    <w:rsid w:val="005D03AB"/>
    <w:rsid w:val="005D5017"/>
    <w:rsid w:val="005D63FA"/>
    <w:rsid w:val="005E1333"/>
    <w:rsid w:val="005E3136"/>
    <w:rsid w:val="005E507D"/>
    <w:rsid w:val="005E777E"/>
    <w:rsid w:val="005F1156"/>
    <w:rsid w:val="005F36DC"/>
    <w:rsid w:val="00601A91"/>
    <w:rsid w:val="00602490"/>
    <w:rsid w:val="00602BA3"/>
    <w:rsid w:val="00605B63"/>
    <w:rsid w:val="00606EED"/>
    <w:rsid w:val="0061204F"/>
    <w:rsid w:val="00612E34"/>
    <w:rsid w:val="00614159"/>
    <w:rsid w:val="00616C19"/>
    <w:rsid w:val="00616C5F"/>
    <w:rsid w:val="00616DAC"/>
    <w:rsid w:val="00617C00"/>
    <w:rsid w:val="006235DC"/>
    <w:rsid w:val="00624C09"/>
    <w:rsid w:val="006263BF"/>
    <w:rsid w:val="0062748A"/>
    <w:rsid w:val="00630A2C"/>
    <w:rsid w:val="0063329B"/>
    <w:rsid w:val="0063682E"/>
    <w:rsid w:val="00642DA8"/>
    <w:rsid w:val="006436CD"/>
    <w:rsid w:val="00651169"/>
    <w:rsid w:val="00652684"/>
    <w:rsid w:val="00653D69"/>
    <w:rsid w:val="006551AB"/>
    <w:rsid w:val="006552E6"/>
    <w:rsid w:val="00657C63"/>
    <w:rsid w:val="006614E1"/>
    <w:rsid w:val="0066444F"/>
    <w:rsid w:val="006670BE"/>
    <w:rsid w:val="006677C7"/>
    <w:rsid w:val="00670A76"/>
    <w:rsid w:val="006711AA"/>
    <w:rsid w:val="00671262"/>
    <w:rsid w:val="006725EB"/>
    <w:rsid w:val="00672B57"/>
    <w:rsid w:val="00673C7C"/>
    <w:rsid w:val="00675622"/>
    <w:rsid w:val="00675DF3"/>
    <w:rsid w:val="0067747D"/>
    <w:rsid w:val="006779CE"/>
    <w:rsid w:val="00681C94"/>
    <w:rsid w:val="00681CA4"/>
    <w:rsid w:val="00681CB6"/>
    <w:rsid w:val="006827C6"/>
    <w:rsid w:val="006827E0"/>
    <w:rsid w:val="00685959"/>
    <w:rsid w:val="0069039D"/>
    <w:rsid w:val="006906DB"/>
    <w:rsid w:val="00691E6C"/>
    <w:rsid w:val="00693DFB"/>
    <w:rsid w:val="0069501D"/>
    <w:rsid w:val="006953AB"/>
    <w:rsid w:val="00696129"/>
    <w:rsid w:val="00697CF2"/>
    <w:rsid w:val="006A0E17"/>
    <w:rsid w:val="006A12A5"/>
    <w:rsid w:val="006A2C6A"/>
    <w:rsid w:val="006A5E20"/>
    <w:rsid w:val="006A7B65"/>
    <w:rsid w:val="006B0D94"/>
    <w:rsid w:val="006B485D"/>
    <w:rsid w:val="006B6F7E"/>
    <w:rsid w:val="006B7AD5"/>
    <w:rsid w:val="006C334C"/>
    <w:rsid w:val="006C3ABD"/>
    <w:rsid w:val="006C4FF9"/>
    <w:rsid w:val="006C629F"/>
    <w:rsid w:val="006C708E"/>
    <w:rsid w:val="006D14E7"/>
    <w:rsid w:val="006D2383"/>
    <w:rsid w:val="006D4163"/>
    <w:rsid w:val="006D4444"/>
    <w:rsid w:val="006D6493"/>
    <w:rsid w:val="006D67C5"/>
    <w:rsid w:val="006D6EC7"/>
    <w:rsid w:val="006E08F3"/>
    <w:rsid w:val="006E1BCD"/>
    <w:rsid w:val="006E1D99"/>
    <w:rsid w:val="006E2059"/>
    <w:rsid w:val="006E31BC"/>
    <w:rsid w:val="006F3A21"/>
    <w:rsid w:val="006F5125"/>
    <w:rsid w:val="006F678A"/>
    <w:rsid w:val="006F733D"/>
    <w:rsid w:val="0070285A"/>
    <w:rsid w:val="00702B6F"/>
    <w:rsid w:val="00706A2F"/>
    <w:rsid w:val="0070718E"/>
    <w:rsid w:val="00707AA4"/>
    <w:rsid w:val="007123C6"/>
    <w:rsid w:val="00712852"/>
    <w:rsid w:val="0071340B"/>
    <w:rsid w:val="00715A47"/>
    <w:rsid w:val="007174BB"/>
    <w:rsid w:val="0072025D"/>
    <w:rsid w:val="00722171"/>
    <w:rsid w:val="00724871"/>
    <w:rsid w:val="00724DB3"/>
    <w:rsid w:val="0073058B"/>
    <w:rsid w:val="0073137C"/>
    <w:rsid w:val="0073204F"/>
    <w:rsid w:val="00733506"/>
    <w:rsid w:val="007353D3"/>
    <w:rsid w:val="0074156B"/>
    <w:rsid w:val="007415BC"/>
    <w:rsid w:val="00742CCD"/>
    <w:rsid w:val="00746688"/>
    <w:rsid w:val="007476F3"/>
    <w:rsid w:val="007513C9"/>
    <w:rsid w:val="00751921"/>
    <w:rsid w:val="007555E8"/>
    <w:rsid w:val="00757FCE"/>
    <w:rsid w:val="00762018"/>
    <w:rsid w:val="0076420C"/>
    <w:rsid w:val="00764339"/>
    <w:rsid w:val="00764B1C"/>
    <w:rsid w:val="0076617C"/>
    <w:rsid w:val="007665D1"/>
    <w:rsid w:val="00766C7A"/>
    <w:rsid w:val="00771D07"/>
    <w:rsid w:val="00772742"/>
    <w:rsid w:val="00772C3B"/>
    <w:rsid w:val="00773615"/>
    <w:rsid w:val="00774E2C"/>
    <w:rsid w:val="007753C2"/>
    <w:rsid w:val="00781827"/>
    <w:rsid w:val="007838B8"/>
    <w:rsid w:val="007857FE"/>
    <w:rsid w:val="007915BA"/>
    <w:rsid w:val="00792270"/>
    <w:rsid w:val="0079568D"/>
    <w:rsid w:val="0079585D"/>
    <w:rsid w:val="00795B1E"/>
    <w:rsid w:val="007A1742"/>
    <w:rsid w:val="007B0A29"/>
    <w:rsid w:val="007B1415"/>
    <w:rsid w:val="007B3DDC"/>
    <w:rsid w:val="007B63F1"/>
    <w:rsid w:val="007B66F6"/>
    <w:rsid w:val="007B72A6"/>
    <w:rsid w:val="007C0224"/>
    <w:rsid w:val="007C0292"/>
    <w:rsid w:val="007C0F57"/>
    <w:rsid w:val="007C3D48"/>
    <w:rsid w:val="007C40B6"/>
    <w:rsid w:val="007C5EDD"/>
    <w:rsid w:val="007C729F"/>
    <w:rsid w:val="007D0883"/>
    <w:rsid w:val="007D169C"/>
    <w:rsid w:val="007D19BC"/>
    <w:rsid w:val="007D3C01"/>
    <w:rsid w:val="007D5CD2"/>
    <w:rsid w:val="007E1D28"/>
    <w:rsid w:val="007E5B2C"/>
    <w:rsid w:val="007E779B"/>
    <w:rsid w:val="007F0021"/>
    <w:rsid w:val="007F2641"/>
    <w:rsid w:val="007F5DFB"/>
    <w:rsid w:val="007F6A6A"/>
    <w:rsid w:val="007F7C36"/>
    <w:rsid w:val="00802725"/>
    <w:rsid w:val="008044D7"/>
    <w:rsid w:val="00806796"/>
    <w:rsid w:val="00810116"/>
    <w:rsid w:val="00810805"/>
    <w:rsid w:val="00811CC0"/>
    <w:rsid w:val="008151D6"/>
    <w:rsid w:val="00815F7D"/>
    <w:rsid w:val="00817228"/>
    <w:rsid w:val="00820B72"/>
    <w:rsid w:val="00821527"/>
    <w:rsid w:val="008224DA"/>
    <w:rsid w:val="008226F9"/>
    <w:rsid w:val="008268BB"/>
    <w:rsid w:val="00826F6D"/>
    <w:rsid w:val="008306F3"/>
    <w:rsid w:val="00830E40"/>
    <w:rsid w:val="00833C77"/>
    <w:rsid w:val="00834028"/>
    <w:rsid w:val="00840B90"/>
    <w:rsid w:val="00844698"/>
    <w:rsid w:val="00844EDA"/>
    <w:rsid w:val="008502B8"/>
    <w:rsid w:val="008510B0"/>
    <w:rsid w:val="00852CEA"/>
    <w:rsid w:val="00855FD6"/>
    <w:rsid w:val="00856DDD"/>
    <w:rsid w:val="008572C3"/>
    <w:rsid w:val="00861A51"/>
    <w:rsid w:val="00863E68"/>
    <w:rsid w:val="00863E80"/>
    <w:rsid w:val="008647B5"/>
    <w:rsid w:val="00866F86"/>
    <w:rsid w:val="008701FF"/>
    <w:rsid w:val="008722DE"/>
    <w:rsid w:val="00875DCB"/>
    <w:rsid w:val="00882085"/>
    <w:rsid w:val="00883188"/>
    <w:rsid w:val="008838A1"/>
    <w:rsid w:val="00887212"/>
    <w:rsid w:val="008926E5"/>
    <w:rsid w:val="00897D58"/>
    <w:rsid w:val="00897F22"/>
    <w:rsid w:val="008A0B39"/>
    <w:rsid w:val="008A0C2C"/>
    <w:rsid w:val="008A1956"/>
    <w:rsid w:val="008A397A"/>
    <w:rsid w:val="008A4937"/>
    <w:rsid w:val="008A50F1"/>
    <w:rsid w:val="008A59D9"/>
    <w:rsid w:val="008A6819"/>
    <w:rsid w:val="008B00BD"/>
    <w:rsid w:val="008B2EC0"/>
    <w:rsid w:val="008B45C8"/>
    <w:rsid w:val="008C0354"/>
    <w:rsid w:val="008C47B9"/>
    <w:rsid w:val="008C5011"/>
    <w:rsid w:val="008C6D4E"/>
    <w:rsid w:val="008D1B5C"/>
    <w:rsid w:val="008D1C80"/>
    <w:rsid w:val="008D3BAF"/>
    <w:rsid w:val="008D3C82"/>
    <w:rsid w:val="008D447E"/>
    <w:rsid w:val="008D637B"/>
    <w:rsid w:val="008D7A41"/>
    <w:rsid w:val="008E2C72"/>
    <w:rsid w:val="008E3680"/>
    <w:rsid w:val="008E5870"/>
    <w:rsid w:val="008E625D"/>
    <w:rsid w:val="008F1434"/>
    <w:rsid w:val="008F419E"/>
    <w:rsid w:val="008F48FE"/>
    <w:rsid w:val="008F54C3"/>
    <w:rsid w:val="008F615A"/>
    <w:rsid w:val="008F7355"/>
    <w:rsid w:val="009023DC"/>
    <w:rsid w:val="009067B7"/>
    <w:rsid w:val="00910FE4"/>
    <w:rsid w:val="00913C17"/>
    <w:rsid w:val="00920EF8"/>
    <w:rsid w:val="009247F2"/>
    <w:rsid w:val="00926560"/>
    <w:rsid w:val="00926606"/>
    <w:rsid w:val="00927FCF"/>
    <w:rsid w:val="00930937"/>
    <w:rsid w:val="009324A6"/>
    <w:rsid w:val="00933E6C"/>
    <w:rsid w:val="00934A53"/>
    <w:rsid w:val="009373AE"/>
    <w:rsid w:val="00937958"/>
    <w:rsid w:val="00940064"/>
    <w:rsid w:val="00941602"/>
    <w:rsid w:val="00941F0C"/>
    <w:rsid w:val="00942160"/>
    <w:rsid w:val="00943522"/>
    <w:rsid w:val="0094439A"/>
    <w:rsid w:val="009456FC"/>
    <w:rsid w:val="0095146F"/>
    <w:rsid w:val="00953200"/>
    <w:rsid w:val="00954D6E"/>
    <w:rsid w:val="00955D16"/>
    <w:rsid w:val="00957944"/>
    <w:rsid w:val="009602C5"/>
    <w:rsid w:val="00962223"/>
    <w:rsid w:val="009669F1"/>
    <w:rsid w:val="00966D0D"/>
    <w:rsid w:val="0096783C"/>
    <w:rsid w:val="00967A95"/>
    <w:rsid w:val="009706F3"/>
    <w:rsid w:val="00970F74"/>
    <w:rsid w:val="009722B3"/>
    <w:rsid w:val="0097304F"/>
    <w:rsid w:val="00974C21"/>
    <w:rsid w:val="00974D07"/>
    <w:rsid w:val="00975854"/>
    <w:rsid w:val="00977BF3"/>
    <w:rsid w:val="00977FA6"/>
    <w:rsid w:val="0098033D"/>
    <w:rsid w:val="009803E4"/>
    <w:rsid w:val="00980B0E"/>
    <w:rsid w:val="00980D9C"/>
    <w:rsid w:val="009836A3"/>
    <w:rsid w:val="009855A8"/>
    <w:rsid w:val="0099118C"/>
    <w:rsid w:val="009913F4"/>
    <w:rsid w:val="0099407B"/>
    <w:rsid w:val="0099465B"/>
    <w:rsid w:val="00996BA5"/>
    <w:rsid w:val="009A0CDD"/>
    <w:rsid w:val="009A304F"/>
    <w:rsid w:val="009A3168"/>
    <w:rsid w:val="009A61CA"/>
    <w:rsid w:val="009B0C64"/>
    <w:rsid w:val="009B0F67"/>
    <w:rsid w:val="009C703C"/>
    <w:rsid w:val="009C7510"/>
    <w:rsid w:val="009D091C"/>
    <w:rsid w:val="009D206E"/>
    <w:rsid w:val="009D2467"/>
    <w:rsid w:val="009D3CAA"/>
    <w:rsid w:val="009D5B5E"/>
    <w:rsid w:val="009D6532"/>
    <w:rsid w:val="009E2DBE"/>
    <w:rsid w:val="009E3FCB"/>
    <w:rsid w:val="009E40E1"/>
    <w:rsid w:val="009F0EFA"/>
    <w:rsid w:val="009F4E46"/>
    <w:rsid w:val="009F5B65"/>
    <w:rsid w:val="009F5F2E"/>
    <w:rsid w:val="009F7469"/>
    <w:rsid w:val="009F7CF6"/>
    <w:rsid w:val="00A0050A"/>
    <w:rsid w:val="00A0116F"/>
    <w:rsid w:val="00A0268F"/>
    <w:rsid w:val="00A06225"/>
    <w:rsid w:val="00A064C9"/>
    <w:rsid w:val="00A07345"/>
    <w:rsid w:val="00A128E6"/>
    <w:rsid w:val="00A144D3"/>
    <w:rsid w:val="00A14828"/>
    <w:rsid w:val="00A22AC3"/>
    <w:rsid w:val="00A23439"/>
    <w:rsid w:val="00A27016"/>
    <w:rsid w:val="00A2744D"/>
    <w:rsid w:val="00A3054E"/>
    <w:rsid w:val="00A313C3"/>
    <w:rsid w:val="00A337E7"/>
    <w:rsid w:val="00A34E6C"/>
    <w:rsid w:val="00A35A3B"/>
    <w:rsid w:val="00A36398"/>
    <w:rsid w:val="00A37C8D"/>
    <w:rsid w:val="00A4020E"/>
    <w:rsid w:val="00A40FB5"/>
    <w:rsid w:val="00A40FD7"/>
    <w:rsid w:val="00A42826"/>
    <w:rsid w:val="00A435BD"/>
    <w:rsid w:val="00A43C8C"/>
    <w:rsid w:val="00A44681"/>
    <w:rsid w:val="00A460C0"/>
    <w:rsid w:val="00A50BE8"/>
    <w:rsid w:val="00A5273B"/>
    <w:rsid w:val="00A53A9D"/>
    <w:rsid w:val="00A54948"/>
    <w:rsid w:val="00A55FEE"/>
    <w:rsid w:val="00A562C8"/>
    <w:rsid w:val="00A62208"/>
    <w:rsid w:val="00A62C1A"/>
    <w:rsid w:val="00A6426D"/>
    <w:rsid w:val="00A665C1"/>
    <w:rsid w:val="00A66B2A"/>
    <w:rsid w:val="00A70622"/>
    <w:rsid w:val="00A70693"/>
    <w:rsid w:val="00A70977"/>
    <w:rsid w:val="00A70D58"/>
    <w:rsid w:val="00A744F9"/>
    <w:rsid w:val="00A77613"/>
    <w:rsid w:val="00A80C63"/>
    <w:rsid w:val="00A8303A"/>
    <w:rsid w:val="00A8390C"/>
    <w:rsid w:val="00A86AE0"/>
    <w:rsid w:val="00A87778"/>
    <w:rsid w:val="00A9211C"/>
    <w:rsid w:val="00A928BD"/>
    <w:rsid w:val="00A97DE9"/>
    <w:rsid w:val="00AA0F5C"/>
    <w:rsid w:val="00AA12CD"/>
    <w:rsid w:val="00AA1730"/>
    <w:rsid w:val="00AA4D1C"/>
    <w:rsid w:val="00AA4E42"/>
    <w:rsid w:val="00AA70AC"/>
    <w:rsid w:val="00AB491C"/>
    <w:rsid w:val="00AB54E4"/>
    <w:rsid w:val="00AB5856"/>
    <w:rsid w:val="00AC188F"/>
    <w:rsid w:val="00AC193C"/>
    <w:rsid w:val="00AC3385"/>
    <w:rsid w:val="00AC37BD"/>
    <w:rsid w:val="00AC4DE5"/>
    <w:rsid w:val="00AC5206"/>
    <w:rsid w:val="00AC5C16"/>
    <w:rsid w:val="00AD074B"/>
    <w:rsid w:val="00AD0B83"/>
    <w:rsid w:val="00AD4322"/>
    <w:rsid w:val="00AD6181"/>
    <w:rsid w:val="00AD6570"/>
    <w:rsid w:val="00AE11A5"/>
    <w:rsid w:val="00AE13E2"/>
    <w:rsid w:val="00AE22D3"/>
    <w:rsid w:val="00AE2EDC"/>
    <w:rsid w:val="00AE37F1"/>
    <w:rsid w:val="00AE5A49"/>
    <w:rsid w:val="00AF29D5"/>
    <w:rsid w:val="00AF4299"/>
    <w:rsid w:val="00AF62DF"/>
    <w:rsid w:val="00AF68CC"/>
    <w:rsid w:val="00AF70D7"/>
    <w:rsid w:val="00AF713E"/>
    <w:rsid w:val="00B04F76"/>
    <w:rsid w:val="00B07CFB"/>
    <w:rsid w:val="00B1059E"/>
    <w:rsid w:val="00B1153D"/>
    <w:rsid w:val="00B11B11"/>
    <w:rsid w:val="00B123CA"/>
    <w:rsid w:val="00B1649F"/>
    <w:rsid w:val="00B16D15"/>
    <w:rsid w:val="00B1706D"/>
    <w:rsid w:val="00B170A5"/>
    <w:rsid w:val="00B176C8"/>
    <w:rsid w:val="00B205AA"/>
    <w:rsid w:val="00B229B3"/>
    <w:rsid w:val="00B22E84"/>
    <w:rsid w:val="00B233AD"/>
    <w:rsid w:val="00B23E25"/>
    <w:rsid w:val="00B23E5B"/>
    <w:rsid w:val="00B25F75"/>
    <w:rsid w:val="00B26B3F"/>
    <w:rsid w:val="00B2778F"/>
    <w:rsid w:val="00B30F9C"/>
    <w:rsid w:val="00B33635"/>
    <w:rsid w:val="00B423B2"/>
    <w:rsid w:val="00B42B9D"/>
    <w:rsid w:val="00B43E90"/>
    <w:rsid w:val="00B451F3"/>
    <w:rsid w:val="00B45907"/>
    <w:rsid w:val="00B45E7D"/>
    <w:rsid w:val="00B467DC"/>
    <w:rsid w:val="00B5479E"/>
    <w:rsid w:val="00B55511"/>
    <w:rsid w:val="00B56118"/>
    <w:rsid w:val="00B56799"/>
    <w:rsid w:val="00B647D0"/>
    <w:rsid w:val="00B6773F"/>
    <w:rsid w:val="00B71AB4"/>
    <w:rsid w:val="00B7409F"/>
    <w:rsid w:val="00B75B4E"/>
    <w:rsid w:val="00B760FB"/>
    <w:rsid w:val="00B767AB"/>
    <w:rsid w:val="00B772F3"/>
    <w:rsid w:val="00B801BA"/>
    <w:rsid w:val="00B80468"/>
    <w:rsid w:val="00B84D5C"/>
    <w:rsid w:val="00B9341A"/>
    <w:rsid w:val="00B96D06"/>
    <w:rsid w:val="00BA0411"/>
    <w:rsid w:val="00BA2DA8"/>
    <w:rsid w:val="00BA347C"/>
    <w:rsid w:val="00BA3B7F"/>
    <w:rsid w:val="00BA3DAE"/>
    <w:rsid w:val="00BA5FBA"/>
    <w:rsid w:val="00BB0109"/>
    <w:rsid w:val="00BB34CE"/>
    <w:rsid w:val="00BB4BEB"/>
    <w:rsid w:val="00BB69F5"/>
    <w:rsid w:val="00BB7EC3"/>
    <w:rsid w:val="00BC1ABE"/>
    <w:rsid w:val="00BC207C"/>
    <w:rsid w:val="00BC43B5"/>
    <w:rsid w:val="00BC47FB"/>
    <w:rsid w:val="00BC4B9A"/>
    <w:rsid w:val="00BC4D21"/>
    <w:rsid w:val="00BD02C3"/>
    <w:rsid w:val="00BD12B5"/>
    <w:rsid w:val="00BD371D"/>
    <w:rsid w:val="00BD3F7E"/>
    <w:rsid w:val="00BD520D"/>
    <w:rsid w:val="00BD57AC"/>
    <w:rsid w:val="00BD5E81"/>
    <w:rsid w:val="00BD784C"/>
    <w:rsid w:val="00BE020A"/>
    <w:rsid w:val="00BE26D0"/>
    <w:rsid w:val="00BE2C68"/>
    <w:rsid w:val="00BE3558"/>
    <w:rsid w:val="00BE5E8C"/>
    <w:rsid w:val="00BF092C"/>
    <w:rsid w:val="00BF179B"/>
    <w:rsid w:val="00BF27A0"/>
    <w:rsid w:val="00BF2A1A"/>
    <w:rsid w:val="00BF402E"/>
    <w:rsid w:val="00BF4CB6"/>
    <w:rsid w:val="00BF6DA4"/>
    <w:rsid w:val="00C00DA7"/>
    <w:rsid w:val="00C02F82"/>
    <w:rsid w:val="00C12768"/>
    <w:rsid w:val="00C12D70"/>
    <w:rsid w:val="00C15E76"/>
    <w:rsid w:val="00C21749"/>
    <w:rsid w:val="00C21B09"/>
    <w:rsid w:val="00C25A8B"/>
    <w:rsid w:val="00C2673A"/>
    <w:rsid w:val="00C27B58"/>
    <w:rsid w:val="00C30065"/>
    <w:rsid w:val="00C35996"/>
    <w:rsid w:val="00C37FB0"/>
    <w:rsid w:val="00C43DB4"/>
    <w:rsid w:val="00C47022"/>
    <w:rsid w:val="00C4747E"/>
    <w:rsid w:val="00C51239"/>
    <w:rsid w:val="00C5342C"/>
    <w:rsid w:val="00C53B2B"/>
    <w:rsid w:val="00C54696"/>
    <w:rsid w:val="00C553D2"/>
    <w:rsid w:val="00C60272"/>
    <w:rsid w:val="00C603D4"/>
    <w:rsid w:val="00C60996"/>
    <w:rsid w:val="00C60B96"/>
    <w:rsid w:val="00C617AC"/>
    <w:rsid w:val="00C6256A"/>
    <w:rsid w:val="00C67AE4"/>
    <w:rsid w:val="00C70684"/>
    <w:rsid w:val="00C710E2"/>
    <w:rsid w:val="00C71A3E"/>
    <w:rsid w:val="00C71C3F"/>
    <w:rsid w:val="00C7409E"/>
    <w:rsid w:val="00C76E76"/>
    <w:rsid w:val="00C77891"/>
    <w:rsid w:val="00C814B6"/>
    <w:rsid w:val="00C82BF4"/>
    <w:rsid w:val="00C872DD"/>
    <w:rsid w:val="00C91449"/>
    <w:rsid w:val="00C92D10"/>
    <w:rsid w:val="00C956B9"/>
    <w:rsid w:val="00CA458F"/>
    <w:rsid w:val="00CA48D9"/>
    <w:rsid w:val="00CA61B5"/>
    <w:rsid w:val="00CA7884"/>
    <w:rsid w:val="00CB012B"/>
    <w:rsid w:val="00CB1121"/>
    <w:rsid w:val="00CB1193"/>
    <w:rsid w:val="00CB2480"/>
    <w:rsid w:val="00CB4767"/>
    <w:rsid w:val="00CB493D"/>
    <w:rsid w:val="00CB70B8"/>
    <w:rsid w:val="00CB73DF"/>
    <w:rsid w:val="00CC3B97"/>
    <w:rsid w:val="00CC74FA"/>
    <w:rsid w:val="00CC7E2D"/>
    <w:rsid w:val="00CD0AB7"/>
    <w:rsid w:val="00CD0CCD"/>
    <w:rsid w:val="00CD3446"/>
    <w:rsid w:val="00CD3656"/>
    <w:rsid w:val="00CE10C4"/>
    <w:rsid w:val="00CE27B5"/>
    <w:rsid w:val="00CE2A8E"/>
    <w:rsid w:val="00CE6DAF"/>
    <w:rsid w:val="00CF35B8"/>
    <w:rsid w:val="00CF3754"/>
    <w:rsid w:val="00CF410A"/>
    <w:rsid w:val="00CF4487"/>
    <w:rsid w:val="00CF6342"/>
    <w:rsid w:val="00CF63E1"/>
    <w:rsid w:val="00D0321E"/>
    <w:rsid w:val="00D07A8A"/>
    <w:rsid w:val="00D13F45"/>
    <w:rsid w:val="00D144D2"/>
    <w:rsid w:val="00D1455A"/>
    <w:rsid w:val="00D22093"/>
    <w:rsid w:val="00D25AE9"/>
    <w:rsid w:val="00D26D4C"/>
    <w:rsid w:val="00D31150"/>
    <w:rsid w:val="00D3138B"/>
    <w:rsid w:val="00D3280C"/>
    <w:rsid w:val="00D3406A"/>
    <w:rsid w:val="00D420DA"/>
    <w:rsid w:val="00D441F1"/>
    <w:rsid w:val="00D44DD6"/>
    <w:rsid w:val="00D4572C"/>
    <w:rsid w:val="00D45FAB"/>
    <w:rsid w:val="00D46444"/>
    <w:rsid w:val="00D46507"/>
    <w:rsid w:val="00D469B2"/>
    <w:rsid w:val="00D4793D"/>
    <w:rsid w:val="00D5171E"/>
    <w:rsid w:val="00D521EB"/>
    <w:rsid w:val="00D56C48"/>
    <w:rsid w:val="00D56FA1"/>
    <w:rsid w:val="00D6001C"/>
    <w:rsid w:val="00D608BA"/>
    <w:rsid w:val="00D60ADB"/>
    <w:rsid w:val="00D60E07"/>
    <w:rsid w:val="00D619AB"/>
    <w:rsid w:val="00D65616"/>
    <w:rsid w:val="00D65658"/>
    <w:rsid w:val="00D66F54"/>
    <w:rsid w:val="00D671A4"/>
    <w:rsid w:val="00D70FCD"/>
    <w:rsid w:val="00D72B6F"/>
    <w:rsid w:val="00D73FD2"/>
    <w:rsid w:val="00D741EB"/>
    <w:rsid w:val="00D7679C"/>
    <w:rsid w:val="00D820F3"/>
    <w:rsid w:val="00D83605"/>
    <w:rsid w:val="00D844EA"/>
    <w:rsid w:val="00D84934"/>
    <w:rsid w:val="00D86796"/>
    <w:rsid w:val="00D91271"/>
    <w:rsid w:val="00D914D5"/>
    <w:rsid w:val="00D919F5"/>
    <w:rsid w:val="00D94F03"/>
    <w:rsid w:val="00DA0D14"/>
    <w:rsid w:val="00DA1FC9"/>
    <w:rsid w:val="00DA2CB5"/>
    <w:rsid w:val="00DA3B33"/>
    <w:rsid w:val="00DA4BAC"/>
    <w:rsid w:val="00DB0151"/>
    <w:rsid w:val="00DB61A2"/>
    <w:rsid w:val="00DB61F0"/>
    <w:rsid w:val="00DC0C45"/>
    <w:rsid w:val="00DC2C3E"/>
    <w:rsid w:val="00DC46F8"/>
    <w:rsid w:val="00DC4880"/>
    <w:rsid w:val="00DD4212"/>
    <w:rsid w:val="00DE07CA"/>
    <w:rsid w:val="00DE248D"/>
    <w:rsid w:val="00DE3990"/>
    <w:rsid w:val="00DE6D27"/>
    <w:rsid w:val="00DF1513"/>
    <w:rsid w:val="00DF217D"/>
    <w:rsid w:val="00DF26A7"/>
    <w:rsid w:val="00DF3277"/>
    <w:rsid w:val="00DF437F"/>
    <w:rsid w:val="00DF4A37"/>
    <w:rsid w:val="00DF7919"/>
    <w:rsid w:val="00E015FE"/>
    <w:rsid w:val="00E0207E"/>
    <w:rsid w:val="00E03912"/>
    <w:rsid w:val="00E07EE0"/>
    <w:rsid w:val="00E15140"/>
    <w:rsid w:val="00E15627"/>
    <w:rsid w:val="00E1612C"/>
    <w:rsid w:val="00E164B3"/>
    <w:rsid w:val="00E16910"/>
    <w:rsid w:val="00E16F87"/>
    <w:rsid w:val="00E20D13"/>
    <w:rsid w:val="00E22D1A"/>
    <w:rsid w:val="00E24E09"/>
    <w:rsid w:val="00E263D0"/>
    <w:rsid w:val="00E26870"/>
    <w:rsid w:val="00E27234"/>
    <w:rsid w:val="00E36EFB"/>
    <w:rsid w:val="00E42BDB"/>
    <w:rsid w:val="00E470AA"/>
    <w:rsid w:val="00E51C4F"/>
    <w:rsid w:val="00E5220C"/>
    <w:rsid w:val="00E55910"/>
    <w:rsid w:val="00E55E94"/>
    <w:rsid w:val="00E57EEB"/>
    <w:rsid w:val="00E62D94"/>
    <w:rsid w:val="00E64F37"/>
    <w:rsid w:val="00E65E54"/>
    <w:rsid w:val="00E661C7"/>
    <w:rsid w:val="00E67FAF"/>
    <w:rsid w:val="00E7115A"/>
    <w:rsid w:val="00E75B3F"/>
    <w:rsid w:val="00E765F2"/>
    <w:rsid w:val="00E80155"/>
    <w:rsid w:val="00E8191C"/>
    <w:rsid w:val="00E819E7"/>
    <w:rsid w:val="00E81E0D"/>
    <w:rsid w:val="00E81F28"/>
    <w:rsid w:val="00E837FD"/>
    <w:rsid w:val="00E848C0"/>
    <w:rsid w:val="00E91B96"/>
    <w:rsid w:val="00E9269D"/>
    <w:rsid w:val="00E9349B"/>
    <w:rsid w:val="00E9350C"/>
    <w:rsid w:val="00E93D1E"/>
    <w:rsid w:val="00E941A1"/>
    <w:rsid w:val="00E95540"/>
    <w:rsid w:val="00E95CE3"/>
    <w:rsid w:val="00EA0CAA"/>
    <w:rsid w:val="00EA252F"/>
    <w:rsid w:val="00EA2825"/>
    <w:rsid w:val="00EA2AFB"/>
    <w:rsid w:val="00EA5BC2"/>
    <w:rsid w:val="00EA7270"/>
    <w:rsid w:val="00EA7EDE"/>
    <w:rsid w:val="00EB0553"/>
    <w:rsid w:val="00EB0B63"/>
    <w:rsid w:val="00EB1936"/>
    <w:rsid w:val="00EB2310"/>
    <w:rsid w:val="00EB37BE"/>
    <w:rsid w:val="00EB5088"/>
    <w:rsid w:val="00EB76D3"/>
    <w:rsid w:val="00EC2D8D"/>
    <w:rsid w:val="00EC7D5F"/>
    <w:rsid w:val="00ED1644"/>
    <w:rsid w:val="00ED18B1"/>
    <w:rsid w:val="00ED2593"/>
    <w:rsid w:val="00ED3144"/>
    <w:rsid w:val="00ED3A2C"/>
    <w:rsid w:val="00ED7D9C"/>
    <w:rsid w:val="00EE06BE"/>
    <w:rsid w:val="00EE1ABE"/>
    <w:rsid w:val="00EE4FD7"/>
    <w:rsid w:val="00EF0069"/>
    <w:rsid w:val="00EF1F74"/>
    <w:rsid w:val="00EF44A0"/>
    <w:rsid w:val="00EF4FED"/>
    <w:rsid w:val="00EF65DB"/>
    <w:rsid w:val="00F007C6"/>
    <w:rsid w:val="00F007D5"/>
    <w:rsid w:val="00F00B32"/>
    <w:rsid w:val="00F0172E"/>
    <w:rsid w:val="00F03079"/>
    <w:rsid w:val="00F050BD"/>
    <w:rsid w:val="00F05657"/>
    <w:rsid w:val="00F05685"/>
    <w:rsid w:val="00F06CED"/>
    <w:rsid w:val="00F10266"/>
    <w:rsid w:val="00F1490F"/>
    <w:rsid w:val="00F209E2"/>
    <w:rsid w:val="00F23BFA"/>
    <w:rsid w:val="00F24014"/>
    <w:rsid w:val="00F25578"/>
    <w:rsid w:val="00F258E5"/>
    <w:rsid w:val="00F25B9C"/>
    <w:rsid w:val="00F269A4"/>
    <w:rsid w:val="00F26CC6"/>
    <w:rsid w:val="00F27E09"/>
    <w:rsid w:val="00F300BC"/>
    <w:rsid w:val="00F3263C"/>
    <w:rsid w:val="00F3334E"/>
    <w:rsid w:val="00F36CCB"/>
    <w:rsid w:val="00F374E5"/>
    <w:rsid w:val="00F37B93"/>
    <w:rsid w:val="00F43AF2"/>
    <w:rsid w:val="00F5007E"/>
    <w:rsid w:val="00F50EC4"/>
    <w:rsid w:val="00F52232"/>
    <w:rsid w:val="00F550CF"/>
    <w:rsid w:val="00F57A6D"/>
    <w:rsid w:val="00F61340"/>
    <w:rsid w:val="00F61BD8"/>
    <w:rsid w:val="00F62544"/>
    <w:rsid w:val="00F638CC"/>
    <w:rsid w:val="00F64C9E"/>
    <w:rsid w:val="00F64CC1"/>
    <w:rsid w:val="00F65EF9"/>
    <w:rsid w:val="00F67E61"/>
    <w:rsid w:val="00F71254"/>
    <w:rsid w:val="00F71F98"/>
    <w:rsid w:val="00F72317"/>
    <w:rsid w:val="00F73271"/>
    <w:rsid w:val="00F77DD5"/>
    <w:rsid w:val="00F80475"/>
    <w:rsid w:val="00F8247A"/>
    <w:rsid w:val="00F95310"/>
    <w:rsid w:val="00F9629A"/>
    <w:rsid w:val="00F97EFC"/>
    <w:rsid w:val="00FA1BDD"/>
    <w:rsid w:val="00FA2F28"/>
    <w:rsid w:val="00FA36A9"/>
    <w:rsid w:val="00FA4DD5"/>
    <w:rsid w:val="00FA5883"/>
    <w:rsid w:val="00FA6055"/>
    <w:rsid w:val="00FA6CF5"/>
    <w:rsid w:val="00FA6F48"/>
    <w:rsid w:val="00FB0D35"/>
    <w:rsid w:val="00FB322F"/>
    <w:rsid w:val="00FB442F"/>
    <w:rsid w:val="00FC1929"/>
    <w:rsid w:val="00FC4541"/>
    <w:rsid w:val="00FC5B46"/>
    <w:rsid w:val="00FC7EC0"/>
    <w:rsid w:val="00FD6D8E"/>
    <w:rsid w:val="00FD6F8A"/>
    <w:rsid w:val="00FE0E94"/>
    <w:rsid w:val="00FE3CD9"/>
    <w:rsid w:val="00FE505B"/>
    <w:rsid w:val="00FF00BD"/>
    <w:rsid w:val="00FF1ED4"/>
    <w:rsid w:val="00FF2330"/>
    <w:rsid w:val="00FF2801"/>
    <w:rsid w:val="00FF33EF"/>
    <w:rsid w:val="00FF4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F6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6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i"/>
    <w:basedOn w:val="ListParagraph"/>
    <w:next w:val="Normal"/>
    <w:link w:val="Heading1Char"/>
    <w:uiPriority w:val="9"/>
    <w:qFormat/>
    <w:rsid w:val="00C603D4"/>
    <w:pPr>
      <w:ind w:left="0"/>
      <w:outlineLvl w:val="0"/>
    </w:pPr>
    <w:rPr>
      <w:b/>
      <w:szCs w:val="22"/>
    </w:rPr>
  </w:style>
  <w:style w:type="paragraph" w:styleId="Heading2">
    <w:name w:val="heading 2"/>
    <w:aliases w:val="Subsection Headings,H2i"/>
    <w:basedOn w:val="Normal"/>
    <w:next w:val="Normal"/>
    <w:link w:val="Heading2Char"/>
    <w:uiPriority w:val="9"/>
    <w:qFormat/>
    <w:rsid w:val="00261721"/>
    <w:pPr>
      <w:spacing w:after="120"/>
      <w:jc w:val="both"/>
      <w:outlineLvl w:val="1"/>
    </w:pPr>
    <w:rPr>
      <w:rFonts w:asciiTheme="minorHAnsi" w:eastAsiaTheme="minorHAnsi" w:hAnsiTheme="minorHAnsi" w:cstheme="minorBidi"/>
      <w:b/>
      <w:i/>
      <w:color w:val="000000" w:themeColor="text1"/>
      <w:sz w:val="28"/>
      <w:lang w:eastAsia="en-US"/>
    </w:rPr>
  </w:style>
  <w:style w:type="paragraph" w:styleId="Heading3">
    <w:name w:val="heading 3"/>
    <w:aliases w:val="H3i"/>
    <w:basedOn w:val="Normal"/>
    <w:next w:val="Normal"/>
    <w:link w:val="Heading3Char"/>
    <w:uiPriority w:val="9"/>
    <w:unhideWhenUsed/>
    <w:qFormat/>
    <w:rsid w:val="004D126A"/>
    <w:pPr>
      <w:keepNext/>
      <w:keepLines/>
      <w:spacing w:after="120"/>
      <w:outlineLvl w:val="2"/>
    </w:pPr>
    <w:rPr>
      <w:rFonts w:asciiTheme="minorHAnsi" w:eastAsiaTheme="majorEastAsia" w:hAnsiTheme="minorHAnsi" w:cstheme="majorBidi"/>
      <w:bCs/>
      <w:u w:val="single"/>
    </w:rPr>
  </w:style>
  <w:style w:type="paragraph" w:styleId="Heading4">
    <w:name w:val="heading 4"/>
    <w:basedOn w:val="Normal"/>
    <w:next w:val="Normal"/>
    <w:link w:val="Heading4Char"/>
    <w:uiPriority w:val="9"/>
    <w:qFormat/>
    <w:rsid w:val="004B6035"/>
    <w:pPr>
      <w:spacing w:after="240" w:line="276" w:lineRule="auto"/>
      <w:ind w:left="864" w:hanging="864"/>
      <w:outlineLvl w:val="3"/>
    </w:pPr>
    <w:rPr>
      <w:rFonts w:ascii="Verdana" w:eastAsiaTheme="majorEastAsia" w:hAnsi="Verdana" w:cstheme="majorBidi"/>
      <w:b/>
      <w:bCs/>
      <w:spacing w:val="5"/>
      <w:sz w:val="22"/>
      <w:lang w:eastAsia="en-US"/>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uiPriority w:val="9"/>
    <w:qFormat/>
    <w:pPr>
      <w:spacing w:before="240" w:after="60"/>
      <w:outlineLvl w:val="5"/>
    </w:pPr>
    <w:rPr>
      <w:b/>
      <w:bCs/>
      <w:sz w:val="22"/>
      <w:szCs w:val="22"/>
    </w:rPr>
  </w:style>
  <w:style w:type="paragraph" w:styleId="Heading7">
    <w:name w:val="heading 7"/>
    <w:basedOn w:val="Normal"/>
    <w:next w:val="Normal"/>
    <w:link w:val="Heading7Char"/>
    <w:qFormat/>
    <w:rsid w:val="004B6035"/>
    <w:pPr>
      <w:spacing w:line="276" w:lineRule="auto"/>
      <w:ind w:left="1296" w:hanging="1296"/>
      <w:outlineLvl w:val="6"/>
    </w:pPr>
    <w:rPr>
      <w:rFonts w:ascii="Candara" w:eastAsiaTheme="majorEastAsia" w:hAnsi="Candara" w:cstheme="majorBidi"/>
      <w:b/>
      <w:bCs/>
      <w:i/>
      <w:iCs/>
      <w:color w:val="5A5A5A" w:themeColor="text1" w:themeTint="A5"/>
      <w:sz w:val="20"/>
      <w:szCs w:val="20"/>
      <w:lang w:eastAsia="en-US"/>
    </w:rPr>
  </w:style>
  <w:style w:type="paragraph" w:styleId="Heading8">
    <w:name w:val="heading 8"/>
    <w:basedOn w:val="Normal"/>
    <w:next w:val="Normal"/>
    <w:link w:val="Heading8Char"/>
    <w:qFormat/>
    <w:rsid w:val="004B6035"/>
    <w:pPr>
      <w:spacing w:line="276" w:lineRule="auto"/>
      <w:ind w:left="1440" w:hanging="1440"/>
      <w:outlineLvl w:val="7"/>
    </w:pPr>
    <w:rPr>
      <w:rFonts w:ascii="Candara" w:eastAsiaTheme="majorEastAsia" w:hAnsi="Candara" w:cstheme="majorBidi"/>
      <w:b/>
      <w:bCs/>
      <w:color w:val="7F7F7F" w:themeColor="text1" w:themeTint="80"/>
      <w:sz w:val="20"/>
      <w:szCs w:val="20"/>
      <w:lang w:eastAsia="en-US"/>
    </w:rPr>
  </w:style>
  <w:style w:type="paragraph" w:styleId="Heading9">
    <w:name w:val="heading 9"/>
    <w:basedOn w:val="Normal"/>
    <w:next w:val="Normal"/>
    <w:link w:val="Heading9Char"/>
    <w:qFormat/>
    <w:rsid w:val="004B6035"/>
    <w:pPr>
      <w:spacing w:line="271" w:lineRule="auto"/>
      <w:ind w:left="1584" w:hanging="1584"/>
      <w:outlineLvl w:val="8"/>
    </w:pPr>
    <w:rPr>
      <w:rFonts w:ascii="Candara" w:eastAsiaTheme="majorEastAsia" w:hAnsi="Candara" w:cstheme="majorBidi"/>
      <w:b/>
      <w:bCs/>
      <w:i/>
      <w:iCs/>
      <w:color w:val="7F7F7F" w:themeColor="text1" w:themeTint="8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ASD Table,RTI AMCP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Styl moj,Akapit z listą11,Table Legend"/>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aliases w:val="H3i Char"/>
    <w:basedOn w:val="DefaultParagraphFont"/>
    <w:link w:val="Heading3"/>
    <w:rsid w:val="004D126A"/>
    <w:rPr>
      <w:rFonts w:asciiTheme="minorHAnsi" w:eastAsiaTheme="majorEastAsia" w:hAnsiTheme="minorHAnsi" w:cstheme="majorBidi"/>
      <w:bCs/>
      <w:sz w:val="24"/>
      <w:szCs w:val="24"/>
      <w:u w:val="single"/>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Styl moj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aliases w:val="H1i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H2i Char"/>
    <w:basedOn w:val="DefaultParagraphFont"/>
    <w:link w:val="Heading2"/>
    <w:uiPriority w:val="1"/>
    <w:rsid w:val="00261721"/>
    <w:rPr>
      <w:rFonts w:asciiTheme="minorHAnsi" w:eastAsiaTheme="minorHAnsi" w:hAnsiTheme="minorHAnsi" w:cstheme="minorBidi"/>
      <w:b/>
      <w:i/>
      <w:color w:val="000000" w:themeColor="text1"/>
      <w:sz w:val="28"/>
      <w:szCs w:val="24"/>
      <w:lang w:eastAsia="en-US"/>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616C19"/>
    <w:pPr>
      <w:widowControl/>
      <w:numPr>
        <w:ilvl w:val="1"/>
        <w:numId w:val="1"/>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616C19"/>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bullet"/>
    <w:qFormat/>
    <w:rsid w:val="0022530E"/>
    <w:pPr>
      <w:numPr>
        <w:numId w:val="9"/>
      </w:numPr>
    </w:p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3Bodytext"/>
    <w:qFormat/>
    <w:rsid w:val="00261721"/>
    <w:rPr>
      <w:i/>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05246A"/>
    <w:rPr>
      <w:rFonts w:ascii="Arial Narrow" w:hAnsi="Arial Narrow"/>
      <w:b/>
      <w:iCs/>
      <w:color w:val="000000" w:themeColor="text1"/>
      <w:sz w:val="20"/>
      <w:szCs w:val="20"/>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subsubheading">
    <w:name w:val="subsubheading"/>
    <w:basedOn w:val="Heading2"/>
    <w:link w:val="subsubheadingChar"/>
    <w:qFormat/>
    <w:rsid w:val="00261721"/>
    <w:rPr>
      <w:sz w:val="24"/>
    </w:rPr>
  </w:style>
  <w:style w:type="character" w:customStyle="1" w:styleId="subsubheadingChar">
    <w:name w:val="subsubheading Char"/>
    <w:basedOn w:val="Heading2Char"/>
    <w:link w:val="subsubheading"/>
    <w:rsid w:val="00261721"/>
    <w:rPr>
      <w:rFonts w:asciiTheme="minorHAnsi" w:eastAsiaTheme="minorHAnsi" w:hAnsiTheme="minorHAnsi" w:cstheme="minorBidi"/>
      <w:b/>
      <w:i/>
      <w:color w:val="000000" w:themeColor="text1"/>
      <w:sz w:val="24"/>
      <w:szCs w:val="24"/>
      <w:lang w:eastAsia="en-US"/>
    </w:rPr>
  </w:style>
  <w:style w:type="paragraph" w:customStyle="1" w:styleId="bullet">
    <w:name w:val="bullet"/>
    <w:basedOn w:val="ListParagraph"/>
    <w:link w:val="bulletChar"/>
    <w:qFormat/>
    <w:rsid w:val="00F1490F"/>
    <w:pPr>
      <w:widowControl/>
      <w:numPr>
        <w:numId w:val="7"/>
      </w:numPr>
      <w:spacing w:after="120"/>
    </w:pPr>
    <w:rPr>
      <w:rFonts w:ascii="Calibri" w:hAnsi="Calibri"/>
      <w:snapToGrid/>
      <w:sz w:val="24"/>
      <w:szCs w:val="24"/>
    </w:rPr>
  </w:style>
  <w:style w:type="character" w:customStyle="1" w:styleId="bulletChar">
    <w:name w:val="bullet Char"/>
    <w:basedOn w:val="DefaultParagraphFont"/>
    <w:link w:val="bullet"/>
    <w:rsid w:val="00F1490F"/>
    <w:rPr>
      <w:rFonts w:ascii="Calibri" w:hAnsi="Calibri" w:cs="Arial"/>
      <w:sz w:val="24"/>
      <w:szCs w:val="24"/>
      <w:lang w:eastAsia="en-US"/>
    </w:rPr>
  </w:style>
  <w:style w:type="paragraph" w:customStyle="1" w:styleId="BulletedList">
    <w:name w:val="Bulleted List"/>
    <w:basedOn w:val="Normal"/>
    <w:uiPriority w:val="3"/>
    <w:qFormat/>
    <w:rsid w:val="000006A6"/>
    <w:pPr>
      <w:numPr>
        <w:numId w:val="8"/>
      </w:numPr>
      <w:spacing w:after="240" w:line="276" w:lineRule="auto"/>
      <w:ind w:left="357" w:hanging="357"/>
      <w:contextualSpacing/>
    </w:pPr>
    <w:rPr>
      <w:rFonts w:ascii="Candara" w:eastAsiaTheme="majorEastAsia" w:hAnsi="Candara" w:cstheme="majorBidi"/>
      <w:szCs w:val="22"/>
      <w:lang w:eastAsia="en-US"/>
    </w:rPr>
  </w:style>
  <w:style w:type="paragraph" w:styleId="TOC1">
    <w:name w:val="toc 1"/>
    <w:basedOn w:val="Normal"/>
    <w:next w:val="Normal"/>
    <w:autoRedefine/>
    <w:uiPriority w:val="39"/>
    <w:unhideWhenUsed/>
    <w:rsid w:val="00F61340"/>
    <w:pPr>
      <w:spacing w:after="100" w:line="276" w:lineRule="auto"/>
    </w:pPr>
    <w:rPr>
      <w:rFonts w:ascii="Candara" w:eastAsiaTheme="majorEastAsia" w:hAnsi="Candara" w:cstheme="majorBidi"/>
      <w:szCs w:val="22"/>
      <w:lang w:eastAsia="en-US"/>
    </w:rPr>
  </w:style>
  <w:style w:type="character" w:customStyle="1" w:styleId="Heading4Char">
    <w:name w:val="Heading 4 Char"/>
    <w:basedOn w:val="DefaultParagraphFont"/>
    <w:link w:val="Heading4"/>
    <w:uiPriority w:val="9"/>
    <w:rsid w:val="004B6035"/>
    <w:rPr>
      <w:rFonts w:ascii="Verdana" w:eastAsiaTheme="majorEastAsia" w:hAnsi="Verdana" w:cstheme="majorBidi"/>
      <w:b/>
      <w:bCs/>
      <w:spacing w:val="5"/>
      <w:sz w:val="22"/>
      <w:szCs w:val="24"/>
      <w:lang w:eastAsia="en-US"/>
    </w:rPr>
  </w:style>
  <w:style w:type="character" w:customStyle="1" w:styleId="Heading7Char">
    <w:name w:val="Heading 7 Char"/>
    <w:basedOn w:val="DefaultParagraphFont"/>
    <w:link w:val="Heading7"/>
    <w:rsid w:val="004B6035"/>
    <w:rPr>
      <w:rFonts w:ascii="Candara" w:eastAsiaTheme="majorEastAsia" w:hAnsi="Candara" w:cstheme="majorBidi"/>
      <w:b/>
      <w:bCs/>
      <w:i/>
      <w:iCs/>
      <w:color w:val="5A5A5A" w:themeColor="text1" w:themeTint="A5"/>
      <w:lang w:eastAsia="en-US"/>
    </w:rPr>
  </w:style>
  <w:style w:type="character" w:customStyle="1" w:styleId="Heading8Char">
    <w:name w:val="Heading 8 Char"/>
    <w:basedOn w:val="DefaultParagraphFont"/>
    <w:link w:val="Heading8"/>
    <w:rsid w:val="004B6035"/>
    <w:rPr>
      <w:rFonts w:ascii="Candara" w:eastAsiaTheme="majorEastAsia" w:hAnsi="Candara" w:cstheme="majorBidi"/>
      <w:b/>
      <w:bCs/>
      <w:color w:val="7F7F7F" w:themeColor="text1" w:themeTint="80"/>
      <w:lang w:eastAsia="en-US"/>
    </w:rPr>
  </w:style>
  <w:style w:type="character" w:customStyle="1" w:styleId="Heading9Char">
    <w:name w:val="Heading 9 Char"/>
    <w:basedOn w:val="DefaultParagraphFont"/>
    <w:link w:val="Heading9"/>
    <w:rsid w:val="004B6035"/>
    <w:rPr>
      <w:rFonts w:ascii="Candara" w:eastAsiaTheme="majorEastAsia" w:hAnsi="Candara" w:cstheme="majorBidi"/>
      <w:b/>
      <w:bCs/>
      <w:i/>
      <w:iCs/>
      <w:color w:val="7F7F7F" w:themeColor="text1" w:themeTint="80"/>
      <w:sz w:val="18"/>
      <w:szCs w:val="18"/>
      <w:lang w:eastAsia="en-US"/>
    </w:rPr>
  </w:style>
  <w:style w:type="character" w:customStyle="1" w:styleId="Heading5Char">
    <w:name w:val="Heading 5 Char"/>
    <w:basedOn w:val="DefaultParagraphFont"/>
    <w:link w:val="Heading5"/>
    <w:uiPriority w:val="9"/>
    <w:locked/>
    <w:rsid w:val="004B6035"/>
    <w:rPr>
      <w:b/>
      <w:bCs/>
      <w:i/>
      <w:iCs/>
      <w:sz w:val="26"/>
      <w:szCs w:val="26"/>
    </w:rPr>
  </w:style>
  <w:style w:type="table" w:styleId="LightShading-Accent2">
    <w:name w:val="Light Shading Accent 2"/>
    <w:basedOn w:val="TableNormal"/>
    <w:uiPriority w:val="60"/>
    <w:rsid w:val="001E16FA"/>
    <w:rPr>
      <w:rFonts w:asciiTheme="majorHAnsi" w:eastAsiaTheme="majorEastAsia" w:hAnsiTheme="majorHAnsi" w:cstheme="maj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heme="majorBid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heme="majorBidi"/>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EFD3D2" w:themeFill="accent2" w:themeFillTint="3F"/>
      </w:tcPr>
    </w:tblStylePr>
    <w:tblStylePr w:type="band1Horz">
      <w:rPr>
        <w:rFonts w:cstheme="majorBidi"/>
      </w:rPr>
      <w:tblPr/>
      <w:tcPr>
        <w:tcBorders>
          <w:left w:val="nil"/>
          <w:right w:val="nil"/>
          <w:insideH w:val="nil"/>
          <w:insideV w:val="nil"/>
        </w:tcBorders>
        <w:shd w:val="clear" w:color="auto" w:fill="EFD3D2" w:themeFill="accent2" w:themeFillTint="3F"/>
      </w:tcPr>
    </w:tblStylePr>
  </w:style>
  <w:style w:type="paragraph" w:styleId="Revision">
    <w:name w:val="Revision"/>
    <w:hidden/>
    <w:uiPriority w:val="71"/>
    <w:semiHidden/>
    <w:rsid w:val="00AC3385"/>
    <w:rPr>
      <w:sz w:val="24"/>
      <w:szCs w:val="24"/>
    </w:rPr>
  </w:style>
  <w:style w:type="paragraph" w:styleId="NormalWeb">
    <w:name w:val="Normal (Web)"/>
    <w:basedOn w:val="Normal"/>
    <w:uiPriority w:val="99"/>
    <w:unhideWhenUsed/>
    <w:rsid w:val="00B80468"/>
    <w:pPr>
      <w:spacing w:before="100" w:beforeAutospacing="1" w:after="100" w:afterAutospacing="1"/>
    </w:pPr>
  </w:style>
  <w:style w:type="paragraph" w:customStyle="1" w:styleId="1-MainHeading">
    <w:name w:val="1- Main Heading"/>
    <w:link w:val="1-MainHeadingChar"/>
    <w:qFormat/>
    <w:rsid w:val="00075154"/>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075154"/>
    <w:rPr>
      <w:rFonts w:asciiTheme="minorHAnsi" w:eastAsiaTheme="majorEastAsia" w:hAnsiTheme="minorHAnsi" w:cstheme="majorBidi"/>
      <w:b/>
      <w:spacing w:val="5"/>
      <w:kern w:val="28"/>
      <w:sz w:val="36"/>
      <w:szCs w:val="36"/>
    </w:rPr>
  </w:style>
  <w:style w:type="paragraph" w:customStyle="1" w:styleId="normal2">
    <w:name w:val="normal2"/>
    <w:basedOn w:val="Normal"/>
    <w:link w:val="normal2Char"/>
    <w:qFormat/>
    <w:rsid w:val="00350121"/>
    <w:pPr>
      <w:jc w:val="both"/>
    </w:pPr>
    <w:rPr>
      <w:rFonts w:asciiTheme="minorHAnsi" w:hAnsiTheme="minorHAnsi" w:cs="Arial"/>
      <w:bCs/>
      <w:snapToGrid w:val="0"/>
      <w:lang w:val="en-GB"/>
    </w:rPr>
  </w:style>
  <w:style w:type="character" w:customStyle="1" w:styleId="normal2Char">
    <w:name w:val="normal2 Char"/>
    <w:basedOn w:val="DefaultParagraphFont"/>
    <w:link w:val="normal2"/>
    <w:rsid w:val="00350121"/>
    <w:rPr>
      <w:rFonts w:asciiTheme="minorHAnsi" w:hAnsiTheme="minorHAnsi" w:cs="Arial"/>
      <w:bCs/>
      <w:snapToGrid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77565076">
      <w:bodyDiv w:val="1"/>
      <w:marLeft w:val="0"/>
      <w:marRight w:val="0"/>
      <w:marTop w:val="0"/>
      <w:marBottom w:val="0"/>
      <w:divBdr>
        <w:top w:val="none" w:sz="0" w:space="0" w:color="auto"/>
        <w:left w:val="none" w:sz="0" w:space="0" w:color="auto"/>
        <w:bottom w:val="none" w:sz="0" w:space="0" w:color="auto"/>
        <w:right w:val="none" w:sz="0" w:space="0" w:color="auto"/>
      </w:divBdr>
      <w:divsChild>
        <w:div w:id="1592929003">
          <w:marLeft w:val="0"/>
          <w:marRight w:val="0"/>
          <w:marTop w:val="0"/>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40795481">
      <w:bodyDiv w:val="1"/>
      <w:marLeft w:val="0"/>
      <w:marRight w:val="0"/>
      <w:marTop w:val="0"/>
      <w:marBottom w:val="0"/>
      <w:divBdr>
        <w:top w:val="none" w:sz="0" w:space="0" w:color="auto"/>
        <w:left w:val="none" w:sz="0" w:space="0" w:color="auto"/>
        <w:bottom w:val="none" w:sz="0" w:space="0" w:color="auto"/>
        <w:right w:val="none" w:sz="0" w:space="0" w:color="auto"/>
      </w:divBdr>
      <w:divsChild>
        <w:div w:id="2087264460">
          <w:marLeft w:val="0"/>
          <w:marRight w:val="0"/>
          <w:marTop w:val="0"/>
          <w:marBottom w:val="0"/>
          <w:divBdr>
            <w:top w:val="none" w:sz="0" w:space="0" w:color="auto"/>
            <w:left w:val="none" w:sz="0" w:space="0" w:color="auto"/>
            <w:bottom w:val="none" w:sz="0" w:space="0" w:color="auto"/>
            <w:right w:val="none" w:sz="0" w:space="0" w:color="auto"/>
          </w:divBdr>
        </w:div>
      </w:divsChild>
    </w:div>
    <w:div w:id="1427532489">
      <w:bodyDiv w:val="1"/>
      <w:marLeft w:val="0"/>
      <w:marRight w:val="0"/>
      <w:marTop w:val="0"/>
      <w:marBottom w:val="0"/>
      <w:divBdr>
        <w:top w:val="none" w:sz="0" w:space="0" w:color="auto"/>
        <w:left w:val="none" w:sz="0" w:space="0" w:color="auto"/>
        <w:bottom w:val="none" w:sz="0" w:space="0" w:color="auto"/>
        <w:right w:val="none" w:sz="0" w:space="0" w:color="auto"/>
      </w:divBdr>
    </w:div>
    <w:div w:id="1531919043">
      <w:bodyDiv w:val="1"/>
      <w:marLeft w:val="0"/>
      <w:marRight w:val="0"/>
      <w:marTop w:val="0"/>
      <w:marBottom w:val="0"/>
      <w:divBdr>
        <w:top w:val="none" w:sz="0" w:space="0" w:color="auto"/>
        <w:left w:val="none" w:sz="0" w:space="0" w:color="auto"/>
        <w:bottom w:val="none" w:sz="0" w:space="0" w:color="auto"/>
        <w:right w:val="none" w:sz="0" w:space="0" w:color="auto"/>
      </w:divBdr>
    </w:div>
    <w:div w:id="159725119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B1F39-EBB6-4E1F-A5EF-E07C9136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2725</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2020-06-19T02:32:00Z</dcterms:created>
  <dcterms:modified xsi:type="dcterms:W3CDTF">2020-06-19T02:39:00Z</dcterms:modified>
</cp:coreProperties>
</file>