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AC50D" w14:textId="06539CD0" w:rsidR="008F264F" w:rsidRPr="00504352" w:rsidRDefault="00034CBA" w:rsidP="00F454DC">
      <w:pPr>
        <w:pStyle w:val="1MainTitle"/>
      </w:pPr>
      <w:bookmarkStart w:id="0" w:name="_GoBack"/>
      <w:bookmarkEnd w:id="0"/>
      <w:r w:rsidRPr="00504352">
        <w:t>5.11</w:t>
      </w:r>
      <w:r w:rsidR="008F264F" w:rsidRPr="00504352">
        <w:tab/>
        <w:t>PEGFILGRASTIM</w:t>
      </w:r>
      <w:r w:rsidR="008F264F" w:rsidRPr="00504352">
        <w:br/>
        <w:t>Injection 6 mg in 0.6 mL</w:t>
      </w:r>
      <w:r w:rsidR="003618D0" w:rsidRPr="00504352">
        <w:t xml:space="preserve"> single use pre-filled syringe, </w:t>
      </w:r>
      <w:proofErr w:type="spellStart"/>
      <w:r w:rsidR="008F264F" w:rsidRPr="00504352">
        <w:t>Pelgraz</w:t>
      </w:r>
      <w:proofErr w:type="spellEnd"/>
      <w:r w:rsidR="008F264F" w:rsidRPr="00504352">
        <w:rPr>
          <w:vertAlign w:val="superscript"/>
        </w:rPr>
        <w:t>®</w:t>
      </w:r>
      <w:r w:rsidR="009100E6" w:rsidRPr="00504352">
        <w:t xml:space="preserve">, </w:t>
      </w:r>
      <w:r w:rsidR="008F264F" w:rsidRPr="00504352">
        <w:br/>
        <w:t>Accord Healthcare Pty Ltd</w:t>
      </w:r>
    </w:p>
    <w:p w14:paraId="0596616F" w14:textId="18477220" w:rsidR="008A50F1" w:rsidRPr="00504352" w:rsidRDefault="00CE10C4" w:rsidP="00F8425A">
      <w:pPr>
        <w:pStyle w:val="2Sections"/>
      </w:pPr>
      <w:r w:rsidRPr="00504352">
        <w:t xml:space="preserve">Purpose of </w:t>
      </w:r>
      <w:r w:rsidR="0004240E" w:rsidRPr="00504352">
        <w:t>Application</w:t>
      </w:r>
    </w:p>
    <w:p w14:paraId="5B59E2D0" w14:textId="70007E21" w:rsidR="008F264F" w:rsidRPr="00504352" w:rsidRDefault="008F264F" w:rsidP="008605C4">
      <w:pPr>
        <w:pStyle w:val="3Bodytext"/>
      </w:pPr>
      <w:r w:rsidRPr="00504352">
        <w:t xml:space="preserve">The minor submission sought a Section 100 Highly Specialised Drugs (HSD) program listing for a new biosimilar brand of </w:t>
      </w:r>
      <w:proofErr w:type="spellStart"/>
      <w:r w:rsidRPr="00504352">
        <w:t>pegfilgrastim</w:t>
      </w:r>
      <w:proofErr w:type="spellEnd"/>
      <w:r w:rsidRPr="00504352">
        <w:t xml:space="preserve"> (</w:t>
      </w:r>
      <w:proofErr w:type="spellStart"/>
      <w:r w:rsidRPr="00504352">
        <w:t>Pelgraz</w:t>
      </w:r>
      <w:proofErr w:type="spellEnd"/>
      <w:r w:rsidRPr="00504352">
        <w:t>®) for all indications for which the reference brand (</w:t>
      </w:r>
      <w:proofErr w:type="spellStart"/>
      <w:r w:rsidRPr="00504352">
        <w:t>Neul</w:t>
      </w:r>
      <w:r w:rsidR="003618D0" w:rsidRPr="00504352">
        <w:t>asta</w:t>
      </w:r>
      <w:proofErr w:type="spellEnd"/>
      <w:r w:rsidR="003618D0" w:rsidRPr="00504352">
        <w:t>®) is currently PBS listed.</w:t>
      </w:r>
    </w:p>
    <w:p w14:paraId="2E0CE87A" w14:textId="77777777" w:rsidR="00A919D6" w:rsidRPr="00504352" w:rsidRDefault="00A919D6" w:rsidP="00A919D6">
      <w:pPr>
        <w:pStyle w:val="2Sections"/>
      </w:pPr>
      <w:r w:rsidRPr="00504352">
        <w:t>Requested listing</w:t>
      </w:r>
    </w:p>
    <w:p w14:paraId="403F64EA" w14:textId="77777777" w:rsidR="00A919D6" w:rsidRPr="00504352" w:rsidRDefault="00A919D6" w:rsidP="00A919D6">
      <w:pPr>
        <w:pStyle w:val="3Bodytext"/>
      </w:pPr>
      <w:r w:rsidRPr="00504352">
        <w:t xml:space="preserve">The submission requested the </w:t>
      </w:r>
      <w:r>
        <w:t xml:space="preserve">same listings for </w:t>
      </w:r>
      <w:proofErr w:type="spellStart"/>
      <w:r>
        <w:t>Pelgraz</w:t>
      </w:r>
      <w:proofErr w:type="spellEnd"/>
      <w:r>
        <w:t xml:space="preserve"> as the reference product, </w:t>
      </w:r>
      <w:proofErr w:type="spellStart"/>
      <w:r>
        <w:t>Neulasta</w:t>
      </w:r>
      <w:proofErr w:type="spellEnd"/>
      <w:r w:rsidRPr="00504352">
        <w:t>.</w:t>
      </w:r>
    </w:p>
    <w:p w14:paraId="5B0F419E" w14:textId="77777777" w:rsidR="00A919D6" w:rsidRPr="00504352" w:rsidRDefault="00A919D6" w:rsidP="00A919D6">
      <w:pPr>
        <w:pStyle w:val="3Bodytext"/>
      </w:pPr>
      <w:r w:rsidRPr="00504352">
        <w:t xml:space="preserve">Suggestions and additions proposed by the Secretariat to the requested listings are in </w:t>
      </w:r>
      <w:proofErr w:type="gramStart"/>
      <w:r w:rsidRPr="00504352">
        <w:t>italics</w:t>
      </w:r>
      <w:proofErr w:type="gramEnd"/>
      <w:r w:rsidRPr="00504352">
        <w:t>,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1135"/>
        <w:gridCol w:w="849"/>
        <w:gridCol w:w="710"/>
        <w:gridCol w:w="566"/>
        <w:gridCol w:w="990"/>
        <w:gridCol w:w="2075"/>
      </w:tblGrid>
      <w:tr w:rsidR="00A919D6" w:rsidRPr="00504352" w14:paraId="0CDB6590" w14:textId="77777777" w:rsidTr="00485CFF">
        <w:trPr>
          <w:cantSplit/>
          <w:trHeight w:val="471"/>
        </w:trPr>
        <w:tc>
          <w:tcPr>
            <w:tcW w:w="1492" w:type="pct"/>
          </w:tcPr>
          <w:p w14:paraId="735537B7" w14:textId="77777777" w:rsidR="00A919D6" w:rsidRPr="00504352" w:rsidRDefault="00A919D6" w:rsidP="00485CFF">
            <w:pPr>
              <w:keepNext/>
              <w:ind w:left="-108"/>
              <w:rPr>
                <w:rFonts w:ascii="Arial Narrow" w:hAnsi="Arial Narrow" w:cs="Arial"/>
                <w:b/>
                <w:sz w:val="18"/>
                <w:szCs w:val="18"/>
              </w:rPr>
            </w:pPr>
            <w:r w:rsidRPr="00504352">
              <w:rPr>
                <w:rFonts w:ascii="Arial Narrow" w:hAnsi="Arial Narrow" w:cs="Arial"/>
                <w:b/>
                <w:sz w:val="18"/>
                <w:szCs w:val="18"/>
              </w:rPr>
              <w:t>Name, Restriction,</w:t>
            </w:r>
          </w:p>
          <w:p w14:paraId="27476836" w14:textId="77777777" w:rsidR="00A919D6" w:rsidRPr="00504352" w:rsidRDefault="00A919D6" w:rsidP="00485CFF">
            <w:pPr>
              <w:keepNext/>
              <w:ind w:left="-108"/>
              <w:rPr>
                <w:rFonts w:ascii="Arial Narrow" w:hAnsi="Arial Narrow" w:cs="Arial"/>
                <w:b/>
                <w:sz w:val="18"/>
                <w:szCs w:val="18"/>
              </w:rPr>
            </w:pPr>
            <w:r w:rsidRPr="00504352">
              <w:rPr>
                <w:rFonts w:ascii="Arial Narrow" w:hAnsi="Arial Narrow" w:cs="Arial"/>
                <w:b/>
                <w:sz w:val="18"/>
                <w:szCs w:val="18"/>
              </w:rPr>
              <w:t>Manner of administration and form</w:t>
            </w:r>
          </w:p>
        </w:tc>
        <w:tc>
          <w:tcPr>
            <w:tcW w:w="629" w:type="pct"/>
          </w:tcPr>
          <w:p w14:paraId="7975957D" w14:textId="77777777" w:rsidR="00A919D6" w:rsidRPr="00504352" w:rsidRDefault="00A919D6" w:rsidP="00485CFF">
            <w:pPr>
              <w:keepNext/>
              <w:ind w:left="-108"/>
              <w:jc w:val="center"/>
              <w:rPr>
                <w:rFonts w:ascii="Arial Narrow" w:hAnsi="Arial Narrow" w:cs="Arial"/>
                <w:b/>
                <w:sz w:val="18"/>
                <w:szCs w:val="18"/>
              </w:rPr>
            </w:pPr>
            <w:r w:rsidRPr="00504352">
              <w:rPr>
                <w:rFonts w:ascii="Arial Narrow" w:hAnsi="Arial Narrow" w:cs="Arial"/>
                <w:b/>
                <w:sz w:val="18"/>
                <w:szCs w:val="18"/>
              </w:rPr>
              <w:t>PBS item code</w:t>
            </w:r>
          </w:p>
        </w:tc>
        <w:tc>
          <w:tcPr>
            <w:tcW w:w="471" w:type="pct"/>
          </w:tcPr>
          <w:p w14:paraId="2EF4CD41" w14:textId="77777777" w:rsidR="00A919D6" w:rsidRPr="00504352" w:rsidRDefault="00A919D6" w:rsidP="00485CFF">
            <w:pPr>
              <w:keepNext/>
              <w:ind w:left="-108"/>
              <w:jc w:val="center"/>
              <w:rPr>
                <w:rFonts w:ascii="Arial Narrow" w:hAnsi="Arial Narrow" w:cs="Arial"/>
                <w:b/>
                <w:sz w:val="18"/>
                <w:szCs w:val="18"/>
              </w:rPr>
            </w:pPr>
            <w:r w:rsidRPr="00504352">
              <w:rPr>
                <w:rFonts w:ascii="Arial Narrow" w:hAnsi="Arial Narrow" w:cs="Arial"/>
                <w:b/>
                <w:sz w:val="18"/>
                <w:szCs w:val="18"/>
              </w:rPr>
              <w:t>Max. qty packs</w:t>
            </w:r>
          </w:p>
        </w:tc>
        <w:tc>
          <w:tcPr>
            <w:tcW w:w="394" w:type="pct"/>
          </w:tcPr>
          <w:p w14:paraId="0072FF5F" w14:textId="77777777" w:rsidR="00A919D6" w:rsidRPr="00504352" w:rsidRDefault="00A919D6" w:rsidP="00485CFF">
            <w:pPr>
              <w:keepNext/>
              <w:ind w:left="-108"/>
              <w:jc w:val="center"/>
              <w:rPr>
                <w:rFonts w:ascii="Arial Narrow" w:hAnsi="Arial Narrow" w:cs="Arial"/>
                <w:b/>
                <w:sz w:val="18"/>
                <w:szCs w:val="18"/>
              </w:rPr>
            </w:pPr>
            <w:r w:rsidRPr="00504352">
              <w:rPr>
                <w:rFonts w:ascii="Arial Narrow" w:hAnsi="Arial Narrow" w:cs="Arial"/>
                <w:b/>
                <w:sz w:val="18"/>
                <w:szCs w:val="18"/>
              </w:rPr>
              <w:t>Max. qty units</w:t>
            </w:r>
          </w:p>
        </w:tc>
        <w:tc>
          <w:tcPr>
            <w:tcW w:w="314" w:type="pct"/>
          </w:tcPr>
          <w:p w14:paraId="56BBA14C" w14:textId="77777777" w:rsidR="00A919D6" w:rsidRPr="00504352" w:rsidRDefault="00A919D6" w:rsidP="00485CFF">
            <w:pPr>
              <w:keepNext/>
              <w:ind w:left="-108"/>
              <w:jc w:val="center"/>
              <w:rPr>
                <w:rFonts w:ascii="Arial Narrow" w:hAnsi="Arial Narrow" w:cs="Arial"/>
                <w:b/>
                <w:sz w:val="18"/>
                <w:szCs w:val="18"/>
              </w:rPr>
            </w:pPr>
            <w:r w:rsidRPr="00504352">
              <w:rPr>
                <w:rFonts w:ascii="Arial Narrow" w:hAnsi="Arial Narrow" w:cs="Arial"/>
                <w:b/>
                <w:sz w:val="18"/>
                <w:szCs w:val="18"/>
              </w:rPr>
              <w:t>№.of</w:t>
            </w:r>
          </w:p>
          <w:p w14:paraId="7727CCE1" w14:textId="77777777" w:rsidR="00A919D6" w:rsidRPr="00504352" w:rsidRDefault="00A919D6" w:rsidP="00485CFF">
            <w:pPr>
              <w:keepNext/>
              <w:ind w:left="-108"/>
              <w:jc w:val="center"/>
              <w:rPr>
                <w:rFonts w:ascii="Arial Narrow" w:hAnsi="Arial Narrow" w:cs="Arial"/>
                <w:b/>
                <w:sz w:val="18"/>
                <w:szCs w:val="18"/>
              </w:rPr>
            </w:pPr>
            <w:proofErr w:type="spellStart"/>
            <w:r w:rsidRPr="00504352">
              <w:rPr>
                <w:rFonts w:ascii="Arial Narrow" w:hAnsi="Arial Narrow" w:cs="Arial"/>
                <w:b/>
                <w:sz w:val="18"/>
                <w:szCs w:val="18"/>
              </w:rPr>
              <w:t>Rpts</w:t>
            </w:r>
            <w:proofErr w:type="spellEnd"/>
          </w:p>
        </w:tc>
        <w:tc>
          <w:tcPr>
            <w:tcW w:w="1700" w:type="pct"/>
            <w:gridSpan w:val="2"/>
          </w:tcPr>
          <w:p w14:paraId="4CEBCB19" w14:textId="77777777" w:rsidR="00A919D6" w:rsidRPr="00485CFF" w:rsidRDefault="00A919D6" w:rsidP="00485CFF">
            <w:pPr>
              <w:keepNext/>
              <w:rPr>
                <w:rFonts w:ascii="Arial Narrow" w:hAnsi="Arial Narrow" w:cs="Arial"/>
                <w:b/>
                <w:sz w:val="18"/>
                <w:szCs w:val="18"/>
              </w:rPr>
            </w:pPr>
            <w:r w:rsidRPr="00504352">
              <w:rPr>
                <w:rFonts w:ascii="Arial Narrow" w:hAnsi="Arial Narrow" w:cs="Arial"/>
                <w:b/>
                <w:sz w:val="18"/>
                <w:szCs w:val="18"/>
              </w:rPr>
              <w:t>Proprietary Name and Manufacturer</w:t>
            </w:r>
          </w:p>
        </w:tc>
      </w:tr>
      <w:tr w:rsidR="00A919D6" w:rsidRPr="00504352" w14:paraId="5779550A" w14:textId="77777777" w:rsidTr="00485CFF">
        <w:trPr>
          <w:cantSplit/>
          <w:trHeight w:val="514"/>
        </w:trPr>
        <w:tc>
          <w:tcPr>
            <w:tcW w:w="1492" w:type="pct"/>
          </w:tcPr>
          <w:p w14:paraId="57D3F2DE" w14:textId="77777777" w:rsidR="00A919D6" w:rsidRPr="00504352" w:rsidRDefault="00A919D6" w:rsidP="00485CFF">
            <w:pPr>
              <w:keepNext/>
              <w:ind w:left="-108"/>
              <w:rPr>
                <w:rFonts w:ascii="Arial Narrow" w:hAnsi="Arial Narrow" w:cs="Arial"/>
                <w:sz w:val="18"/>
                <w:szCs w:val="18"/>
              </w:rPr>
            </w:pPr>
            <w:r w:rsidRPr="00504352">
              <w:rPr>
                <w:rFonts w:ascii="Arial Narrow" w:hAnsi="Arial Narrow" w:cs="Arial"/>
                <w:smallCaps/>
                <w:sz w:val="18"/>
                <w:szCs w:val="18"/>
              </w:rPr>
              <w:t>PEGFILGRASTIM</w:t>
            </w:r>
          </w:p>
          <w:p w14:paraId="79191945" w14:textId="77777777" w:rsidR="00A919D6" w:rsidRPr="00504352" w:rsidRDefault="00A919D6" w:rsidP="00485CFF">
            <w:pPr>
              <w:keepNext/>
              <w:ind w:left="-108"/>
              <w:rPr>
                <w:rFonts w:ascii="Arial Narrow" w:hAnsi="Arial Narrow" w:cs="Arial"/>
                <w:sz w:val="18"/>
                <w:szCs w:val="18"/>
              </w:rPr>
            </w:pPr>
            <w:r w:rsidRPr="00504352">
              <w:rPr>
                <w:rFonts w:ascii="Arial Narrow" w:hAnsi="Arial Narrow" w:cs="Arial"/>
                <w:sz w:val="18"/>
                <w:szCs w:val="18"/>
              </w:rPr>
              <w:t>6 mg/0.6 mL injection, 0.6 mL syringe</w:t>
            </w:r>
          </w:p>
        </w:tc>
        <w:tc>
          <w:tcPr>
            <w:tcW w:w="629" w:type="pct"/>
          </w:tcPr>
          <w:p w14:paraId="52EB581D" w14:textId="77777777" w:rsidR="00A919D6" w:rsidRPr="00504352" w:rsidRDefault="00A919D6" w:rsidP="00485CFF">
            <w:pPr>
              <w:keepNext/>
              <w:ind w:left="-108"/>
              <w:jc w:val="center"/>
              <w:rPr>
                <w:rFonts w:ascii="Arial Narrow" w:hAnsi="Arial Narrow" w:cs="Arial"/>
                <w:sz w:val="18"/>
                <w:szCs w:val="18"/>
              </w:rPr>
            </w:pPr>
            <w:r w:rsidRPr="00504352">
              <w:rPr>
                <w:rFonts w:ascii="Arial Narrow" w:hAnsi="Arial Narrow" w:cs="Arial"/>
                <w:sz w:val="18"/>
                <w:szCs w:val="18"/>
              </w:rPr>
              <w:t>9514R (Public)</w:t>
            </w:r>
          </w:p>
          <w:p w14:paraId="29A027AE" w14:textId="77777777" w:rsidR="00A919D6" w:rsidRPr="00504352" w:rsidRDefault="00A919D6" w:rsidP="00485CFF">
            <w:pPr>
              <w:keepNext/>
              <w:ind w:left="-108"/>
              <w:jc w:val="center"/>
              <w:rPr>
                <w:rFonts w:ascii="Arial Narrow" w:hAnsi="Arial Narrow" w:cs="Arial"/>
                <w:sz w:val="18"/>
                <w:szCs w:val="18"/>
              </w:rPr>
            </w:pPr>
            <w:r w:rsidRPr="00504352">
              <w:rPr>
                <w:rFonts w:ascii="Arial Narrow" w:hAnsi="Arial Narrow" w:cs="Arial"/>
                <w:sz w:val="18"/>
                <w:szCs w:val="18"/>
              </w:rPr>
              <w:t>6363X (Private)</w:t>
            </w:r>
          </w:p>
        </w:tc>
        <w:tc>
          <w:tcPr>
            <w:tcW w:w="471" w:type="pct"/>
          </w:tcPr>
          <w:p w14:paraId="001EFB35" w14:textId="77777777" w:rsidR="00A919D6" w:rsidRPr="00504352" w:rsidRDefault="00A919D6" w:rsidP="00485CFF">
            <w:pPr>
              <w:keepNext/>
              <w:jc w:val="center"/>
              <w:rPr>
                <w:rFonts w:ascii="Arial Narrow" w:hAnsi="Arial Narrow" w:cs="Arial"/>
                <w:sz w:val="18"/>
                <w:szCs w:val="18"/>
              </w:rPr>
            </w:pPr>
          </w:p>
          <w:p w14:paraId="3F97CE2F" w14:textId="77777777" w:rsidR="00A919D6" w:rsidRPr="00504352" w:rsidRDefault="00A919D6" w:rsidP="00485CFF">
            <w:pPr>
              <w:keepNext/>
              <w:jc w:val="center"/>
              <w:rPr>
                <w:rFonts w:ascii="Arial Narrow" w:hAnsi="Arial Narrow" w:cs="Arial"/>
                <w:sz w:val="18"/>
                <w:szCs w:val="18"/>
              </w:rPr>
            </w:pPr>
            <w:r w:rsidRPr="00504352">
              <w:rPr>
                <w:rFonts w:ascii="Arial Narrow" w:hAnsi="Arial Narrow" w:cs="Arial"/>
                <w:sz w:val="18"/>
                <w:szCs w:val="18"/>
              </w:rPr>
              <w:t>1</w:t>
            </w:r>
          </w:p>
        </w:tc>
        <w:tc>
          <w:tcPr>
            <w:tcW w:w="394" w:type="pct"/>
          </w:tcPr>
          <w:p w14:paraId="3DCDC82D" w14:textId="77777777" w:rsidR="00A919D6" w:rsidRPr="00504352" w:rsidRDefault="00A919D6" w:rsidP="00485CFF">
            <w:pPr>
              <w:keepNext/>
              <w:ind w:left="-108"/>
              <w:jc w:val="center"/>
              <w:rPr>
                <w:rFonts w:ascii="Arial Narrow" w:hAnsi="Arial Narrow" w:cs="Arial"/>
                <w:sz w:val="18"/>
                <w:szCs w:val="18"/>
              </w:rPr>
            </w:pPr>
          </w:p>
          <w:p w14:paraId="1A854C2E" w14:textId="77777777" w:rsidR="00A919D6" w:rsidRPr="00504352" w:rsidRDefault="00A919D6" w:rsidP="00485CFF">
            <w:pPr>
              <w:keepNext/>
              <w:ind w:left="-108"/>
              <w:jc w:val="center"/>
              <w:rPr>
                <w:rFonts w:ascii="Arial Narrow" w:hAnsi="Arial Narrow" w:cs="Arial"/>
                <w:sz w:val="18"/>
                <w:szCs w:val="18"/>
              </w:rPr>
            </w:pPr>
            <w:r w:rsidRPr="00504352">
              <w:rPr>
                <w:rFonts w:ascii="Arial Narrow" w:hAnsi="Arial Narrow" w:cs="Arial"/>
                <w:sz w:val="18"/>
                <w:szCs w:val="18"/>
              </w:rPr>
              <w:t>1</w:t>
            </w:r>
          </w:p>
        </w:tc>
        <w:tc>
          <w:tcPr>
            <w:tcW w:w="314" w:type="pct"/>
          </w:tcPr>
          <w:p w14:paraId="06C82E6C" w14:textId="77777777" w:rsidR="00A919D6" w:rsidRPr="00504352" w:rsidRDefault="00A919D6" w:rsidP="00485CFF">
            <w:pPr>
              <w:keepNext/>
              <w:ind w:left="-108"/>
              <w:jc w:val="center"/>
              <w:rPr>
                <w:rFonts w:ascii="Arial Narrow" w:hAnsi="Arial Narrow" w:cs="Arial"/>
                <w:sz w:val="18"/>
                <w:szCs w:val="18"/>
              </w:rPr>
            </w:pPr>
          </w:p>
          <w:p w14:paraId="48A99111" w14:textId="77777777" w:rsidR="00A919D6" w:rsidRPr="00504352" w:rsidRDefault="00A919D6" w:rsidP="00485CFF">
            <w:pPr>
              <w:keepNext/>
              <w:ind w:left="-108"/>
              <w:jc w:val="center"/>
              <w:rPr>
                <w:rFonts w:ascii="Arial Narrow" w:hAnsi="Arial Narrow" w:cs="Arial"/>
                <w:sz w:val="18"/>
                <w:szCs w:val="18"/>
              </w:rPr>
            </w:pPr>
            <w:r w:rsidRPr="00504352">
              <w:rPr>
                <w:rFonts w:ascii="Arial Narrow" w:hAnsi="Arial Narrow" w:cs="Arial"/>
                <w:sz w:val="18"/>
                <w:szCs w:val="18"/>
              </w:rPr>
              <w:t>11</w:t>
            </w:r>
          </w:p>
        </w:tc>
        <w:tc>
          <w:tcPr>
            <w:tcW w:w="549" w:type="pct"/>
          </w:tcPr>
          <w:p w14:paraId="2C2F1CFB" w14:textId="77777777" w:rsidR="00A919D6" w:rsidRPr="00504352" w:rsidRDefault="00A919D6" w:rsidP="00485CFF">
            <w:pPr>
              <w:keepNext/>
              <w:rPr>
                <w:rFonts w:ascii="Arial Narrow" w:hAnsi="Arial Narrow" w:cs="Arial"/>
                <w:sz w:val="18"/>
                <w:szCs w:val="18"/>
              </w:rPr>
            </w:pPr>
          </w:p>
          <w:p w14:paraId="2677A0ED" w14:textId="77777777" w:rsidR="00A919D6" w:rsidRPr="00504352" w:rsidRDefault="00A919D6" w:rsidP="00485CFF">
            <w:pPr>
              <w:keepNext/>
              <w:rPr>
                <w:rFonts w:ascii="Arial Narrow" w:hAnsi="Arial Narrow" w:cs="Arial"/>
                <w:sz w:val="18"/>
                <w:szCs w:val="18"/>
                <w:vertAlign w:val="superscript"/>
              </w:rPr>
            </w:pPr>
            <w:proofErr w:type="spellStart"/>
            <w:r w:rsidRPr="00504352">
              <w:rPr>
                <w:rFonts w:ascii="Arial Narrow" w:hAnsi="Arial Narrow" w:cs="Arial"/>
                <w:sz w:val="18"/>
                <w:szCs w:val="18"/>
              </w:rPr>
              <w:t>Pelgraz</w:t>
            </w:r>
            <w:proofErr w:type="spellEnd"/>
            <w:r w:rsidRPr="00504352">
              <w:rPr>
                <w:rFonts w:ascii="Arial Narrow" w:hAnsi="Arial Narrow" w:cs="Arial"/>
                <w:sz w:val="18"/>
                <w:szCs w:val="18"/>
                <w:vertAlign w:val="superscript"/>
              </w:rPr>
              <w:t>®</w:t>
            </w:r>
          </w:p>
        </w:tc>
        <w:tc>
          <w:tcPr>
            <w:tcW w:w="1151" w:type="pct"/>
          </w:tcPr>
          <w:p w14:paraId="56657279" w14:textId="77777777" w:rsidR="00A919D6" w:rsidRPr="00504352" w:rsidRDefault="00A919D6" w:rsidP="00485CFF">
            <w:pPr>
              <w:keepNext/>
              <w:rPr>
                <w:rFonts w:ascii="Arial Narrow" w:hAnsi="Arial Narrow" w:cs="Arial"/>
                <w:sz w:val="18"/>
                <w:szCs w:val="18"/>
              </w:rPr>
            </w:pPr>
          </w:p>
          <w:p w14:paraId="0CE565A6" w14:textId="77777777" w:rsidR="00A919D6" w:rsidRPr="00504352" w:rsidRDefault="00A919D6" w:rsidP="00485CFF">
            <w:pPr>
              <w:keepNext/>
              <w:rPr>
                <w:rFonts w:ascii="Arial Narrow" w:hAnsi="Arial Narrow" w:cs="Arial"/>
                <w:sz w:val="18"/>
                <w:szCs w:val="18"/>
              </w:rPr>
            </w:pPr>
            <w:r w:rsidRPr="00504352">
              <w:rPr>
                <w:rFonts w:ascii="Arial Narrow" w:hAnsi="Arial Narrow" w:cs="Arial"/>
                <w:sz w:val="18"/>
                <w:szCs w:val="18"/>
              </w:rPr>
              <w:t>Accord Healthcare Pty Ltd</w:t>
            </w:r>
          </w:p>
        </w:tc>
      </w:tr>
    </w:tbl>
    <w:p w14:paraId="64C04243" w14:textId="77777777" w:rsidR="00A919D6" w:rsidRPr="00504352" w:rsidRDefault="00A919D6" w:rsidP="00A919D6"/>
    <w:p w14:paraId="3EBAF82E" w14:textId="77777777" w:rsidR="00A919D6" w:rsidRPr="00504352" w:rsidRDefault="00A919D6" w:rsidP="00A919D6">
      <w:pPr>
        <w:rPr>
          <w:rFonts w:ascii="Arial Narrow" w:hAnsi="Arial Narrow"/>
          <w:b/>
          <w:sz w:val="18"/>
          <w:szCs w:val="18"/>
        </w:rPr>
      </w:pPr>
      <w:r w:rsidRPr="00504352">
        <w:rPr>
          <w:rFonts w:ascii="Arial Narrow" w:hAnsi="Arial Narrow"/>
          <w:b/>
          <w:sz w:val="18"/>
          <w:szCs w:val="18"/>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A919D6" w:rsidRPr="00504352" w14:paraId="4DC238DC" w14:textId="77777777" w:rsidTr="00485CFF">
        <w:tc>
          <w:tcPr>
            <w:tcW w:w="553" w:type="pct"/>
            <w:tcBorders>
              <w:top w:val="single" w:sz="4" w:space="0" w:color="auto"/>
              <w:left w:val="single" w:sz="4" w:space="0" w:color="auto"/>
              <w:bottom w:val="single" w:sz="4" w:space="0" w:color="auto"/>
              <w:right w:val="single" w:sz="4" w:space="0" w:color="auto"/>
            </w:tcBorders>
          </w:tcPr>
          <w:p w14:paraId="25CFCF82" w14:textId="77777777" w:rsidR="00A919D6" w:rsidRPr="00504352" w:rsidRDefault="00A919D6" w:rsidP="00485CFF">
            <w:pPr>
              <w:jc w:val="center"/>
              <w:rPr>
                <w:rFonts w:ascii="Arial Narrow" w:hAnsi="Arial Narrow" w:cs="Arial"/>
                <w:b/>
                <w:sz w:val="18"/>
                <w:szCs w:val="18"/>
              </w:rPr>
            </w:pPr>
            <w:r w:rsidRPr="00504352">
              <w:rPr>
                <w:rFonts w:ascii="Arial Narrow" w:hAnsi="Arial Narrow" w:cs="Arial"/>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14:paraId="30587D0D" w14:textId="77777777" w:rsidR="00A919D6" w:rsidRPr="00504352" w:rsidRDefault="00A919D6" w:rsidP="00485CFF">
            <w:pPr>
              <w:rPr>
                <w:rFonts w:ascii="Arial Narrow" w:hAnsi="Arial Narrow" w:cs="Arial"/>
                <w:sz w:val="18"/>
                <w:szCs w:val="18"/>
              </w:rPr>
            </w:pPr>
            <w:r w:rsidRPr="00504352">
              <w:rPr>
                <w:rFonts w:ascii="Arial Narrow" w:hAnsi="Arial Narrow" w:cs="Arial"/>
                <w:b/>
                <w:sz w:val="18"/>
                <w:szCs w:val="18"/>
              </w:rPr>
              <w:t>Category / Program:</w:t>
            </w:r>
            <w:r w:rsidRPr="00504352">
              <w:rPr>
                <w:rFonts w:ascii="Arial Narrow" w:hAnsi="Arial Narrow" w:cs="Arial"/>
                <w:sz w:val="18"/>
                <w:szCs w:val="18"/>
              </w:rPr>
              <w:t xml:space="preserve"> Section 100 – Highly Specialised Drugs Program – Public/Private </w:t>
            </w:r>
          </w:p>
        </w:tc>
      </w:tr>
      <w:tr w:rsidR="00A919D6" w:rsidRPr="00504352" w14:paraId="0B9E9056" w14:textId="77777777" w:rsidTr="00485CFF">
        <w:trPr>
          <w:trHeight w:val="240"/>
        </w:trPr>
        <w:tc>
          <w:tcPr>
            <w:tcW w:w="553" w:type="pct"/>
            <w:tcBorders>
              <w:top w:val="single" w:sz="4" w:space="0" w:color="auto"/>
              <w:left w:val="single" w:sz="4" w:space="0" w:color="auto"/>
              <w:bottom w:val="single" w:sz="4" w:space="0" w:color="auto"/>
              <w:right w:val="single" w:sz="4" w:space="0" w:color="auto"/>
            </w:tcBorders>
          </w:tcPr>
          <w:p w14:paraId="2F0C214C" w14:textId="77777777" w:rsidR="00A919D6" w:rsidRPr="00504352" w:rsidRDefault="00A919D6" w:rsidP="00485CFF">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14:paraId="7F661E1F" w14:textId="77777777" w:rsidR="00A919D6" w:rsidRPr="00504352" w:rsidRDefault="00A919D6" w:rsidP="00485CFF">
            <w:pPr>
              <w:rPr>
                <w:rFonts w:ascii="Arial Narrow" w:hAnsi="Arial Narrow" w:cs="Arial"/>
                <w:b/>
                <w:sz w:val="18"/>
                <w:szCs w:val="18"/>
              </w:rPr>
            </w:pPr>
            <w:r w:rsidRPr="00504352">
              <w:rPr>
                <w:rFonts w:ascii="Arial Narrow" w:hAnsi="Arial Narrow" w:cs="Arial"/>
                <w:b/>
                <w:sz w:val="18"/>
                <w:szCs w:val="18"/>
              </w:rPr>
              <w:t xml:space="preserve">Prescriber type:   </w:t>
            </w:r>
            <w:r w:rsidRPr="00485CFF">
              <w:rPr>
                <w:rFonts w:ascii="Arial Narrow" w:hAnsi="Arial Narrow" w:cs="Arial"/>
                <w:sz w:val="18"/>
                <w:szCs w:val="18"/>
              </w:rPr>
              <w:fldChar w:fldCharType="begin">
                <w:ffData>
                  <w:name w:val="Check1"/>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 xml:space="preserve">Dental   </w:t>
            </w:r>
            <w:r w:rsidRPr="00485CFF">
              <w:rPr>
                <w:rFonts w:ascii="Arial Narrow" w:hAnsi="Arial Narrow" w:cs="Arial"/>
                <w:sz w:val="18"/>
                <w:szCs w:val="18"/>
              </w:rPr>
              <w:fldChar w:fldCharType="begin">
                <w:ffData>
                  <w:name w:val=""/>
                  <w:enabled/>
                  <w:calcOnExit w:val="0"/>
                  <w:checkBox>
                    <w:sizeAuto/>
                    <w:default w:val="1"/>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 xml:space="preserve">Medical Practitioners   </w:t>
            </w:r>
            <w:r w:rsidRPr="00485CFF">
              <w:rPr>
                <w:rFonts w:ascii="Arial Narrow" w:hAnsi="Arial Narrow" w:cs="Arial"/>
                <w:sz w:val="18"/>
                <w:szCs w:val="18"/>
              </w:rPr>
              <w:fldChar w:fldCharType="begin">
                <w:ffData>
                  <w:name w:val="Check3"/>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 xml:space="preserve">Nurse practitioners   </w:t>
            </w:r>
            <w:r w:rsidRPr="00485CFF">
              <w:rPr>
                <w:rFonts w:ascii="Arial Narrow" w:hAnsi="Arial Narrow" w:cs="Arial"/>
                <w:sz w:val="18"/>
                <w:szCs w:val="18"/>
              </w:rPr>
              <w:fldChar w:fldCharType="begin">
                <w:ffData>
                  <w:name w:val=""/>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 xml:space="preserve">Optometrists   </w:t>
            </w:r>
            <w:r w:rsidRPr="00485CFF">
              <w:rPr>
                <w:rFonts w:ascii="Arial Narrow" w:hAnsi="Arial Narrow" w:cs="Arial"/>
                <w:sz w:val="18"/>
                <w:szCs w:val="18"/>
              </w:rPr>
              <w:fldChar w:fldCharType="begin">
                <w:ffData>
                  <w:name w:val="Check5"/>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Midwives</w:t>
            </w:r>
          </w:p>
        </w:tc>
      </w:tr>
      <w:tr w:rsidR="00A919D6" w:rsidRPr="00504352" w14:paraId="1767FADE" w14:textId="77777777" w:rsidTr="00485CFF">
        <w:tc>
          <w:tcPr>
            <w:tcW w:w="553" w:type="pct"/>
            <w:tcBorders>
              <w:top w:val="single" w:sz="4" w:space="0" w:color="auto"/>
              <w:left w:val="single" w:sz="4" w:space="0" w:color="auto"/>
              <w:bottom w:val="single" w:sz="4" w:space="0" w:color="auto"/>
              <w:right w:val="single" w:sz="4" w:space="0" w:color="auto"/>
            </w:tcBorders>
          </w:tcPr>
          <w:p w14:paraId="5D13FD7F" w14:textId="77777777" w:rsidR="00A919D6" w:rsidRPr="00504352" w:rsidRDefault="00A919D6" w:rsidP="00485CFF">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14:paraId="62F0CB33" w14:textId="77777777" w:rsidR="00A919D6" w:rsidRPr="00504352" w:rsidRDefault="00A919D6" w:rsidP="00485CFF">
            <w:pPr>
              <w:rPr>
                <w:rFonts w:ascii="Arial Narrow" w:hAnsi="Arial Narrow" w:cs="Arial"/>
                <w:b/>
                <w:sz w:val="18"/>
                <w:szCs w:val="18"/>
              </w:rPr>
            </w:pPr>
            <w:r w:rsidRPr="00504352">
              <w:rPr>
                <w:rFonts w:ascii="Arial Narrow" w:hAnsi="Arial Narrow" w:cs="Arial"/>
                <w:b/>
                <w:sz w:val="18"/>
                <w:szCs w:val="18"/>
              </w:rPr>
              <w:t>Restriction Level / Method:</w:t>
            </w:r>
          </w:p>
          <w:p w14:paraId="4AB04A1B"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Check1"/>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Unrestricted benefit</w:t>
            </w:r>
          </w:p>
          <w:p w14:paraId="6817BAD5"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Check1"/>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Restricted benefit</w:t>
            </w:r>
          </w:p>
          <w:p w14:paraId="71677317"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Authority Required – In Writing</w:t>
            </w:r>
          </w:p>
          <w:p w14:paraId="28B720E8"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Check3"/>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Authority Required – Telephone/Electronic/Emergency</w:t>
            </w:r>
          </w:p>
          <w:p w14:paraId="14763F52"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
                  <w:enabled/>
                  <w:calcOnExit w:val="0"/>
                  <w:checkBox>
                    <w:sizeAuto/>
                    <w:default w:val="1"/>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Authority Required - Streamlined</w:t>
            </w:r>
          </w:p>
        </w:tc>
      </w:tr>
      <w:tr w:rsidR="00A919D6" w:rsidRPr="00504352" w14:paraId="69422B9D" w14:textId="77777777" w:rsidTr="00485CFF">
        <w:tc>
          <w:tcPr>
            <w:tcW w:w="553" w:type="pct"/>
            <w:vAlign w:val="center"/>
          </w:tcPr>
          <w:p w14:paraId="0B0FD478"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New</w:t>
            </w:r>
          </w:p>
        </w:tc>
        <w:tc>
          <w:tcPr>
            <w:tcW w:w="4447" w:type="pct"/>
            <w:vAlign w:val="center"/>
          </w:tcPr>
          <w:p w14:paraId="7956AD72"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Administrative Advice:</w:t>
            </w:r>
          </w:p>
          <w:p w14:paraId="0D48F4EA" w14:textId="77777777" w:rsidR="00A919D6" w:rsidRPr="00504352" w:rsidRDefault="00A919D6" w:rsidP="00485CFF">
            <w:pPr>
              <w:rPr>
                <w:rFonts w:ascii="Arial Narrow" w:hAnsi="Arial Narrow"/>
                <w:b/>
                <w:i/>
                <w:color w:val="333333"/>
                <w:sz w:val="18"/>
                <w:szCs w:val="18"/>
              </w:rPr>
            </w:pPr>
            <w:r w:rsidRPr="00504352">
              <w:rPr>
                <w:rFonts w:ascii="Arial Narrow" w:hAnsi="Arial Narrow"/>
                <w:b/>
                <w:i/>
                <w:color w:val="333333"/>
                <w:sz w:val="18"/>
                <w:szCs w:val="18"/>
              </w:rPr>
              <w:t xml:space="preserve">Biosimilar prescribing policy </w:t>
            </w:r>
          </w:p>
          <w:p w14:paraId="42E86A48" w14:textId="77777777" w:rsidR="00A919D6" w:rsidRPr="00504352" w:rsidRDefault="00A919D6" w:rsidP="00485CFF">
            <w:pPr>
              <w:rPr>
                <w:rFonts w:ascii="Arial Narrow" w:hAnsi="Arial Narrow"/>
                <w:color w:val="333333"/>
                <w:sz w:val="18"/>
                <w:szCs w:val="18"/>
              </w:rPr>
            </w:pPr>
            <w:r w:rsidRPr="00504352">
              <w:rPr>
                <w:rFonts w:ascii="Arial Narrow" w:hAnsi="Arial Narrow"/>
                <w:i/>
                <w:color w:val="333333"/>
                <w:sz w:val="18"/>
                <w:szCs w:val="18"/>
              </w:rPr>
              <w:t xml:space="preserve">Prescribing of the biosimilar brand PELGRAZ® is encouraged for treatment naïve patients. Encouraging biosimilar prescribing for treatment naïve patients is Government policy. A viable biosimilar market </w:t>
            </w:r>
            <w:proofErr w:type="gramStart"/>
            <w:r w:rsidRPr="00504352">
              <w:rPr>
                <w:rFonts w:ascii="Arial Narrow" w:hAnsi="Arial Narrow"/>
                <w:i/>
                <w:color w:val="333333"/>
                <w:sz w:val="18"/>
                <w:szCs w:val="18"/>
              </w:rPr>
              <w:t>is expected</w:t>
            </w:r>
            <w:proofErr w:type="gramEnd"/>
            <w:r w:rsidRPr="00504352">
              <w:rPr>
                <w:rFonts w:ascii="Arial Narrow" w:hAnsi="Arial Narrow"/>
                <w:i/>
                <w:color w:val="333333"/>
                <w:sz w:val="18"/>
                <w:szCs w:val="18"/>
              </w:rPr>
              <w:t xml:space="preserve"> to result in reduced costs for biological medicines, allowing the Government to reinvest in new treatments. Further information </w:t>
            </w:r>
            <w:proofErr w:type="gramStart"/>
            <w:r w:rsidRPr="00504352">
              <w:rPr>
                <w:rFonts w:ascii="Arial Narrow" w:hAnsi="Arial Narrow"/>
                <w:i/>
                <w:color w:val="333333"/>
                <w:sz w:val="18"/>
                <w:szCs w:val="18"/>
              </w:rPr>
              <w:t>can be found</w:t>
            </w:r>
            <w:proofErr w:type="gramEnd"/>
            <w:r w:rsidRPr="00504352">
              <w:rPr>
                <w:rFonts w:ascii="Arial Narrow" w:hAnsi="Arial Narrow"/>
                <w:i/>
                <w:color w:val="333333"/>
                <w:sz w:val="18"/>
                <w:szCs w:val="18"/>
              </w:rPr>
              <w:t xml:space="preserve"> on the Biosimilar Awareness Initiative webpage (www.health.gov.au/biosimilars).</w:t>
            </w:r>
          </w:p>
        </w:tc>
      </w:tr>
      <w:tr w:rsidR="00A919D6" w:rsidRPr="00504352" w14:paraId="451E05A2" w14:textId="77777777" w:rsidTr="00485CFF">
        <w:tc>
          <w:tcPr>
            <w:tcW w:w="553" w:type="pct"/>
            <w:vAlign w:val="center"/>
          </w:tcPr>
          <w:p w14:paraId="2A900F9C"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New</w:t>
            </w:r>
          </w:p>
        </w:tc>
        <w:tc>
          <w:tcPr>
            <w:tcW w:w="4447" w:type="pct"/>
            <w:vAlign w:val="center"/>
          </w:tcPr>
          <w:p w14:paraId="73B3AAE3"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Administrative Advice:</w:t>
            </w:r>
          </w:p>
          <w:p w14:paraId="4EAFB0CA" w14:textId="77777777" w:rsidR="00A919D6" w:rsidRPr="00504352" w:rsidRDefault="00A919D6" w:rsidP="00485CFF">
            <w:pPr>
              <w:rPr>
                <w:rFonts w:ascii="Arial Narrow" w:hAnsi="Arial Narrow"/>
                <w:b/>
                <w:bCs/>
                <w:color w:val="333333"/>
                <w:sz w:val="18"/>
                <w:szCs w:val="18"/>
              </w:rPr>
            </w:pPr>
            <w:r w:rsidRPr="00504352">
              <w:rPr>
                <w:rFonts w:ascii="Arial Narrow" w:hAnsi="Arial Narrow"/>
                <w:i/>
                <w:color w:val="333333"/>
                <w:sz w:val="18"/>
                <w:szCs w:val="18"/>
              </w:rPr>
              <w:t xml:space="preserve">Prescribers must include the proprietary name (brand) on the prescription to ensure the appropriate item </w:t>
            </w:r>
            <w:proofErr w:type="gramStart"/>
            <w:r w:rsidRPr="00504352">
              <w:rPr>
                <w:rFonts w:ascii="Arial Narrow" w:hAnsi="Arial Narrow"/>
                <w:i/>
                <w:color w:val="333333"/>
                <w:sz w:val="18"/>
                <w:szCs w:val="18"/>
              </w:rPr>
              <w:t>is approved</w:t>
            </w:r>
            <w:proofErr w:type="gramEnd"/>
            <w:r w:rsidRPr="00504352">
              <w:rPr>
                <w:rFonts w:ascii="Arial Narrow" w:hAnsi="Arial Narrow"/>
                <w:i/>
                <w:color w:val="333333"/>
                <w:sz w:val="18"/>
                <w:szCs w:val="18"/>
              </w:rPr>
              <w:t>.</w:t>
            </w:r>
          </w:p>
        </w:tc>
      </w:tr>
      <w:tr w:rsidR="00A919D6" w:rsidRPr="00504352" w14:paraId="3D7AF5C3" w14:textId="77777777" w:rsidTr="00485CFF">
        <w:tc>
          <w:tcPr>
            <w:tcW w:w="553" w:type="pct"/>
            <w:vAlign w:val="center"/>
          </w:tcPr>
          <w:p w14:paraId="2BCADFEF"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N/A</w:t>
            </w:r>
          </w:p>
        </w:tc>
        <w:tc>
          <w:tcPr>
            <w:tcW w:w="4447" w:type="pct"/>
            <w:vAlign w:val="center"/>
          </w:tcPr>
          <w:p w14:paraId="20FDA3A0" w14:textId="77777777" w:rsidR="00A919D6" w:rsidRPr="00504352" w:rsidRDefault="00A919D6" w:rsidP="00485CFF">
            <w:pPr>
              <w:rPr>
                <w:rFonts w:ascii="Arial Narrow" w:hAnsi="Arial Narrow"/>
                <w:bCs/>
                <w:color w:val="333333"/>
                <w:sz w:val="18"/>
                <w:szCs w:val="18"/>
              </w:rPr>
            </w:pPr>
            <w:r w:rsidRPr="00504352">
              <w:rPr>
                <w:rFonts w:ascii="Arial Narrow" w:hAnsi="Arial Narrow"/>
                <w:b/>
                <w:bCs/>
                <w:color w:val="333333"/>
                <w:sz w:val="18"/>
                <w:szCs w:val="18"/>
              </w:rPr>
              <w:t xml:space="preserve">Episodicity: </w:t>
            </w:r>
            <w:r w:rsidRPr="00504352">
              <w:rPr>
                <w:rFonts w:ascii="Arial Narrow" w:hAnsi="Arial Narrow"/>
                <w:bCs/>
                <w:strike/>
                <w:color w:val="333333"/>
                <w:sz w:val="18"/>
                <w:szCs w:val="18"/>
              </w:rPr>
              <w:t>Administered once per chemotherapy cycle</w:t>
            </w:r>
          </w:p>
        </w:tc>
      </w:tr>
      <w:tr w:rsidR="00A919D6" w:rsidRPr="00504352" w14:paraId="225DC10B" w14:textId="77777777" w:rsidTr="00485CFF">
        <w:tc>
          <w:tcPr>
            <w:tcW w:w="553" w:type="pct"/>
            <w:vMerge w:val="restart"/>
            <w:vAlign w:val="center"/>
          </w:tcPr>
          <w:p w14:paraId="3132FC01"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16253</w:t>
            </w:r>
          </w:p>
        </w:tc>
        <w:tc>
          <w:tcPr>
            <w:tcW w:w="4447" w:type="pct"/>
            <w:vAlign w:val="center"/>
          </w:tcPr>
          <w:p w14:paraId="0BFA74C1" w14:textId="77777777" w:rsidR="00A919D6" w:rsidRPr="00504352" w:rsidRDefault="00A919D6" w:rsidP="00485CFF">
            <w:pPr>
              <w:rPr>
                <w:rFonts w:ascii="Arial Narrow" w:hAnsi="Arial Narrow"/>
                <w:b/>
                <w:bCs/>
                <w:color w:val="333333"/>
                <w:sz w:val="18"/>
                <w:szCs w:val="18"/>
              </w:rPr>
            </w:pPr>
            <w:r w:rsidRPr="00504352">
              <w:rPr>
                <w:rFonts w:ascii="Arial Narrow" w:hAnsi="Arial Narrow"/>
                <w:b/>
                <w:bCs/>
                <w:color w:val="333333"/>
                <w:sz w:val="18"/>
                <w:szCs w:val="18"/>
              </w:rPr>
              <w:t xml:space="preserve">Condition: </w:t>
            </w:r>
            <w:r w:rsidRPr="00504352">
              <w:rPr>
                <w:rFonts w:ascii="Arial Narrow" w:hAnsi="Arial Narrow"/>
                <w:bCs/>
                <w:color w:val="333333"/>
                <w:sz w:val="18"/>
                <w:szCs w:val="18"/>
              </w:rPr>
              <w:t>Chemotherapy-induced neutropenia</w:t>
            </w:r>
          </w:p>
        </w:tc>
      </w:tr>
      <w:tr w:rsidR="00A919D6" w:rsidRPr="00504352" w14:paraId="1C225EA9" w14:textId="77777777" w:rsidTr="00485CFF">
        <w:tc>
          <w:tcPr>
            <w:tcW w:w="553" w:type="pct"/>
            <w:vMerge/>
            <w:vAlign w:val="center"/>
            <w:hideMark/>
          </w:tcPr>
          <w:p w14:paraId="01C38DEE" w14:textId="77777777" w:rsidR="00A919D6" w:rsidRPr="00504352" w:rsidRDefault="00A919D6" w:rsidP="00485CFF">
            <w:pPr>
              <w:jc w:val="center"/>
              <w:rPr>
                <w:rFonts w:ascii="Arial Narrow" w:hAnsi="Arial Narrow"/>
                <w:color w:val="333333"/>
                <w:sz w:val="18"/>
                <w:szCs w:val="18"/>
              </w:rPr>
            </w:pPr>
          </w:p>
        </w:tc>
        <w:tc>
          <w:tcPr>
            <w:tcW w:w="4447" w:type="pct"/>
            <w:vAlign w:val="center"/>
            <w:hideMark/>
          </w:tcPr>
          <w:p w14:paraId="46288926"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Indication:</w:t>
            </w:r>
            <w:r w:rsidRPr="00504352">
              <w:rPr>
                <w:rFonts w:ascii="Arial Narrow" w:hAnsi="Arial Narrow"/>
                <w:color w:val="333333"/>
                <w:sz w:val="18"/>
                <w:szCs w:val="18"/>
              </w:rPr>
              <w:t xml:space="preserve"> Chemotherapy-induced neutropenia</w:t>
            </w:r>
          </w:p>
        </w:tc>
      </w:tr>
      <w:tr w:rsidR="00A919D6" w:rsidRPr="00504352" w14:paraId="0D084941" w14:textId="77777777" w:rsidTr="00485CFF">
        <w:tc>
          <w:tcPr>
            <w:tcW w:w="553" w:type="pct"/>
            <w:vAlign w:val="center"/>
            <w:hideMark/>
          </w:tcPr>
          <w:p w14:paraId="6D963A6E" w14:textId="77777777" w:rsidR="00A919D6" w:rsidRPr="00504352" w:rsidRDefault="00A919D6" w:rsidP="00485CFF">
            <w:pPr>
              <w:jc w:val="center"/>
              <w:rPr>
                <w:rFonts w:ascii="Arial Narrow" w:hAnsi="Arial Narrow"/>
                <w:color w:val="333333"/>
                <w:sz w:val="18"/>
                <w:szCs w:val="18"/>
              </w:rPr>
            </w:pPr>
          </w:p>
        </w:tc>
        <w:tc>
          <w:tcPr>
            <w:tcW w:w="4447" w:type="pct"/>
            <w:vAlign w:val="center"/>
            <w:hideMark/>
          </w:tcPr>
          <w:p w14:paraId="374C8147"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Clinical criteria:</w:t>
            </w:r>
          </w:p>
        </w:tc>
      </w:tr>
      <w:tr w:rsidR="00A919D6" w:rsidRPr="00504352" w14:paraId="6C82E1B8" w14:textId="77777777" w:rsidTr="00485CFF">
        <w:tc>
          <w:tcPr>
            <w:tcW w:w="553" w:type="pct"/>
            <w:vAlign w:val="center"/>
            <w:hideMark/>
          </w:tcPr>
          <w:p w14:paraId="11EEE888"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22299</w:t>
            </w:r>
          </w:p>
        </w:tc>
        <w:tc>
          <w:tcPr>
            <w:tcW w:w="4447" w:type="pct"/>
            <w:vAlign w:val="center"/>
            <w:hideMark/>
          </w:tcPr>
          <w:p w14:paraId="155B5970" w14:textId="77777777" w:rsidR="00A919D6" w:rsidRPr="00504352" w:rsidRDefault="00A919D6" w:rsidP="00485CFF">
            <w:pPr>
              <w:rPr>
                <w:rFonts w:ascii="Arial Narrow" w:hAnsi="Arial Narrow"/>
                <w:color w:val="333333"/>
                <w:sz w:val="18"/>
                <w:szCs w:val="18"/>
              </w:rPr>
            </w:pPr>
            <w:r w:rsidRPr="00504352">
              <w:rPr>
                <w:rFonts w:ascii="Arial Narrow" w:hAnsi="Arial Narrow"/>
                <w:color w:val="333333"/>
                <w:sz w:val="18"/>
                <w:szCs w:val="18"/>
              </w:rPr>
              <w:t>Patient must be receiving chemotherapy with the intention of achieving a cure or a substantial remission,</w:t>
            </w:r>
          </w:p>
        </w:tc>
      </w:tr>
      <w:tr w:rsidR="00A919D6" w:rsidRPr="00504352" w14:paraId="5EA63E2D" w14:textId="77777777" w:rsidTr="00485CFF">
        <w:tc>
          <w:tcPr>
            <w:tcW w:w="553" w:type="pct"/>
            <w:vAlign w:val="center"/>
            <w:hideMark/>
          </w:tcPr>
          <w:p w14:paraId="741A4D59" w14:textId="77777777" w:rsidR="00A919D6" w:rsidRPr="00504352" w:rsidRDefault="00A919D6" w:rsidP="00485CFF">
            <w:pPr>
              <w:jc w:val="center"/>
              <w:rPr>
                <w:rFonts w:ascii="Arial Narrow" w:hAnsi="Arial Narrow"/>
                <w:color w:val="333333"/>
                <w:sz w:val="18"/>
                <w:szCs w:val="18"/>
              </w:rPr>
            </w:pPr>
          </w:p>
        </w:tc>
        <w:tc>
          <w:tcPr>
            <w:tcW w:w="4447" w:type="pct"/>
            <w:vAlign w:val="center"/>
            <w:hideMark/>
          </w:tcPr>
          <w:p w14:paraId="301632C3"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AND</w:t>
            </w:r>
          </w:p>
        </w:tc>
      </w:tr>
      <w:tr w:rsidR="00A919D6" w:rsidRPr="00504352" w14:paraId="7C349F0D" w14:textId="77777777" w:rsidTr="00485CFF">
        <w:tc>
          <w:tcPr>
            <w:tcW w:w="553" w:type="pct"/>
            <w:vAlign w:val="center"/>
          </w:tcPr>
          <w:p w14:paraId="2AAC2E4C"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21993</w:t>
            </w:r>
          </w:p>
        </w:tc>
        <w:tc>
          <w:tcPr>
            <w:tcW w:w="4447" w:type="pct"/>
            <w:vAlign w:val="center"/>
            <w:hideMark/>
          </w:tcPr>
          <w:p w14:paraId="2A78ED4E" w14:textId="77777777" w:rsidR="00A919D6" w:rsidRPr="00504352" w:rsidRDefault="00A919D6" w:rsidP="00485CFF">
            <w:pPr>
              <w:rPr>
                <w:rFonts w:ascii="Arial Narrow" w:hAnsi="Arial Narrow"/>
                <w:color w:val="333333"/>
                <w:sz w:val="18"/>
                <w:szCs w:val="18"/>
              </w:rPr>
            </w:pPr>
            <w:r w:rsidRPr="00504352">
              <w:rPr>
                <w:rFonts w:ascii="Arial Narrow" w:hAnsi="Arial Narrow"/>
                <w:color w:val="333333"/>
                <w:sz w:val="18"/>
                <w:szCs w:val="18"/>
              </w:rPr>
              <w:t>Patient must be at greater than 20% risk of developing febrile neutropenia;</w:t>
            </w:r>
          </w:p>
        </w:tc>
      </w:tr>
      <w:tr w:rsidR="00A919D6" w:rsidRPr="00504352" w14:paraId="47643833" w14:textId="77777777" w:rsidTr="00485CFF">
        <w:tc>
          <w:tcPr>
            <w:tcW w:w="553" w:type="pct"/>
            <w:vAlign w:val="center"/>
          </w:tcPr>
          <w:p w14:paraId="09C6AE23" w14:textId="77777777" w:rsidR="00A919D6" w:rsidRPr="00504352" w:rsidRDefault="00A919D6" w:rsidP="00485CFF">
            <w:pPr>
              <w:jc w:val="center"/>
              <w:rPr>
                <w:rFonts w:ascii="Arial Narrow" w:hAnsi="Arial Narrow"/>
                <w:color w:val="333333"/>
                <w:sz w:val="18"/>
                <w:szCs w:val="18"/>
              </w:rPr>
            </w:pPr>
          </w:p>
        </w:tc>
        <w:tc>
          <w:tcPr>
            <w:tcW w:w="4447" w:type="pct"/>
            <w:vAlign w:val="center"/>
          </w:tcPr>
          <w:p w14:paraId="2613244C" w14:textId="77777777" w:rsidR="00A919D6" w:rsidRPr="00504352" w:rsidRDefault="00A919D6" w:rsidP="00485CFF">
            <w:pPr>
              <w:rPr>
                <w:rFonts w:ascii="Arial Narrow" w:hAnsi="Arial Narrow"/>
                <w:b/>
                <w:color w:val="333333"/>
                <w:sz w:val="18"/>
                <w:szCs w:val="18"/>
              </w:rPr>
            </w:pPr>
            <w:r w:rsidRPr="00504352">
              <w:rPr>
                <w:rFonts w:ascii="Arial Narrow" w:hAnsi="Arial Narrow"/>
                <w:b/>
                <w:color w:val="333333"/>
                <w:sz w:val="18"/>
                <w:szCs w:val="18"/>
              </w:rPr>
              <w:t>OR</w:t>
            </w:r>
          </w:p>
        </w:tc>
      </w:tr>
      <w:tr w:rsidR="00A919D6" w:rsidRPr="00504352" w14:paraId="49181684" w14:textId="77777777" w:rsidTr="00485CFF">
        <w:tc>
          <w:tcPr>
            <w:tcW w:w="553" w:type="pct"/>
            <w:vAlign w:val="center"/>
          </w:tcPr>
          <w:p w14:paraId="6ACCC608"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lastRenderedPageBreak/>
              <w:t>21994</w:t>
            </w:r>
          </w:p>
        </w:tc>
        <w:tc>
          <w:tcPr>
            <w:tcW w:w="4447" w:type="pct"/>
            <w:vAlign w:val="center"/>
          </w:tcPr>
          <w:p w14:paraId="4CD60203" w14:textId="77777777" w:rsidR="00A919D6" w:rsidRPr="00504352" w:rsidRDefault="00A919D6" w:rsidP="00485CFF">
            <w:pPr>
              <w:rPr>
                <w:rFonts w:ascii="Arial Narrow" w:hAnsi="Arial Narrow"/>
                <w:color w:val="333333"/>
                <w:sz w:val="18"/>
                <w:szCs w:val="18"/>
              </w:rPr>
            </w:pPr>
            <w:r w:rsidRPr="00504352">
              <w:rPr>
                <w:rFonts w:ascii="Arial Narrow" w:hAnsi="Arial Narrow"/>
                <w:color w:val="333333"/>
                <w:sz w:val="18"/>
                <w:szCs w:val="18"/>
              </w:rPr>
              <w:t>Patient must be at substantial risk (greater than 20%) of prolonged severe neutropenia for more than or equal to seven days.</w:t>
            </w:r>
          </w:p>
        </w:tc>
      </w:tr>
    </w:tbl>
    <w:p w14:paraId="3C248F3C" w14:textId="77777777" w:rsidR="00A919D6" w:rsidRPr="00504352" w:rsidRDefault="00A919D6" w:rsidP="00A919D6">
      <w:pPr>
        <w:spacing w:after="120"/>
        <w:rPr>
          <w:rFonts w:ascii="Arial Narrow" w:hAnsi="Arial Narrow" w:cstheme="minorHAnsi"/>
          <w:sz w:val="18"/>
          <w:szCs w:val="18"/>
        </w:rPr>
      </w:pPr>
      <w:r w:rsidRPr="00504352">
        <w:tab/>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134"/>
        <w:gridCol w:w="708"/>
        <w:gridCol w:w="709"/>
        <w:gridCol w:w="567"/>
        <w:gridCol w:w="851"/>
        <w:gridCol w:w="2267"/>
      </w:tblGrid>
      <w:tr w:rsidR="00A919D6" w:rsidRPr="00504352" w14:paraId="4C5C0C78" w14:textId="77777777" w:rsidTr="00485CFF">
        <w:trPr>
          <w:cantSplit/>
          <w:trHeight w:val="471"/>
        </w:trPr>
        <w:tc>
          <w:tcPr>
            <w:tcW w:w="2689" w:type="dxa"/>
          </w:tcPr>
          <w:p w14:paraId="6197BCFF" w14:textId="77777777" w:rsidR="00A919D6" w:rsidRPr="00504352" w:rsidRDefault="00A919D6" w:rsidP="00485CFF">
            <w:pPr>
              <w:keepNext/>
              <w:ind w:left="-108"/>
              <w:rPr>
                <w:rFonts w:ascii="Arial Narrow" w:hAnsi="Arial Narrow" w:cs="Arial"/>
                <w:b/>
                <w:sz w:val="18"/>
                <w:szCs w:val="18"/>
              </w:rPr>
            </w:pPr>
            <w:r w:rsidRPr="00504352">
              <w:rPr>
                <w:rFonts w:ascii="Arial Narrow" w:hAnsi="Arial Narrow" w:cs="Arial"/>
                <w:b/>
                <w:sz w:val="18"/>
                <w:szCs w:val="18"/>
              </w:rPr>
              <w:t>Name, Restriction,</w:t>
            </w:r>
          </w:p>
          <w:p w14:paraId="153A786D" w14:textId="77777777" w:rsidR="00A919D6" w:rsidRPr="00504352" w:rsidRDefault="00A919D6" w:rsidP="00485CFF">
            <w:pPr>
              <w:keepNext/>
              <w:ind w:left="-108"/>
              <w:rPr>
                <w:rFonts w:ascii="Arial Narrow" w:hAnsi="Arial Narrow" w:cs="Arial"/>
                <w:b/>
                <w:sz w:val="18"/>
                <w:szCs w:val="18"/>
              </w:rPr>
            </w:pPr>
            <w:r w:rsidRPr="00504352">
              <w:rPr>
                <w:rFonts w:ascii="Arial Narrow" w:hAnsi="Arial Narrow" w:cs="Arial"/>
                <w:b/>
                <w:sz w:val="18"/>
                <w:szCs w:val="18"/>
              </w:rPr>
              <w:t>Manner of administration and form</w:t>
            </w:r>
          </w:p>
        </w:tc>
        <w:tc>
          <w:tcPr>
            <w:tcW w:w="1134" w:type="dxa"/>
          </w:tcPr>
          <w:p w14:paraId="7F2AB5C0" w14:textId="77777777" w:rsidR="00A919D6" w:rsidRPr="00504352" w:rsidRDefault="00A919D6" w:rsidP="00485CFF">
            <w:pPr>
              <w:keepNext/>
              <w:ind w:left="-108"/>
              <w:jc w:val="center"/>
              <w:rPr>
                <w:rFonts w:ascii="Arial Narrow" w:hAnsi="Arial Narrow" w:cs="Arial"/>
                <w:b/>
                <w:sz w:val="18"/>
                <w:szCs w:val="18"/>
              </w:rPr>
            </w:pPr>
            <w:r w:rsidRPr="00504352">
              <w:rPr>
                <w:rFonts w:ascii="Arial Narrow" w:hAnsi="Arial Narrow" w:cs="Arial"/>
                <w:b/>
                <w:sz w:val="18"/>
                <w:szCs w:val="18"/>
              </w:rPr>
              <w:t>PBS item code</w:t>
            </w:r>
          </w:p>
        </w:tc>
        <w:tc>
          <w:tcPr>
            <w:tcW w:w="708" w:type="dxa"/>
          </w:tcPr>
          <w:p w14:paraId="248B83E2" w14:textId="77777777" w:rsidR="00A919D6" w:rsidRPr="00504352" w:rsidRDefault="00A919D6" w:rsidP="00485CFF">
            <w:pPr>
              <w:keepNext/>
              <w:ind w:left="-108"/>
              <w:jc w:val="center"/>
              <w:rPr>
                <w:rFonts w:ascii="Arial Narrow" w:hAnsi="Arial Narrow" w:cs="Arial"/>
                <w:b/>
                <w:sz w:val="18"/>
                <w:szCs w:val="18"/>
              </w:rPr>
            </w:pPr>
            <w:r w:rsidRPr="00504352">
              <w:rPr>
                <w:rFonts w:ascii="Arial Narrow" w:hAnsi="Arial Narrow" w:cs="Arial"/>
                <w:b/>
                <w:sz w:val="18"/>
                <w:szCs w:val="18"/>
              </w:rPr>
              <w:t>Max. qty packs</w:t>
            </w:r>
          </w:p>
        </w:tc>
        <w:tc>
          <w:tcPr>
            <w:tcW w:w="709" w:type="dxa"/>
          </w:tcPr>
          <w:p w14:paraId="174F35C4" w14:textId="77777777" w:rsidR="00A919D6" w:rsidRPr="00504352" w:rsidRDefault="00A919D6" w:rsidP="00485CFF">
            <w:pPr>
              <w:keepNext/>
              <w:ind w:left="-108"/>
              <w:jc w:val="center"/>
              <w:rPr>
                <w:rFonts w:ascii="Arial Narrow" w:hAnsi="Arial Narrow" w:cs="Arial"/>
                <w:b/>
                <w:sz w:val="18"/>
                <w:szCs w:val="18"/>
              </w:rPr>
            </w:pPr>
            <w:r w:rsidRPr="00504352">
              <w:rPr>
                <w:rFonts w:ascii="Arial Narrow" w:hAnsi="Arial Narrow" w:cs="Arial"/>
                <w:b/>
                <w:sz w:val="18"/>
                <w:szCs w:val="18"/>
              </w:rPr>
              <w:t>Max. qty units</w:t>
            </w:r>
          </w:p>
        </w:tc>
        <w:tc>
          <w:tcPr>
            <w:tcW w:w="567" w:type="dxa"/>
          </w:tcPr>
          <w:p w14:paraId="54CE70AD" w14:textId="77777777" w:rsidR="00A919D6" w:rsidRPr="00504352" w:rsidRDefault="00A919D6" w:rsidP="00485CFF">
            <w:pPr>
              <w:keepNext/>
              <w:ind w:left="-108"/>
              <w:jc w:val="center"/>
              <w:rPr>
                <w:rFonts w:ascii="Arial Narrow" w:hAnsi="Arial Narrow" w:cs="Arial"/>
                <w:b/>
                <w:sz w:val="18"/>
                <w:szCs w:val="18"/>
              </w:rPr>
            </w:pPr>
            <w:r w:rsidRPr="00504352">
              <w:rPr>
                <w:rFonts w:ascii="Arial Narrow" w:hAnsi="Arial Narrow" w:cs="Arial"/>
                <w:b/>
                <w:sz w:val="18"/>
                <w:szCs w:val="18"/>
              </w:rPr>
              <w:t>№.of</w:t>
            </w:r>
          </w:p>
          <w:p w14:paraId="0EC579D6" w14:textId="77777777" w:rsidR="00A919D6" w:rsidRPr="00504352" w:rsidRDefault="00A919D6" w:rsidP="00485CFF">
            <w:pPr>
              <w:keepNext/>
              <w:ind w:left="-108"/>
              <w:jc w:val="center"/>
              <w:rPr>
                <w:rFonts w:ascii="Arial Narrow" w:hAnsi="Arial Narrow" w:cs="Arial"/>
                <w:b/>
                <w:sz w:val="18"/>
                <w:szCs w:val="18"/>
              </w:rPr>
            </w:pPr>
            <w:proofErr w:type="spellStart"/>
            <w:r w:rsidRPr="00504352">
              <w:rPr>
                <w:rFonts w:ascii="Arial Narrow" w:hAnsi="Arial Narrow" w:cs="Arial"/>
                <w:b/>
                <w:sz w:val="18"/>
                <w:szCs w:val="18"/>
              </w:rPr>
              <w:t>Rpts</w:t>
            </w:r>
            <w:proofErr w:type="spellEnd"/>
          </w:p>
        </w:tc>
        <w:tc>
          <w:tcPr>
            <w:tcW w:w="3118" w:type="dxa"/>
            <w:gridSpan w:val="2"/>
          </w:tcPr>
          <w:p w14:paraId="48DFCA2D" w14:textId="77777777" w:rsidR="00A919D6" w:rsidRPr="00485CFF" w:rsidRDefault="00A919D6" w:rsidP="00485CFF">
            <w:pPr>
              <w:keepNext/>
              <w:rPr>
                <w:rFonts w:ascii="Arial Narrow" w:hAnsi="Arial Narrow" w:cs="Arial"/>
                <w:b/>
                <w:sz w:val="18"/>
                <w:szCs w:val="18"/>
              </w:rPr>
            </w:pPr>
            <w:r w:rsidRPr="00504352">
              <w:rPr>
                <w:rFonts w:ascii="Arial Narrow" w:hAnsi="Arial Narrow" w:cs="Arial"/>
                <w:b/>
                <w:sz w:val="18"/>
                <w:szCs w:val="18"/>
              </w:rPr>
              <w:t>Proprietary Name and Manufacturer</w:t>
            </w:r>
          </w:p>
        </w:tc>
      </w:tr>
      <w:tr w:rsidR="00A919D6" w:rsidRPr="00504352" w14:paraId="530D2E39" w14:textId="77777777" w:rsidTr="00485CFF">
        <w:trPr>
          <w:cantSplit/>
          <w:trHeight w:val="473"/>
        </w:trPr>
        <w:tc>
          <w:tcPr>
            <w:tcW w:w="2689" w:type="dxa"/>
          </w:tcPr>
          <w:p w14:paraId="0257358F" w14:textId="77777777" w:rsidR="00A919D6" w:rsidRPr="00504352" w:rsidRDefault="00A919D6" w:rsidP="00485CFF">
            <w:pPr>
              <w:keepNext/>
              <w:ind w:left="-108"/>
              <w:rPr>
                <w:rFonts w:ascii="Arial Narrow" w:hAnsi="Arial Narrow" w:cs="Arial"/>
                <w:sz w:val="18"/>
                <w:szCs w:val="18"/>
              </w:rPr>
            </w:pPr>
            <w:r w:rsidRPr="00504352">
              <w:rPr>
                <w:rFonts w:ascii="Arial Narrow" w:hAnsi="Arial Narrow" w:cs="Arial"/>
                <w:smallCaps/>
                <w:sz w:val="18"/>
                <w:szCs w:val="18"/>
              </w:rPr>
              <w:t>PEGFILGRASTIM</w:t>
            </w:r>
          </w:p>
          <w:p w14:paraId="66AE59E2" w14:textId="77777777" w:rsidR="00A919D6" w:rsidRPr="00504352" w:rsidRDefault="00A919D6" w:rsidP="00485CFF">
            <w:pPr>
              <w:keepNext/>
              <w:ind w:left="-108"/>
              <w:rPr>
                <w:rFonts w:ascii="Arial Narrow" w:hAnsi="Arial Narrow" w:cs="Arial"/>
                <w:sz w:val="18"/>
                <w:szCs w:val="18"/>
              </w:rPr>
            </w:pPr>
            <w:r w:rsidRPr="00504352">
              <w:rPr>
                <w:rFonts w:ascii="Arial Narrow" w:hAnsi="Arial Narrow" w:cs="Arial"/>
                <w:sz w:val="18"/>
                <w:szCs w:val="18"/>
              </w:rPr>
              <w:t>6 mg/0.6 mL injection, 0.6 mL syringe</w:t>
            </w:r>
          </w:p>
        </w:tc>
        <w:tc>
          <w:tcPr>
            <w:tcW w:w="1134" w:type="dxa"/>
          </w:tcPr>
          <w:p w14:paraId="49BB1004" w14:textId="77777777" w:rsidR="00A919D6" w:rsidRPr="00504352" w:rsidRDefault="00A919D6" w:rsidP="00485CFF">
            <w:pPr>
              <w:keepNext/>
              <w:ind w:left="-108"/>
              <w:jc w:val="center"/>
              <w:rPr>
                <w:rFonts w:ascii="Arial Narrow" w:hAnsi="Arial Narrow" w:cs="Arial"/>
                <w:sz w:val="18"/>
                <w:szCs w:val="18"/>
              </w:rPr>
            </w:pPr>
            <w:r w:rsidRPr="00504352">
              <w:rPr>
                <w:rFonts w:ascii="Arial Narrow" w:hAnsi="Arial Narrow" w:cs="Arial"/>
                <w:sz w:val="18"/>
                <w:szCs w:val="18"/>
              </w:rPr>
              <w:t>9514R (Public)</w:t>
            </w:r>
          </w:p>
          <w:p w14:paraId="28623CED" w14:textId="77777777" w:rsidR="00A919D6" w:rsidRPr="00504352" w:rsidRDefault="00A919D6" w:rsidP="00485CFF">
            <w:pPr>
              <w:keepNext/>
              <w:ind w:left="-108"/>
              <w:jc w:val="center"/>
              <w:rPr>
                <w:rFonts w:ascii="Arial Narrow" w:hAnsi="Arial Narrow" w:cs="Arial"/>
                <w:sz w:val="18"/>
                <w:szCs w:val="18"/>
              </w:rPr>
            </w:pPr>
            <w:r w:rsidRPr="00504352">
              <w:rPr>
                <w:rFonts w:ascii="Arial Narrow" w:hAnsi="Arial Narrow" w:cs="Arial"/>
                <w:sz w:val="18"/>
                <w:szCs w:val="18"/>
              </w:rPr>
              <w:t>6363X (Private)</w:t>
            </w:r>
          </w:p>
        </w:tc>
        <w:tc>
          <w:tcPr>
            <w:tcW w:w="708" w:type="dxa"/>
          </w:tcPr>
          <w:p w14:paraId="5BC810E9" w14:textId="77777777" w:rsidR="00A919D6" w:rsidRPr="00504352" w:rsidRDefault="00A919D6" w:rsidP="00485CFF">
            <w:pPr>
              <w:keepNext/>
              <w:jc w:val="center"/>
              <w:rPr>
                <w:rFonts w:ascii="Arial Narrow" w:hAnsi="Arial Narrow" w:cs="Arial"/>
                <w:sz w:val="18"/>
                <w:szCs w:val="18"/>
              </w:rPr>
            </w:pPr>
          </w:p>
          <w:p w14:paraId="253D990E" w14:textId="77777777" w:rsidR="00A919D6" w:rsidRPr="00504352" w:rsidRDefault="00A919D6" w:rsidP="00485CFF">
            <w:pPr>
              <w:keepNext/>
              <w:jc w:val="center"/>
              <w:rPr>
                <w:rFonts w:ascii="Arial Narrow" w:hAnsi="Arial Narrow" w:cs="Arial"/>
                <w:sz w:val="18"/>
                <w:szCs w:val="18"/>
              </w:rPr>
            </w:pPr>
            <w:r w:rsidRPr="00504352">
              <w:rPr>
                <w:rFonts w:ascii="Arial Narrow" w:hAnsi="Arial Narrow" w:cs="Arial"/>
                <w:sz w:val="18"/>
                <w:szCs w:val="18"/>
              </w:rPr>
              <w:t>1</w:t>
            </w:r>
          </w:p>
        </w:tc>
        <w:tc>
          <w:tcPr>
            <w:tcW w:w="709" w:type="dxa"/>
          </w:tcPr>
          <w:p w14:paraId="472582D4" w14:textId="77777777" w:rsidR="00A919D6" w:rsidRPr="00504352" w:rsidRDefault="00A919D6" w:rsidP="00485CFF">
            <w:pPr>
              <w:keepNext/>
              <w:ind w:left="-108"/>
              <w:jc w:val="center"/>
              <w:rPr>
                <w:rFonts w:ascii="Arial Narrow" w:hAnsi="Arial Narrow" w:cs="Arial"/>
                <w:sz w:val="18"/>
                <w:szCs w:val="18"/>
              </w:rPr>
            </w:pPr>
          </w:p>
          <w:p w14:paraId="0518E991" w14:textId="77777777" w:rsidR="00A919D6" w:rsidRPr="00504352" w:rsidRDefault="00A919D6" w:rsidP="00485CFF">
            <w:pPr>
              <w:keepNext/>
              <w:ind w:left="-108"/>
              <w:jc w:val="center"/>
              <w:rPr>
                <w:rFonts w:ascii="Arial Narrow" w:hAnsi="Arial Narrow" w:cs="Arial"/>
                <w:sz w:val="18"/>
                <w:szCs w:val="18"/>
              </w:rPr>
            </w:pPr>
            <w:r w:rsidRPr="00504352">
              <w:rPr>
                <w:rFonts w:ascii="Arial Narrow" w:hAnsi="Arial Narrow" w:cs="Arial"/>
                <w:sz w:val="18"/>
                <w:szCs w:val="18"/>
              </w:rPr>
              <w:t>1</w:t>
            </w:r>
          </w:p>
        </w:tc>
        <w:tc>
          <w:tcPr>
            <w:tcW w:w="567" w:type="dxa"/>
          </w:tcPr>
          <w:p w14:paraId="27C51E64" w14:textId="77777777" w:rsidR="00A919D6" w:rsidRPr="00504352" w:rsidRDefault="00A919D6" w:rsidP="00485CFF">
            <w:pPr>
              <w:keepNext/>
              <w:ind w:left="-108"/>
              <w:jc w:val="center"/>
              <w:rPr>
                <w:rFonts w:ascii="Arial Narrow" w:hAnsi="Arial Narrow" w:cs="Arial"/>
                <w:sz w:val="18"/>
                <w:szCs w:val="18"/>
              </w:rPr>
            </w:pPr>
          </w:p>
          <w:p w14:paraId="502BBD71" w14:textId="77777777" w:rsidR="00A919D6" w:rsidRPr="00504352" w:rsidRDefault="00A919D6" w:rsidP="00485CFF">
            <w:pPr>
              <w:keepNext/>
              <w:ind w:left="-108"/>
              <w:jc w:val="center"/>
              <w:rPr>
                <w:rFonts w:ascii="Arial Narrow" w:hAnsi="Arial Narrow" w:cs="Arial"/>
                <w:sz w:val="18"/>
                <w:szCs w:val="18"/>
              </w:rPr>
            </w:pPr>
            <w:r w:rsidRPr="00504352">
              <w:rPr>
                <w:rFonts w:ascii="Arial Narrow" w:hAnsi="Arial Narrow" w:cs="Arial"/>
                <w:sz w:val="18"/>
                <w:szCs w:val="18"/>
              </w:rPr>
              <w:t>11</w:t>
            </w:r>
          </w:p>
        </w:tc>
        <w:tc>
          <w:tcPr>
            <w:tcW w:w="851" w:type="dxa"/>
          </w:tcPr>
          <w:p w14:paraId="390F6D18" w14:textId="77777777" w:rsidR="00A919D6" w:rsidRPr="00504352" w:rsidRDefault="00A919D6" w:rsidP="00485CFF">
            <w:pPr>
              <w:keepNext/>
              <w:rPr>
                <w:rFonts w:ascii="Arial Narrow" w:hAnsi="Arial Narrow" w:cs="Arial"/>
                <w:sz w:val="18"/>
                <w:szCs w:val="18"/>
              </w:rPr>
            </w:pPr>
          </w:p>
          <w:p w14:paraId="1FD911C7" w14:textId="77777777" w:rsidR="00A919D6" w:rsidRPr="00504352" w:rsidRDefault="00A919D6" w:rsidP="00485CFF">
            <w:pPr>
              <w:keepNext/>
              <w:rPr>
                <w:rFonts w:ascii="Arial Narrow" w:hAnsi="Arial Narrow" w:cs="Arial"/>
                <w:sz w:val="18"/>
                <w:szCs w:val="18"/>
                <w:vertAlign w:val="superscript"/>
              </w:rPr>
            </w:pPr>
            <w:proofErr w:type="spellStart"/>
            <w:r w:rsidRPr="00504352">
              <w:rPr>
                <w:rFonts w:ascii="Arial Narrow" w:hAnsi="Arial Narrow" w:cs="Arial"/>
                <w:sz w:val="18"/>
                <w:szCs w:val="18"/>
              </w:rPr>
              <w:t>Pelgraz</w:t>
            </w:r>
            <w:proofErr w:type="spellEnd"/>
            <w:r w:rsidRPr="00504352">
              <w:rPr>
                <w:rFonts w:ascii="Arial Narrow" w:hAnsi="Arial Narrow" w:cs="Arial"/>
                <w:sz w:val="18"/>
                <w:szCs w:val="18"/>
                <w:vertAlign w:val="superscript"/>
              </w:rPr>
              <w:t>®</w:t>
            </w:r>
          </w:p>
        </w:tc>
        <w:tc>
          <w:tcPr>
            <w:tcW w:w="2267" w:type="dxa"/>
          </w:tcPr>
          <w:p w14:paraId="658BD3E3" w14:textId="77777777" w:rsidR="00A919D6" w:rsidRPr="00504352" w:rsidRDefault="00A919D6" w:rsidP="00485CFF">
            <w:pPr>
              <w:keepNext/>
              <w:rPr>
                <w:rFonts w:ascii="Arial Narrow" w:hAnsi="Arial Narrow" w:cs="Arial"/>
                <w:sz w:val="18"/>
                <w:szCs w:val="18"/>
              </w:rPr>
            </w:pPr>
          </w:p>
          <w:p w14:paraId="404C8814" w14:textId="77777777" w:rsidR="00A919D6" w:rsidRPr="00504352" w:rsidRDefault="00A919D6" w:rsidP="00485CFF">
            <w:pPr>
              <w:keepNext/>
              <w:rPr>
                <w:rFonts w:ascii="Arial Narrow" w:hAnsi="Arial Narrow" w:cs="Arial"/>
                <w:sz w:val="18"/>
                <w:szCs w:val="18"/>
              </w:rPr>
            </w:pPr>
            <w:r w:rsidRPr="00504352">
              <w:rPr>
                <w:rFonts w:ascii="Arial Narrow" w:hAnsi="Arial Narrow" w:cs="Arial"/>
                <w:sz w:val="18"/>
                <w:szCs w:val="18"/>
              </w:rPr>
              <w:t>Accord Healthcare Pty Ltd</w:t>
            </w:r>
          </w:p>
        </w:tc>
      </w:tr>
    </w:tbl>
    <w:p w14:paraId="3BB31B12" w14:textId="77777777" w:rsidR="00A919D6" w:rsidRPr="00504352" w:rsidRDefault="00A919D6" w:rsidP="00A919D6"/>
    <w:p w14:paraId="61225DA0" w14:textId="77777777" w:rsidR="00A919D6" w:rsidRPr="00504352" w:rsidRDefault="00A919D6" w:rsidP="00A919D6">
      <w:pPr>
        <w:rPr>
          <w:rFonts w:ascii="Arial Narrow" w:hAnsi="Arial Narrow"/>
          <w:b/>
          <w:sz w:val="18"/>
          <w:szCs w:val="18"/>
        </w:rPr>
      </w:pPr>
      <w:r w:rsidRPr="00504352">
        <w:rPr>
          <w:rFonts w:ascii="Arial Narrow" w:hAnsi="Arial Narrow"/>
          <w:b/>
          <w:sz w:val="18"/>
          <w:szCs w:val="18"/>
        </w:rPr>
        <w:t>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A919D6" w:rsidRPr="00504352" w14:paraId="532132A7" w14:textId="77777777" w:rsidTr="00485CFF">
        <w:tc>
          <w:tcPr>
            <w:tcW w:w="553" w:type="pct"/>
            <w:tcBorders>
              <w:top w:val="single" w:sz="4" w:space="0" w:color="auto"/>
              <w:left w:val="single" w:sz="4" w:space="0" w:color="auto"/>
              <w:bottom w:val="single" w:sz="4" w:space="0" w:color="auto"/>
              <w:right w:val="single" w:sz="4" w:space="0" w:color="auto"/>
            </w:tcBorders>
          </w:tcPr>
          <w:p w14:paraId="7E6EA607" w14:textId="77777777" w:rsidR="00A919D6" w:rsidRPr="00504352" w:rsidRDefault="00A919D6" w:rsidP="00485CFF">
            <w:pPr>
              <w:jc w:val="center"/>
              <w:rPr>
                <w:rFonts w:ascii="Arial Narrow" w:hAnsi="Arial Narrow" w:cs="Arial"/>
                <w:b/>
                <w:sz w:val="18"/>
                <w:szCs w:val="18"/>
              </w:rPr>
            </w:pPr>
            <w:r w:rsidRPr="00504352">
              <w:rPr>
                <w:rFonts w:ascii="Arial Narrow" w:hAnsi="Arial Narrow" w:cs="Arial"/>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14:paraId="75E451C0" w14:textId="77777777" w:rsidR="00A919D6" w:rsidRPr="00504352" w:rsidRDefault="00A919D6" w:rsidP="00485CFF">
            <w:pPr>
              <w:rPr>
                <w:rFonts w:ascii="Arial Narrow" w:hAnsi="Arial Narrow" w:cs="Arial"/>
                <w:sz w:val="18"/>
                <w:szCs w:val="18"/>
              </w:rPr>
            </w:pPr>
            <w:r w:rsidRPr="00504352">
              <w:rPr>
                <w:rFonts w:ascii="Arial Narrow" w:hAnsi="Arial Narrow" w:cs="Arial"/>
                <w:b/>
                <w:sz w:val="18"/>
                <w:szCs w:val="18"/>
              </w:rPr>
              <w:t>Category / Program:</w:t>
            </w:r>
            <w:r w:rsidRPr="00504352">
              <w:rPr>
                <w:rFonts w:ascii="Arial Narrow" w:hAnsi="Arial Narrow" w:cs="Arial"/>
                <w:sz w:val="18"/>
                <w:szCs w:val="18"/>
              </w:rPr>
              <w:t xml:space="preserve"> Section 100 – Highly Specialised Drugs Program – Public and Private </w:t>
            </w:r>
          </w:p>
        </w:tc>
      </w:tr>
      <w:tr w:rsidR="00A919D6" w:rsidRPr="00504352" w14:paraId="35D30372" w14:textId="77777777" w:rsidTr="00485CFF">
        <w:trPr>
          <w:trHeight w:val="240"/>
        </w:trPr>
        <w:tc>
          <w:tcPr>
            <w:tcW w:w="553" w:type="pct"/>
            <w:tcBorders>
              <w:top w:val="single" w:sz="4" w:space="0" w:color="auto"/>
              <w:left w:val="single" w:sz="4" w:space="0" w:color="auto"/>
              <w:bottom w:val="single" w:sz="4" w:space="0" w:color="auto"/>
              <w:right w:val="single" w:sz="4" w:space="0" w:color="auto"/>
            </w:tcBorders>
          </w:tcPr>
          <w:p w14:paraId="3BA10CE8" w14:textId="77777777" w:rsidR="00A919D6" w:rsidRPr="00504352" w:rsidRDefault="00A919D6" w:rsidP="00485CFF">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14:paraId="2C78EAC3" w14:textId="77777777" w:rsidR="00A919D6" w:rsidRPr="00504352" w:rsidRDefault="00A919D6" w:rsidP="00485CFF">
            <w:pPr>
              <w:rPr>
                <w:rFonts w:ascii="Arial Narrow" w:hAnsi="Arial Narrow" w:cs="Arial"/>
                <w:b/>
                <w:sz w:val="18"/>
                <w:szCs w:val="18"/>
              </w:rPr>
            </w:pPr>
            <w:r w:rsidRPr="00504352">
              <w:rPr>
                <w:rFonts w:ascii="Arial Narrow" w:hAnsi="Arial Narrow" w:cs="Arial"/>
                <w:b/>
                <w:sz w:val="18"/>
                <w:szCs w:val="18"/>
              </w:rPr>
              <w:t xml:space="preserve">Prescriber type:   </w:t>
            </w:r>
            <w:r w:rsidRPr="00485CFF">
              <w:rPr>
                <w:rFonts w:ascii="Arial Narrow" w:hAnsi="Arial Narrow" w:cs="Arial"/>
                <w:sz w:val="18"/>
                <w:szCs w:val="18"/>
              </w:rPr>
              <w:fldChar w:fldCharType="begin">
                <w:ffData>
                  <w:name w:val="Check1"/>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 xml:space="preserve">Dental   </w:t>
            </w:r>
            <w:r w:rsidRPr="00485CFF">
              <w:rPr>
                <w:rFonts w:ascii="Arial Narrow" w:hAnsi="Arial Narrow" w:cs="Arial"/>
                <w:sz w:val="18"/>
                <w:szCs w:val="18"/>
              </w:rPr>
              <w:fldChar w:fldCharType="begin">
                <w:ffData>
                  <w:name w:val=""/>
                  <w:enabled/>
                  <w:calcOnExit w:val="0"/>
                  <w:checkBox>
                    <w:sizeAuto/>
                    <w:default w:val="1"/>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 xml:space="preserve">Medical Practitioners   </w:t>
            </w:r>
            <w:r w:rsidRPr="00485CFF">
              <w:rPr>
                <w:rFonts w:ascii="Arial Narrow" w:hAnsi="Arial Narrow" w:cs="Arial"/>
                <w:sz w:val="18"/>
                <w:szCs w:val="18"/>
              </w:rPr>
              <w:fldChar w:fldCharType="begin">
                <w:ffData>
                  <w:name w:val="Check3"/>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 xml:space="preserve">Nurse practitioners   </w:t>
            </w:r>
            <w:r w:rsidRPr="00485CFF">
              <w:rPr>
                <w:rFonts w:ascii="Arial Narrow" w:hAnsi="Arial Narrow" w:cs="Arial"/>
                <w:sz w:val="18"/>
                <w:szCs w:val="18"/>
              </w:rPr>
              <w:fldChar w:fldCharType="begin">
                <w:ffData>
                  <w:name w:val=""/>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 xml:space="preserve">Optometrists   </w:t>
            </w:r>
            <w:r w:rsidRPr="00485CFF">
              <w:rPr>
                <w:rFonts w:ascii="Arial Narrow" w:hAnsi="Arial Narrow" w:cs="Arial"/>
                <w:sz w:val="18"/>
                <w:szCs w:val="18"/>
              </w:rPr>
              <w:fldChar w:fldCharType="begin">
                <w:ffData>
                  <w:name w:val="Check5"/>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Midwives</w:t>
            </w:r>
          </w:p>
        </w:tc>
      </w:tr>
      <w:tr w:rsidR="00A919D6" w:rsidRPr="00504352" w14:paraId="08AB6343" w14:textId="77777777" w:rsidTr="00485CFF">
        <w:tc>
          <w:tcPr>
            <w:tcW w:w="553" w:type="pct"/>
            <w:tcBorders>
              <w:top w:val="single" w:sz="4" w:space="0" w:color="auto"/>
              <w:left w:val="single" w:sz="4" w:space="0" w:color="auto"/>
              <w:bottom w:val="single" w:sz="4" w:space="0" w:color="auto"/>
              <w:right w:val="single" w:sz="4" w:space="0" w:color="auto"/>
            </w:tcBorders>
          </w:tcPr>
          <w:p w14:paraId="7B3806A0" w14:textId="77777777" w:rsidR="00A919D6" w:rsidRPr="00504352" w:rsidRDefault="00A919D6" w:rsidP="00485CFF">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14:paraId="2F631CA4" w14:textId="77777777" w:rsidR="00A919D6" w:rsidRPr="00504352" w:rsidRDefault="00A919D6" w:rsidP="00485CFF">
            <w:pPr>
              <w:rPr>
                <w:rFonts w:ascii="Arial Narrow" w:hAnsi="Arial Narrow" w:cs="Arial"/>
                <w:b/>
                <w:sz w:val="18"/>
                <w:szCs w:val="18"/>
              </w:rPr>
            </w:pPr>
            <w:r w:rsidRPr="00504352">
              <w:rPr>
                <w:rFonts w:ascii="Arial Narrow" w:hAnsi="Arial Narrow" w:cs="Arial"/>
                <w:b/>
                <w:sz w:val="18"/>
                <w:szCs w:val="18"/>
              </w:rPr>
              <w:t>Restriction Level / Method:</w:t>
            </w:r>
          </w:p>
          <w:p w14:paraId="084E8471"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Check1"/>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Unrestricted benefit</w:t>
            </w:r>
          </w:p>
          <w:p w14:paraId="473B93C1"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Check1"/>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Restricted benefit</w:t>
            </w:r>
          </w:p>
          <w:p w14:paraId="53A02F80"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Authority Required – In Writing</w:t>
            </w:r>
          </w:p>
          <w:p w14:paraId="434B19EA"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Check3"/>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Authority Required – Telephone/Electronic/Emergency</w:t>
            </w:r>
          </w:p>
          <w:p w14:paraId="332E0CBC" w14:textId="77777777" w:rsidR="00A919D6" w:rsidRPr="00504352" w:rsidRDefault="00A919D6" w:rsidP="00485CFF">
            <w:pPr>
              <w:rPr>
                <w:rFonts w:ascii="Arial Narrow" w:hAnsi="Arial Narrow" w:cs="Arial"/>
                <w:sz w:val="18"/>
                <w:szCs w:val="18"/>
              </w:rPr>
            </w:pPr>
            <w:r w:rsidRPr="00485CFF">
              <w:rPr>
                <w:rFonts w:ascii="Arial Narrow" w:hAnsi="Arial Narrow" w:cs="Arial"/>
                <w:sz w:val="18"/>
                <w:szCs w:val="18"/>
              </w:rPr>
              <w:fldChar w:fldCharType="begin">
                <w:ffData>
                  <w:name w:val=""/>
                  <w:enabled/>
                  <w:calcOnExit w:val="0"/>
                  <w:checkBox>
                    <w:sizeAuto/>
                    <w:default w:val="1"/>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485CFF">
              <w:rPr>
                <w:rFonts w:ascii="Arial Narrow" w:hAnsi="Arial Narrow" w:cs="Arial"/>
                <w:sz w:val="18"/>
                <w:szCs w:val="18"/>
              </w:rPr>
              <w:fldChar w:fldCharType="end"/>
            </w:r>
            <w:r w:rsidRPr="00504352">
              <w:rPr>
                <w:rFonts w:ascii="Arial Narrow" w:hAnsi="Arial Narrow" w:cs="Arial"/>
                <w:sz w:val="18"/>
                <w:szCs w:val="18"/>
              </w:rPr>
              <w:t>Authority Required - Streamlined</w:t>
            </w:r>
          </w:p>
        </w:tc>
      </w:tr>
      <w:tr w:rsidR="00A919D6" w:rsidRPr="00504352" w14:paraId="14DF6F02" w14:textId="77777777" w:rsidTr="00485CFF">
        <w:tc>
          <w:tcPr>
            <w:tcW w:w="553" w:type="pct"/>
            <w:vAlign w:val="center"/>
          </w:tcPr>
          <w:p w14:paraId="320BC873"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New</w:t>
            </w:r>
          </w:p>
        </w:tc>
        <w:tc>
          <w:tcPr>
            <w:tcW w:w="4447" w:type="pct"/>
            <w:vAlign w:val="center"/>
          </w:tcPr>
          <w:p w14:paraId="0915A5B8"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Administrative Advice:</w:t>
            </w:r>
          </w:p>
          <w:p w14:paraId="1E833154" w14:textId="77777777" w:rsidR="00A919D6" w:rsidRPr="00504352" w:rsidRDefault="00A919D6" w:rsidP="00485CFF">
            <w:pPr>
              <w:rPr>
                <w:rFonts w:ascii="Arial Narrow" w:hAnsi="Arial Narrow"/>
                <w:b/>
                <w:i/>
                <w:color w:val="333333"/>
                <w:sz w:val="18"/>
                <w:szCs w:val="18"/>
              </w:rPr>
            </w:pPr>
            <w:r w:rsidRPr="00504352">
              <w:rPr>
                <w:rFonts w:ascii="Arial Narrow" w:hAnsi="Arial Narrow"/>
                <w:b/>
                <w:i/>
                <w:color w:val="333333"/>
                <w:sz w:val="18"/>
                <w:szCs w:val="18"/>
              </w:rPr>
              <w:t xml:space="preserve">Biosimilar prescribing policy </w:t>
            </w:r>
          </w:p>
          <w:p w14:paraId="2A0820CF" w14:textId="77777777" w:rsidR="00A919D6" w:rsidRPr="00504352" w:rsidRDefault="00A919D6" w:rsidP="00485CFF">
            <w:pPr>
              <w:rPr>
                <w:rFonts w:ascii="Arial Narrow" w:hAnsi="Arial Narrow"/>
                <w:color w:val="333333"/>
                <w:sz w:val="18"/>
                <w:szCs w:val="18"/>
              </w:rPr>
            </w:pPr>
            <w:r w:rsidRPr="00504352">
              <w:rPr>
                <w:rFonts w:ascii="Arial Narrow" w:hAnsi="Arial Narrow"/>
                <w:i/>
                <w:color w:val="333333"/>
                <w:sz w:val="18"/>
                <w:szCs w:val="18"/>
              </w:rPr>
              <w:t xml:space="preserve">Prescribing of the biosimilar brand PELGRAZ® is encouraged for treatment naïve patients. Encouraging biosimilar prescribing for treatment naïve patients is Government policy. A viable biosimilar market </w:t>
            </w:r>
            <w:proofErr w:type="gramStart"/>
            <w:r w:rsidRPr="00504352">
              <w:rPr>
                <w:rFonts w:ascii="Arial Narrow" w:hAnsi="Arial Narrow"/>
                <w:i/>
                <w:color w:val="333333"/>
                <w:sz w:val="18"/>
                <w:szCs w:val="18"/>
              </w:rPr>
              <w:t>is expected</w:t>
            </w:r>
            <w:proofErr w:type="gramEnd"/>
            <w:r w:rsidRPr="00504352">
              <w:rPr>
                <w:rFonts w:ascii="Arial Narrow" w:hAnsi="Arial Narrow"/>
                <w:i/>
                <w:color w:val="333333"/>
                <w:sz w:val="18"/>
                <w:szCs w:val="18"/>
              </w:rPr>
              <w:t xml:space="preserve"> to result in reduced costs for biological medicines, allowing the Government to reinvest in new treatments. Further information </w:t>
            </w:r>
            <w:proofErr w:type="gramStart"/>
            <w:r w:rsidRPr="00504352">
              <w:rPr>
                <w:rFonts w:ascii="Arial Narrow" w:hAnsi="Arial Narrow"/>
                <w:i/>
                <w:color w:val="333333"/>
                <w:sz w:val="18"/>
                <w:szCs w:val="18"/>
              </w:rPr>
              <w:t>can be found</w:t>
            </w:r>
            <w:proofErr w:type="gramEnd"/>
            <w:r w:rsidRPr="00504352">
              <w:rPr>
                <w:rFonts w:ascii="Arial Narrow" w:hAnsi="Arial Narrow"/>
                <w:i/>
                <w:color w:val="333333"/>
                <w:sz w:val="18"/>
                <w:szCs w:val="18"/>
              </w:rPr>
              <w:t xml:space="preserve"> on the Biosimilar Awareness Initiative webpage (www.health.gov.au/biosimilars).</w:t>
            </w:r>
          </w:p>
        </w:tc>
      </w:tr>
      <w:tr w:rsidR="00A919D6" w:rsidRPr="00504352" w14:paraId="62B402E5" w14:textId="77777777" w:rsidTr="00485CFF">
        <w:tc>
          <w:tcPr>
            <w:tcW w:w="553" w:type="pct"/>
            <w:vAlign w:val="center"/>
          </w:tcPr>
          <w:p w14:paraId="5AB24FFB"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New</w:t>
            </w:r>
          </w:p>
        </w:tc>
        <w:tc>
          <w:tcPr>
            <w:tcW w:w="4447" w:type="pct"/>
            <w:vAlign w:val="center"/>
          </w:tcPr>
          <w:p w14:paraId="05B32921"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Administrative Advice:</w:t>
            </w:r>
          </w:p>
          <w:p w14:paraId="453D7B67" w14:textId="77777777" w:rsidR="00A919D6" w:rsidRPr="00504352" w:rsidRDefault="00A919D6" w:rsidP="00485CFF">
            <w:pPr>
              <w:rPr>
                <w:rFonts w:ascii="Arial Narrow" w:hAnsi="Arial Narrow"/>
                <w:b/>
                <w:bCs/>
                <w:color w:val="333333"/>
                <w:sz w:val="18"/>
                <w:szCs w:val="18"/>
              </w:rPr>
            </w:pPr>
            <w:r w:rsidRPr="00504352">
              <w:rPr>
                <w:rFonts w:ascii="Arial Narrow" w:hAnsi="Arial Narrow"/>
                <w:i/>
                <w:color w:val="333333"/>
                <w:sz w:val="18"/>
                <w:szCs w:val="18"/>
              </w:rPr>
              <w:t xml:space="preserve">Prescribers must include the proprietary name (brand) on the prescription to ensure the appropriate item </w:t>
            </w:r>
            <w:proofErr w:type="gramStart"/>
            <w:r w:rsidRPr="00504352">
              <w:rPr>
                <w:rFonts w:ascii="Arial Narrow" w:hAnsi="Arial Narrow"/>
                <w:i/>
                <w:color w:val="333333"/>
                <w:sz w:val="18"/>
                <w:szCs w:val="18"/>
              </w:rPr>
              <w:t>is approved</w:t>
            </w:r>
            <w:proofErr w:type="gramEnd"/>
            <w:r w:rsidRPr="00504352">
              <w:rPr>
                <w:rFonts w:ascii="Arial Narrow" w:hAnsi="Arial Narrow"/>
                <w:i/>
                <w:color w:val="333333"/>
                <w:sz w:val="18"/>
                <w:szCs w:val="18"/>
              </w:rPr>
              <w:t>.</w:t>
            </w:r>
          </w:p>
        </w:tc>
      </w:tr>
      <w:tr w:rsidR="00A919D6" w:rsidRPr="00504352" w14:paraId="685F21AE" w14:textId="77777777" w:rsidTr="00485CFF">
        <w:tc>
          <w:tcPr>
            <w:tcW w:w="553" w:type="pct"/>
            <w:vAlign w:val="center"/>
          </w:tcPr>
          <w:p w14:paraId="2EDFFB49"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N/A</w:t>
            </w:r>
          </w:p>
        </w:tc>
        <w:tc>
          <w:tcPr>
            <w:tcW w:w="4447" w:type="pct"/>
            <w:vAlign w:val="center"/>
          </w:tcPr>
          <w:p w14:paraId="61B7EF2B" w14:textId="77777777" w:rsidR="00A919D6" w:rsidRPr="00504352" w:rsidRDefault="00A919D6" w:rsidP="00485CFF">
            <w:pPr>
              <w:rPr>
                <w:rFonts w:ascii="Arial Narrow" w:hAnsi="Arial Narrow"/>
                <w:bCs/>
                <w:color w:val="333333"/>
                <w:sz w:val="18"/>
                <w:szCs w:val="18"/>
              </w:rPr>
            </w:pPr>
            <w:r w:rsidRPr="00504352">
              <w:rPr>
                <w:rFonts w:ascii="Arial Narrow" w:hAnsi="Arial Narrow"/>
                <w:b/>
                <w:bCs/>
                <w:color w:val="333333"/>
                <w:sz w:val="18"/>
                <w:szCs w:val="18"/>
              </w:rPr>
              <w:t xml:space="preserve">Episodicity: </w:t>
            </w:r>
            <w:r w:rsidRPr="00504352">
              <w:rPr>
                <w:rFonts w:ascii="Arial Narrow" w:hAnsi="Arial Narrow"/>
                <w:bCs/>
                <w:strike/>
                <w:color w:val="333333"/>
                <w:sz w:val="18"/>
                <w:szCs w:val="18"/>
              </w:rPr>
              <w:t>Administered once per chemotherapy cycle</w:t>
            </w:r>
          </w:p>
        </w:tc>
      </w:tr>
      <w:tr w:rsidR="00A919D6" w:rsidRPr="00504352" w14:paraId="60E87C9F" w14:textId="77777777" w:rsidTr="00485CFF">
        <w:tc>
          <w:tcPr>
            <w:tcW w:w="553" w:type="pct"/>
            <w:vMerge w:val="restart"/>
            <w:vAlign w:val="center"/>
          </w:tcPr>
          <w:p w14:paraId="249C00FB"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16253</w:t>
            </w:r>
          </w:p>
        </w:tc>
        <w:tc>
          <w:tcPr>
            <w:tcW w:w="4447" w:type="pct"/>
            <w:vAlign w:val="center"/>
          </w:tcPr>
          <w:p w14:paraId="0FDE5ED3" w14:textId="77777777" w:rsidR="00A919D6" w:rsidRPr="00504352" w:rsidRDefault="00A919D6" w:rsidP="00485CFF">
            <w:pPr>
              <w:rPr>
                <w:rFonts w:ascii="Arial Narrow" w:hAnsi="Arial Narrow"/>
                <w:b/>
                <w:bCs/>
                <w:color w:val="333333"/>
                <w:sz w:val="18"/>
                <w:szCs w:val="18"/>
              </w:rPr>
            </w:pPr>
            <w:r w:rsidRPr="00504352">
              <w:rPr>
                <w:rFonts w:ascii="Arial Narrow" w:hAnsi="Arial Narrow"/>
                <w:b/>
                <w:bCs/>
                <w:color w:val="333333"/>
                <w:sz w:val="18"/>
                <w:szCs w:val="18"/>
              </w:rPr>
              <w:t xml:space="preserve">Condition: </w:t>
            </w:r>
            <w:r w:rsidRPr="00504352">
              <w:rPr>
                <w:rFonts w:ascii="Arial Narrow" w:hAnsi="Arial Narrow"/>
                <w:bCs/>
                <w:color w:val="333333"/>
                <w:sz w:val="18"/>
                <w:szCs w:val="18"/>
              </w:rPr>
              <w:t>Chemotherapy-induced neutropenia</w:t>
            </w:r>
          </w:p>
        </w:tc>
      </w:tr>
      <w:tr w:rsidR="00A919D6" w:rsidRPr="00504352" w14:paraId="2DA72869" w14:textId="77777777" w:rsidTr="00485CFF">
        <w:tc>
          <w:tcPr>
            <w:tcW w:w="553" w:type="pct"/>
            <w:vMerge/>
            <w:vAlign w:val="center"/>
            <w:hideMark/>
          </w:tcPr>
          <w:p w14:paraId="5201D3E6" w14:textId="77777777" w:rsidR="00A919D6" w:rsidRPr="00504352" w:rsidRDefault="00A919D6" w:rsidP="00485CFF">
            <w:pPr>
              <w:jc w:val="center"/>
              <w:rPr>
                <w:rFonts w:ascii="Arial Narrow" w:hAnsi="Arial Narrow"/>
                <w:color w:val="333333"/>
                <w:sz w:val="18"/>
                <w:szCs w:val="18"/>
              </w:rPr>
            </w:pPr>
          </w:p>
        </w:tc>
        <w:tc>
          <w:tcPr>
            <w:tcW w:w="4447" w:type="pct"/>
            <w:vAlign w:val="center"/>
            <w:hideMark/>
          </w:tcPr>
          <w:p w14:paraId="2B2B0D3A"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Indication:</w:t>
            </w:r>
            <w:r w:rsidRPr="00504352">
              <w:rPr>
                <w:rFonts w:ascii="Arial Narrow" w:hAnsi="Arial Narrow"/>
                <w:color w:val="333333"/>
                <w:sz w:val="18"/>
                <w:szCs w:val="18"/>
              </w:rPr>
              <w:t xml:space="preserve"> Chemotherapy-induced neutropenia</w:t>
            </w:r>
          </w:p>
        </w:tc>
      </w:tr>
      <w:tr w:rsidR="00A919D6" w:rsidRPr="00504352" w14:paraId="12239CBD" w14:textId="77777777" w:rsidTr="00485CFF">
        <w:tc>
          <w:tcPr>
            <w:tcW w:w="553" w:type="pct"/>
            <w:vAlign w:val="center"/>
            <w:hideMark/>
          </w:tcPr>
          <w:p w14:paraId="00C622C8" w14:textId="77777777" w:rsidR="00A919D6" w:rsidRPr="00504352" w:rsidRDefault="00A919D6" w:rsidP="00485CFF">
            <w:pPr>
              <w:jc w:val="center"/>
              <w:rPr>
                <w:rFonts w:ascii="Arial Narrow" w:hAnsi="Arial Narrow"/>
                <w:color w:val="333333"/>
                <w:sz w:val="18"/>
                <w:szCs w:val="18"/>
              </w:rPr>
            </w:pPr>
          </w:p>
        </w:tc>
        <w:tc>
          <w:tcPr>
            <w:tcW w:w="4447" w:type="pct"/>
            <w:vAlign w:val="center"/>
            <w:hideMark/>
          </w:tcPr>
          <w:p w14:paraId="4C3115F1"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Clinical criteria:</w:t>
            </w:r>
          </w:p>
        </w:tc>
      </w:tr>
      <w:tr w:rsidR="00A919D6" w:rsidRPr="00504352" w14:paraId="71B8CA95" w14:textId="77777777" w:rsidTr="00485CFF">
        <w:tc>
          <w:tcPr>
            <w:tcW w:w="553" w:type="pct"/>
            <w:vAlign w:val="center"/>
            <w:hideMark/>
          </w:tcPr>
          <w:p w14:paraId="7B40C9F6"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22299</w:t>
            </w:r>
          </w:p>
        </w:tc>
        <w:tc>
          <w:tcPr>
            <w:tcW w:w="4447" w:type="pct"/>
            <w:vAlign w:val="center"/>
            <w:hideMark/>
          </w:tcPr>
          <w:p w14:paraId="7F90D142" w14:textId="77777777" w:rsidR="00A919D6" w:rsidRPr="00504352" w:rsidRDefault="00A919D6" w:rsidP="00485CFF">
            <w:pPr>
              <w:rPr>
                <w:rFonts w:ascii="Arial Narrow" w:hAnsi="Arial Narrow"/>
                <w:color w:val="333333"/>
                <w:sz w:val="18"/>
                <w:szCs w:val="18"/>
              </w:rPr>
            </w:pPr>
            <w:r w:rsidRPr="00504352">
              <w:rPr>
                <w:rFonts w:ascii="Arial Narrow" w:hAnsi="Arial Narrow"/>
                <w:color w:val="333333"/>
                <w:sz w:val="18"/>
                <w:szCs w:val="18"/>
              </w:rPr>
              <w:t>Patient must be receiving chemotherapy with the intention of achieving a cure or a substantial remission,</w:t>
            </w:r>
          </w:p>
        </w:tc>
      </w:tr>
      <w:tr w:rsidR="00A919D6" w:rsidRPr="00504352" w14:paraId="4F2CF96A" w14:textId="77777777" w:rsidTr="00485CFF">
        <w:tc>
          <w:tcPr>
            <w:tcW w:w="553" w:type="pct"/>
            <w:vAlign w:val="center"/>
            <w:hideMark/>
          </w:tcPr>
          <w:p w14:paraId="5940AED6" w14:textId="77777777" w:rsidR="00A919D6" w:rsidRPr="00504352" w:rsidRDefault="00A919D6" w:rsidP="00485CFF">
            <w:pPr>
              <w:jc w:val="center"/>
              <w:rPr>
                <w:rFonts w:ascii="Arial Narrow" w:hAnsi="Arial Narrow"/>
                <w:color w:val="333333"/>
                <w:sz w:val="18"/>
                <w:szCs w:val="18"/>
              </w:rPr>
            </w:pPr>
          </w:p>
        </w:tc>
        <w:tc>
          <w:tcPr>
            <w:tcW w:w="4447" w:type="pct"/>
            <w:vAlign w:val="center"/>
            <w:hideMark/>
          </w:tcPr>
          <w:p w14:paraId="2180398F" w14:textId="77777777" w:rsidR="00A919D6" w:rsidRPr="00504352" w:rsidRDefault="00A919D6" w:rsidP="00485CFF">
            <w:pPr>
              <w:rPr>
                <w:rFonts w:ascii="Arial Narrow" w:hAnsi="Arial Narrow"/>
                <w:color w:val="333333"/>
                <w:sz w:val="18"/>
                <w:szCs w:val="18"/>
              </w:rPr>
            </w:pPr>
            <w:r w:rsidRPr="00504352">
              <w:rPr>
                <w:rFonts w:ascii="Arial Narrow" w:hAnsi="Arial Narrow"/>
                <w:b/>
                <w:bCs/>
                <w:color w:val="333333"/>
                <w:sz w:val="18"/>
                <w:szCs w:val="18"/>
              </w:rPr>
              <w:t>AND</w:t>
            </w:r>
          </w:p>
        </w:tc>
      </w:tr>
      <w:tr w:rsidR="00A919D6" w:rsidRPr="00504352" w14:paraId="459FE26C" w14:textId="77777777" w:rsidTr="00485CFF">
        <w:tc>
          <w:tcPr>
            <w:tcW w:w="553" w:type="pct"/>
            <w:vAlign w:val="center"/>
          </w:tcPr>
          <w:p w14:paraId="0B6948E1"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22003</w:t>
            </w:r>
          </w:p>
        </w:tc>
        <w:tc>
          <w:tcPr>
            <w:tcW w:w="4447" w:type="pct"/>
            <w:vAlign w:val="center"/>
            <w:hideMark/>
          </w:tcPr>
          <w:p w14:paraId="611D8C65" w14:textId="77777777" w:rsidR="00A919D6" w:rsidRPr="00504352" w:rsidRDefault="00A919D6" w:rsidP="00485CFF">
            <w:pPr>
              <w:rPr>
                <w:rFonts w:ascii="Arial Narrow" w:hAnsi="Arial Narrow"/>
                <w:color w:val="333333"/>
                <w:sz w:val="18"/>
                <w:szCs w:val="18"/>
              </w:rPr>
            </w:pPr>
            <w:r w:rsidRPr="00504352">
              <w:rPr>
                <w:rFonts w:ascii="Arial Narrow" w:hAnsi="Arial Narrow"/>
                <w:color w:val="333333"/>
                <w:sz w:val="18"/>
                <w:szCs w:val="18"/>
              </w:rPr>
              <w:t>Patient must have had a prior episode of febrile neutropenia;</w:t>
            </w:r>
          </w:p>
        </w:tc>
      </w:tr>
      <w:tr w:rsidR="00A919D6" w:rsidRPr="00504352" w14:paraId="1EE81106" w14:textId="77777777" w:rsidTr="00485CFF">
        <w:tc>
          <w:tcPr>
            <w:tcW w:w="553" w:type="pct"/>
            <w:vAlign w:val="center"/>
          </w:tcPr>
          <w:p w14:paraId="21BE1A02" w14:textId="77777777" w:rsidR="00A919D6" w:rsidRPr="00504352" w:rsidRDefault="00A919D6" w:rsidP="00485CFF">
            <w:pPr>
              <w:jc w:val="center"/>
              <w:rPr>
                <w:rFonts w:ascii="Arial Narrow" w:hAnsi="Arial Narrow"/>
                <w:color w:val="333333"/>
                <w:sz w:val="18"/>
                <w:szCs w:val="18"/>
              </w:rPr>
            </w:pPr>
          </w:p>
        </w:tc>
        <w:tc>
          <w:tcPr>
            <w:tcW w:w="4447" w:type="pct"/>
            <w:vAlign w:val="center"/>
          </w:tcPr>
          <w:p w14:paraId="14F8913A" w14:textId="77777777" w:rsidR="00A919D6" w:rsidRPr="00504352" w:rsidRDefault="00A919D6" w:rsidP="00485CFF">
            <w:pPr>
              <w:rPr>
                <w:rFonts w:ascii="Arial Narrow" w:hAnsi="Arial Narrow"/>
                <w:b/>
                <w:color w:val="333333"/>
                <w:sz w:val="18"/>
                <w:szCs w:val="18"/>
              </w:rPr>
            </w:pPr>
            <w:r w:rsidRPr="00504352">
              <w:rPr>
                <w:rFonts w:ascii="Arial Narrow" w:hAnsi="Arial Narrow"/>
                <w:b/>
                <w:color w:val="333333"/>
                <w:sz w:val="18"/>
                <w:szCs w:val="18"/>
              </w:rPr>
              <w:t>OR</w:t>
            </w:r>
          </w:p>
        </w:tc>
      </w:tr>
      <w:tr w:rsidR="00A919D6" w:rsidRPr="00504352" w14:paraId="2DB8C1EB" w14:textId="77777777" w:rsidTr="00485CFF">
        <w:tc>
          <w:tcPr>
            <w:tcW w:w="553" w:type="pct"/>
            <w:vAlign w:val="center"/>
          </w:tcPr>
          <w:p w14:paraId="47E1DA70" w14:textId="77777777" w:rsidR="00A919D6" w:rsidRPr="00504352" w:rsidRDefault="00A919D6" w:rsidP="00485CFF">
            <w:pPr>
              <w:jc w:val="center"/>
              <w:rPr>
                <w:rFonts w:ascii="Arial Narrow" w:hAnsi="Arial Narrow"/>
                <w:color w:val="333333"/>
                <w:sz w:val="18"/>
                <w:szCs w:val="18"/>
              </w:rPr>
            </w:pPr>
            <w:r w:rsidRPr="00504352">
              <w:rPr>
                <w:rFonts w:ascii="Arial Narrow" w:hAnsi="Arial Narrow"/>
                <w:color w:val="333333"/>
                <w:sz w:val="18"/>
                <w:szCs w:val="18"/>
              </w:rPr>
              <w:t>22310</w:t>
            </w:r>
          </w:p>
        </w:tc>
        <w:tc>
          <w:tcPr>
            <w:tcW w:w="4447" w:type="pct"/>
            <w:vAlign w:val="center"/>
          </w:tcPr>
          <w:p w14:paraId="3E85CA90" w14:textId="77777777" w:rsidR="00A919D6" w:rsidRPr="00504352" w:rsidRDefault="00A919D6" w:rsidP="00485CFF">
            <w:pPr>
              <w:rPr>
                <w:rFonts w:ascii="Arial Narrow" w:hAnsi="Arial Narrow"/>
                <w:color w:val="333333"/>
                <w:sz w:val="18"/>
                <w:szCs w:val="18"/>
              </w:rPr>
            </w:pPr>
            <w:r w:rsidRPr="00504352">
              <w:rPr>
                <w:rFonts w:ascii="Arial Narrow" w:hAnsi="Arial Narrow"/>
                <w:color w:val="333333"/>
                <w:sz w:val="18"/>
                <w:szCs w:val="18"/>
              </w:rPr>
              <w:t>Patient must have had a prior episode of prolonged severe neutropenia for more than or equal to seven days.</w:t>
            </w:r>
          </w:p>
        </w:tc>
      </w:tr>
    </w:tbl>
    <w:p w14:paraId="23F4126A" w14:textId="77777777" w:rsidR="00A919D6" w:rsidRPr="00504352" w:rsidRDefault="00A919D6" w:rsidP="00A919D6">
      <w:pPr>
        <w:pStyle w:val="TableFooter"/>
      </w:pPr>
    </w:p>
    <w:p w14:paraId="65732F44" w14:textId="77777777" w:rsidR="00A919D6" w:rsidRPr="00504352" w:rsidRDefault="00A919D6" w:rsidP="00A919D6">
      <w:pPr>
        <w:pStyle w:val="3Bodytext"/>
        <w:numPr>
          <w:ilvl w:val="0"/>
          <w:numId w:val="0"/>
        </w:numPr>
        <w:rPr>
          <w:i/>
        </w:rPr>
      </w:pPr>
      <w:r w:rsidRPr="00504352">
        <w:rPr>
          <w:i/>
        </w:rPr>
        <w:t>For more detail on PBAC’s view, see section 6 PBAC outcome.</w:t>
      </w:r>
    </w:p>
    <w:p w14:paraId="72DDBAFA" w14:textId="77777777" w:rsidR="00543103" w:rsidRPr="00504352" w:rsidRDefault="00543103" w:rsidP="00543103">
      <w:pPr>
        <w:pStyle w:val="2Sections"/>
      </w:pPr>
      <w:r w:rsidRPr="00504352">
        <w:t>Background</w:t>
      </w:r>
    </w:p>
    <w:p w14:paraId="3F5AF65E" w14:textId="77777777" w:rsidR="00543103" w:rsidRPr="00504352" w:rsidRDefault="00543103" w:rsidP="00543103">
      <w:pPr>
        <w:pStyle w:val="3Bodytext"/>
      </w:pPr>
      <w:r w:rsidRPr="00504352">
        <w:t xml:space="preserve">Pegfilgrastim is currently listed on the Section 100 HSD </w:t>
      </w:r>
      <w:proofErr w:type="gramStart"/>
      <w:r w:rsidRPr="00504352">
        <w:t>program</w:t>
      </w:r>
      <w:proofErr w:type="gramEnd"/>
      <w:r w:rsidRPr="00504352">
        <w:t xml:space="preserve"> as an Authority Required (STREAMLINED) listing for chemotherapy-induced neutropenia.</w:t>
      </w:r>
    </w:p>
    <w:p w14:paraId="1FAA3D35" w14:textId="7933020D" w:rsidR="00543103" w:rsidRPr="00504352" w:rsidRDefault="00543103" w:rsidP="00543103">
      <w:pPr>
        <w:pStyle w:val="3Bodytext"/>
      </w:pPr>
      <w:r w:rsidRPr="00504352">
        <w:t>The</w:t>
      </w:r>
      <w:r w:rsidR="00D145D2" w:rsidRPr="00504352">
        <w:t xml:space="preserve">re are </w:t>
      </w:r>
      <w:r w:rsidR="00504352" w:rsidRPr="00504352">
        <w:t>two ‘a’</w:t>
      </w:r>
      <w:r w:rsidRPr="00504352">
        <w:t xml:space="preserve"> flagged </w:t>
      </w:r>
      <w:r w:rsidR="00D145D2" w:rsidRPr="00504352">
        <w:t xml:space="preserve">generic </w:t>
      </w:r>
      <w:r w:rsidRPr="00504352">
        <w:t xml:space="preserve">brands of </w:t>
      </w:r>
      <w:proofErr w:type="spellStart"/>
      <w:r w:rsidRPr="00504352">
        <w:t>pegfilgrastim</w:t>
      </w:r>
      <w:proofErr w:type="spellEnd"/>
      <w:r w:rsidR="00D145D2" w:rsidRPr="00504352">
        <w:t>,</w:t>
      </w:r>
      <w:r w:rsidRPr="00504352">
        <w:t xml:space="preserve"> </w:t>
      </w:r>
      <w:proofErr w:type="spellStart"/>
      <w:r w:rsidRPr="00504352">
        <w:t>Ristempa</w:t>
      </w:r>
      <w:proofErr w:type="spellEnd"/>
      <w:r w:rsidRPr="00504352">
        <w:t xml:space="preserve"> and </w:t>
      </w:r>
      <w:proofErr w:type="spellStart"/>
      <w:r w:rsidRPr="00504352">
        <w:t>Tezmota</w:t>
      </w:r>
      <w:proofErr w:type="spellEnd"/>
      <w:r w:rsidR="00D145D2" w:rsidRPr="00504352">
        <w:t xml:space="preserve">. </w:t>
      </w:r>
      <w:proofErr w:type="spellStart"/>
      <w:r w:rsidR="00D145D2" w:rsidRPr="00504352">
        <w:t>Ristempa</w:t>
      </w:r>
      <w:proofErr w:type="spellEnd"/>
      <w:r w:rsidR="00D145D2" w:rsidRPr="00504352">
        <w:t xml:space="preserve"> and </w:t>
      </w:r>
      <w:proofErr w:type="spellStart"/>
      <w:r w:rsidR="00D145D2" w:rsidRPr="00504352">
        <w:t>Tezmota</w:t>
      </w:r>
      <w:proofErr w:type="spellEnd"/>
      <w:r w:rsidRPr="00504352">
        <w:t xml:space="preserve"> have the same Sponsor</w:t>
      </w:r>
      <w:r w:rsidR="00D145D2" w:rsidRPr="00504352">
        <w:t xml:space="preserve"> as </w:t>
      </w:r>
      <w:proofErr w:type="spellStart"/>
      <w:r w:rsidR="00D145D2" w:rsidRPr="00504352">
        <w:t>Neulasta</w:t>
      </w:r>
      <w:proofErr w:type="spellEnd"/>
      <w:r w:rsidR="00D145D2" w:rsidRPr="00504352">
        <w:t xml:space="preserve"> (</w:t>
      </w:r>
      <w:r w:rsidRPr="00504352">
        <w:t>Juno Pharmaceuticals</w:t>
      </w:r>
      <w:r w:rsidR="00D145D2" w:rsidRPr="00504352">
        <w:t>)</w:t>
      </w:r>
      <w:r w:rsidRPr="00504352">
        <w:t xml:space="preserve">. </w:t>
      </w:r>
      <w:r w:rsidR="00D145D2" w:rsidRPr="00504352">
        <w:t>G</w:t>
      </w:r>
      <w:r w:rsidR="00C126A7" w:rsidRPr="00504352">
        <w:t xml:space="preserve">eneric </w:t>
      </w:r>
      <w:r w:rsidRPr="00504352">
        <w:t>brands</w:t>
      </w:r>
      <w:r w:rsidR="00C126A7" w:rsidRPr="00504352">
        <w:t xml:space="preserve"> have the same active ingredient and are bioequivalent to </w:t>
      </w:r>
      <w:r w:rsidR="00D145D2" w:rsidRPr="00504352">
        <w:t>the originator brand</w:t>
      </w:r>
    </w:p>
    <w:p w14:paraId="143E894B" w14:textId="6F142DB6" w:rsidR="00C126A7" w:rsidRPr="00504352" w:rsidRDefault="00C126A7" w:rsidP="00543103">
      <w:pPr>
        <w:pStyle w:val="3Bodytext"/>
      </w:pPr>
      <w:proofErr w:type="gramStart"/>
      <w:r w:rsidRPr="00504352">
        <w:t xml:space="preserve">There is one </w:t>
      </w:r>
      <w:r w:rsidR="00D145D2" w:rsidRPr="00504352">
        <w:t>‘a’ flagged</w:t>
      </w:r>
      <w:r w:rsidRPr="00504352">
        <w:t xml:space="preserve"> biosimilar brand of </w:t>
      </w:r>
      <w:proofErr w:type="spellStart"/>
      <w:r w:rsidRPr="00504352">
        <w:t>pegfilgrastim</w:t>
      </w:r>
      <w:proofErr w:type="spellEnd"/>
      <w:r w:rsidRPr="00504352">
        <w:t xml:space="preserve">, </w:t>
      </w:r>
      <w:proofErr w:type="spellStart"/>
      <w:r w:rsidRPr="00504352">
        <w:t>Ziextenzo</w:t>
      </w:r>
      <w:proofErr w:type="spellEnd"/>
      <w:r w:rsidRPr="00504352">
        <w:t>.</w:t>
      </w:r>
      <w:proofErr w:type="gramEnd"/>
      <w:r w:rsidRPr="00504352">
        <w:t xml:space="preserve"> Biosimilar brands usually contain biotechnology-derived proteins as the active substance and have similar core characteristics to the reference brand, such as physicochemical, biological, immunological, efficacy and safety characteristics.</w:t>
      </w:r>
    </w:p>
    <w:p w14:paraId="60FAD18D" w14:textId="77777777" w:rsidR="00543103" w:rsidRPr="00504352" w:rsidRDefault="00543103" w:rsidP="00543103">
      <w:pPr>
        <w:keepNext/>
        <w:spacing w:after="120"/>
        <w:ind w:left="68"/>
        <w:rPr>
          <w:rFonts w:asciiTheme="minorHAnsi" w:hAnsiTheme="minorHAnsi"/>
          <w:b/>
          <w:i/>
          <w:sz w:val="28"/>
        </w:rPr>
      </w:pPr>
      <w:r w:rsidRPr="00504352">
        <w:rPr>
          <w:rFonts w:asciiTheme="minorHAnsi" w:hAnsiTheme="minorHAnsi"/>
          <w:b/>
          <w:i/>
          <w:sz w:val="28"/>
        </w:rPr>
        <w:lastRenderedPageBreak/>
        <w:t>Registration status</w:t>
      </w:r>
    </w:p>
    <w:p w14:paraId="1145EA03" w14:textId="77777777" w:rsidR="00543103" w:rsidRPr="00504352" w:rsidRDefault="00543103" w:rsidP="00543103">
      <w:pPr>
        <w:pStyle w:val="Bodytextitalics"/>
        <w:jc w:val="both"/>
        <w:rPr>
          <w:i w:val="0"/>
        </w:rPr>
      </w:pPr>
      <w:r w:rsidRPr="00504352">
        <w:rPr>
          <w:i w:val="0"/>
        </w:rPr>
        <w:t xml:space="preserve">The </w:t>
      </w:r>
      <w:proofErr w:type="spellStart"/>
      <w:r w:rsidRPr="00504352">
        <w:rPr>
          <w:i w:val="0"/>
        </w:rPr>
        <w:t>Lapelga</w:t>
      </w:r>
      <w:proofErr w:type="spellEnd"/>
      <w:r w:rsidRPr="00504352">
        <w:rPr>
          <w:i w:val="0"/>
        </w:rPr>
        <w:t>® brand</w:t>
      </w:r>
      <w:r w:rsidRPr="00504352">
        <w:rPr>
          <w:i w:val="0"/>
          <w:szCs w:val="24"/>
        </w:rPr>
        <w:t xml:space="preserve"> of </w:t>
      </w:r>
      <w:proofErr w:type="spellStart"/>
      <w:r w:rsidRPr="00504352">
        <w:rPr>
          <w:i w:val="0"/>
          <w:szCs w:val="24"/>
        </w:rPr>
        <w:t>pegfilgrastim</w:t>
      </w:r>
      <w:proofErr w:type="spellEnd"/>
      <w:r w:rsidRPr="00504352">
        <w:rPr>
          <w:i w:val="0"/>
          <w:szCs w:val="24"/>
        </w:rPr>
        <w:t xml:space="preserve"> pre-filled syringe was listed on the Australian Register of Therapeutic Goods (ARTG) on 19 August 2019 with the same indication as the reference brand, </w:t>
      </w:r>
      <w:proofErr w:type="spellStart"/>
      <w:r w:rsidRPr="00504352">
        <w:rPr>
          <w:i w:val="0"/>
          <w:szCs w:val="24"/>
        </w:rPr>
        <w:t>Neulasta</w:t>
      </w:r>
      <w:proofErr w:type="spellEnd"/>
      <w:r w:rsidRPr="00504352">
        <w:rPr>
          <w:i w:val="0"/>
          <w:szCs w:val="24"/>
        </w:rPr>
        <w:t>: for</w:t>
      </w:r>
      <w:r w:rsidRPr="00504352" w:rsidDel="009A61CA">
        <w:rPr>
          <w:i w:val="0"/>
          <w:szCs w:val="24"/>
        </w:rPr>
        <w:t xml:space="preserve"> </w:t>
      </w:r>
      <w:r w:rsidRPr="00504352">
        <w:rPr>
          <w:i w:val="0"/>
          <w:szCs w:val="24"/>
        </w:rPr>
        <w:t xml:space="preserve">the treatment of </w:t>
      </w:r>
      <w:proofErr w:type="gramStart"/>
      <w:r w:rsidRPr="00504352">
        <w:rPr>
          <w:i w:val="0"/>
          <w:szCs w:val="24"/>
        </w:rPr>
        <w:t>cancer</w:t>
      </w:r>
      <w:proofErr w:type="gramEnd"/>
      <w:r w:rsidRPr="00504352">
        <w:rPr>
          <w:i w:val="0"/>
          <w:szCs w:val="24"/>
        </w:rPr>
        <w:t xml:space="preserve"> patients following chemotherapy, to decrease the duration of severe neutropenia and so reduce the incidence of infections, as manifested by febrile neutropenia. </w:t>
      </w:r>
      <w:proofErr w:type="spellStart"/>
      <w:r w:rsidRPr="00504352">
        <w:rPr>
          <w:i w:val="0"/>
          <w:szCs w:val="24"/>
        </w:rPr>
        <w:t>Lapelga</w:t>
      </w:r>
      <w:proofErr w:type="spellEnd"/>
      <w:r w:rsidRPr="00504352">
        <w:rPr>
          <w:i w:val="0"/>
          <w:szCs w:val="24"/>
        </w:rPr>
        <w:t xml:space="preserve"> </w:t>
      </w:r>
      <w:proofErr w:type="gramStart"/>
      <w:r w:rsidRPr="00504352">
        <w:rPr>
          <w:i w:val="0"/>
          <w:szCs w:val="24"/>
        </w:rPr>
        <w:t>was later rebranded</w:t>
      </w:r>
      <w:proofErr w:type="gramEnd"/>
      <w:r w:rsidRPr="00504352">
        <w:rPr>
          <w:i w:val="0"/>
          <w:szCs w:val="24"/>
        </w:rPr>
        <w:t xml:space="preserve"> to </w:t>
      </w:r>
      <w:proofErr w:type="spellStart"/>
      <w:r w:rsidRPr="00504352">
        <w:rPr>
          <w:i w:val="0"/>
          <w:szCs w:val="24"/>
        </w:rPr>
        <w:t>Pelgraz</w:t>
      </w:r>
      <w:proofErr w:type="spellEnd"/>
      <w:r w:rsidRPr="00504352">
        <w:rPr>
          <w:i w:val="0"/>
          <w:szCs w:val="24"/>
        </w:rPr>
        <w:t>.</w:t>
      </w:r>
    </w:p>
    <w:p w14:paraId="422F3C1F" w14:textId="55A6FA44" w:rsidR="00543103" w:rsidRPr="00504352" w:rsidRDefault="00543103" w:rsidP="00543103">
      <w:pPr>
        <w:pStyle w:val="3Bodytext"/>
      </w:pPr>
      <w:r w:rsidRPr="00504352">
        <w:t xml:space="preserve">The submission also </w:t>
      </w:r>
      <w:r w:rsidR="007D06E8" w:rsidRPr="00504352">
        <w:t xml:space="preserve">requested </w:t>
      </w:r>
      <w:proofErr w:type="gramStart"/>
      <w:r w:rsidR="007D06E8" w:rsidRPr="00504352">
        <w:t>PBS-listing</w:t>
      </w:r>
      <w:proofErr w:type="gramEnd"/>
      <w:r w:rsidR="007D06E8" w:rsidRPr="00504352">
        <w:t xml:space="preserve"> of </w:t>
      </w:r>
      <w:r w:rsidRPr="00504352">
        <w:t xml:space="preserve">a new dose form of </w:t>
      </w:r>
      <w:proofErr w:type="spellStart"/>
      <w:r w:rsidRPr="00504352">
        <w:t>pegfilgrastim</w:t>
      </w:r>
      <w:proofErr w:type="spellEnd"/>
      <w:r w:rsidR="007D06E8" w:rsidRPr="00504352">
        <w:t>:</w:t>
      </w:r>
      <w:r w:rsidRPr="00504352">
        <w:t xml:space="preserve"> 6 mg in 0.6 mL single use pre-filled injector (i.e. pen device)</w:t>
      </w:r>
      <w:r w:rsidR="007D06E8" w:rsidRPr="00504352">
        <w:t>. T</w:t>
      </w:r>
      <w:r w:rsidRPr="00504352">
        <w:t xml:space="preserve">he PBAC Secretariat did not accept this part of the submission because the dose form </w:t>
      </w:r>
      <w:proofErr w:type="gramStart"/>
      <w:r w:rsidRPr="00504352">
        <w:t>was still being evaluated</w:t>
      </w:r>
      <w:proofErr w:type="gramEnd"/>
      <w:r w:rsidRPr="00504352">
        <w:t xml:space="preserve"> by the Therapeutic Goods Administration (TGA) and was pending approval. Minor submissions </w:t>
      </w:r>
      <w:proofErr w:type="gramStart"/>
      <w:r w:rsidRPr="00504352">
        <w:t>can only be made</w:t>
      </w:r>
      <w:proofErr w:type="gramEnd"/>
      <w:r w:rsidRPr="00504352">
        <w:t xml:space="preserve"> for dose forms</w:t>
      </w:r>
      <w:r w:rsidR="00996F0C" w:rsidRPr="00504352">
        <w:t xml:space="preserve"> that are TGA registered or have a positive </w:t>
      </w:r>
      <w:r w:rsidR="007D06E8" w:rsidRPr="00504352">
        <w:t>TGA D</w:t>
      </w:r>
      <w:r w:rsidR="00996F0C" w:rsidRPr="00504352">
        <w:t>elegate</w:t>
      </w:r>
      <w:r w:rsidR="007D06E8" w:rsidRPr="00504352">
        <w:t>’s</w:t>
      </w:r>
      <w:r w:rsidR="00996F0C" w:rsidRPr="00504352">
        <w:t xml:space="preserve"> overview at the time of submission</w:t>
      </w:r>
      <w:r w:rsidRPr="00504352">
        <w:t>.</w:t>
      </w:r>
    </w:p>
    <w:p w14:paraId="29225298" w14:textId="77777777" w:rsidR="00543103" w:rsidRPr="00504352" w:rsidRDefault="00543103" w:rsidP="00543103">
      <w:pPr>
        <w:spacing w:after="120"/>
        <w:ind w:left="66"/>
        <w:rPr>
          <w:rFonts w:asciiTheme="minorHAnsi" w:hAnsiTheme="minorHAnsi"/>
          <w:b/>
          <w:i/>
          <w:sz w:val="28"/>
        </w:rPr>
      </w:pPr>
      <w:r w:rsidRPr="00504352">
        <w:rPr>
          <w:rFonts w:asciiTheme="minorHAnsi" w:hAnsiTheme="minorHAnsi"/>
          <w:b/>
          <w:i/>
          <w:sz w:val="28"/>
        </w:rPr>
        <w:t>Previous PBAC consideration</w:t>
      </w:r>
    </w:p>
    <w:p w14:paraId="24C76930" w14:textId="77777777" w:rsidR="00543103" w:rsidRPr="00504352" w:rsidRDefault="00543103" w:rsidP="00543103">
      <w:pPr>
        <w:pStyle w:val="3Bodytext"/>
      </w:pPr>
      <w:proofErr w:type="spellStart"/>
      <w:r w:rsidRPr="00504352">
        <w:t>Pelgraz</w:t>
      </w:r>
      <w:proofErr w:type="spellEnd"/>
      <w:r w:rsidRPr="00504352">
        <w:t xml:space="preserve"> </w:t>
      </w:r>
      <w:proofErr w:type="gramStart"/>
      <w:r w:rsidRPr="00504352">
        <w:t>has not been considered</w:t>
      </w:r>
      <w:proofErr w:type="gramEnd"/>
      <w:r w:rsidRPr="00504352">
        <w:t xml:space="preserve"> by the PBAC previously.</w:t>
      </w:r>
    </w:p>
    <w:p w14:paraId="0BAC56D1" w14:textId="458E23F1" w:rsidR="00543103" w:rsidRPr="00A919D6" w:rsidRDefault="00543103" w:rsidP="00A919D6">
      <w:pPr>
        <w:pStyle w:val="3Bodytext"/>
      </w:pPr>
      <w:r w:rsidRPr="00504352">
        <w:t xml:space="preserve">The PBAC has previously recommended two biosimilar </w:t>
      </w:r>
      <w:proofErr w:type="spellStart"/>
      <w:r w:rsidRPr="00504352">
        <w:t>pegfilgrastim</w:t>
      </w:r>
      <w:proofErr w:type="spellEnd"/>
      <w:r w:rsidRPr="00504352">
        <w:t xml:space="preserve"> brands for listing on the PBS: </w:t>
      </w:r>
      <w:proofErr w:type="spellStart"/>
      <w:r w:rsidRPr="00504352">
        <w:t>Fulphila</w:t>
      </w:r>
      <w:proofErr w:type="spellEnd"/>
      <w:r w:rsidRPr="00504352">
        <w:t xml:space="preserve"> (November 2018) and </w:t>
      </w:r>
      <w:proofErr w:type="spellStart"/>
      <w:r w:rsidRPr="00504352">
        <w:t>Ziextenzo</w:t>
      </w:r>
      <w:proofErr w:type="spellEnd"/>
      <w:r w:rsidRPr="00504352">
        <w:t xml:space="preserve"> (November 2019). </w:t>
      </w:r>
      <w:proofErr w:type="spellStart"/>
      <w:r w:rsidR="00394350" w:rsidRPr="00504352">
        <w:t>Ziextenzo</w:t>
      </w:r>
      <w:proofErr w:type="spellEnd"/>
      <w:r w:rsidR="00394350" w:rsidRPr="00504352">
        <w:t xml:space="preserve"> </w:t>
      </w:r>
      <w:proofErr w:type="gramStart"/>
      <w:r w:rsidR="00394350" w:rsidRPr="00504352">
        <w:t>was listed</w:t>
      </w:r>
      <w:proofErr w:type="gramEnd"/>
      <w:r w:rsidR="00394350" w:rsidRPr="00504352">
        <w:t xml:space="preserve"> on the PBS on 1 March 2020. At the time of the March 2020 PBAC meeting, </w:t>
      </w:r>
      <w:proofErr w:type="spellStart"/>
      <w:r w:rsidR="00394350" w:rsidRPr="00504352">
        <w:t>Fulphila</w:t>
      </w:r>
      <w:proofErr w:type="spellEnd"/>
      <w:r w:rsidR="00394350" w:rsidRPr="00504352">
        <w:t xml:space="preserve"> had yet to </w:t>
      </w:r>
      <w:proofErr w:type="gramStart"/>
      <w:r w:rsidR="00394350" w:rsidRPr="00504352">
        <w:t>be listed</w:t>
      </w:r>
      <w:proofErr w:type="gramEnd"/>
      <w:r w:rsidR="00394350" w:rsidRPr="00504352">
        <w:t xml:space="preserve"> on the PBS.</w:t>
      </w:r>
      <w:r w:rsidR="0099196F">
        <w:t xml:space="preserve"> </w:t>
      </w:r>
      <w:r w:rsidR="008B4C96" w:rsidRPr="00A919D6">
        <w:t>For more detail on PBAC’s view, see section 6 PBAC outcome.</w:t>
      </w:r>
    </w:p>
    <w:p w14:paraId="58EFB38F" w14:textId="6A48D7D1" w:rsidR="005A3173" w:rsidRPr="00504352" w:rsidRDefault="005A3173" w:rsidP="0033263D">
      <w:pPr>
        <w:pStyle w:val="2Sections"/>
        <w:rPr>
          <w:color w:val="FF0000"/>
        </w:rPr>
      </w:pPr>
      <w:r w:rsidRPr="00504352">
        <w:t>Comparator</w:t>
      </w:r>
    </w:p>
    <w:p w14:paraId="5FBD150A" w14:textId="77777777" w:rsidR="00820708" w:rsidRPr="00504352" w:rsidRDefault="00820708" w:rsidP="008605C4">
      <w:pPr>
        <w:pStyle w:val="3Bodytext"/>
      </w:pPr>
      <w:r w:rsidRPr="00504352">
        <w:t xml:space="preserve">The minor submission nominated the reference brand of </w:t>
      </w:r>
      <w:proofErr w:type="spellStart"/>
      <w:r w:rsidRPr="00504352">
        <w:t>pegfilgrastim</w:t>
      </w:r>
      <w:proofErr w:type="spellEnd"/>
      <w:r w:rsidRPr="00504352">
        <w:t xml:space="preserve">, </w:t>
      </w:r>
      <w:proofErr w:type="spellStart"/>
      <w:r w:rsidRPr="00504352">
        <w:t>Neulasta</w:t>
      </w:r>
      <w:proofErr w:type="spellEnd"/>
      <w:r w:rsidRPr="00504352">
        <w:t>, as the main comparator, which was appropriate.</w:t>
      </w:r>
    </w:p>
    <w:p w14:paraId="186D2001" w14:textId="77777777" w:rsidR="000B558D" w:rsidRPr="00504352"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504352">
        <w:rPr>
          <w:rFonts w:asciiTheme="minorHAnsi" w:hAnsiTheme="minorHAnsi"/>
          <w:sz w:val="32"/>
          <w:szCs w:val="32"/>
        </w:rPr>
        <w:t>C</w:t>
      </w:r>
      <w:r w:rsidR="00D84934" w:rsidRPr="00504352">
        <w:rPr>
          <w:rFonts w:asciiTheme="minorHAnsi" w:hAnsiTheme="minorHAnsi"/>
          <w:sz w:val="32"/>
          <w:szCs w:val="32"/>
        </w:rPr>
        <w:t>onsideration of the evidence</w:t>
      </w:r>
    </w:p>
    <w:p w14:paraId="25861153" w14:textId="5FCDB42C" w:rsidR="00D9168B" w:rsidRPr="00504352" w:rsidRDefault="00D9168B" w:rsidP="00AC6093">
      <w:pPr>
        <w:pStyle w:val="Bodytextitalics"/>
        <w:rPr>
          <w:i w:val="0"/>
        </w:rPr>
      </w:pPr>
      <w:r w:rsidRPr="00504352">
        <w:rPr>
          <w:i w:val="0"/>
        </w:rPr>
        <w:t xml:space="preserve">As a minor submission, no evaluation of the clinical evidence was undertaken and the financial estimates have </w:t>
      </w:r>
      <w:proofErr w:type="gramStart"/>
      <w:r w:rsidRPr="00504352">
        <w:rPr>
          <w:i w:val="0"/>
        </w:rPr>
        <w:t>not been independently</w:t>
      </w:r>
      <w:proofErr w:type="gramEnd"/>
      <w:r w:rsidRPr="00504352">
        <w:rPr>
          <w:i w:val="0"/>
        </w:rPr>
        <w:t xml:space="preserve"> evaluated.</w:t>
      </w:r>
    </w:p>
    <w:p w14:paraId="5F1D62EE" w14:textId="07D5E6DC" w:rsidR="00BD59FD" w:rsidRPr="00504352" w:rsidRDefault="00BD59FD" w:rsidP="00BD59FD">
      <w:pPr>
        <w:pStyle w:val="Heading2"/>
        <w:keepLines/>
        <w:spacing w:before="240" w:after="120"/>
        <w:rPr>
          <w:rFonts w:asciiTheme="minorHAnsi" w:eastAsiaTheme="majorEastAsia" w:hAnsiTheme="minorHAnsi" w:cstheme="majorBidi"/>
          <w:sz w:val="28"/>
          <w:szCs w:val="28"/>
          <w:lang w:eastAsia="en-US"/>
        </w:rPr>
      </w:pPr>
      <w:r w:rsidRPr="00504352">
        <w:rPr>
          <w:rFonts w:asciiTheme="minorHAnsi" w:eastAsiaTheme="majorEastAsia" w:hAnsiTheme="minorHAnsi" w:cstheme="majorBidi"/>
          <w:sz w:val="28"/>
          <w:szCs w:val="28"/>
          <w:lang w:eastAsia="en-US"/>
        </w:rPr>
        <w:t>Sponsor hearing</w:t>
      </w:r>
    </w:p>
    <w:p w14:paraId="340637AD" w14:textId="57B60941" w:rsidR="00BD59FD" w:rsidRPr="00504352" w:rsidRDefault="00BD59FD" w:rsidP="00BD59FD">
      <w:pPr>
        <w:pStyle w:val="3Bodytext"/>
      </w:pPr>
      <w:r w:rsidRPr="00504352">
        <w:rPr>
          <w:rFonts w:cs="Arial"/>
          <w:bCs/>
          <w:snapToGrid w:val="0"/>
        </w:rPr>
        <w:t>There was no hearing for this item as it was a minor submission.</w:t>
      </w:r>
    </w:p>
    <w:p w14:paraId="0E319DEA" w14:textId="0D4EB898" w:rsidR="00BD59FD" w:rsidRPr="00504352" w:rsidRDefault="00BD59FD" w:rsidP="00937958">
      <w:pPr>
        <w:pStyle w:val="Heading2"/>
        <w:keepLines/>
        <w:spacing w:before="240" w:after="120"/>
        <w:rPr>
          <w:rFonts w:asciiTheme="minorHAnsi" w:eastAsiaTheme="majorEastAsia" w:hAnsiTheme="minorHAnsi" w:cstheme="majorBidi"/>
          <w:sz w:val="28"/>
          <w:szCs w:val="28"/>
          <w:lang w:eastAsia="en-US"/>
        </w:rPr>
      </w:pPr>
      <w:r w:rsidRPr="00504352">
        <w:rPr>
          <w:rFonts w:asciiTheme="minorHAnsi" w:eastAsiaTheme="majorEastAsia" w:hAnsiTheme="minorHAnsi" w:cstheme="majorBidi"/>
          <w:sz w:val="28"/>
          <w:szCs w:val="28"/>
          <w:lang w:eastAsia="en-US"/>
        </w:rPr>
        <w:t>Consumer comments</w:t>
      </w:r>
    </w:p>
    <w:p w14:paraId="200C59F7" w14:textId="7EC898BB" w:rsidR="00BD59FD" w:rsidRPr="00504352" w:rsidRDefault="00BD59FD" w:rsidP="00BD59FD">
      <w:pPr>
        <w:pStyle w:val="3Bodytext"/>
      </w:pPr>
      <w:r w:rsidRPr="00504352">
        <w:rPr>
          <w:rFonts w:cs="Arial"/>
          <w:bCs/>
          <w:snapToGrid w:val="0"/>
        </w:rPr>
        <w:t>The PBAC noted that no consumer comments were received for this item</w:t>
      </w:r>
    </w:p>
    <w:p w14:paraId="2D719663" w14:textId="06A54AC2" w:rsidR="00D84934" w:rsidRPr="00504352" w:rsidRDefault="00D84934" w:rsidP="00937958">
      <w:pPr>
        <w:pStyle w:val="Heading2"/>
        <w:keepLines/>
        <w:spacing w:before="240" w:after="120"/>
        <w:rPr>
          <w:rFonts w:asciiTheme="minorHAnsi" w:eastAsiaTheme="majorEastAsia" w:hAnsiTheme="minorHAnsi" w:cstheme="majorBidi"/>
          <w:sz w:val="28"/>
          <w:szCs w:val="28"/>
          <w:lang w:eastAsia="en-US"/>
        </w:rPr>
      </w:pPr>
      <w:r w:rsidRPr="00504352">
        <w:rPr>
          <w:rFonts w:asciiTheme="minorHAnsi" w:eastAsiaTheme="majorEastAsia" w:hAnsiTheme="minorHAnsi" w:cstheme="majorBidi"/>
          <w:sz w:val="28"/>
          <w:szCs w:val="28"/>
          <w:lang w:eastAsia="en-US"/>
        </w:rPr>
        <w:t>Clinical trials</w:t>
      </w:r>
    </w:p>
    <w:p w14:paraId="505DC909" w14:textId="7F72FAA7" w:rsidR="000F4D5F" w:rsidRPr="00504352" w:rsidRDefault="000F4D5F" w:rsidP="000F4D5F">
      <w:pPr>
        <w:pStyle w:val="3Bodytext"/>
      </w:pPr>
      <w:r w:rsidRPr="00504352">
        <w:t xml:space="preserve">The minor submission presented two studies to support its claim of biosimilarity, and equivalent efficacy and safety of </w:t>
      </w:r>
      <w:proofErr w:type="spellStart"/>
      <w:r w:rsidRPr="00504352">
        <w:t>Pelgraz</w:t>
      </w:r>
      <w:proofErr w:type="spellEnd"/>
      <w:r w:rsidRPr="00504352">
        <w:t xml:space="preserve"> compared to </w:t>
      </w:r>
      <w:proofErr w:type="spellStart"/>
      <w:r w:rsidRPr="00504352">
        <w:t>Neulasta</w:t>
      </w:r>
      <w:proofErr w:type="spellEnd"/>
      <w:r w:rsidR="00241F40" w:rsidRPr="00504352">
        <w:t>.</w:t>
      </w:r>
    </w:p>
    <w:p w14:paraId="48C40C2F" w14:textId="77777777" w:rsidR="0076420C" w:rsidRPr="00504352" w:rsidRDefault="00980B0E" w:rsidP="00774E2C">
      <w:pPr>
        <w:pStyle w:val="Bodytextitalics"/>
        <w:rPr>
          <w:i w:val="0"/>
        </w:rPr>
      </w:pPr>
      <w:r w:rsidRPr="00504352">
        <w:rPr>
          <w:i w:val="0"/>
        </w:rPr>
        <w:lastRenderedPageBreak/>
        <w:t xml:space="preserve">Details of the trials presented in the submission </w:t>
      </w:r>
      <w:proofErr w:type="gramStart"/>
      <w:r w:rsidRPr="00504352">
        <w:rPr>
          <w:i w:val="0"/>
        </w:rPr>
        <w:t>are provided</w:t>
      </w:r>
      <w:proofErr w:type="gramEnd"/>
      <w:r w:rsidRPr="00504352">
        <w:rPr>
          <w:i w:val="0"/>
        </w:rPr>
        <w:t xml:space="preserve"> in the table below.</w:t>
      </w:r>
    </w:p>
    <w:p w14:paraId="2414397F" w14:textId="386E46C1" w:rsidR="00BF092C" w:rsidRPr="00504352" w:rsidRDefault="00BF092C" w:rsidP="0092582B">
      <w:pPr>
        <w:pStyle w:val="Tabletitles"/>
      </w:pPr>
      <w:r w:rsidRPr="00504352">
        <w:t xml:space="preserve">Table </w:t>
      </w:r>
      <w:fldSimple w:instr=" SEQ Table \* ARABIC ">
        <w:r w:rsidR="00545864">
          <w:rPr>
            <w:noProof/>
          </w:rPr>
          <w:t>1</w:t>
        </w:r>
      </w:fldSimple>
      <w:r w:rsidR="001C1E06" w:rsidRPr="00504352">
        <w:t>:</w:t>
      </w:r>
      <w:r w:rsidRPr="00504352">
        <w:t xml:space="preserve"> Trials and associa</w:t>
      </w:r>
      <w:r w:rsidR="0092582B" w:rsidRPr="00504352">
        <w:t xml:space="preserve">ted reports presented in the </w:t>
      </w:r>
      <w:r w:rsidRPr="00504352">
        <w:t>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submission"/>
      </w:tblPr>
      <w:tblGrid>
        <w:gridCol w:w="685"/>
        <w:gridCol w:w="3938"/>
        <w:gridCol w:w="4393"/>
      </w:tblGrid>
      <w:tr w:rsidR="0076420C" w:rsidRPr="00504352" w14:paraId="2D082A48" w14:textId="77777777" w:rsidTr="00E867BB">
        <w:trPr>
          <w:cantSplit/>
          <w:trHeight w:val="539"/>
          <w:tblHeader/>
        </w:trPr>
        <w:tc>
          <w:tcPr>
            <w:tcW w:w="0" w:type="auto"/>
          </w:tcPr>
          <w:p w14:paraId="36EE8F7C" w14:textId="004336F4" w:rsidR="0076420C" w:rsidRPr="00504352" w:rsidRDefault="0076420C" w:rsidP="00BF4A31">
            <w:pPr>
              <w:pStyle w:val="Tabletitles"/>
              <w:jc w:val="center"/>
            </w:pPr>
            <w:r w:rsidRPr="00504352">
              <w:t>Trial ID</w:t>
            </w:r>
          </w:p>
        </w:tc>
        <w:tc>
          <w:tcPr>
            <w:tcW w:w="0" w:type="auto"/>
          </w:tcPr>
          <w:p w14:paraId="7903536C" w14:textId="0BC38DB0" w:rsidR="0076420C" w:rsidRPr="00504352" w:rsidRDefault="0076420C" w:rsidP="00BF4A31">
            <w:pPr>
              <w:pStyle w:val="Tabletitles"/>
              <w:jc w:val="left"/>
            </w:pPr>
            <w:r w:rsidRPr="00504352">
              <w:t>Protocol</w:t>
            </w:r>
          </w:p>
        </w:tc>
        <w:tc>
          <w:tcPr>
            <w:tcW w:w="0" w:type="auto"/>
          </w:tcPr>
          <w:p w14:paraId="0FA44C1A" w14:textId="77777777" w:rsidR="0076420C" w:rsidRPr="00504352" w:rsidRDefault="0076420C" w:rsidP="003E0A63">
            <w:pPr>
              <w:pStyle w:val="Tabletitles"/>
              <w:jc w:val="left"/>
            </w:pPr>
            <w:r w:rsidRPr="00504352">
              <w:t>Publication citation</w:t>
            </w:r>
          </w:p>
        </w:tc>
      </w:tr>
      <w:tr w:rsidR="0076420C" w:rsidRPr="00504352" w14:paraId="2D5D99B3" w14:textId="77777777" w:rsidTr="00E867BB">
        <w:trPr>
          <w:cantSplit/>
          <w:trHeight w:val="317"/>
        </w:trPr>
        <w:tc>
          <w:tcPr>
            <w:tcW w:w="0" w:type="auto"/>
            <w:gridSpan w:val="3"/>
          </w:tcPr>
          <w:p w14:paraId="2D4AE5C6" w14:textId="77777777" w:rsidR="0076420C" w:rsidRPr="00504352" w:rsidRDefault="0076420C" w:rsidP="006670BE">
            <w:pPr>
              <w:pStyle w:val="NoSpacing"/>
              <w:spacing w:before="40" w:after="40"/>
              <w:rPr>
                <w:rFonts w:ascii="Arial Narrow" w:hAnsi="Arial Narrow"/>
                <w:b/>
                <w:sz w:val="20"/>
              </w:rPr>
            </w:pPr>
            <w:r w:rsidRPr="00504352">
              <w:rPr>
                <w:rFonts w:ascii="Arial Narrow" w:hAnsi="Arial Narrow"/>
                <w:b/>
                <w:sz w:val="20"/>
              </w:rPr>
              <w:t>Direct randomised trial</w:t>
            </w:r>
            <w:r w:rsidR="00B176C8" w:rsidRPr="00504352">
              <w:rPr>
                <w:rFonts w:ascii="Arial Narrow" w:hAnsi="Arial Narrow"/>
                <w:b/>
                <w:sz w:val="20"/>
              </w:rPr>
              <w:t>(</w:t>
            </w:r>
            <w:r w:rsidRPr="00504352">
              <w:rPr>
                <w:rFonts w:ascii="Arial Narrow" w:hAnsi="Arial Narrow"/>
                <w:b/>
                <w:sz w:val="20"/>
              </w:rPr>
              <w:t>s</w:t>
            </w:r>
            <w:r w:rsidR="00B176C8" w:rsidRPr="00504352">
              <w:rPr>
                <w:rFonts w:ascii="Arial Narrow" w:hAnsi="Arial Narrow"/>
                <w:b/>
                <w:sz w:val="20"/>
              </w:rPr>
              <w:t>)</w:t>
            </w:r>
          </w:p>
        </w:tc>
      </w:tr>
      <w:tr w:rsidR="0092582B" w:rsidRPr="00504352" w14:paraId="05BC3D3C" w14:textId="77777777" w:rsidTr="00E867BB">
        <w:trPr>
          <w:cantSplit/>
          <w:trHeight w:val="2264"/>
        </w:trPr>
        <w:tc>
          <w:tcPr>
            <w:tcW w:w="0" w:type="auto"/>
          </w:tcPr>
          <w:p w14:paraId="7ADE276A" w14:textId="51E3ABCE" w:rsidR="0092582B" w:rsidRPr="00504352" w:rsidRDefault="0092582B" w:rsidP="000F4D5F">
            <w:pPr>
              <w:pStyle w:val="TableText0"/>
            </w:pPr>
            <w:r w:rsidRPr="00504352">
              <w:t>APO-Peg-02</w:t>
            </w:r>
          </w:p>
        </w:tc>
        <w:tc>
          <w:tcPr>
            <w:tcW w:w="0" w:type="auto"/>
          </w:tcPr>
          <w:p w14:paraId="379B00F9" w14:textId="73D60BCC" w:rsidR="007E4203" w:rsidRPr="00504352" w:rsidRDefault="0092582B" w:rsidP="003B3872">
            <w:pPr>
              <w:pStyle w:val="TableText0"/>
            </w:pPr>
            <w:r w:rsidRPr="00504352">
              <w:t xml:space="preserve">A comparative Phase 1 pharmacokinetic (PK)/ </w:t>
            </w:r>
            <w:proofErr w:type="spellStart"/>
            <w:r w:rsidRPr="00504352">
              <w:t>pharmacodynamic</w:t>
            </w:r>
            <w:proofErr w:type="spellEnd"/>
            <w:r w:rsidRPr="00504352">
              <w:t xml:space="preserve"> (PD) study, inclusive of immunogenicity endpoints, </w:t>
            </w:r>
            <w:proofErr w:type="gramStart"/>
            <w:r w:rsidRPr="00504352">
              <w:t>was conducted</w:t>
            </w:r>
            <w:proofErr w:type="gramEnd"/>
            <w:r w:rsidRPr="00504352">
              <w:t xml:space="preserve"> in healthy subjects and similari</w:t>
            </w:r>
            <w:r w:rsidR="003B3872" w:rsidRPr="00504352">
              <w:t xml:space="preserve">ty in PK and PD between </w:t>
            </w:r>
            <w:proofErr w:type="spellStart"/>
            <w:r w:rsidR="003B3872" w:rsidRPr="00504352">
              <w:t>Pelgraz</w:t>
            </w:r>
            <w:proofErr w:type="spellEnd"/>
            <w:r w:rsidRPr="00504352">
              <w:t xml:space="preserve"> and </w:t>
            </w:r>
            <w:proofErr w:type="spellStart"/>
            <w:r w:rsidRPr="00504352">
              <w:t>Neulasta</w:t>
            </w:r>
            <w:proofErr w:type="spellEnd"/>
            <w:r w:rsidRPr="00504352">
              <w:t xml:space="preserve"> was demonstrated.</w:t>
            </w:r>
          </w:p>
        </w:tc>
        <w:tc>
          <w:tcPr>
            <w:tcW w:w="0" w:type="auto"/>
          </w:tcPr>
          <w:p w14:paraId="5CD5C666" w14:textId="784CB0B0" w:rsidR="0092582B" w:rsidRPr="00504352" w:rsidRDefault="007E4203" w:rsidP="0092582B">
            <w:pPr>
              <w:pStyle w:val="TableText0"/>
            </w:pPr>
            <w:r w:rsidRPr="00504352">
              <w:t xml:space="preserve">Clinical Study Report APO-Peg-02: Comparative, randomized, single-dose, assessor-blinded, 2-way crossover pharmacokinetic and </w:t>
            </w:r>
            <w:proofErr w:type="spellStart"/>
            <w:r w:rsidRPr="00504352">
              <w:t>pharmacodynamic</w:t>
            </w:r>
            <w:proofErr w:type="spellEnd"/>
            <w:r w:rsidRPr="00504352">
              <w:t xml:space="preserve"> study of subcutaneously administered </w:t>
            </w:r>
            <w:proofErr w:type="spellStart"/>
            <w:r w:rsidRPr="00504352">
              <w:t>Pegylated</w:t>
            </w:r>
            <w:proofErr w:type="spellEnd"/>
            <w:r w:rsidRPr="00504352">
              <w:t xml:space="preserve"> </w:t>
            </w:r>
            <w:proofErr w:type="spellStart"/>
            <w:r w:rsidRPr="00504352">
              <w:t>ApoFilgrastim</w:t>
            </w:r>
            <w:proofErr w:type="spellEnd"/>
            <w:r w:rsidRPr="00504352">
              <w:t xml:space="preserve"> (</w:t>
            </w:r>
            <w:proofErr w:type="spellStart"/>
            <w:r w:rsidRPr="00504352">
              <w:t>Apotex</w:t>
            </w:r>
            <w:proofErr w:type="spellEnd"/>
            <w:r w:rsidRPr="00504352">
              <w:t xml:space="preserve"> Inc.) and </w:t>
            </w:r>
            <w:proofErr w:type="spellStart"/>
            <w:r w:rsidRPr="00504352">
              <w:t>Neulasta</w:t>
            </w:r>
            <w:proofErr w:type="spellEnd"/>
            <w:r w:rsidRPr="00504352">
              <w:t>® (Amgen Inc.) (USA) in healthy volunteer subjects.</w:t>
            </w:r>
          </w:p>
          <w:p w14:paraId="6B9D8D00" w14:textId="77777777" w:rsidR="007E4203" w:rsidRPr="00504352" w:rsidRDefault="007E4203" w:rsidP="0092582B">
            <w:pPr>
              <w:pStyle w:val="TableText0"/>
            </w:pPr>
            <w:proofErr w:type="spellStart"/>
            <w:r w:rsidRPr="00504352">
              <w:t>Apotex</w:t>
            </w:r>
            <w:proofErr w:type="spellEnd"/>
            <w:r w:rsidRPr="00504352">
              <w:t xml:space="preserve"> Inc. 2016a.</w:t>
            </w:r>
          </w:p>
          <w:p w14:paraId="3A2DF6D2" w14:textId="77777777" w:rsidR="007E4203" w:rsidRPr="00504352" w:rsidRDefault="007E4203" w:rsidP="0092582B">
            <w:pPr>
              <w:pStyle w:val="TableText0"/>
            </w:pPr>
          </w:p>
          <w:p w14:paraId="508126D9" w14:textId="27EF2011" w:rsidR="007E4203" w:rsidRPr="00504352" w:rsidRDefault="007E4203" w:rsidP="0092582B">
            <w:pPr>
              <w:pStyle w:val="TableText0"/>
            </w:pPr>
            <w:r w:rsidRPr="00504352">
              <w:t>Revision #0003: December 19, 2016.</w:t>
            </w:r>
          </w:p>
        </w:tc>
      </w:tr>
      <w:tr w:rsidR="0092582B" w:rsidRPr="00504352" w14:paraId="4947E7AB" w14:textId="77777777" w:rsidTr="00E867BB">
        <w:trPr>
          <w:cantSplit/>
          <w:trHeight w:val="2253"/>
        </w:trPr>
        <w:tc>
          <w:tcPr>
            <w:tcW w:w="0" w:type="auto"/>
          </w:tcPr>
          <w:p w14:paraId="2185D794" w14:textId="178C4FC3" w:rsidR="0092582B" w:rsidRPr="00504352" w:rsidRDefault="0092582B" w:rsidP="000F4D5F">
            <w:pPr>
              <w:pStyle w:val="TableText0"/>
            </w:pPr>
            <w:r w:rsidRPr="00504352">
              <w:t>APO-Peg-03</w:t>
            </w:r>
          </w:p>
        </w:tc>
        <w:tc>
          <w:tcPr>
            <w:tcW w:w="0" w:type="auto"/>
          </w:tcPr>
          <w:p w14:paraId="26AC05C2" w14:textId="30B06A68" w:rsidR="007E4203" w:rsidRPr="00504352" w:rsidRDefault="0092582B" w:rsidP="003B3872">
            <w:pPr>
              <w:pStyle w:val="TableText0"/>
            </w:pPr>
            <w:r w:rsidRPr="00504352">
              <w:t xml:space="preserve">A Phase III study of comparative efficacy, safety and immunogenicity assessments for </w:t>
            </w:r>
            <w:proofErr w:type="spellStart"/>
            <w:r w:rsidRPr="00504352">
              <w:t>Pelgraz</w:t>
            </w:r>
            <w:proofErr w:type="spellEnd"/>
            <w:r w:rsidRPr="00504352">
              <w:t xml:space="preserve"> and </w:t>
            </w:r>
            <w:proofErr w:type="spellStart"/>
            <w:r w:rsidRPr="00504352">
              <w:t>Neulasta</w:t>
            </w:r>
            <w:proofErr w:type="spellEnd"/>
            <w:r w:rsidRPr="00504352">
              <w:t xml:space="preserve"> in </w:t>
            </w:r>
            <w:proofErr w:type="gramStart"/>
            <w:r w:rsidRPr="00504352">
              <w:t>was conducted</w:t>
            </w:r>
            <w:proofErr w:type="gramEnd"/>
            <w:r w:rsidRPr="00504352">
              <w:t xml:space="preserve"> in breast cancer patients, demonstrating that there are no clinically meaningful differences between the biosimilar and the reference biologic drug.</w:t>
            </w:r>
          </w:p>
        </w:tc>
        <w:tc>
          <w:tcPr>
            <w:tcW w:w="0" w:type="auto"/>
          </w:tcPr>
          <w:p w14:paraId="78B67EE7" w14:textId="77777777" w:rsidR="0092582B" w:rsidRPr="00504352" w:rsidRDefault="007E4203" w:rsidP="0092582B">
            <w:pPr>
              <w:pStyle w:val="TableText0"/>
            </w:pPr>
            <w:r w:rsidRPr="00504352">
              <w:t xml:space="preserve">Clinical Study Report APO-Peg-03: A phase III, randomized, active controlled, assessor-blinded study of safety and efficacy of </w:t>
            </w:r>
            <w:proofErr w:type="spellStart"/>
            <w:r w:rsidRPr="00504352">
              <w:t>Pegylated</w:t>
            </w:r>
            <w:proofErr w:type="spellEnd"/>
            <w:r w:rsidRPr="00504352">
              <w:t xml:space="preserve"> Apo-</w:t>
            </w:r>
            <w:proofErr w:type="spellStart"/>
            <w:r w:rsidRPr="00504352">
              <w:t>Filgrastim</w:t>
            </w:r>
            <w:proofErr w:type="spellEnd"/>
            <w:r w:rsidRPr="00504352">
              <w:t xml:space="preserve"> versus US and EU licensed </w:t>
            </w:r>
            <w:proofErr w:type="spellStart"/>
            <w:r w:rsidRPr="00504352">
              <w:t>Neulasta</w:t>
            </w:r>
            <w:proofErr w:type="spellEnd"/>
            <w:r w:rsidRPr="00504352">
              <w:t xml:space="preserve">® in subjects with stage </w:t>
            </w:r>
            <w:proofErr w:type="spellStart"/>
            <w:r w:rsidRPr="00504352">
              <w:t>IIa</w:t>
            </w:r>
            <w:proofErr w:type="spellEnd"/>
            <w:r w:rsidRPr="00504352">
              <w:t xml:space="preserve">, </w:t>
            </w:r>
            <w:proofErr w:type="spellStart"/>
            <w:r w:rsidRPr="00504352">
              <w:t>IIb</w:t>
            </w:r>
            <w:proofErr w:type="spellEnd"/>
            <w:r w:rsidRPr="00504352">
              <w:t xml:space="preserve"> or </w:t>
            </w:r>
            <w:proofErr w:type="spellStart"/>
            <w:r w:rsidRPr="00504352">
              <w:t>IIIa</w:t>
            </w:r>
            <w:proofErr w:type="spellEnd"/>
            <w:r w:rsidRPr="00504352">
              <w:t xml:space="preserve"> breast cancer receiving TAC anticancer chemotherapy in adjuvant setting. </w:t>
            </w:r>
            <w:proofErr w:type="spellStart"/>
            <w:r w:rsidRPr="00504352">
              <w:t>Apotex</w:t>
            </w:r>
            <w:proofErr w:type="spellEnd"/>
            <w:r w:rsidRPr="00504352">
              <w:t xml:space="preserve"> Inc. 2016b.</w:t>
            </w:r>
          </w:p>
          <w:p w14:paraId="128FF9A3" w14:textId="77777777" w:rsidR="007E4203" w:rsidRPr="00504352" w:rsidRDefault="007E4203" w:rsidP="0092582B">
            <w:pPr>
              <w:pStyle w:val="TableText0"/>
            </w:pPr>
          </w:p>
          <w:p w14:paraId="3065B7C6" w14:textId="0EF20A23" w:rsidR="007E4203" w:rsidRPr="00504352" w:rsidRDefault="007E4203" w:rsidP="0092582B">
            <w:pPr>
              <w:pStyle w:val="TableText0"/>
            </w:pPr>
            <w:r w:rsidRPr="00504352">
              <w:t>Version 3.0/Dec 20, 2016, Amendment 2.</w:t>
            </w:r>
          </w:p>
        </w:tc>
      </w:tr>
    </w:tbl>
    <w:p w14:paraId="31533C3F" w14:textId="59659444" w:rsidR="00D84934" w:rsidRPr="00504352" w:rsidRDefault="0076420C" w:rsidP="000214D1">
      <w:pPr>
        <w:pStyle w:val="tablenotes"/>
        <w:spacing w:after="120"/>
        <w:rPr>
          <w:rFonts w:ascii="Arial Narrow" w:hAnsi="Arial Narrow"/>
          <w:sz w:val="18"/>
          <w:szCs w:val="18"/>
        </w:rPr>
      </w:pPr>
      <w:r w:rsidRPr="00504352">
        <w:rPr>
          <w:rFonts w:ascii="Arial Narrow" w:hAnsi="Arial Narrow"/>
          <w:sz w:val="18"/>
          <w:szCs w:val="18"/>
        </w:rPr>
        <w:t xml:space="preserve"> </w:t>
      </w:r>
      <w:r w:rsidR="00BF0129" w:rsidRPr="00504352">
        <w:rPr>
          <w:rFonts w:ascii="Arial Narrow" w:hAnsi="Arial Narrow"/>
          <w:sz w:val="18"/>
          <w:szCs w:val="18"/>
        </w:rPr>
        <w:t xml:space="preserve">Source: </w:t>
      </w:r>
      <w:r w:rsidR="009100E6" w:rsidRPr="00504352">
        <w:rPr>
          <w:rFonts w:ascii="Arial Narrow" w:hAnsi="Arial Narrow"/>
          <w:sz w:val="18"/>
          <w:szCs w:val="18"/>
        </w:rPr>
        <w:t>pg.</w:t>
      </w:r>
      <w:r w:rsidR="00BF0129" w:rsidRPr="00504352">
        <w:rPr>
          <w:rFonts w:ascii="Arial Narrow" w:hAnsi="Arial Narrow"/>
          <w:sz w:val="18"/>
          <w:szCs w:val="18"/>
        </w:rPr>
        <w:t xml:space="preserve"> 21 pf the Submission</w:t>
      </w:r>
    </w:p>
    <w:p w14:paraId="3970C6FD" w14:textId="3EB1D503" w:rsidR="005A3173" w:rsidRPr="00504352" w:rsidRDefault="007F0021" w:rsidP="00257664">
      <w:pPr>
        <w:pStyle w:val="Heading2"/>
        <w:keepLines/>
        <w:spacing w:before="240" w:after="120"/>
        <w:rPr>
          <w:rFonts w:asciiTheme="minorHAnsi" w:eastAsiaTheme="majorEastAsia" w:hAnsiTheme="minorHAnsi" w:cstheme="majorBidi"/>
          <w:sz w:val="28"/>
          <w:szCs w:val="28"/>
          <w:lang w:eastAsia="en-US"/>
        </w:rPr>
      </w:pPr>
      <w:r w:rsidRPr="00504352">
        <w:rPr>
          <w:rFonts w:asciiTheme="minorHAnsi" w:eastAsiaTheme="majorEastAsia" w:hAnsiTheme="minorHAnsi" w:cstheme="majorBidi"/>
          <w:sz w:val="28"/>
          <w:szCs w:val="28"/>
          <w:lang w:eastAsia="en-US"/>
        </w:rPr>
        <w:t xml:space="preserve">Comparative </w:t>
      </w:r>
      <w:r w:rsidR="005A3173" w:rsidRPr="00504352">
        <w:rPr>
          <w:rFonts w:asciiTheme="minorHAnsi" w:eastAsiaTheme="majorEastAsia" w:hAnsiTheme="minorHAnsi" w:cstheme="majorBidi"/>
          <w:sz w:val="28"/>
          <w:szCs w:val="28"/>
          <w:lang w:eastAsia="en-US"/>
        </w:rPr>
        <w:t>effectiveness</w:t>
      </w:r>
    </w:p>
    <w:p w14:paraId="5FA4C448" w14:textId="0013506B" w:rsidR="00E67A6D" w:rsidRPr="00504352" w:rsidRDefault="00E67A6D">
      <w:pPr>
        <w:pStyle w:val="3Bodytext"/>
      </w:pPr>
      <w:r w:rsidRPr="00504352">
        <w:t xml:space="preserve">In the first trial (APO-Peg-02), the </w:t>
      </w:r>
      <w:proofErr w:type="spellStart"/>
      <w:r w:rsidRPr="00504352">
        <w:t>prespecified</w:t>
      </w:r>
      <w:proofErr w:type="spellEnd"/>
      <w:r w:rsidRPr="00504352">
        <w:t xml:space="preserve"> crit</w:t>
      </w:r>
      <w:r w:rsidR="003B3872" w:rsidRPr="00504352">
        <w:t xml:space="preserve">eria for equivalence of </w:t>
      </w:r>
      <w:proofErr w:type="spellStart"/>
      <w:r w:rsidR="003B3872" w:rsidRPr="00504352">
        <w:t>Pelgraz</w:t>
      </w:r>
      <w:proofErr w:type="spellEnd"/>
      <w:r w:rsidR="003B3872" w:rsidRPr="00504352">
        <w:t xml:space="preserve"> and </w:t>
      </w:r>
      <w:proofErr w:type="spellStart"/>
      <w:r w:rsidR="003B3872" w:rsidRPr="00504352">
        <w:t>Neulasta</w:t>
      </w:r>
      <w:proofErr w:type="spellEnd"/>
      <w:r w:rsidRPr="00504352">
        <w:t xml:space="preserve"> for the </w:t>
      </w:r>
      <w:r w:rsidR="00D02EF8" w:rsidRPr="00504352">
        <w:t>pharmacokinetic (</w:t>
      </w:r>
      <w:r w:rsidRPr="00504352">
        <w:t>PK</w:t>
      </w:r>
      <w:r w:rsidR="00D02EF8" w:rsidRPr="00504352">
        <w:t>)</w:t>
      </w:r>
      <w:r w:rsidRPr="00504352">
        <w:t xml:space="preserve"> and </w:t>
      </w:r>
      <w:r w:rsidR="00D02EF8" w:rsidRPr="00504352">
        <w:t>pharmacodynamics (</w:t>
      </w:r>
      <w:r w:rsidRPr="00504352">
        <w:t>PD</w:t>
      </w:r>
      <w:r w:rsidR="00D02EF8" w:rsidRPr="00504352">
        <w:t>)</w:t>
      </w:r>
      <w:r w:rsidRPr="00504352">
        <w:t xml:space="preserve"> primary endpoints </w:t>
      </w:r>
      <w:proofErr w:type="gramStart"/>
      <w:r w:rsidRPr="00504352">
        <w:t>were met</w:t>
      </w:r>
      <w:proofErr w:type="gramEnd"/>
      <w:r w:rsidRPr="00504352">
        <w:t>.</w:t>
      </w:r>
      <w:r w:rsidR="00F454DC" w:rsidRPr="00504352">
        <w:t xml:space="preserve"> </w:t>
      </w:r>
      <w:r w:rsidRPr="00504352">
        <w:t xml:space="preserve">The equivalence results were supportive of the PK similarity of </w:t>
      </w:r>
      <w:proofErr w:type="spellStart"/>
      <w:r w:rsidRPr="00504352">
        <w:t>Pelgraz</w:t>
      </w:r>
      <w:proofErr w:type="spellEnd"/>
      <w:r w:rsidR="003B3872" w:rsidRPr="00504352">
        <w:t xml:space="preserve"> and </w:t>
      </w:r>
      <w:proofErr w:type="spellStart"/>
      <w:r w:rsidR="003B3872" w:rsidRPr="00504352">
        <w:t>Neulasta</w:t>
      </w:r>
      <w:proofErr w:type="spellEnd"/>
      <w:r w:rsidRPr="00504352">
        <w:t>.</w:t>
      </w:r>
    </w:p>
    <w:p w14:paraId="27197603" w14:textId="76A100DB" w:rsidR="00A7733F" w:rsidRPr="00504352" w:rsidRDefault="00464250" w:rsidP="00E867BB">
      <w:pPr>
        <w:pStyle w:val="3Bodytext"/>
        <w:keepLines/>
        <w:spacing w:before="240"/>
        <w:rPr>
          <w:rFonts w:eastAsiaTheme="majorEastAsia" w:cstheme="majorBidi"/>
          <w:sz w:val="28"/>
          <w:szCs w:val="28"/>
        </w:rPr>
      </w:pPr>
      <w:r w:rsidRPr="00504352">
        <w:t xml:space="preserve">In the second trial (APO-Peg-03), the primary efficacy endpoint was the duration of severe neutropenia (DSN) in Cycle 1. The TGA Delegate considered the equivalence data satisfactory to </w:t>
      </w:r>
      <w:r w:rsidR="00251B6F" w:rsidRPr="00504352">
        <w:t>show</w:t>
      </w:r>
      <w:r w:rsidRPr="00504352">
        <w:t xml:space="preserve"> clinical similarity and interc</w:t>
      </w:r>
      <w:r w:rsidR="003618D0" w:rsidRPr="00504352">
        <w:t>hangeability.</w:t>
      </w:r>
    </w:p>
    <w:p w14:paraId="4F4AD322" w14:textId="086F0B84" w:rsidR="005A3173" w:rsidRPr="00504352" w:rsidRDefault="007F0021" w:rsidP="00490CED">
      <w:pPr>
        <w:pStyle w:val="Heading2"/>
        <w:keepLines/>
        <w:spacing w:before="240" w:after="120"/>
        <w:rPr>
          <w:rFonts w:eastAsiaTheme="majorEastAsia" w:cstheme="majorBidi"/>
          <w:sz w:val="28"/>
          <w:szCs w:val="28"/>
        </w:rPr>
      </w:pPr>
      <w:r w:rsidRPr="00504352">
        <w:rPr>
          <w:rFonts w:asciiTheme="minorHAnsi" w:eastAsiaTheme="majorEastAsia" w:hAnsiTheme="minorHAnsi" w:cstheme="majorBidi"/>
          <w:sz w:val="28"/>
          <w:szCs w:val="28"/>
          <w:lang w:eastAsia="en-US"/>
        </w:rPr>
        <w:t xml:space="preserve">Comparative </w:t>
      </w:r>
      <w:r w:rsidR="005A3173" w:rsidRPr="00504352">
        <w:rPr>
          <w:rFonts w:asciiTheme="minorHAnsi" w:eastAsiaTheme="majorEastAsia" w:hAnsiTheme="minorHAnsi" w:cstheme="majorBidi"/>
          <w:sz w:val="28"/>
          <w:szCs w:val="28"/>
          <w:lang w:eastAsia="en-US"/>
        </w:rPr>
        <w:t>harms</w:t>
      </w:r>
    </w:p>
    <w:p w14:paraId="4FA4C22C" w14:textId="32791BEA" w:rsidR="00464250" w:rsidRPr="00504352" w:rsidRDefault="00962590">
      <w:pPr>
        <w:pStyle w:val="3Bodytext"/>
      </w:pPr>
      <w:r w:rsidRPr="00504352">
        <w:t xml:space="preserve">In the second trial, </w:t>
      </w:r>
      <w:r w:rsidR="00464250" w:rsidRPr="00504352">
        <w:t xml:space="preserve">no new </w:t>
      </w:r>
      <w:r w:rsidRPr="00504352">
        <w:t xml:space="preserve">adverse </w:t>
      </w:r>
      <w:r w:rsidR="00DD53FD" w:rsidRPr="00504352">
        <w:t xml:space="preserve">events </w:t>
      </w:r>
      <w:r w:rsidR="00AE0252" w:rsidRPr="00504352">
        <w:t>(AEs)</w:t>
      </w:r>
      <w:r w:rsidR="00464250" w:rsidRPr="00504352">
        <w:t xml:space="preserve"> were observed compared with the known profile for </w:t>
      </w:r>
      <w:proofErr w:type="spellStart"/>
      <w:r w:rsidR="00464250" w:rsidRPr="00504352">
        <w:t>Neulasta</w:t>
      </w:r>
      <w:proofErr w:type="spellEnd"/>
      <w:r w:rsidR="00464250" w:rsidRPr="00504352">
        <w:t xml:space="preserve">. </w:t>
      </w:r>
      <w:proofErr w:type="gramStart"/>
      <w:r w:rsidR="00464250" w:rsidRPr="00504352">
        <w:t xml:space="preserve">No </w:t>
      </w:r>
      <w:r w:rsidR="00AE0252" w:rsidRPr="00504352">
        <w:t>unexpected</w:t>
      </w:r>
      <w:proofErr w:type="gramEnd"/>
      <w:r w:rsidR="00AE0252" w:rsidRPr="00504352">
        <w:t xml:space="preserve"> serious </w:t>
      </w:r>
      <w:r w:rsidR="00A7733F" w:rsidRPr="00504352">
        <w:t>AEs</w:t>
      </w:r>
      <w:r w:rsidR="00464250" w:rsidRPr="00504352">
        <w:t xml:space="preserve"> were reported. </w:t>
      </w:r>
      <w:r w:rsidR="00F454DC" w:rsidRPr="00504352">
        <w:t xml:space="preserve">The TGA Delegate considered that the safety profile of </w:t>
      </w:r>
      <w:proofErr w:type="spellStart"/>
      <w:r w:rsidR="00F454DC" w:rsidRPr="00504352">
        <w:t>Pelgraz</w:t>
      </w:r>
      <w:proofErr w:type="spellEnd"/>
      <w:r w:rsidR="00F454DC" w:rsidRPr="00504352">
        <w:t xml:space="preserve"> and </w:t>
      </w:r>
      <w:proofErr w:type="spellStart"/>
      <w:r w:rsidR="00F454DC" w:rsidRPr="00504352">
        <w:t>Neulasta</w:t>
      </w:r>
      <w:proofErr w:type="spellEnd"/>
      <w:r w:rsidR="00F454DC" w:rsidRPr="00504352">
        <w:t xml:space="preserve"> </w:t>
      </w:r>
      <w:r w:rsidR="00140939" w:rsidRPr="00504352">
        <w:t>we</w:t>
      </w:r>
      <w:r w:rsidR="00F454DC" w:rsidRPr="00504352">
        <w:t>re similar.</w:t>
      </w:r>
    </w:p>
    <w:p w14:paraId="787E5C32" w14:textId="77777777" w:rsidR="003C2FB5" w:rsidRPr="00504352" w:rsidRDefault="005A3173" w:rsidP="008306F3">
      <w:pPr>
        <w:pStyle w:val="Heading2"/>
        <w:keepLines/>
        <w:spacing w:before="240" w:after="120"/>
        <w:rPr>
          <w:rFonts w:asciiTheme="minorHAnsi" w:eastAsiaTheme="majorEastAsia" w:hAnsiTheme="minorHAnsi" w:cstheme="majorBidi"/>
          <w:sz w:val="28"/>
          <w:szCs w:val="28"/>
          <w:lang w:eastAsia="en-US"/>
        </w:rPr>
      </w:pPr>
      <w:r w:rsidRPr="00504352">
        <w:rPr>
          <w:rFonts w:asciiTheme="minorHAnsi" w:eastAsiaTheme="majorEastAsia" w:hAnsiTheme="minorHAnsi" w:cstheme="majorBidi"/>
          <w:sz w:val="28"/>
          <w:szCs w:val="28"/>
          <w:lang w:eastAsia="en-US"/>
        </w:rPr>
        <w:t>Clinical claim</w:t>
      </w:r>
    </w:p>
    <w:p w14:paraId="722A5025" w14:textId="27C0C245" w:rsidR="00F57A6D" w:rsidRPr="00504352" w:rsidRDefault="00FF2801" w:rsidP="00695990">
      <w:pPr>
        <w:pStyle w:val="3Bodytext"/>
      </w:pPr>
      <w:r w:rsidRPr="00504352">
        <w:t>The submission claimed</w:t>
      </w:r>
      <w:r w:rsidR="00695990" w:rsidRPr="00504352">
        <w:t xml:space="preserve"> </w:t>
      </w:r>
      <w:r w:rsidR="00BB7EC3" w:rsidRPr="00504352">
        <w:t xml:space="preserve">non-inferior comparative effectiveness and non-inferior comparative safety of </w:t>
      </w:r>
      <w:proofErr w:type="spellStart"/>
      <w:r w:rsidR="00695990" w:rsidRPr="00504352">
        <w:t>Pelgraz</w:t>
      </w:r>
      <w:proofErr w:type="spellEnd"/>
      <w:r w:rsidR="00F3263C" w:rsidRPr="00504352">
        <w:t xml:space="preserve"> </w:t>
      </w:r>
      <w:r w:rsidR="00BB7EC3" w:rsidRPr="00504352">
        <w:t xml:space="preserve">compared with </w:t>
      </w:r>
      <w:proofErr w:type="spellStart"/>
      <w:r w:rsidR="00695990" w:rsidRPr="00504352">
        <w:t>Neulasta</w:t>
      </w:r>
      <w:proofErr w:type="spellEnd"/>
      <w:r w:rsidR="00BB7EC3" w:rsidRPr="00504352">
        <w:t>.</w:t>
      </w:r>
      <w:r w:rsidR="00C00DA7" w:rsidRPr="00504352">
        <w:t xml:space="preserve"> </w:t>
      </w:r>
      <w:r w:rsidR="00F454DC" w:rsidRPr="00504352">
        <w:t xml:space="preserve">The TGA Delegate was satisfied that the data </w:t>
      </w:r>
      <w:r w:rsidR="00140939" w:rsidRPr="00504352">
        <w:t xml:space="preserve">for </w:t>
      </w:r>
      <w:proofErr w:type="spellStart"/>
      <w:r w:rsidR="00140939" w:rsidRPr="00504352">
        <w:t>Pelgraz</w:t>
      </w:r>
      <w:proofErr w:type="spellEnd"/>
      <w:r w:rsidR="00140939" w:rsidRPr="00504352">
        <w:t xml:space="preserve"> </w:t>
      </w:r>
      <w:r w:rsidR="00F454DC" w:rsidRPr="00504352">
        <w:t>demonstrated an equivalent level of efficacy and safety for the desired indication as the comparator drug.</w:t>
      </w:r>
    </w:p>
    <w:p w14:paraId="3E973E1A" w14:textId="6E9FF319" w:rsidR="00447DC4" w:rsidRPr="00504352" w:rsidRDefault="00447DC4" w:rsidP="00447DC4">
      <w:pPr>
        <w:pStyle w:val="3Bodytext"/>
        <w:rPr>
          <w:snapToGrid w:val="0"/>
        </w:rPr>
      </w:pPr>
      <w:r w:rsidRPr="00504352">
        <w:rPr>
          <w:snapToGrid w:val="0"/>
        </w:rPr>
        <w:lastRenderedPageBreak/>
        <w:t xml:space="preserve">The PBAC considered that the claim of non-inferior comparative effectiveness </w:t>
      </w:r>
      <w:proofErr w:type="gramStart"/>
      <w:r w:rsidRPr="00504352">
        <w:rPr>
          <w:snapToGrid w:val="0"/>
        </w:rPr>
        <w:t>was reasonably supported</w:t>
      </w:r>
      <w:proofErr w:type="gramEnd"/>
      <w:r w:rsidRPr="00504352">
        <w:rPr>
          <w:snapToGrid w:val="0"/>
        </w:rPr>
        <w:t xml:space="preserve"> by the data.</w:t>
      </w:r>
    </w:p>
    <w:p w14:paraId="28E9A67D" w14:textId="0BF816AB" w:rsidR="00447DC4" w:rsidRPr="00504352" w:rsidRDefault="00447DC4" w:rsidP="00447DC4">
      <w:pPr>
        <w:pStyle w:val="3Bodytext"/>
        <w:rPr>
          <w:snapToGrid w:val="0"/>
        </w:rPr>
      </w:pPr>
      <w:r w:rsidRPr="00504352">
        <w:rPr>
          <w:snapToGrid w:val="0"/>
        </w:rPr>
        <w:t xml:space="preserve">The PBAC considered that the claim of non-inferior comparative safety </w:t>
      </w:r>
      <w:proofErr w:type="gramStart"/>
      <w:r w:rsidRPr="00504352">
        <w:rPr>
          <w:snapToGrid w:val="0"/>
        </w:rPr>
        <w:t>was reasonably supported</w:t>
      </w:r>
      <w:proofErr w:type="gramEnd"/>
      <w:r w:rsidRPr="00504352">
        <w:rPr>
          <w:snapToGrid w:val="0"/>
        </w:rPr>
        <w:t xml:space="preserve"> by the data.</w:t>
      </w:r>
    </w:p>
    <w:p w14:paraId="5C51A096" w14:textId="1C4561DB" w:rsidR="005A3173" w:rsidRPr="00504352" w:rsidRDefault="005A3173" w:rsidP="00966D0D">
      <w:pPr>
        <w:pStyle w:val="Heading2"/>
        <w:keepLines/>
        <w:spacing w:before="240" w:after="120"/>
        <w:rPr>
          <w:rFonts w:asciiTheme="minorHAnsi" w:eastAsiaTheme="majorEastAsia" w:hAnsiTheme="minorHAnsi" w:cstheme="majorBidi"/>
          <w:sz w:val="28"/>
          <w:szCs w:val="28"/>
          <w:lang w:eastAsia="en-US"/>
        </w:rPr>
      </w:pPr>
      <w:r w:rsidRPr="00504352">
        <w:rPr>
          <w:rFonts w:asciiTheme="minorHAnsi" w:eastAsiaTheme="majorEastAsia" w:hAnsiTheme="minorHAnsi" w:cstheme="majorBidi"/>
          <w:sz w:val="28"/>
          <w:szCs w:val="28"/>
          <w:lang w:eastAsia="en-US"/>
        </w:rPr>
        <w:t>Economic analysis</w:t>
      </w:r>
    </w:p>
    <w:p w14:paraId="499CDE38" w14:textId="5D6CDC70" w:rsidR="0052529E" w:rsidRPr="00504352" w:rsidRDefault="009803E4" w:rsidP="0052529E">
      <w:pPr>
        <w:pStyle w:val="3Bodytext"/>
      </w:pPr>
      <w:r w:rsidRPr="00504352">
        <w:rPr>
          <w:rFonts w:eastAsia="Times New Roman" w:cstheme="minorHAnsi"/>
          <w:snapToGrid w:val="0"/>
          <w:szCs w:val="24"/>
        </w:rPr>
        <w:t>The minor submission presented a</w:t>
      </w:r>
      <w:r w:rsidR="0052529E" w:rsidRPr="00504352">
        <w:rPr>
          <w:rFonts w:eastAsia="Times New Roman" w:cstheme="minorHAnsi"/>
          <w:snapToGrid w:val="0"/>
          <w:szCs w:val="24"/>
        </w:rPr>
        <w:t xml:space="preserve"> cost-minimisation analysis of </w:t>
      </w:r>
      <w:proofErr w:type="spellStart"/>
      <w:r w:rsidR="0052529E" w:rsidRPr="00504352">
        <w:rPr>
          <w:rFonts w:eastAsia="Times New Roman" w:cstheme="minorHAnsi"/>
          <w:snapToGrid w:val="0"/>
          <w:szCs w:val="24"/>
        </w:rPr>
        <w:t>Pelgraz</w:t>
      </w:r>
      <w:proofErr w:type="spellEnd"/>
      <w:r w:rsidRPr="00504352">
        <w:rPr>
          <w:rFonts w:eastAsia="Times New Roman" w:cstheme="minorHAnsi"/>
          <w:snapToGrid w:val="0"/>
          <w:szCs w:val="24"/>
        </w:rPr>
        <w:t xml:space="preserve"> </w:t>
      </w:r>
      <w:r w:rsidR="008A59D9" w:rsidRPr="00504352">
        <w:rPr>
          <w:rFonts w:eastAsia="Times New Roman" w:cstheme="minorHAnsi"/>
          <w:snapToGrid w:val="0"/>
          <w:szCs w:val="24"/>
        </w:rPr>
        <w:t xml:space="preserve">compared with </w:t>
      </w:r>
      <w:proofErr w:type="spellStart"/>
      <w:r w:rsidR="0052529E" w:rsidRPr="00504352">
        <w:rPr>
          <w:rFonts w:eastAsia="Times New Roman" w:cstheme="minorHAnsi"/>
          <w:snapToGrid w:val="0"/>
          <w:szCs w:val="24"/>
        </w:rPr>
        <w:t>Neulasta</w:t>
      </w:r>
      <w:proofErr w:type="spellEnd"/>
      <w:r w:rsidR="008A59D9" w:rsidRPr="00504352">
        <w:rPr>
          <w:rFonts w:eastAsia="Times New Roman" w:cstheme="minorHAnsi"/>
          <w:snapToGrid w:val="0"/>
          <w:szCs w:val="24"/>
        </w:rPr>
        <w:t xml:space="preserve">. </w:t>
      </w:r>
      <w:r w:rsidR="00CC3B97" w:rsidRPr="00504352">
        <w:rPr>
          <w:rFonts w:eastAsia="Times New Roman" w:cstheme="minorHAnsi"/>
          <w:snapToGrid w:val="0"/>
          <w:szCs w:val="24"/>
        </w:rPr>
        <w:t xml:space="preserve">The </w:t>
      </w:r>
      <w:proofErr w:type="spellStart"/>
      <w:r w:rsidR="00CC3B97" w:rsidRPr="00504352">
        <w:rPr>
          <w:rFonts w:eastAsia="Times New Roman" w:cstheme="minorHAnsi"/>
          <w:snapToGrid w:val="0"/>
          <w:szCs w:val="24"/>
        </w:rPr>
        <w:t>equi</w:t>
      </w:r>
      <w:proofErr w:type="spellEnd"/>
      <w:r w:rsidR="00CC3B97" w:rsidRPr="00504352">
        <w:rPr>
          <w:rFonts w:eastAsia="Times New Roman" w:cstheme="minorHAnsi"/>
          <w:snapToGrid w:val="0"/>
          <w:szCs w:val="24"/>
        </w:rPr>
        <w:t xml:space="preserve">-effective doses </w:t>
      </w:r>
      <w:proofErr w:type="gramStart"/>
      <w:r w:rsidR="008A59D9" w:rsidRPr="00504352">
        <w:rPr>
          <w:rFonts w:eastAsia="Times New Roman" w:cstheme="minorHAnsi"/>
          <w:snapToGrid w:val="0"/>
          <w:szCs w:val="24"/>
        </w:rPr>
        <w:t>were</w:t>
      </w:r>
      <w:r w:rsidR="00CC3B97" w:rsidRPr="00504352">
        <w:rPr>
          <w:rFonts w:eastAsia="Times New Roman" w:cstheme="minorHAnsi"/>
          <w:snapToGrid w:val="0"/>
          <w:szCs w:val="24"/>
        </w:rPr>
        <w:t xml:space="preserve"> estimated</w:t>
      </w:r>
      <w:proofErr w:type="gramEnd"/>
      <w:r w:rsidR="00CC3B97" w:rsidRPr="00504352">
        <w:rPr>
          <w:rFonts w:eastAsia="Times New Roman" w:cstheme="minorHAnsi"/>
          <w:snapToGrid w:val="0"/>
          <w:szCs w:val="24"/>
        </w:rPr>
        <w:t xml:space="preserve"> as </w:t>
      </w:r>
      <w:r w:rsidR="0052529E" w:rsidRPr="00504352">
        <w:rPr>
          <w:rFonts w:eastAsia="Times New Roman" w:cstheme="minorHAnsi"/>
          <w:snapToGrid w:val="0"/>
          <w:szCs w:val="24"/>
        </w:rPr>
        <w:t xml:space="preserve">6 mg of </w:t>
      </w:r>
      <w:proofErr w:type="spellStart"/>
      <w:r w:rsidR="0052529E" w:rsidRPr="00504352">
        <w:rPr>
          <w:rFonts w:eastAsia="Times New Roman" w:cstheme="minorHAnsi"/>
          <w:snapToGrid w:val="0"/>
          <w:szCs w:val="24"/>
        </w:rPr>
        <w:t>Pelgraz</w:t>
      </w:r>
      <w:proofErr w:type="spellEnd"/>
      <w:r w:rsidR="0052529E" w:rsidRPr="00504352">
        <w:rPr>
          <w:rFonts w:eastAsia="Times New Roman" w:cstheme="minorHAnsi"/>
          <w:snapToGrid w:val="0"/>
          <w:szCs w:val="24"/>
        </w:rPr>
        <w:t xml:space="preserve"> is equal to 6 mg of </w:t>
      </w:r>
      <w:proofErr w:type="spellStart"/>
      <w:r w:rsidR="0052529E" w:rsidRPr="00504352">
        <w:rPr>
          <w:rFonts w:eastAsia="Times New Roman" w:cstheme="minorHAnsi"/>
          <w:snapToGrid w:val="0"/>
          <w:szCs w:val="24"/>
        </w:rPr>
        <w:t>Neulasta</w:t>
      </w:r>
      <w:proofErr w:type="spellEnd"/>
      <w:r w:rsidR="0052529E" w:rsidRPr="00504352">
        <w:rPr>
          <w:rFonts w:eastAsia="Times New Roman" w:cstheme="minorHAnsi"/>
          <w:snapToGrid w:val="0"/>
          <w:szCs w:val="24"/>
        </w:rPr>
        <w:t xml:space="preserve"> for the same frequency and duration of therapy</w:t>
      </w:r>
      <w:r w:rsidR="00CC3B97" w:rsidRPr="00504352">
        <w:rPr>
          <w:rFonts w:eastAsia="Times New Roman" w:cstheme="minorHAnsi"/>
          <w:snapToGrid w:val="0"/>
          <w:szCs w:val="24"/>
        </w:rPr>
        <w:t>.</w:t>
      </w:r>
    </w:p>
    <w:p w14:paraId="3EEE2093" w14:textId="49EFB4D8" w:rsidR="00A55FEE" w:rsidRPr="00504352" w:rsidRDefault="00A7733F" w:rsidP="001C4B1B">
      <w:pPr>
        <w:pStyle w:val="3Bodytext"/>
      </w:pPr>
      <w:r w:rsidRPr="00504352">
        <w:t xml:space="preserve">The Sponsor noted the price reductions applied to </w:t>
      </w:r>
      <w:proofErr w:type="spellStart"/>
      <w:r w:rsidRPr="00504352">
        <w:t>pegfilgrastim</w:t>
      </w:r>
      <w:proofErr w:type="spellEnd"/>
      <w:r w:rsidRPr="00504352">
        <w:t xml:space="preserve"> in 2017 following listing of the </w:t>
      </w:r>
      <w:proofErr w:type="spellStart"/>
      <w:r w:rsidRPr="00504352">
        <w:t>Ristempa</w:t>
      </w:r>
      <w:proofErr w:type="spellEnd"/>
      <w:r w:rsidRPr="00504352">
        <w:t xml:space="preserve"> brand, and in 2018 following the broadening of the restriction </w:t>
      </w:r>
      <w:r w:rsidR="001B2AF4" w:rsidRPr="00504352">
        <w:t xml:space="preserve">as </w:t>
      </w:r>
      <w:r w:rsidRPr="00504352">
        <w:t>recommended by the PBAC in March 2018 with a price reduction to ensure a cost-effective listing in the expanded population.</w:t>
      </w:r>
      <w:r w:rsidR="00A36E5D" w:rsidRPr="00504352">
        <w:t xml:space="preserve"> The minor submission requested an ex-manufacturer price for </w:t>
      </w:r>
      <w:proofErr w:type="spellStart"/>
      <w:r w:rsidR="00A36E5D" w:rsidRPr="00504352">
        <w:t>Pelgraz</w:t>
      </w:r>
      <w:proofErr w:type="spellEnd"/>
      <w:r w:rsidR="00A36E5D" w:rsidRPr="00504352">
        <w:t xml:space="preserve"> equivalent to that of </w:t>
      </w:r>
      <w:proofErr w:type="spellStart"/>
      <w:r w:rsidR="00A36E5D" w:rsidRPr="00504352">
        <w:t>Neulasta</w:t>
      </w:r>
      <w:proofErr w:type="spellEnd"/>
      <w:r w:rsidR="00A36E5D" w:rsidRPr="00504352">
        <w:t xml:space="preserve"> at the time of listing.</w:t>
      </w:r>
    </w:p>
    <w:p w14:paraId="5805B4AB" w14:textId="58A25301" w:rsidR="00A36E5D" w:rsidRPr="00504352" w:rsidRDefault="00A36E5D" w:rsidP="00490CED">
      <w:pPr>
        <w:pStyle w:val="Bodytextitalics"/>
        <w:jc w:val="both"/>
        <w:rPr>
          <w:i w:val="0"/>
        </w:rPr>
      </w:pPr>
      <w:r w:rsidRPr="00504352">
        <w:rPr>
          <w:i w:val="0"/>
        </w:rPr>
        <w:t xml:space="preserve">The Secretariat noted that </w:t>
      </w:r>
      <w:proofErr w:type="spellStart"/>
      <w:r w:rsidRPr="00504352">
        <w:rPr>
          <w:i w:val="0"/>
        </w:rPr>
        <w:t>Neulasta</w:t>
      </w:r>
      <w:proofErr w:type="spellEnd"/>
      <w:r w:rsidRPr="00504352">
        <w:rPr>
          <w:i w:val="0"/>
        </w:rPr>
        <w:t xml:space="preserve"> received a price reduction when the </w:t>
      </w:r>
      <w:proofErr w:type="spellStart"/>
      <w:r w:rsidRPr="00504352">
        <w:rPr>
          <w:i w:val="0"/>
        </w:rPr>
        <w:t>Ristempa</w:t>
      </w:r>
      <w:proofErr w:type="spellEnd"/>
      <w:r w:rsidRPr="00504352">
        <w:rPr>
          <w:i w:val="0"/>
        </w:rPr>
        <w:t xml:space="preserve"> brand of </w:t>
      </w:r>
      <w:proofErr w:type="spellStart"/>
      <w:r w:rsidRPr="00504352">
        <w:rPr>
          <w:i w:val="0"/>
        </w:rPr>
        <w:t>pegfilgrastim</w:t>
      </w:r>
      <w:proofErr w:type="spellEnd"/>
      <w:r w:rsidRPr="00504352">
        <w:rPr>
          <w:i w:val="0"/>
        </w:rPr>
        <w:t xml:space="preserve"> was PBS listed. Accordingly, there would not be a statutory price reduction following the listing of the first biosimilar brand of </w:t>
      </w:r>
      <w:proofErr w:type="spellStart"/>
      <w:r w:rsidRPr="00504352">
        <w:rPr>
          <w:i w:val="0"/>
        </w:rPr>
        <w:t>pegfilgrastim</w:t>
      </w:r>
      <w:proofErr w:type="spellEnd"/>
      <w:r w:rsidRPr="00504352">
        <w:rPr>
          <w:i w:val="0"/>
        </w:rPr>
        <w:t xml:space="preserve"> (whether that is </w:t>
      </w:r>
      <w:proofErr w:type="spellStart"/>
      <w:r w:rsidRPr="00504352">
        <w:rPr>
          <w:i w:val="0"/>
        </w:rPr>
        <w:t>Pelgraz</w:t>
      </w:r>
      <w:proofErr w:type="spellEnd"/>
      <w:r w:rsidRPr="00504352">
        <w:rPr>
          <w:i w:val="0"/>
        </w:rPr>
        <w:t xml:space="preserve">, </w:t>
      </w:r>
      <w:proofErr w:type="spellStart"/>
      <w:r w:rsidRPr="00504352">
        <w:rPr>
          <w:i w:val="0"/>
        </w:rPr>
        <w:t>Ziextenzo</w:t>
      </w:r>
      <w:proofErr w:type="spellEnd"/>
      <w:r w:rsidRPr="00504352">
        <w:rPr>
          <w:i w:val="0"/>
        </w:rPr>
        <w:t xml:space="preserve"> or </w:t>
      </w:r>
      <w:proofErr w:type="spellStart"/>
      <w:r w:rsidRPr="00504352">
        <w:rPr>
          <w:i w:val="0"/>
        </w:rPr>
        <w:t>Fulphila</w:t>
      </w:r>
      <w:proofErr w:type="spellEnd"/>
      <w:r w:rsidRPr="00504352">
        <w:rPr>
          <w:i w:val="0"/>
        </w:rPr>
        <w:t>) on the PBS.</w:t>
      </w:r>
    </w:p>
    <w:p w14:paraId="5064842A" w14:textId="77777777" w:rsidR="005A3173" w:rsidRPr="00504352" w:rsidRDefault="005A3173" w:rsidP="008306F3">
      <w:pPr>
        <w:pStyle w:val="Heading2"/>
        <w:keepLines/>
        <w:spacing w:before="240" w:after="120"/>
        <w:rPr>
          <w:rFonts w:asciiTheme="minorHAnsi" w:eastAsiaTheme="majorEastAsia" w:hAnsiTheme="minorHAnsi" w:cstheme="majorBidi"/>
          <w:sz w:val="28"/>
          <w:szCs w:val="28"/>
          <w:lang w:eastAsia="en-US"/>
        </w:rPr>
      </w:pPr>
      <w:r w:rsidRPr="00504352">
        <w:rPr>
          <w:rFonts w:asciiTheme="minorHAnsi" w:eastAsiaTheme="majorEastAsia" w:hAnsiTheme="minorHAnsi" w:cstheme="majorBidi"/>
          <w:sz w:val="28"/>
          <w:szCs w:val="28"/>
          <w:lang w:eastAsia="en-US"/>
        </w:rPr>
        <w:t>Estimated PBS usage &amp; financial implications</w:t>
      </w:r>
    </w:p>
    <w:p w14:paraId="42A61671" w14:textId="24B879E0" w:rsidR="00D9168B" w:rsidRPr="00504352" w:rsidRDefault="00D9168B" w:rsidP="008605C4">
      <w:pPr>
        <w:pStyle w:val="3Bodytext"/>
      </w:pPr>
      <w:r w:rsidRPr="00504352">
        <w:t xml:space="preserve">The submission </w:t>
      </w:r>
      <w:r w:rsidR="00A36E5D" w:rsidRPr="00504352">
        <w:t xml:space="preserve">assumed </w:t>
      </w:r>
      <w:r w:rsidRPr="00504352">
        <w:t xml:space="preserve">that </w:t>
      </w:r>
      <w:proofErr w:type="spellStart"/>
      <w:r w:rsidRPr="00504352">
        <w:t>Pelgraz</w:t>
      </w:r>
      <w:proofErr w:type="spellEnd"/>
      <w:r w:rsidRPr="00504352">
        <w:t xml:space="preserve"> </w:t>
      </w:r>
      <w:proofErr w:type="gramStart"/>
      <w:r w:rsidR="00A36E5D" w:rsidRPr="00504352">
        <w:t>would be listed</w:t>
      </w:r>
      <w:proofErr w:type="gramEnd"/>
      <w:r w:rsidR="00A36E5D" w:rsidRPr="00504352">
        <w:t xml:space="preserve"> at the same price as </w:t>
      </w:r>
      <w:proofErr w:type="spellStart"/>
      <w:r w:rsidR="00A36E5D" w:rsidRPr="00504352">
        <w:t>Neulasta</w:t>
      </w:r>
      <w:proofErr w:type="spellEnd"/>
      <w:r w:rsidR="00A36E5D" w:rsidRPr="00504352">
        <w:t xml:space="preserve"> (and other brands of </w:t>
      </w:r>
      <w:proofErr w:type="spellStart"/>
      <w:r w:rsidR="00A36E5D" w:rsidRPr="00504352">
        <w:t>pegfilgrastim</w:t>
      </w:r>
      <w:proofErr w:type="spellEnd"/>
      <w:r w:rsidR="00A36E5D" w:rsidRPr="00504352">
        <w:t xml:space="preserve">) and </w:t>
      </w:r>
      <w:r w:rsidRPr="00504352">
        <w:t>would result in</w:t>
      </w:r>
      <w:r w:rsidR="003618D0" w:rsidRPr="00504352">
        <w:t xml:space="preserve"> no net cost to the Government.</w:t>
      </w:r>
    </w:p>
    <w:p w14:paraId="3C6A351B" w14:textId="08D6EE69" w:rsidR="00D9168B" w:rsidRPr="00504352" w:rsidRDefault="00D9168B" w:rsidP="008605C4">
      <w:pPr>
        <w:pStyle w:val="3Bodytext"/>
      </w:pPr>
      <w:r w:rsidRPr="00504352">
        <w:t xml:space="preserve">The submission claimed that the listing of </w:t>
      </w:r>
      <w:proofErr w:type="spellStart"/>
      <w:r w:rsidR="00B129F9" w:rsidRPr="00504352">
        <w:t>Pelgraz</w:t>
      </w:r>
      <w:proofErr w:type="spellEnd"/>
      <w:r w:rsidRPr="00504352">
        <w:t xml:space="preserve"> </w:t>
      </w:r>
      <w:proofErr w:type="gramStart"/>
      <w:r w:rsidRPr="00504352">
        <w:t>is not expected</w:t>
      </w:r>
      <w:proofErr w:type="gramEnd"/>
      <w:r w:rsidRPr="00504352">
        <w:t xml:space="preserve"> to cause market growth of </w:t>
      </w:r>
      <w:proofErr w:type="spellStart"/>
      <w:r w:rsidRPr="00504352">
        <w:t>pegfilgrastim</w:t>
      </w:r>
      <w:proofErr w:type="spellEnd"/>
      <w:r w:rsidRPr="00504352">
        <w:t xml:space="preserve">, because no increase in the market occurred when other new brands of </w:t>
      </w:r>
      <w:proofErr w:type="spellStart"/>
      <w:r w:rsidRPr="00504352">
        <w:t>pegfilgrastim</w:t>
      </w:r>
      <w:proofErr w:type="spellEnd"/>
      <w:r w:rsidRPr="00504352">
        <w:t xml:space="preserve"> were listed. The submission stated that there was predictable growth in the </w:t>
      </w:r>
      <w:proofErr w:type="spellStart"/>
      <w:r w:rsidRPr="00504352">
        <w:t>pegfilgrastim</w:t>
      </w:r>
      <w:proofErr w:type="spellEnd"/>
      <w:r w:rsidRPr="00504352">
        <w:t xml:space="preserve"> market in August 2018, related to the broadening of the restriction for </w:t>
      </w:r>
      <w:proofErr w:type="spellStart"/>
      <w:r w:rsidRPr="00504352">
        <w:t>pegfilgrastim</w:t>
      </w:r>
      <w:proofErr w:type="spellEnd"/>
      <w:r w:rsidRPr="00504352">
        <w:t xml:space="preserve"> </w:t>
      </w:r>
      <w:r w:rsidR="001A0C21" w:rsidRPr="00504352">
        <w:t xml:space="preserve">that was </w:t>
      </w:r>
      <w:r w:rsidRPr="00504352">
        <w:t>recommended at the March 2018 PBAC meeting.</w:t>
      </w:r>
    </w:p>
    <w:p w14:paraId="44BB35F5" w14:textId="55045449" w:rsidR="00C53B2B" w:rsidRPr="00504352" w:rsidRDefault="002A676D" w:rsidP="00AE22D3">
      <w:pPr>
        <w:rPr>
          <w:rFonts w:asciiTheme="minorHAnsi" w:hAnsiTheme="minorHAnsi" w:cstheme="minorHAnsi"/>
          <w:i/>
        </w:rPr>
      </w:pPr>
      <w:r w:rsidRPr="00504352">
        <w:rPr>
          <w:rFonts w:asciiTheme="minorHAnsi" w:hAnsiTheme="minorHAnsi" w:cstheme="minorHAnsi"/>
          <w:i/>
        </w:rPr>
        <w:t>For more detail on PBAC’s view, see section 6 PBAC outcome.</w:t>
      </w:r>
    </w:p>
    <w:p w14:paraId="27DBC738" w14:textId="1163F91D" w:rsidR="00265151" w:rsidRPr="00504352" w:rsidRDefault="002A676D" w:rsidP="002A676D">
      <w:pPr>
        <w:pStyle w:val="2Sections"/>
      </w:pPr>
      <w:bookmarkStart w:id="1" w:name="Headings"/>
      <w:bookmarkEnd w:id="1"/>
      <w:r w:rsidRPr="00504352">
        <w:t>PBAC Outcome</w:t>
      </w:r>
    </w:p>
    <w:p w14:paraId="4D2BCE76" w14:textId="20DF8BF8" w:rsidR="000F471E" w:rsidRPr="00504352" w:rsidRDefault="000F471E" w:rsidP="000F471E">
      <w:pPr>
        <w:pStyle w:val="Bodytextitalics"/>
        <w:rPr>
          <w:i w:val="0"/>
        </w:rPr>
      </w:pPr>
      <w:r w:rsidRPr="00A919D6">
        <w:rPr>
          <w:i w:val="0"/>
        </w:rPr>
        <w:t xml:space="preserve">The PBAC recommended the listing of the </w:t>
      </w:r>
      <w:r w:rsidRPr="00A919D6">
        <w:rPr>
          <w:rFonts w:cs="Arial"/>
          <w:bCs/>
          <w:i w:val="0"/>
        </w:rPr>
        <w:t xml:space="preserve">biosimilar brand of </w:t>
      </w:r>
      <w:proofErr w:type="spellStart"/>
      <w:r w:rsidRPr="00504352">
        <w:rPr>
          <w:i w:val="0"/>
        </w:rPr>
        <w:t>pegfilgrastim</w:t>
      </w:r>
      <w:proofErr w:type="spellEnd"/>
      <w:r w:rsidRPr="00504352">
        <w:rPr>
          <w:i w:val="0"/>
        </w:rPr>
        <w:t xml:space="preserve">, </w:t>
      </w:r>
      <w:proofErr w:type="spellStart"/>
      <w:r w:rsidRPr="00504352">
        <w:rPr>
          <w:i w:val="0"/>
        </w:rPr>
        <w:t>Pelgraz</w:t>
      </w:r>
      <w:proofErr w:type="spellEnd"/>
      <w:r w:rsidRPr="00504352">
        <w:rPr>
          <w:i w:val="0"/>
        </w:rPr>
        <w:t xml:space="preserve">, </w:t>
      </w:r>
      <w:r w:rsidRPr="00A919D6">
        <w:rPr>
          <w:i w:val="0"/>
        </w:rPr>
        <w:t>on the basis that it should only be available under special arrangements under Section 100 (</w:t>
      </w:r>
      <w:r w:rsidRPr="00504352">
        <w:rPr>
          <w:i w:val="0"/>
        </w:rPr>
        <w:t xml:space="preserve">Highly Specialised Drugs program) </w:t>
      </w:r>
      <w:r w:rsidRPr="00A919D6">
        <w:rPr>
          <w:rFonts w:cs="Arial"/>
          <w:bCs/>
          <w:i w:val="0"/>
        </w:rPr>
        <w:t>for all indications for which the reference brand (</w:t>
      </w:r>
      <w:proofErr w:type="spellStart"/>
      <w:r w:rsidRPr="00504352">
        <w:rPr>
          <w:rFonts w:cs="Arial"/>
          <w:bCs/>
          <w:i w:val="0"/>
        </w:rPr>
        <w:t>Neulasta</w:t>
      </w:r>
      <w:proofErr w:type="spellEnd"/>
      <w:r w:rsidRPr="00504352">
        <w:rPr>
          <w:rFonts w:cs="Arial"/>
          <w:bCs/>
          <w:i w:val="0"/>
        </w:rPr>
        <w:t>) is currently PBS-listed</w:t>
      </w:r>
      <w:r w:rsidRPr="00504352">
        <w:rPr>
          <w:i w:val="0"/>
        </w:rPr>
        <w:t>.</w:t>
      </w:r>
    </w:p>
    <w:p w14:paraId="249C54D1" w14:textId="761C2610" w:rsidR="000F471E" w:rsidRPr="00504352" w:rsidRDefault="000F471E" w:rsidP="000F471E">
      <w:pPr>
        <w:pStyle w:val="Bodytextitalics"/>
        <w:rPr>
          <w:i w:val="0"/>
        </w:rPr>
      </w:pPr>
      <w:r w:rsidRPr="00504352">
        <w:rPr>
          <w:i w:val="0"/>
        </w:rPr>
        <w:t xml:space="preserve">The PBAC recommended listing </w:t>
      </w:r>
      <w:proofErr w:type="spellStart"/>
      <w:r w:rsidRPr="00504352">
        <w:rPr>
          <w:i w:val="0"/>
        </w:rPr>
        <w:t>Pelgraz</w:t>
      </w:r>
      <w:proofErr w:type="spellEnd"/>
      <w:r w:rsidRPr="00504352">
        <w:rPr>
          <w:i w:val="0"/>
        </w:rPr>
        <w:t xml:space="preserve"> on a cost-minimisation basis to the </w:t>
      </w:r>
      <w:proofErr w:type="spellStart"/>
      <w:r w:rsidRPr="00504352">
        <w:rPr>
          <w:i w:val="0"/>
        </w:rPr>
        <w:t>Neulasta</w:t>
      </w:r>
      <w:proofErr w:type="spellEnd"/>
      <w:r w:rsidRPr="00504352">
        <w:rPr>
          <w:i w:val="0"/>
        </w:rPr>
        <w:t xml:space="preserve"> brand of </w:t>
      </w:r>
      <w:proofErr w:type="spellStart"/>
      <w:r w:rsidRPr="00504352">
        <w:rPr>
          <w:i w:val="0"/>
        </w:rPr>
        <w:t>pegfilgrastim</w:t>
      </w:r>
      <w:proofErr w:type="spellEnd"/>
      <w:r w:rsidRPr="00504352">
        <w:rPr>
          <w:i w:val="0"/>
        </w:rPr>
        <w:t xml:space="preserve">, and noted that this would result in no net cost to the Government because the listing of </w:t>
      </w:r>
      <w:proofErr w:type="spellStart"/>
      <w:r w:rsidRPr="00504352">
        <w:rPr>
          <w:i w:val="0"/>
        </w:rPr>
        <w:t>Pelgraz</w:t>
      </w:r>
      <w:proofErr w:type="spellEnd"/>
      <w:r w:rsidRPr="00504352">
        <w:rPr>
          <w:i w:val="0"/>
        </w:rPr>
        <w:t xml:space="preserve"> </w:t>
      </w:r>
      <w:proofErr w:type="gramStart"/>
      <w:r w:rsidRPr="00504352">
        <w:rPr>
          <w:i w:val="0"/>
        </w:rPr>
        <w:t>is not expected</w:t>
      </w:r>
      <w:proofErr w:type="gramEnd"/>
      <w:r w:rsidRPr="00504352">
        <w:rPr>
          <w:i w:val="0"/>
        </w:rPr>
        <w:t xml:space="preserve"> to grow the market.</w:t>
      </w:r>
      <w:r w:rsidR="00575048" w:rsidRPr="00504352">
        <w:rPr>
          <w:i w:val="0"/>
        </w:rPr>
        <w:t xml:space="preserve"> </w:t>
      </w:r>
    </w:p>
    <w:p w14:paraId="1C6EA880" w14:textId="30ED319E" w:rsidR="000F471E" w:rsidRPr="00504352" w:rsidRDefault="000F471E" w:rsidP="000F471E">
      <w:pPr>
        <w:pStyle w:val="Bodytextitalics"/>
        <w:rPr>
          <w:i w:val="0"/>
        </w:rPr>
      </w:pPr>
      <w:r w:rsidRPr="00504352">
        <w:rPr>
          <w:i w:val="0"/>
        </w:rPr>
        <w:lastRenderedPageBreak/>
        <w:t>The PBAC noted the TGA Delegate</w:t>
      </w:r>
      <w:r w:rsidR="00D00EFD" w:rsidRPr="00504352">
        <w:rPr>
          <w:i w:val="0"/>
        </w:rPr>
        <w:t>’s</w:t>
      </w:r>
      <w:r w:rsidRPr="00504352">
        <w:rPr>
          <w:i w:val="0"/>
        </w:rPr>
        <w:t xml:space="preserve"> conclusion that the biosimilarity between </w:t>
      </w:r>
      <w:proofErr w:type="spellStart"/>
      <w:r w:rsidRPr="00504352">
        <w:rPr>
          <w:i w:val="0"/>
        </w:rPr>
        <w:t>Pelgraz</w:t>
      </w:r>
      <w:proofErr w:type="spellEnd"/>
      <w:r w:rsidRPr="00504352">
        <w:rPr>
          <w:i w:val="0"/>
        </w:rPr>
        <w:t xml:space="preserve"> and </w:t>
      </w:r>
      <w:proofErr w:type="spellStart"/>
      <w:r w:rsidRPr="00504352">
        <w:rPr>
          <w:i w:val="0"/>
        </w:rPr>
        <w:t>Neulasta</w:t>
      </w:r>
      <w:proofErr w:type="spellEnd"/>
      <w:r w:rsidRPr="00504352">
        <w:rPr>
          <w:i w:val="0"/>
        </w:rPr>
        <w:t xml:space="preserve"> </w:t>
      </w:r>
      <w:proofErr w:type="gramStart"/>
      <w:r w:rsidRPr="00504352">
        <w:rPr>
          <w:i w:val="0"/>
        </w:rPr>
        <w:t>was well supported</w:t>
      </w:r>
      <w:proofErr w:type="gramEnd"/>
      <w:r w:rsidRPr="00504352">
        <w:rPr>
          <w:i w:val="0"/>
        </w:rPr>
        <w:t xml:space="preserve"> by the chemistry, pre-clinical and clinical data, which supported registration of </w:t>
      </w:r>
      <w:proofErr w:type="spellStart"/>
      <w:r w:rsidRPr="00504352">
        <w:rPr>
          <w:i w:val="0"/>
        </w:rPr>
        <w:t>Pelgraz</w:t>
      </w:r>
      <w:proofErr w:type="spellEnd"/>
      <w:r w:rsidRPr="00504352">
        <w:rPr>
          <w:i w:val="0"/>
        </w:rPr>
        <w:t xml:space="preserve"> as a biosimilar product to </w:t>
      </w:r>
      <w:proofErr w:type="spellStart"/>
      <w:r w:rsidRPr="00504352">
        <w:rPr>
          <w:i w:val="0"/>
        </w:rPr>
        <w:t>Neulasta</w:t>
      </w:r>
      <w:proofErr w:type="spellEnd"/>
      <w:r w:rsidRPr="00504352">
        <w:rPr>
          <w:i w:val="0"/>
        </w:rPr>
        <w:t>.</w:t>
      </w:r>
    </w:p>
    <w:p w14:paraId="5C42F06B" w14:textId="79AAFB61" w:rsidR="000F471E" w:rsidRPr="00504352" w:rsidRDefault="000F471E" w:rsidP="000F471E">
      <w:pPr>
        <w:pStyle w:val="Bodytextitalics"/>
        <w:rPr>
          <w:i w:val="0"/>
        </w:rPr>
      </w:pPr>
      <w:r w:rsidRPr="00504352">
        <w:rPr>
          <w:i w:val="0"/>
        </w:rPr>
        <w:t xml:space="preserve">The PBAC advised, under Section 101 (4AACD) of </w:t>
      </w:r>
      <w:r w:rsidRPr="00504352">
        <w:rPr>
          <w:rFonts w:ascii="Calibri" w:hAnsi="Calibri" w:cs="Calibri"/>
          <w:i w:val="0"/>
        </w:rPr>
        <w:t xml:space="preserve">the </w:t>
      </w:r>
      <w:r w:rsidRPr="00504352">
        <w:rPr>
          <w:i w:val="0"/>
        </w:rPr>
        <w:t>National Health Act 1953</w:t>
      </w:r>
      <w:r w:rsidRPr="00504352">
        <w:rPr>
          <w:rFonts w:ascii="Calibri" w:hAnsi="Calibri" w:cs="Calibri"/>
          <w:i w:val="0"/>
        </w:rPr>
        <w:t xml:space="preserve">, </w:t>
      </w:r>
      <w:r w:rsidRPr="00504352">
        <w:rPr>
          <w:i w:val="0"/>
        </w:rPr>
        <w:t xml:space="preserve">that the </w:t>
      </w:r>
      <w:proofErr w:type="spellStart"/>
      <w:r w:rsidRPr="00504352">
        <w:rPr>
          <w:i w:val="0"/>
        </w:rPr>
        <w:t>Pelgraz</w:t>
      </w:r>
      <w:proofErr w:type="spellEnd"/>
      <w:r w:rsidRPr="00504352">
        <w:rPr>
          <w:rFonts w:cs="Arial"/>
          <w:bCs/>
          <w:i w:val="0"/>
        </w:rPr>
        <w:t xml:space="preserve">, </w:t>
      </w:r>
      <w:proofErr w:type="spellStart"/>
      <w:r w:rsidRPr="00504352">
        <w:rPr>
          <w:rFonts w:cs="Arial"/>
          <w:bCs/>
          <w:i w:val="0"/>
        </w:rPr>
        <w:t>Neulasta</w:t>
      </w:r>
      <w:proofErr w:type="spellEnd"/>
      <w:r w:rsidR="000A6607" w:rsidRPr="00504352">
        <w:rPr>
          <w:rFonts w:cs="Arial"/>
          <w:bCs/>
          <w:i w:val="0"/>
        </w:rPr>
        <w:t xml:space="preserve">, </w:t>
      </w:r>
      <w:proofErr w:type="spellStart"/>
      <w:r w:rsidR="000A6607" w:rsidRPr="00504352">
        <w:rPr>
          <w:rFonts w:cs="Arial"/>
          <w:bCs/>
          <w:i w:val="0"/>
        </w:rPr>
        <w:t>Ziextenzo</w:t>
      </w:r>
      <w:proofErr w:type="spellEnd"/>
      <w:r w:rsidR="000A6607" w:rsidRPr="00504352">
        <w:rPr>
          <w:rFonts w:cs="Arial"/>
          <w:bCs/>
          <w:i w:val="0"/>
        </w:rPr>
        <w:t>,</w:t>
      </w:r>
      <w:r w:rsidRPr="00504352">
        <w:rPr>
          <w:rFonts w:cs="Arial"/>
          <w:bCs/>
          <w:i w:val="0"/>
        </w:rPr>
        <w:t xml:space="preserve"> </w:t>
      </w:r>
      <w:proofErr w:type="spellStart"/>
      <w:r w:rsidRPr="00504352">
        <w:rPr>
          <w:rFonts w:cs="Arial"/>
          <w:bCs/>
          <w:i w:val="0"/>
        </w:rPr>
        <w:t>Ristempa</w:t>
      </w:r>
      <w:proofErr w:type="spellEnd"/>
      <w:r w:rsidRPr="00504352">
        <w:rPr>
          <w:rFonts w:cs="Arial"/>
          <w:bCs/>
          <w:i w:val="0"/>
        </w:rPr>
        <w:t xml:space="preserve">, </w:t>
      </w:r>
      <w:proofErr w:type="spellStart"/>
      <w:r w:rsidRPr="00504352">
        <w:rPr>
          <w:i w:val="0"/>
        </w:rPr>
        <w:t>Tezmota</w:t>
      </w:r>
      <w:proofErr w:type="spellEnd"/>
      <w:r w:rsidRPr="00504352">
        <w:rPr>
          <w:rFonts w:cs="Arial"/>
          <w:bCs/>
          <w:i w:val="0"/>
        </w:rPr>
        <w:t xml:space="preserve"> and </w:t>
      </w:r>
      <w:proofErr w:type="spellStart"/>
      <w:r w:rsidRPr="00504352">
        <w:rPr>
          <w:rFonts w:cs="Arial"/>
          <w:bCs/>
          <w:i w:val="0"/>
        </w:rPr>
        <w:t>Fulphila</w:t>
      </w:r>
      <w:proofErr w:type="spellEnd"/>
      <w:r w:rsidRPr="00504352">
        <w:rPr>
          <w:rFonts w:cs="Arial"/>
          <w:bCs/>
          <w:i w:val="0"/>
        </w:rPr>
        <w:t xml:space="preserve"> brands of </w:t>
      </w:r>
      <w:proofErr w:type="spellStart"/>
      <w:r w:rsidRPr="00504352">
        <w:rPr>
          <w:rFonts w:cs="Arial"/>
          <w:bCs/>
          <w:i w:val="0"/>
        </w:rPr>
        <w:t>pegfilgrastim</w:t>
      </w:r>
      <w:proofErr w:type="spellEnd"/>
      <w:r w:rsidRPr="00504352">
        <w:rPr>
          <w:rFonts w:cs="Arial"/>
          <w:bCs/>
          <w:i w:val="0"/>
        </w:rPr>
        <w:t xml:space="preserve"> </w:t>
      </w:r>
      <w:r w:rsidRPr="00504352">
        <w:rPr>
          <w:i w:val="0"/>
        </w:rPr>
        <w:t>should be considered equivalent for the purposes of substitution (i.e. ‘a’ flagged).</w:t>
      </w:r>
    </w:p>
    <w:p w14:paraId="221C64F9" w14:textId="77777777" w:rsidR="00234E52" w:rsidRPr="00234E52" w:rsidRDefault="00394350" w:rsidP="000F471E">
      <w:pPr>
        <w:pStyle w:val="Bodytextitalics"/>
        <w:rPr>
          <w:rFonts w:cs="Arial"/>
          <w:bCs/>
          <w:i w:val="0"/>
        </w:rPr>
      </w:pPr>
      <w:proofErr w:type="gramStart"/>
      <w:r w:rsidRPr="00504352">
        <w:rPr>
          <w:i w:val="0"/>
        </w:rPr>
        <w:t>The PBAC recommended the current administrative note about biosimilar prescribing policy continue to apply, but with updates to reflect that there will be more than one biosimilar brand.</w:t>
      </w:r>
      <w:proofErr w:type="gramEnd"/>
      <w:r w:rsidR="00504352">
        <w:rPr>
          <w:i w:val="0"/>
        </w:rPr>
        <w:t xml:space="preserve"> </w:t>
      </w:r>
    </w:p>
    <w:p w14:paraId="16F80EEC" w14:textId="1134653C" w:rsidR="000F471E" w:rsidRPr="00504352" w:rsidRDefault="000F471E" w:rsidP="000F471E">
      <w:pPr>
        <w:pStyle w:val="Bodytextitalics"/>
        <w:rPr>
          <w:rFonts w:cs="Arial"/>
          <w:bCs/>
          <w:i w:val="0"/>
        </w:rPr>
      </w:pPr>
      <w:r w:rsidRPr="00504352">
        <w:rPr>
          <w:rFonts w:cs="Arial"/>
          <w:bCs/>
          <w:i w:val="0"/>
        </w:rPr>
        <w:t xml:space="preserve">The PBAC noted that </w:t>
      </w:r>
      <w:proofErr w:type="spellStart"/>
      <w:r w:rsidRPr="00504352">
        <w:rPr>
          <w:i w:val="0"/>
        </w:rPr>
        <w:t>pegfilgrastim</w:t>
      </w:r>
      <w:proofErr w:type="spellEnd"/>
      <w:r w:rsidRPr="00504352">
        <w:rPr>
          <w:i w:val="0"/>
        </w:rPr>
        <w:t xml:space="preserve"> is not included on the list of PBS medicines suitable for nurse practitioner prescribing.</w:t>
      </w:r>
    </w:p>
    <w:p w14:paraId="45614388" w14:textId="06905511" w:rsidR="000F471E" w:rsidRPr="00504352" w:rsidRDefault="000F471E" w:rsidP="000F471E">
      <w:pPr>
        <w:pStyle w:val="Bodytextitalics"/>
        <w:rPr>
          <w:i w:val="0"/>
        </w:rPr>
      </w:pPr>
      <w:r w:rsidRPr="00504352">
        <w:rPr>
          <w:i w:val="0"/>
        </w:rPr>
        <w:t xml:space="preserve">The PBAC noted that the Early Supply Rule does not apply to </w:t>
      </w:r>
      <w:proofErr w:type="spellStart"/>
      <w:r w:rsidRPr="00504352">
        <w:rPr>
          <w:i w:val="0"/>
        </w:rPr>
        <w:t>pegfilgrastim</w:t>
      </w:r>
      <w:proofErr w:type="spellEnd"/>
      <w:r w:rsidRPr="00504352">
        <w:rPr>
          <w:i w:val="0"/>
        </w:rPr>
        <w:t>.</w:t>
      </w:r>
    </w:p>
    <w:p w14:paraId="3F68A367" w14:textId="58EBF203" w:rsidR="000F471E" w:rsidRPr="00504352" w:rsidRDefault="000F471E" w:rsidP="000F471E">
      <w:pPr>
        <w:pStyle w:val="Bodytextitalics"/>
        <w:rPr>
          <w:rFonts w:cs="Arial"/>
          <w:bCs/>
          <w:i w:val="0"/>
        </w:rPr>
      </w:pPr>
      <w:proofErr w:type="gramStart"/>
      <w:r w:rsidRPr="00504352">
        <w:rPr>
          <w:i w:val="0"/>
        </w:rPr>
        <w:t xml:space="preserve">The PBAC noted that its recommendation was on a cost-minimisation basis and advised that, because </w:t>
      </w:r>
      <w:proofErr w:type="spellStart"/>
      <w:r w:rsidRPr="00504352">
        <w:rPr>
          <w:i w:val="0"/>
        </w:rPr>
        <w:t>Pelgraz</w:t>
      </w:r>
      <w:proofErr w:type="spellEnd"/>
      <w:r w:rsidRPr="00504352">
        <w:rPr>
          <w:rFonts w:cs="Arial"/>
          <w:bCs/>
          <w:i w:val="0"/>
        </w:rPr>
        <w:t xml:space="preserve">® </w:t>
      </w:r>
      <w:r w:rsidRPr="00504352">
        <w:rPr>
          <w:i w:val="0"/>
        </w:rPr>
        <w:t xml:space="preserve">is not expected to provide a substantial and clinically relevant improvement in efficacy, or reduction of toxicity over </w:t>
      </w:r>
      <w:proofErr w:type="spellStart"/>
      <w:r w:rsidRPr="00504352">
        <w:rPr>
          <w:i w:val="0"/>
        </w:rPr>
        <w:t>Neulasta</w:t>
      </w:r>
      <w:proofErr w:type="spellEnd"/>
      <w:r w:rsidRPr="00504352">
        <w:rPr>
          <w:i w:val="0"/>
        </w:rPr>
        <w:t>®, or not expected to address a high and urgent unmet clinical need given the presence of an alternative therapy, the criteria prescribed by the National Health (Pharmaceuticals and Vaccines – Cost Recovery) Regulations 2009 for Pricing Pathway A were not met.</w:t>
      </w:r>
      <w:proofErr w:type="gramEnd"/>
    </w:p>
    <w:p w14:paraId="2C518EF2" w14:textId="6A1C1230" w:rsidR="000F471E" w:rsidRPr="00504352" w:rsidRDefault="000F471E" w:rsidP="000F471E">
      <w:pPr>
        <w:pStyle w:val="Bodytextitalics"/>
        <w:rPr>
          <w:i w:val="0"/>
          <w:snapToGrid w:val="0"/>
        </w:rPr>
      </w:pPr>
      <w:r w:rsidRPr="00504352">
        <w:rPr>
          <w:i w:val="0"/>
          <w:snapToGrid w:val="0"/>
        </w:rPr>
        <w:t>The PBAC noted that this submission is not eligible for an Independent Review as it received a positive recommendation.</w:t>
      </w:r>
    </w:p>
    <w:p w14:paraId="4FE59C4D" w14:textId="77777777" w:rsidR="000F471E" w:rsidRPr="00A919D6" w:rsidRDefault="000F471E" w:rsidP="00164AC3">
      <w:pPr>
        <w:pStyle w:val="subsection3"/>
        <w:outlineLvl w:val="9"/>
        <w:rPr>
          <w:rFonts w:cs="Arial"/>
          <w:b w:val="0"/>
          <w:bCs/>
          <w:lang w:val="en-AU"/>
        </w:rPr>
      </w:pPr>
      <w:r w:rsidRPr="00A919D6">
        <w:rPr>
          <w:rFonts w:cs="Arial"/>
          <w:bCs/>
          <w:lang w:val="en-AU"/>
        </w:rPr>
        <w:t>Outcome:</w:t>
      </w:r>
    </w:p>
    <w:p w14:paraId="41677476" w14:textId="286E434C" w:rsidR="00D917C2" w:rsidRPr="00A919D6" w:rsidRDefault="000F471E" w:rsidP="000F471E">
      <w:pPr>
        <w:jc w:val="both"/>
        <w:rPr>
          <w:rFonts w:asciiTheme="minorHAnsi" w:hAnsiTheme="minorHAnsi" w:cs="Arial"/>
          <w:bCs/>
          <w:snapToGrid w:val="0"/>
        </w:rPr>
      </w:pPr>
      <w:r w:rsidRPr="00A919D6">
        <w:rPr>
          <w:rFonts w:asciiTheme="minorHAnsi" w:hAnsiTheme="minorHAnsi" w:cs="Arial"/>
          <w:bCs/>
          <w:snapToGrid w:val="0"/>
        </w:rPr>
        <w:t>Recommended</w:t>
      </w:r>
    </w:p>
    <w:p w14:paraId="5D5038C1" w14:textId="67FB5991" w:rsidR="0016617B" w:rsidRPr="00504352" w:rsidRDefault="0016617B" w:rsidP="0016617B">
      <w:pPr>
        <w:pStyle w:val="2Sections"/>
      </w:pPr>
      <w:r w:rsidRPr="00504352">
        <w:t>Recommended listing</w:t>
      </w:r>
    </w:p>
    <w:p w14:paraId="3C0041DD" w14:textId="61D2D9BF" w:rsidR="0016617B" w:rsidRPr="00504352" w:rsidRDefault="0016617B" w:rsidP="0016617B">
      <w:pPr>
        <w:pStyle w:val="3Bodytext"/>
      </w:pPr>
      <w:r w:rsidRPr="00504352">
        <w:t xml:space="preserve">Add </w:t>
      </w:r>
      <w:r w:rsidR="001742CA" w:rsidRPr="00504352">
        <w:t xml:space="preserve">new </w:t>
      </w:r>
      <w:proofErr w:type="spellStart"/>
      <w:r w:rsidR="00ED763F" w:rsidRPr="00504352">
        <w:t>pegfilgrastim</w:t>
      </w:r>
      <w:proofErr w:type="spellEnd"/>
      <w:r w:rsidR="00ED763F" w:rsidRPr="00504352">
        <w:t xml:space="preserve"> trade product pack (</w:t>
      </w:r>
      <w:proofErr w:type="spellStart"/>
      <w:r w:rsidR="00ED763F" w:rsidRPr="00504352">
        <w:t>Pelgraz</w:t>
      </w:r>
      <w:proofErr w:type="spellEnd"/>
      <w:r w:rsidR="00ED763F" w:rsidRPr="00504352">
        <w:rPr>
          <w:rFonts w:cstheme="minorHAnsi"/>
          <w:vertAlign w:val="superscript"/>
        </w:rPr>
        <w:t>®</w:t>
      </w:r>
      <w:r w:rsidR="00ED763F" w:rsidRPr="00504352">
        <w:t>) to the available brands</w:t>
      </w:r>
      <w:r w:rsidRPr="0050435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1135"/>
        <w:gridCol w:w="849"/>
        <w:gridCol w:w="710"/>
        <w:gridCol w:w="566"/>
        <w:gridCol w:w="990"/>
        <w:gridCol w:w="2075"/>
      </w:tblGrid>
      <w:tr w:rsidR="0016617B" w:rsidRPr="00504352" w14:paraId="4C607C6F" w14:textId="77777777" w:rsidTr="0016617B">
        <w:trPr>
          <w:cantSplit/>
          <w:trHeight w:val="471"/>
        </w:trPr>
        <w:tc>
          <w:tcPr>
            <w:tcW w:w="1492" w:type="pct"/>
          </w:tcPr>
          <w:p w14:paraId="70EB9712" w14:textId="77777777" w:rsidR="0016617B" w:rsidRPr="00504352" w:rsidRDefault="0016617B" w:rsidP="0016617B">
            <w:pPr>
              <w:keepNext/>
              <w:ind w:left="-108"/>
              <w:rPr>
                <w:rFonts w:ascii="Arial Narrow" w:hAnsi="Arial Narrow" w:cs="Arial"/>
                <w:b/>
                <w:sz w:val="18"/>
                <w:szCs w:val="18"/>
              </w:rPr>
            </w:pPr>
            <w:r w:rsidRPr="00504352">
              <w:rPr>
                <w:rFonts w:ascii="Arial Narrow" w:hAnsi="Arial Narrow" w:cs="Arial"/>
                <w:b/>
                <w:sz w:val="18"/>
                <w:szCs w:val="18"/>
              </w:rPr>
              <w:t>Name, Restriction,</w:t>
            </w:r>
          </w:p>
          <w:p w14:paraId="190F7AF0" w14:textId="77777777" w:rsidR="0016617B" w:rsidRPr="00504352" w:rsidRDefault="0016617B" w:rsidP="0016617B">
            <w:pPr>
              <w:keepNext/>
              <w:ind w:left="-108"/>
              <w:rPr>
                <w:rFonts w:ascii="Arial Narrow" w:hAnsi="Arial Narrow" w:cs="Arial"/>
                <w:b/>
                <w:sz w:val="18"/>
                <w:szCs w:val="18"/>
              </w:rPr>
            </w:pPr>
            <w:r w:rsidRPr="00504352">
              <w:rPr>
                <w:rFonts w:ascii="Arial Narrow" w:hAnsi="Arial Narrow" w:cs="Arial"/>
                <w:b/>
                <w:sz w:val="18"/>
                <w:szCs w:val="18"/>
              </w:rPr>
              <w:t>Manner of administration and form</w:t>
            </w:r>
          </w:p>
        </w:tc>
        <w:tc>
          <w:tcPr>
            <w:tcW w:w="629" w:type="pct"/>
          </w:tcPr>
          <w:p w14:paraId="01EC0429" w14:textId="77777777" w:rsidR="0016617B" w:rsidRPr="00504352" w:rsidRDefault="0016617B" w:rsidP="0016617B">
            <w:pPr>
              <w:keepNext/>
              <w:ind w:left="-108"/>
              <w:jc w:val="center"/>
              <w:rPr>
                <w:rFonts w:ascii="Arial Narrow" w:hAnsi="Arial Narrow" w:cs="Arial"/>
                <w:b/>
                <w:sz w:val="18"/>
                <w:szCs w:val="18"/>
              </w:rPr>
            </w:pPr>
            <w:r w:rsidRPr="00504352">
              <w:rPr>
                <w:rFonts w:ascii="Arial Narrow" w:hAnsi="Arial Narrow" w:cs="Arial"/>
                <w:b/>
                <w:sz w:val="18"/>
                <w:szCs w:val="18"/>
              </w:rPr>
              <w:t>PBS item code</w:t>
            </w:r>
          </w:p>
        </w:tc>
        <w:tc>
          <w:tcPr>
            <w:tcW w:w="471" w:type="pct"/>
          </w:tcPr>
          <w:p w14:paraId="56684A7F" w14:textId="77777777" w:rsidR="0016617B" w:rsidRPr="00504352" w:rsidRDefault="0016617B" w:rsidP="0016617B">
            <w:pPr>
              <w:keepNext/>
              <w:ind w:left="-108"/>
              <w:jc w:val="center"/>
              <w:rPr>
                <w:rFonts w:ascii="Arial Narrow" w:hAnsi="Arial Narrow" w:cs="Arial"/>
                <w:b/>
                <w:sz w:val="18"/>
                <w:szCs w:val="18"/>
              </w:rPr>
            </w:pPr>
            <w:r w:rsidRPr="00504352">
              <w:rPr>
                <w:rFonts w:ascii="Arial Narrow" w:hAnsi="Arial Narrow" w:cs="Arial"/>
                <w:b/>
                <w:sz w:val="18"/>
                <w:szCs w:val="18"/>
              </w:rPr>
              <w:t>Max. qty packs</w:t>
            </w:r>
          </w:p>
        </w:tc>
        <w:tc>
          <w:tcPr>
            <w:tcW w:w="394" w:type="pct"/>
          </w:tcPr>
          <w:p w14:paraId="79FECD6A" w14:textId="77777777" w:rsidR="0016617B" w:rsidRPr="00504352" w:rsidRDefault="0016617B" w:rsidP="0016617B">
            <w:pPr>
              <w:keepNext/>
              <w:ind w:left="-108"/>
              <w:jc w:val="center"/>
              <w:rPr>
                <w:rFonts w:ascii="Arial Narrow" w:hAnsi="Arial Narrow" w:cs="Arial"/>
                <w:b/>
                <w:sz w:val="18"/>
                <w:szCs w:val="18"/>
              </w:rPr>
            </w:pPr>
            <w:r w:rsidRPr="00504352">
              <w:rPr>
                <w:rFonts w:ascii="Arial Narrow" w:hAnsi="Arial Narrow" w:cs="Arial"/>
                <w:b/>
                <w:sz w:val="18"/>
                <w:szCs w:val="18"/>
              </w:rPr>
              <w:t>Max. qty units</w:t>
            </w:r>
          </w:p>
        </w:tc>
        <w:tc>
          <w:tcPr>
            <w:tcW w:w="314" w:type="pct"/>
          </w:tcPr>
          <w:p w14:paraId="3F1B6633" w14:textId="77777777" w:rsidR="0016617B" w:rsidRPr="00504352" w:rsidRDefault="0016617B" w:rsidP="0016617B">
            <w:pPr>
              <w:keepNext/>
              <w:ind w:left="-108"/>
              <w:jc w:val="center"/>
              <w:rPr>
                <w:rFonts w:ascii="Arial Narrow" w:hAnsi="Arial Narrow" w:cs="Arial"/>
                <w:b/>
                <w:sz w:val="18"/>
                <w:szCs w:val="18"/>
              </w:rPr>
            </w:pPr>
            <w:r w:rsidRPr="00504352">
              <w:rPr>
                <w:rFonts w:ascii="Arial Narrow" w:hAnsi="Arial Narrow" w:cs="Arial"/>
                <w:b/>
                <w:sz w:val="18"/>
                <w:szCs w:val="18"/>
              </w:rPr>
              <w:t>№.of</w:t>
            </w:r>
          </w:p>
          <w:p w14:paraId="192C94C3" w14:textId="77777777" w:rsidR="0016617B" w:rsidRPr="00504352" w:rsidRDefault="0016617B" w:rsidP="0016617B">
            <w:pPr>
              <w:keepNext/>
              <w:ind w:left="-108"/>
              <w:jc w:val="center"/>
              <w:rPr>
                <w:rFonts w:ascii="Arial Narrow" w:hAnsi="Arial Narrow" w:cs="Arial"/>
                <w:b/>
                <w:sz w:val="18"/>
                <w:szCs w:val="18"/>
              </w:rPr>
            </w:pPr>
            <w:proofErr w:type="spellStart"/>
            <w:r w:rsidRPr="00504352">
              <w:rPr>
                <w:rFonts w:ascii="Arial Narrow" w:hAnsi="Arial Narrow" w:cs="Arial"/>
                <w:b/>
                <w:sz w:val="18"/>
                <w:szCs w:val="18"/>
              </w:rPr>
              <w:t>Rpts</w:t>
            </w:r>
            <w:proofErr w:type="spellEnd"/>
          </w:p>
        </w:tc>
        <w:tc>
          <w:tcPr>
            <w:tcW w:w="1700" w:type="pct"/>
            <w:gridSpan w:val="2"/>
          </w:tcPr>
          <w:p w14:paraId="5E53B556" w14:textId="70F86B98" w:rsidR="0016617B" w:rsidRPr="00A919D6" w:rsidRDefault="00ED763F" w:rsidP="0016617B">
            <w:pPr>
              <w:keepNext/>
              <w:rPr>
                <w:rFonts w:ascii="Arial Narrow" w:hAnsi="Arial Narrow" w:cs="Arial"/>
                <w:b/>
                <w:sz w:val="18"/>
                <w:szCs w:val="18"/>
              </w:rPr>
            </w:pPr>
            <w:r w:rsidRPr="00504352">
              <w:rPr>
                <w:rFonts w:ascii="Arial Narrow" w:hAnsi="Arial Narrow" w:cs="Arial"/>
                <w:b/>
                <w:sz w:val="18"/>
                <w:szCs w:val="18"/>
              </w:rPr>
              <w:t>Available brands</w:t>
            </w:r>
            <w:r w:rsidR="0016617B" w:rsidRPr="00504352">
              <w:rPr>
                <w:rFonts w:ascii="Arial Narrow" w:hAnsi="Arial Narrow" w:cs="Arial"/>
                <w:b/>
                <w:sz w:val="18"/>
                <w:szCs w:val="18"/>
              </w:rPr>
              <w:t xml:space="preserve"> and Manufacturer</w:t>
            </w:r>
          </w:p>
        </w:tc>
      </w:tr>
      <w:tr w:rsidR="0016617B" w:rsidRPr="00504352" w14:paraId="33DCFE42" w14:textId="77777777" w:rsidTr="0016617B">
        <w:trPr>
          <w:cantSplit/>
          <w:trHeight w:val="514"/>
        </w:trPr>
        <w:tc>
          <w:tcPr>
            <w:tcW w:w="1492" w:type="pct"/>
          </w:tcPr>
          <w:p w14:paraId="2C928026" w14:textId="77777777" w:rsidR="0016617B" w:rsidRPr="00504352" w:rsidRDefault="0016617B" w:rsidP="0016617B">
            <w:pPr>
              <w:keepNext/>
              <w:ind w:left="-108"/>
              <w:rPr>
                <w:rFonts w:ascii="Arial Narrow" w:hAnsi="Arial Narrow" w:cs="Arial"/>
                <w:sz w:val="18"/>
                <w:szCs w:val="18"/>
              </w:rPr>
            </w:pPr>
            <w:r w:rsidRPr="00504352">
              <w:rPr>
                <w:rFonts w:ascii="Arial Narrow" w:hAnsi="Arial Narrow" w:cs="Arial"/>
                <w:smallCaps/>
                <w:sz w:val="18"/>
                <w:szCs w:val="18"/>
              </w:rPr>
              <w:t>PEGFILGRASTIM</w:t>
            </w:r>
          </w:p>
          <w:p w14:paraId="0B4AF2C5" w14:textId="77777777" w:rsidR="0016617B" w:rsidRPr="00504352" w:rsidRDefault="0016617B" w:rsidP="0016617B">
            <w:pPr>
              <w:keepNext/>
              <w:ind w:left="-108"/>
              <w:rPr>
                <w:rFonts w:ascii="Arial Narrow" w:hAnsi="Arial Narrow" w:cs="Arial"/>
                <w:sz w:val="18"/>
                <w:szCs w:val="18"/>
              </w:rPr>
            </w:pPr>
            <w:r w:rsidRPr="00504352">
              <w:rPr>
                <w:rFonts w:ascii="Arial Narrow" w:hAnsi="Arial Narrow" w:cs="Arial"/>
                <w:sz w:val="18"/>
                <w:szCs w:val="18"/>
              </w:rPr>
              <w:t>6 mg/0.6 mL injection, 0.6 mL syringe</w:t>
            </w:r>
          </w:p>
        </w:tc>
        <w:tc>
          <w:tcPr>
            <w:tcW w:w="629" w:type="pct"/>
          </w:tcPr>
          <w:p w14:paraId="5550358C" w14:textId="77777777" w:rsidR="0016617B" w:rsidRPr="00504352" w:rsidRDefault="0016617B" w:rsidP="0016617B">
            <w:pPr>
              <w:keepNext/>
              <w:ind w:left="-108"/>
              <w:jc w:val="center"/>
              <w:rPr>
                <w:rFonts w:ascii="Arial Narrow" w:hAnsi="Arial Narrow" w:cs="Arial"/>
                <w:sz w:val="18"/>
                <w:szCs w:val="18"/>
              </w:rPr>
            </w:pPr>
            <w:r w:rsidRPr="00504352">
              <w:rPr>
                <w:rFonts w:ascii="Arial Narrow" w:hAnsi="Arial Narrow" w:cs="Arial"/>
                <w:sz w:val="18"/>
                <w:szCs w:val="18"/>
              </w:rPr>
              <w:t>9514R (Public)</w:t>
            </w:r>
          </w:p>
          <w:p w14:paraId="01232EBB" w14:textId="77777777" w:rsidR="0016617B" w:rsidRPr="00504352" w:rsidRDefault="0016617B" w:rsidP="0016617B">
            <w:pPr>
              <w:keepNext/>
              <w:ind w:left="-108"/>
              <w:jc w:val="center"/>
              <w:rPr>
                <w:rFonts w:ascii="Arial Narrow" w:hAnsi="Arial Narrow" w:cs="Arial"/>
                <w:sz w:val="18"/>
                <w:szCs w:val="18"/>
              </w:rPr>
            </w:pPr>
            <w:r w:rsidRPr="00504352">
              <w:rPr>
                <w:rFonts w:ascii="Arial Narrow" w:hAnsi="Arial Narrow" w:cs="Arial"/>
                <w:sz w:val="18"/>
                <w:szCs w:val="18"/>
              </w:rPr>
              <w:t>6363X (Private)</w:t>
            </w:r>
          </w:p>
        </w:tc>
        <w:tc>
          <w:tcPr>
            <w:tcW w:w="471" w:type="pct"/>
          </w:tcPr>
          <w:p w14:paraId="3DC45A81" w14:textId="77777777" w:rsidR="0016617B" w:rsidRPr="00504352" w:rsidRDefault="0016617B" w:rsidP="0016617B">
            <w:pPr>
              <w:keepNext/>
              <w:jc w:val="center"/>
              <w:rPr>
                <w:rFonts w:ascii="Arial Narrow" w:hAnsi="Arial Narrow" w:cs="Arial"/>
                <w:sz w:val="18"/>
                <w:szCs w:val="18"/>
              </w:rPr>
            </w:pPr>
          </w:p>
          <w:p w14:paraId="30D0E4E7" w14:textId="77777777" w:rsidR="0016617B" w:rsidRPr="00504352" w:rsidRDefault="0016617B" w:rsidP="0016617B">
            <w:pPr>
              <w:keepNext/>
              <w:jc w:val="center"/>
              <w:rPr>
                <w:rFonts w:ascii="Arial Narrow" w:hAnsi="Arial Narrow" w:cs="Arial"/>
                <w:sz w:val="18"/>
                <w:szCs w:val="18"/>
              </w:rPr>
            </w:pPr>
            <w:r w:rsidRPr="00504352">
              <w:rPr>
                <w:rFonts w:ascii="Arial Narrow" w:hAnsi="Arial Narrow" w:cs="Arial"/>
                <w:sz w:val="18"/>
                <w:szCs w:val="18"/>
              </w:rPr>
              <w:t>1</w:t>
            </w:r>
          </w:p>
        </w:tc>
        <w:tc>
          <w:tcPr>
            <w:tcW w:w="394" w:type="pct"/>
          </w:tcPr>
          <w:p w14:paraId="58EA2F48" w14:textId="77777777" w:rsidR="0016617B" w:rsidRPr="00504352" w:rsidRDefault="0016617B" w:rsidP="0016617B">
            <w:pPr>
              <w:keepNext/>
              <w:ind w:left="-108"/>
              <w:jc w:val="center"/>
              <w:rPr>
                <w:rFonts w:ascii="Arial Narrow" w:hAnsi="Arial Narrow" w:cs="Arial"/>
                <w:sz w:val="18"/>
                <w:szCs w:val="18"/>
              </w:rPr>
            </w:pPr>
          </w:p>
          <w:p w14:paraId="2B24D44B" w14:textId="77777777" w:rsidR="0016617B" w:rsidRPr="00504352" w:rsidRDefault="0016617B" w:rsidP="0016617B">
            <w:pPr>
              <w:keepNext/>
              <w:ind w:left="-108"/>
              <w:jc w:val="center"/>
              <w:rPr>
                <w:rFonts w:ascii="Arial Narrow" w:hAnsi="Arial Narrow" w:cs="Arial"/>
                <w:sz w:val="18"/>
                <w:szCs w:val="18"/>
              </w:rPr>
            </w:pPr>
            <w:r w:rsidRPr="00504352">
              <w:rPr>
                <w:rFonts w:ascii="Arial Narrow" w:hAnsi="Arial Narrow" w:cs="Arial"/>
                <w:sz w:val="18"/>
                <w:szCs w:val="18"/>
              </w:rPr>
              <w:t>1</w:t>
            </w:r>
          </w:p>
        </w:tc>
        <w:tc>
          <w:tcPr>
            <w:tcW w:w="314" w:type="pct"/>
          </w:tcPr>
          <w:p w14:paraId="3EF113BE" w14:textId="77777777" w:rsidR="0016617B" w:rsidRPr="00504352" w:rsidRDefault="0016617B" w:rsidP="0016617B">
            <w:pPr>
              <w:keepNext/>
              <w:ind w:left="-108"/>
              <w:jc w:val="center"/>
              <w:rPr>
                <w:rFonts w:ascii="Arial Narrow" w:hAnsi="Arial Narrow" w:cs="Arial"/>
                <w:sz w:val="18"/>
                <w:szCs w:val="18"/>
              </w:rPr>
            </w:pPr>
          </w:p>
          <w:p w14:paraId="418F3957" w14:textId="77777777" w:rsidR="0016617B" w:rsidRPr="00504352" w:rsidRDefault="0016617B" w:rsidP="0016617B">
            <w:pPr>
              <w:keepNext/>
              <w:ind w:left="-108"/>
              <w:jc w:val="center"/>
              <w:rPr>
                <w:rFonts w:ascii="Arial Narrow" w:hAnsi="Arial Narrow" w:cs="Arial"/>
                <w:sz w:val="18"/>
                <w:szCs w:val="18"/>
              </w:rPr>
            </w:pPr>
            <w:r w:rsidRPr="00504352">
              <w:rPr>
                <w:rFonts w:ascii="Arial Narrow" w:hAnsi="Arial Narrow" w:cs="Arial"/>
                <w:sz w:val="18"/>
                <w:szCs w:val="18"/>
              </w:rPr>
              <w:t>11</w:t>
            </w:r>
          </w:p>
        </w:tc>
        <w:tc>
          <w:tcPr>
            <w:tcW w:w="549" w:type="pct"/>
          </w:tcPr>
          <w:p w14:paraId="2E9785DD" w14:textId="77777777" w:rsidR="0016617B" w:rsidRPr="00A919D6" w:rsidRDefault="0016617B" w:rsidP="0016617B">
            <w:pPr>
              <w:keepNext/>
              <w:rPr>
                <w:rFonts w:ascii="Arial Narrow" w:hAnsi="Arial Narrow" w:cs="Arial"/>
                <w:i/>
                <w:sz w:val="18"/>
                <w:szCs w:val="18"/>
              </w:rPr>
            </w:pPr>
          </w:p>
          <w:p w14:paraId="05F73F2A" w14:textId="77777777" w:rsidR="0016617B" w:rsidRPr="00A919D6" w:rsidRDefault="0016617B" w:rsidP="0016617B">
            <w:pPr>
              <w:keepNext/>
              <w:rPr>
                <w:rFonts w:ascii="Arial Narrow" w:hAnsi="Arial Narrow" w:cs="Arial"/>
                <w:i/>
                <w:sz w:val="18"/>
                <w:szCs w:val="18"/>
                <w:vertAlign w:val="superscript"/>
              </w:rPr>
            </w:pPr>
            <w:proofErr w:type="spellStart"/>
            <w:r w:rsidRPr="00A919D6">
              <w:rPr>
                <w:rFonts w:ascii="Arial Narrow" w:hAnsi="Arial Narrow" w:cs="Arial"/>
                <w:i/>
                <w:sz w:val="18"/>
                <w:szCs w:val="18"/>
              </w:rPr>
              <w:t>Pelgraz</w:t>
            </w:r>
            <w:proofErr w:type="spellEnd"/>
            <w:r w:rsidRPr="00A919D6">
              <w:rPr>
                <w:rFonts w:ascii="Arial Narrow" w:hAnsi="Arial Narrow" w:cs="Arial"/>
                <w:i/>
                <w:sz w:val="18"/>
                <w:szCs w:val="18"/>
                <w:vertAlign w:val="superscript"/>
              </w:rPr>
              <w:t>®</w:t>
            </w:r>
          </w:p>
        </w:tc>
        <w:tc>
          <w:tcPr>
            <w:tcW w:w="1151" w:type="pct"/>
          </w:tcPr>
          <w:p w14:paraId="793ED37E" w14:textId="77777777" w:rsidR="0016617B" w:rsidRPr="00A919D6" w:rsidRDefault="0016617B" w:rsidP="0016617B">
            <w:pPr>
              <w:keepNext/>
              <w:rPr>
                <w:rFonts w:ascii="Arial Narrow" w:hAnsi="Arial Narrow" w:cs="Arial"/>
                <w:i/>
                <w:sz w:val="18"/>
                <w:szCs w:val="18"/>
              </w:rPr>
            </w:pPr>
          </w:p>
          <w:p w14:paraId="7A44938A" w14:textId="77777777" w:rsidR="0016617B" w:rsidRPr="00A919D6" w:rsidRDefault="0016617B" w:rsidP="0016617B">
            <w:pPr>
              <w:keepNext/>
              <w:rPr>
                <w:rFonts w:ascii="Arial Narrow" w:hAnsi="Arial Narrow" w:cs="Arial"/>
                <w:i/>
                <w:sz w:val="18"/>
                <w:szCs w:val="18"/>
              </w:rPr>
            </w:pPr>
            <w:r w:rsidRPr="00A919D6">
              <w:rPr>
                <w:rFonts w:ascii="Arial Narrow" w:hAnsi="Arial Narrow" w:cs="Arial"/>
                <w:i/>
                <w:sz w:val="18"/>
                <w:szCs w:val="18"/>
              </w:rPr>
              <w:t>Accord Healthcare Pty Ltd</w:t>
            </w:r>
          </w:p>
        </w:tc>
      </w:tr>
    </w:tbl>
    <w:p w14:paraId="33A044F2" w14:textId="6B32EA27" w:rsidR="0016617B" w:rsidRPr="00504352" w:rsidRDefault="0016617B" w:rsidP="0016617B">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3B6DE6" w:rsidRPr="00504352" w14:paraId="7EC035CE" w14:textId="77777777" w:rsidTr="003B6DE6">
        <w:tc>
          <w:tcPr>
            <w:tcW w:w="5000" w:type="pct"/>
            <w:tcBorders>
              <w:top w:val="single" w:sz="4" w:space="0" w:color="auto"/>
              <w:left w:val="single" w:sz="4" w:space="0" w:color="auto"/>
              <w:bottom w:val="single" w:sz="4" w:space="0" w:color="auto"/>
              <w:right w:val="single" w:sz="4" w:space="0" w:color="auto"/>
            </w:tcBorders>
          </w:tcPr>
          <w:p w14:paraId="5AF18676" w14:textId="77777777" w:rsidR="003B6DE6" w:rsidRPr="00504352" w:rsidRDefault="003B6DE6" w:rsidP="0016617B">
            <w:pPr>
              <w:rPr>
                <w:rFonts w:ascii="Arial Narrow" w:hAnsi="Arial Narrow" w:cs="Arial"/>
                <w:sz w:val="18"/>
                <w:szCs w:val="18"/>
              </w:rPr>
            </w:pPr>
            <w:r w:rsidRPr="00504352">
              <w:rPr>
                <w:rFonts w:ascii="Arial Narrow" w:hAnsi="Arial Narrow" w:cs="Arial"/>
                <w:b/>
                <w:sz w:val="18"/>
                <w:szCs w:val="18"/>
              </w:rPr>
              <w:t>Category / Program:</w:t>
            </w:r>
            <w:r w:rsidRPr="00504352">
              <w:rPr>
                <w:rFonts w:ascii="Arial Narrow" w:hAnsi="Arial Narrow" w:cs="Arial"/>
                <w:sz w:val="18"/>
                <w:szCs w:val="18"/>
              </w:rPr>
              <w:t xml:space="preserve"> Section 100 – Highly Specialised Drugs Program – Public/Private </w:t>
            </w:r>
          </w:p>
        </w:tc>
      </w:tr>
      <w:tr w:rsidR="003B6DE6" w:rsidRPr="00504352" w14:paraId="664CB271" w14:textId="77777777" w:rsidTr="003B6DE6">
        <w:trPr>
          <w:trHeight w:val="240"/>
        </w:trPr>
        <w:tc>
          <w:tcPr>
            <w:tcW w:w="5000" w:type="pct"/>
            <w:tcBorders>
              <w:top w:val="single" w:sz="4" w:space="0" w:color="auto"/>
              <w:left w:val="single" w:sz="4" w:space="0" w:color="auto"/>
              <w:bottom w:val="single" w:sz="4" w:space="0" w:color="auto"/>
              <w:right w:val="single" w:sz="4" w:space="0" w:color="auto"/>
            </w:tcBorders>
          </w:tcPr>
          <w:p w14:paraId="71E12B72" w14:textId="77777777" w:rsidR="003B6DE6" w:rsidRPr="00504352" w:rsidRDefault="003B6DE6" w:rsidP="0016617B">
            <w:pPr>
              <w:rPr>
                <w:rFonts w:ascii="Arial Narrow" w:hAnsi="Arial Narrow" w:cs="Arial"/>
                <w:b/>
                <w:sz w:val="18"/>
                <w:szCs w:val="18"/>
              </w:rPr>
            </w:pPr>
            <w:r w:rsidRPr="00504352">
              <w:rPr>
                <w:rFonts w:ascii="Arial Narrow" w:hAnsi="Arial Narrow" w:cs="Arial"/>
                <w:b/>
                <w:sz w:val="18"/>
                <w:szCs w:val="18"/>
              </w:rPr>
              <w:t xml:space="preserve">Prescriber type:   </w:t>
            </w:r>
            <w:r w:rsidRPr="00A919D6">
              <w:rPr>
                <w:rFonts w:ascii="Arial Narrow" w:hAnsi="Arial Narrow" w:cs="Arial"/>
                <w:sz w:val="18"/>
                <w:szCs w:val="18"/>
              </w:rPr>
              <w:fldChar w:fldCharType="begin">
                <w:ffData>
                  <w:name w:val="Check1"/>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 xml:space="preserve">Dental   </w:t>
            </w:r>
            <w:r w:rsidRPr="00A919D6">
              <w:rPr>
                <w:rFonts w:ascii="Arial Narrow" w:hAnsi="Arial Narrow" w:cs="Arial"/>
                <w:sz w:val="18"/>
                <w:szCs w:val="18"/>
              </w:rPr>
              <w:fldChar w:fldCharType="begin">
                <w:ffData>
                  <w:name w:val=""/>
                  <w:enabled/>
                  <w:calcOnExit w:val="0"/>
                  <w:checkBox>
                    <w:sizeAuto/>
                    <w:default w:val="1"/>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 xml:space="preserve">Medical Practitioners   </w:t>
            </w:r>
            <w:r w:rsidRPr="00A919D6">
              <w:rPr>
                <w:rFonts w:ascii="Arial Narrow" w:hAnsi="Arial Narrow" w:cs="Arial"/>
                <w:sz w:val="18"/>
                <w:szCs w:val="18"/>
              </w:rPr>
              <w:fldChar w:fldCharType="begin">
                <w:ffData>
                  <w:name w:val="Check3"/>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 xml:space="preserve">Nurse practitioners   </w:t>
            </w:r>
            <w:r w:rsidRPr="00A919D6">
              <w:rPr>
                <w:rFonts w:ascii="Arial Narrow" w:hAnsi="Arial Narrow" w:cs="Arial"/>
                <w:sz w:val="18"/>
                <w:szCs w:val="18"/>
              </w:rPr>
              <w:fldChar w:fldCharType="begin">
                <w:ffData>
                  <w:name w:val=""/>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 xml:space="preserve">Optometrists   </w:t>
            </w:r>
            <w:r w:rsidRPr="00A919D6">
              <w:rPr>
                <w:rFonts w:ascii="Arial Narrow" w:hAnsi="Arial Narrow" w:cs="Arial"/>
                <w:sz w:val="18"/>
                <w:szCs w:val="18"/>
              </w:rPr>
              <w:fldChar w:fldCharType="begin">
                <w:ffData>
                  <w:name w:val="Check5"/>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Midwives</w:t>
            </w:r>
          </w:p>
        </w:tc>
      </w:tr>
      <w:tr w:rsidR="003B6DE6" w:rsidRPr="00504352" w14:paraId="2B7B6765" w14:textId="77777777" w:rsidTr="003B6DE6">
        <w:tc>
          <w:tcPr>
            <w:tcW w:w="5000" w:type="pct"/>
            <w:tcBorders>
              <w:top w:val="single" w:sz="4" w:space="0" w:color="auto"/>
              <w:left w:val="single" w:sz="4" w:space="0" w:color="auto"/>
              <w:bottom w:val="single" w:sz="4" w:space="0" w:color="auto"/>
              <w:right w:val="single" w:sz="4" w:space="0" w:color="auto"/>
            </w:tcBorders>
          </w:tcPr>
          <w:p w14:paraId="7C5D89C6" w14:textId="026CA8B1" w:rsidR="003B6DE6" w:rsidRPr="00504352" w:rsidRDefault="003B6DE6" w:rsidP="0016617B">
            <w:pPr>
              <w:rPr>
                <w:rFonts w:ascii="Arial Narrow" w:hAnsi="Arial Narrow" w:cs="Arial"/>
                <w:sz w:val="18"/>
                <w:szCs w:val="18"/>
              </w:rPr>
            </w:pPr>
            <w:r w:rsidRPr="00504352">
              <w:rPr>
                <w:rFonts w:ascii="Arial Narrow" w:hAnsi="Arial Narrow" w:cs="Arial"/>
                <w:b/>
                <w:sz w:val="18"/>
                <w:szCs w:val="18"/>
              </w:rPr>
              <w:t xml:space="preserve">Restriction Level / Method: </w:t>
            </w:r>
            <w:r w:rsidRPr="00A919D6">
              <w:rPr>
                <w:rFonts w:ascii="Arial Narrow" w:hAnsi="Arial Narrow" w:cs="Arial"/>
                <w:sz w:val="18"/>
                <w:szCs w:val="18"/>
              </w:rPr>
              <w:fldChar w:fldCharType="begin">
                <w:ffData>
                  <w:name w:val=""/>
                  <w:enabled/>
                  <w:calcOnExit w:val="0"/>
                  <w:checkBox>
                    <w:sizeAuto/>
                    <w:default w:val="1"/>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Authority Required – Streamlined (7822)</w:t>
            </w:r>
          </w:p>
        </w:tc>
      </w:tr>
      <w:tr w:rsidR="003B6DE6" w:rsidRPr="00504352" w14:paraId="7ABD6684" w14:textId="77777777" w:rsidTr="003B6DE6">
        <w:tc>
          <w:tcPr>
            <w:tcW w:w="5000" w:type="pct"/>
            <w:vAlign w:val="center"/>
          </w:tcPr>
          <w:p w14:paraId="7D808339" w14:textId="77777777" w:rsidR="003B6DE6" w:rsidRPr="00A919D6" w:rsidRDefault="003B6DE6" w:rsidP="002B3433">
            <w:pPr>
              <w:jc w:val="both"/>
              <w:rPr>
                <w:rFonts w:ascii="Arial Narrow" w:hAnsi="Arial Narrow"/>
                <w:color w:val="333333"/>
                <w:sz w:val="18"/>
                <w:szCs w:val="18"/>
              </w:rPr>
            </w:pPr>
            <w:r w:rsidRPr="00A919D6">
              <w:rPr>
                <w:rFonts w:ascii="Arial Narrow" w:hAnsi="Arial Narrow"/>
                <w:b/>
                <w:bCs/>
                <w:color w:val="333333"/>
                <w:sz w:val="18"/>
                <w:szCs w:val="18"/>
              </w:rPr>
              <w:t>Administrative Advice:</w:t>
            </w:r>
          </w:p>
          <w:p w14:paraId="46371360" w14:textId="77777777" w:rsidR="003B6DE6" w:rsidRPr="00A919D6" w:rsidRDefault="003B6DE6" w:rsidP="002B3433">
            <w:pPr>
              <w:jc w:val="both"/>
              <w:rPr>
                <w:rFonts w:ascii="Arial Narrow" w:hAnsi="Arial Narrow"/>
                <w:b/>
                <w:color w:val="333333"/>
                <w:sz w:val="18"/>
                <w:szCs w:val="18"/>
              </w:rPr>
            </w:pPr>
            <w:r w:rsidRPr="00A919D6">
              <w:rPr>
                <w:rFonts w:ascii="Arial Narrow" w:hAnsi="Arial Narrow"/>
                <w:b/>
                <w:color w:val="333333"/>
                <w:sz w:val="18"/>
                <w:szCs w:val="18"/>
              </w:rPr>
              <w:t xml:space="preserve">Biosimilar prescribing policy </w:t>
            </w:r>
          </w:p>
          <w:p w14:paraId="18FE9C43" w14:textId="5F2B6B84" w:rsidR="003B6DE6" w:rsidRPr="00504352" w:rsidRDefault="003B6DE6" w:rsidP="002B3433">
            <w:pPr>
              <w:jc w:val="both"/>
              <w:rPr>
                <w:rFonts w:ascii="Arial Narrow" w:hAnsi="Arial Narrow"/>
                <w:b/>
                <w:bCs/>
                <w:strike/>
                <w:color w:val="333333"/>
                <w:sz w:val="18"/>
                <w:szCs w:val="18"/>
              </w:rPr>
            </w:pPr>
            <w:r w:rsidRPr="00A919D6">
              <w:rPr>
                <w:rFonts w:ascii="Arial Narrow" w:hAnsi="Arial Narrow"/>
                <w:color w:val="333333"/>
                <w:sz w:val="18"/>
                <w:szCs w:val="18"/>
              </w:rPr>
              <w:t xml:space="preserve">Prescribing of the biosimilar brand </w:t>
            </w:r>
            <w:proofErr w:type="spellStart"/>
            <w:r w:rsidRPr="00504352">
              <w:rPr>
                <w:rFonts w:ascii="Arial Narrow" w:hAnsi="Arial Narrow"/>
                <w:color w:val="333333"/>
                <w:sz w:val="18"/>
                <w:szCs w:val="18"/>
              </w:rPr>
              <w:t>Pelgraz</w:t>
            </w:r>
            <w:proofErr w:type="spellEnd"/>
            <w:r w:rsidRPr="00504352">
              <w:rPr>
                <w:rFonts w:ascii="Arial Narrow" w:hAnsi="Arial Narrow"/>
                <w:color w:val="333333"/>
                <w:sz w:val="18"/>
                <w:szCs w:val="18"/>
              </w:rPr>
              <w:t xml:space="preserve">, </w:t>
            </w:r>
            <w:proofErr w:type="spellStart"/>
            <w:r w:rsidRPr="00504352">
              <w:rPr>
                <w:rFonts w:ascii="Arial Narrow" w:hAnsi="Arial Narrow"/>
                <w:color w:val="333333"/>
                <w:sz w:val="18"/>
                <w:szCs w:val="18"/>
              </w:rPr>
              <w:t>Fulphila</w:t>
            </w:r>
            <w:proofErr w:type="spellEnd"/>
            <w:r w:rsidRPr="00504352">
              <w:rPr>
                <w:rFonts w:ascii="Arial Narrow" w:hAnsi="Arial Narrow"/>
                <w:color w:val="333333"/>
                <w:sz w:val="18"/>
                <w:szCs w:val="18"/>
              </w:rPr>
              <w:t xml:space="preserve"> or </w:t>
            </w:r>
            <w:proofErr w:type="spellStart"/>
            <w:r w:rsidRPr="00A919D6">
              <w:rPr>
                <w:rFonts w:ascii="Arial Narrow" w:hAnsi="Arial Narrow"/>
                <w:color w:val="333333"/>
                <w:sz w:val="18"/>
                <w:szCs w:val="18"/>
              </w:rPr>
              <w:t>Ziextenzo</w:t>
            </w:r>
            <w:proofErr w:type="spellEnd"/>
            <w:r w:rsidRPr="00A919D6">
              <w:rPr>
                <w:rFonts w:ascii="Arial Narrow" w:hAnsi="Arial Narrow"/>
                <w:color w:val="333333"/>
                <w:sz w:val="18"/>
                <w:szCs w:val="18"/>
              </w:rPr>
              <w:t xml:space="preserve"> is encouraged for treatment naïve patients. Encouraging biosimilar prescribing for treatment naïve patients is Government policy. A viable biosimilar market </w:t>
            </w:r>
            <w:proofErr w:type="gramStart"/>
            <w:r w:rsidRPr="00A919D6">
              <w:rPr>
                <w:rFonts w:ascii="Arial Narrow" w:hAnsi="Arial Narrow"/>
                <w:color w:val="333333"/>
                <w:sz w:val="18"/>
                <w:szCs w:val="18"/>
              </w:rPr>
              <w:t>is expected</w:t>
            </w:r>
            <w:proofErr w:type="gramEnd"/>
            <w:r w:rsidRPr="00A919D6">
              <w:rPr>
                <w:rFonts w:ascii="Arial Narrow" w:hAnsi="Arial Narrow"/>
                <w:color w:val="333333"/>
                <w:sz w:val="18"/>
                <w:szCs w:val="18"/>
              </w:rPr>
              <w:t xml:space="preserve"> to result in reduced costs for biological medicines, allowing the Government to reinvest in new treatments. Further information </w:t>
            </w:r>
            <w:proofErr w:type="gramStart"/>
            <w:r w:rsidRPr="00A919D6">
              <w:rPr>
                <w:rFonts w:ascii="Arial Narrow" w:hAnsi="Arial Narrow"/>
                <w:color w:val="333333"/>
                <w:sz w:val="18"/>
                <w:szCs w:val="18"/>
              </w:rPr>
              <w:t>can be found</w:t>
            </w:r>
            <w:proofErr w:type="gramEnd"/>
            <w:r w:rsidRPr="00A919D6">
              <w:rPr>
                <w:rFonts w:ascii="Arial Narrow" w:hAnsi="Arial Narrow"/>
                <w:color w:val="333333"/>
                <w:sz w:val="18"/>
                <w:szCs w:val="18"/>
              </w:rPr>
              <w:t xml:space="preserve"> on the Biosimilar Awareness Initiative webpage (www.health.gov.au/biosimilars).</w:t>
            </w:r>
          </w:p>
        </w:tc>
      </w:tr>
      <w:tr w:rsidR="003B6DE6" w:rsidRPr="00504352" w14:paraId="575A874A" w14:textId="77777777" w:rsidTr="003B6DE6">
        <w:tc>
          <w:tcPr>
            <w:tcW w:w="5000" w:type="pct"/>
            <w:vAlign w:val="center"/>
            <w:hideMark/>
          </w:tcPr>
          <w:p w14:paraId="7BB7DB07"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b/>
                <w:bCs/>
                <w:color w:val="333333"/>
                <w:sz w:val="18"/>
                <w:szCs w:val="18"/>
              </w:rPr>
              <w:t>Indication:</w:t>
            </w:r>
            <w:r w:rsidRPr="00504352">
              <w:rPr>
                <w:rFonts w:ascii="Arial Narrow" w:hAnsi="Arial Narrow"/>
                <w:color w:val="333333"/>
                <w:sz w:val="18"/>
                <w:szCs w:val="18"/>
              </w:rPr>
              <w:t xml:space="preserve"> Chemotherapy-induced neutropenia</w:t>
            </w:r>
          </w:p>
        </w:tc>
      </w:tr>
      <w:tr w:rsidR="003B6DE6" w:rsidRPr="00504352" w14:paraId="7F37CAC1" w14:textId="77777777" w:rsidTr="003B6DE6">
        <w:tc>
          <w:tcPr>
            <w:tcW w:w="5000" w:type="pct"/>
            <w:vAlign w:val="center"/>
            <w:hideMark/>
          </w:tcPr>
          <w:p w14:paraId="2664AC6E"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b/>
                <w:bCs/>
                <w:color w:val="333333"/>
                <w:sz w:val="18"/>
                <w:szCs w:val="18"/>
              </w:rPr>
              <w:t>Clinical criteria:</w:t>
            </w:r>
          </w:p>
        </w:tc>
      </w:tr>
      <w:tr w:rsidR="003B6DE6" w:rsidRPr="00504352" w14:paraId="401E098B" w14:textId="77777777" w:rsidTr="003B6DE6">
        <w:tc>
          <w:tcPr>
            <w:tcW w:w="5000" w:type="pct"/>
            <w:vAlign w:val="center"/>
            <w:hideMark/>
          </w:tcPr>
          <w:p w14:paraId="79A4BE1B"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color w:val="333333"/>
                <w:sz w:val="18"/>
                <w:szCs w:val="18"/>
              </w:rPr>
              <w:t>Patient must be receiving chemotherapy with the intention of achieving a cure or a substantial remission,</w:t>
            </w:r>
          </w:p>
        </w:tc>
      </w:tr>
      <w:tr w:rsidR="003B6DE6" w:rsidRPr="00504352" w14:paraId="792C5A86" w14:textId="77777777" w:rsidTr="003B6DE6">
        <w:tc>
          <w:tcPr>
            <w:tcW w:w="5000" w:type="pct"/>
            <w:vAlign w:val="center"/>
            <w:hideMark/>
          </w:tcPr>
          <w:p w14:paraId="32EAEA54"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b/>
                <w:bCs/>
                <w:color w:val="333333"/>
                <w:sz w:val="18"/>
                <w:szCs w:val="18"/>
              </w:rPr>
              <w:lastRenderedPageBreak/>
              <w:t>AND</w:t>
            </w:r>
          </w:p>
        </w:tc>
      </w:tr>
      <w:tr w:rsidR="003B6DE6" w:rsidRPr="00504352" w14:paraId="5997EEE6" w14:textId="77777777" w:rsidTr="003B6DE6">
        <w:tc>
          <w:tcPr>
            <w:tcW w:w="5000" w:type="pct"/>
            <w:vAlign w:val="center"/>
            <w:hideMark/>
          </w:tcPr>
          <w:p w14:paraId="6794FC17" w14:textId="040D3A6D" w:rsidR="003B6DE6" w:rsidRPr="00504352" w:rsidRDefault="003B6DE6" w:rsidP="002B3433">
            <w:pPr>
              <w:jc w:val="both"/>
              <w:rPr>
                <w:rFonts w:ascii="Arial Narrow" w:hAnsi="Arial Narrow"/>
                <w:color w:val="333333"/>
                <w:sz w:val="18"/>
                <w:szCs w:val="18"/>
              </w:rPr>
            </w:pPr>
            <w:r w:rsidRPr="00504352">
              <w:rPr>
                <w:rFonts w:ascii="Arial Narrow" w:hAnsi="Arial Narrow"/>
                <w:color w:val="333333"/>
                <w:sz w:val="18"/>
                <w:szCs w:val="18"/>
              </w:rPr>
              <w:t>Patient must be at greater than 20% risk of developing febrile neutropenia; or</w:t>
            </w:r>
          </w:p>
        </w:tc>
      </w:tr>
      <w:tr w:rsidR="003B6DE6" w:rsidRPr="00504352" w14:paraId="22D933EE" w14:textId="77777777" w:rsidTr="003B6DE6">
        <w:tc>
          <w:tcPr>
            <w:tcW w:w="5000" w:type="pct"/>
            <w:vAlign w:val="center"/>
          </w:tcPr>
          <w:p w14:paraId="26B903F2"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color w:val="333333"/>
                <w:sz w:val="18"/>
                <w:szCs w:val="18"/>
              </w:rPr>
              <w:t>Patient must be at substantial risk (greater than 20%) of prolonged severe neutropenia for more than or equal to seven days.</w:t>
            </w:r>
          </w:p>
        </w:tc>
      </w:tr>
    </w:tbl>
    <w:p w14:paraId="7C7CEE8E" w14:textId="28929709" w:rsidR="0016617B" w:rsidRPr="00504352" w:rsidRDefault="0016617B" w:rsidP="003B6DE6">
      <w:pPr>
        <w:spacing w:after="120"/>
        <w:rPr>
          <w:rFonts w:ascii="Arial Narrow" w:hAnsi="Arial Narrow" w:cstheme="minorHAnsi"/>
          <w:sz w:val="18"/>
          <w:szCs w:val="18"/>
        </w:rPr>
      </w:pPr>
      <w:r w:rsidRPr="00504352">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3B6DE6" w:rsidRPr="00504352" w14:paraId="02F42EDF" w14:textId="77777777" w:rsidTr="003B6DE6">
        <w:tc>
          <w:tcPr>
            <w:tcW w:w="5000" w:type="pct"/>
            <w:tcBorders>
              <w:top w:val="single" w:sz="4" w:space="0" w:color="auto"/>
              <w:left w:val="single" w:sz="4" w:space="0" w:color="auto"/>
              <w:bottom w:val="single" w:sz="4" w:space="0" w:color="auto"/>
              <w:right w:val="single" w:sz="4" w:space="0" w:color="auto"/>
            </w:tcBorders>
          </w:tcPr>
          <w:p w14:paraId="7931B4DB" w14:textId="77777777" w:rsidR="003B6DE6" w:rsidRPr="00504352" w:rsidRDefault="003B6DE6" w:rsidP="00387820">
            <w:pPr>
              <w:rPr>
                <w:rFonts w:ascii="Arial Narrow" w:hAnsi="Arial Narrow" w:cs="Arial"/>
                <w:sz w:val="18"/>
                <w:szCs w:val="18"/>
              </w:rPr>
            </w:pPr>
            <w:r w:rsidRPr="00504352">
              <w:rPr>
                <w:rFonts w:ascii="Arial Narrow" w:hAnsi="Arial Narrow" w:cs="Arial"/>
                <w:b/>
                <w:sz w:val="18"/>
                <w:szCs w:val="18"/>
              </w:rPr>
              <w:t>Category / Program:</w:t>
            </w:r>
            <w:r w:rsidRPr="00504352">
              <w:rPr>
                <w:rFonts w:ascii="Arial Narrow" w:hAnsi="Arial Narrow" w:cs="Arial"/>
                <w:sz w:val="18"/>
                <w:szCs w:val="18"/>
              </w:rPr>
              <w:t xml:space="preserve"> Section 100 – Highly Specialised Drugs Program – Public/Private </w:t>
            </w:r>
          </w:p>
        </w:tc>
      </w:tr>
      <w:tr w:rsidR="003B6DE6" w:rsidRPr="00504352" w14:paraId="61854EB9" w14:textId="77777777" w:rsidTr="003B6DE6">
        <w:trPr>
          <w:trHeight w:val="240"/>
        </w:trPr>
        <w:tc>
          <w:tcPr>
            <w:tcW w:w="5000" w:type="pct"/>
            <w:tcBorders>
              <w:top w:val="single" w:sz="4" w:space="0" w:color="auto"/>
              <w:left w:val="single" w:sz="4" w:space="0" w:color="auto"/>
              <w:bottom w:val="single" w:sz="4" w:space="0" w:color="auto"/>
              <w:right w:val="single" w:sz="4" w:space="0" w:color="auto"/>
            </w:tcBorders>
          </w:tcPr>
          <w:p w14:paraId="3D758BE9" w14:textId="77777777" w:rsidR="003B6DE6" w:rsidRPr="00504352" w:rsidRDefault="003B6DE6" w:rsidP="00387820">
            <w:pPr>
              <w:rPr>
                <w:rFonts w:ascii="Arial Narrow" w:hAnsi="Arial Narrow" w:cs="Arial"/>
                <w:b/>
                <w:sz w:val="18"/>
                <w:szCs w:val="18"/>
              </w:rPr>
            </w:pPr>
            <w:r w:rsidRPr="00504352">
              <w:rPr>
                <w:rFonts w:ascii="Arial Narrow" w:hAnsi="Arial Narrow" w:cs="Arial"/>
                <w:b/>
                <w:sz w:val="18"/>
                <w:szCs w:val="18"/>
              </w:rPr>
              <w:t xml:space="preserve">Prescriber type:   </w:t>
            </w:r>
            <w:r w:rsidRPr="00A919D6">
              <w:rPr>
                <w:rFonts w:ascii="Arial Narrow" w:hAnsi="Arial Narrow" w:cs="Arial"/>
                <w:sz w:val="18"/>
                <w:szCs w:val="18"/>
              </w:rPr>
              <w:fldChar w:fldCharType="begin">
                <w:ffData>
                  <w:name w:val="Check1"/>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 xml:space="preserve">Dental   </w:t>
            </w:r>
            <w:r w:rsidRPr="00A919D6">
              <w:rPr>
                <w:rFonts w:ascii="Arial Narrow" w:hAnsi="Arial Narrow" w:cs="Arial"/>
                <w:sz w:val="18"/>
                <w:szCs w:val="18"/>
              </w:rPr>
              <w:fldChar w:fldCharType="begin">
                <w:ffData>
                  <w:name w:val=""/>
                  <w:enabled/>
                  <w:calcOnExit w:val="0"/>
                  <w:checkBox>
                    <w:sizeAuto/>
                    <w:default w:val="1"/>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 xml:space="preserve">Medical Practitioners   </w:t>
            </w:r>
            <w:r w:rsidRPr="00A919D6">
              <w:rPr>
                <w:rFonts w:ascii="Arial Narrow" w:hAnsi="Arial Narrow" w:cs="Arial"/>
                <w:sz w:val="18"/>
                <w:szCs w:val="18"/>
              </w:rPr>
              <w:fldChar w:fldCharType="begin">
                <w:ffData>
                  <w:name w:val="Check3"/>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 xml:space="preserve">Nurse practitioners   </w:t>
            </w:r>
            <w:r w:rsidRPr="00A919D6">
              <w:rPr>
                <w:rFonts w:ascii="Arial Narrow" w:hAnsi="Arial Narrow" w:cs="Arial"/>
                <w:sz w:val="18"/>
                <w:szCs w:val="18"/>
              </w:rPr>
              <w:fldChar w:fldCharType="begin">
                <w:ffData>
                  <w:name w:val=""/>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 xml:space="preserve">Optometrists   </w:t>
            </w:r>
            <w:r w:rsidRPr="00A919D6">
              <w:rPr>
                <w:rFonts w:ascii="Arial Narrow" w:hAnsi="Arial Narrow" w:cs="Arial"/>
                <w:sz w:val="18"/>
                <w:szCs w:val="18"/>
              </w:rPr>
              <w:fldChar w:fldCharType="begin">
                <w:ffData>
                  <w:name w:val="Check5"/>
                  <w:enabled/>
                  <w:calcOnExit w:val="0"/>
                  <w:checkBox>
                    <w:sizeAuto/>
                    <w:default w:val="0"/>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Midwives</w:t>
            </w:r>
          </w:p>
        </w:tc>
      </w:tr>
      <w:tr w:rsidR="003B6DE6" w:rsidRPr="00504352" w14:paraId="0C057C49" w14:textId="77777777" w:rsidTr="003B6DE6">
        <w:tc>
          <w:tcPr>
            <w:tcW w:w="5000" w:type="pct"/>
            <w:tcBorders>
              <w:top w:val="single" w:sz="4" w:space="0" w:color="auto"/>
              <w:left w:val="single" w:sz="4" w:space="0" w:color="auto"/>
              <w:bottom w:val="single" w:sz="4" w:space="0" w:color="auto"/>
              <w:right w:val="single" w:sz="4" w:space="0" w:color="auto"/>
            </w:tcBorders>
          </w:tcPr>
          <w:p w14:paraId="386B6B70" w14:textId="66330273" w:rsidR="003B6DE6" w:rsidRPr="00504352" w:rsidRDefault="003B6DE6" w:rsidP="00387820">
            <w:pPr>
              <w:rPr>
                <w:rFonts w:ascii="Arial Narrow" w:hAnsi="Arial Narrow" w:cs="Arial"/>
                <w:b/>
                <w:sz w:val="18"/>
                <w:szCs w:val="18"/>
              </w:rPr>
            </w:pPr>
            <w:r w:rsidRPr="00504352">
              <w:rPr>
                <w:rFonts w:ascii="Arial Narrow" w:hAnsi="Arial Narrow" w:cs="Arial"/>
                <w:b/>
                <w:sz w:val="18"/>
                <w:szCs w:val="18"/>
              </w:rPr>
              <w:t xml:space="preserve">Restriction Level / Method: </w:t>
            </w:r>
            <w:r w:rsidRPr="00A919D6">
              <w:rPr>
                <w:rFonts w:ascii="Arial Narrow" w:hAnsi="Arial Narrow" w:cs="Arial"/>
                <w:sz w:val="18"/>
                <w:szCs w:val="18"/>
              </w:rPr>
              <w:fldChar w:fldCharType="begin">
                <w:ffData>
                  <w:name w:val=""/>
                  <w:enabled/>
                  <w:calcOnExit w:val="0"/>
                  <w:checkBox>
                    <w:sizeAuto/>
                    <w:default w:val="1"/>
                  </w:checkBox>
                </w:ffData>
              </w:fldChar>
            </w:r>
            <w:r w:rsidRPr="00504352">
              <w:rPr>
                <w:rFonts w:ascii="Arial Narrow" w:hAnsi="Arial Narrow" w:cs="Arial"/>
                <w:sz w:val="18"/>
                <w:szCs w:val="18"/>
              </w:rPr>
              <w:instrText xml:space="preserve"> FORMCHECKBOX </w:instrText>
            </w:r>
            <w:r w:rsidR="00545864">
              <w:rPr>
                <w:rFonts w:ascii="Arial Narrow" w:hAnsi="Arial Narrow" w:cs="Arial"/>
                <w:sz w:val="18"/>
                <w:szCs w:val="18"/>
              </w:rPr>
            </w:r>
            <w:r w:rsidR="00545864">
              <w:rPr>
                <w:rFonts w:ascii="Arial Narrow" w:hAnsi="Arial Narrow" w:cs="Arial"/>
                <w:sz w:val="18"/>
                <w:szCs w:val="18"/>
              </w:rPr>
              <w:fldChar w:fldCharType="separate"/>
            </w:r>
            <w:r w:rsidRPr="00A919D6">
              <w:rPr>
                <w:rFonts w:ascii="Arial Narrow" w:hAnsi="Arial Narrow" w:cs="Arial"/>
                <w:sz w:val="18"/>
                <w:szCs w:val="18"/>
              </w:rPr>
              <w:fldChar w:fldCharType="end"/>
            </w:r>
            <w:r w:rsidRPr="00504352">
              <w:rPr>
                <w:rFonts w:ascii="Arial Narrow" w:hAnsi="Arial Narrow" w:cs="Arial"/>
                <w:sz w:val="18"/>
                <w:szCs w:val="18"/>
              </w:rPr>
              <w:t>Authority Required – Streamlined (7822)</w:t>
            </w:r>
          </w:p>
        </w:tc>
      </w:tr>
      <w:tr w:rsidR="003B6DE6" w:rsidRPr="00504352" w14:paraId="4E002B4F" w14:textId="77777777" w:rsidTr="003B6DE6">
        <w:tc>
          <w:tcPr>
            <w:tcW w:w="5000" w:type="pct"/>
            <w:vAlign w:val="center"/>
          </w:tcPr>
          <w:p w14:paraId="5745AE34"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b/>
                <w:bCs/>
                <w:color w:val="333333"/>
                <w:sz w:val="18"/>
                <w:szCs w:val="18"/>
              </w:rPr>
              <w:t>Administrative Advice:</w:t>
            </w:r>
          </w:p>
          <w:p w14:paraId="2738DD0E" w14:textId="77777777" w:rsidR="003B6DE6" w:rsidRPr="00504352" w:rsidRDefault="003B6DE6" w:rsidP="002B3433">
            <w:pPr>
              <w:jc w:val="both"/>
              <w:rPr>
                <w:rFonts w:ascii="Arial Narrow" w:hAnsi="Arial Narrow"/>
                <w:b/>
                <w:color w:val="333333"/>
                <w:sz w:val="18"/>
                <w:szCs w:val="18"/>
              </w:rPr>
            </w:pPr>
            <w:r w:rsidRPr="00504352">
              <w:rPr>
                <w:rFonts w:ascii="Arial Narrow" w:hAnsi="Arial Narrow"/>
                <w:b/>
                <w:color w:val="333333"/>
                <w:sz w:val="18"/>
                <w:szCs w:val="18"/>
              </w:rPr>
              <w:t xml:space="preserve">Biosimilar prescribing policy </w:t>
            </w:r>
          </w:p>
          <w:p w14:paraId="4B852599" w14:textId="77777777" w:rsidR="003B6DE6" w:rsidRPr="00504352" w:rsidRDefault="003B6DE6" w:rsidP="002B3433">
            <w:pPr>
              <w:jc w:val="both"/>
              <w:rPr>
                <w:rFonts w:ascii="Arial Narrow" w:hAnsi="Arial Narrow"/>
                <w:b/>
                <w:bCs/>
                <w:strike/>
                <w:color w:val="333333"/>
                <w:sz w:val="18"/>
                <w:szCs w:val="18"/>
              </w:rPr>
            </w:pPr>
            <w:r w:rsidRPr="00504352">
              <w:rPr>
                <w:rFonts w:ascii="Arial Narrow" w:hAnsi="Arial Narrow"/>
                <w:color w:val="333333"/>
                <w:sz w:val="18"/>
                <w:szCs w:val="18"/>
              </w:rPr>
              <w:t xml:space="preserve">Prescribing of the biosimilar brand </w:t>
            </w:r>
            <w:proofErr w:type="spellStart"/>
            <w:r w:rsidRPr="00504352">
              <w:rPr>
                <w:rFonts w:ascii="Arial Narrow" w:hAnsi="Arial Narrow"/>
                <w:color w:val="333333"/>
                <w:sz w:val="18"/>
                <w:szCs w:val="18"/>
              </w:rPr>
              <w:t>Pelgraz</w:t>
            </w:r>
            <w:proofErr w:type="spellEnd"/>
            <w:r w:rsidRPr="00504352">
              <w:rPr>
                <w:rFonts w:ascii="Arial Narrow" w:hAnsi="Arial Narrow"/>
                <w:color w:val="333333"/>
                <w:sz w:val="18"/>
                <w:szCs w:val="18"/>
              </w:rPr>
              <w:t xml:space="preserve">, </w:t>
            </w:r>
            <w:proofErr w:type="spellStart"/>
            <w:r w:rsidRPr="00504352">
              <w:rPr>
                <w:rFonts w:ascii="Arial Narrow" w:hAnsi="Arial Narrow"/>
                <w:color w:val="333333"/>
                <w:sz w:val="18"/>
                <w:szCs w:val="18"/>
              </w:rPr>
              <w:t>Fulphila</w:t>
            </w:r>
            <w:proofErr w:type="spellEnd"/>
            <w:r w:rsidRPr="00504352">
              <w:rPr>
                <w:rFonts w:ascii="Arial Narrow" w:hAnsi="Arial Narrow"/>
                <w:color w:val="333333"/>
                <w:sz w:val="18"/>
                <w:szCs w:val="18"/>
              </w:rPr>
              <w:t xml:space="preserve"> or </w:t>
            </w:r>
            <w:proofErr w:type="spellStart"/>
            <w:r w:rsidRPr="00504352">
              <w:rPr>
                <w:rFonts w:ascii="Arial Narrow" w:hAnsi="Arial Narrow"/>
                <w:color w:val="333333"/>
                <w:sz w:val="18"/>
                <w:szCs w:val="18"/>
              </w:rPr>
              <w:t>Ziextenzo</w:t>
            </w:r>
            <w:proofErr w:type="spellEnd"/>
            <w:r w:rsidRPr="00504352">
              <w:rPr>
                <w:rFonts w:ascii="Arial Narrow" w:hAnsi="Arial Narrow"/>
                <w:color w:val="333333"/>
                <w:sz w:val="18"/>
                <w:szCs w:val="18"/>
              </w:rPr>
              <w:t xml:space="preserve"> is encouraged for treatment naïve patients. Encouraging biosimilar prescribing for treatment naïve patients is Government policy. A viable biosimilar market </w:t>
            </w:r>
            <w:proofErr w:type="gramStart"/>
            <w:r w:rsidRPr="00504352">
              <w:rPr>
                <w:rFonts w:ascii="Arial Narrow" w:hAnsi="Arial Narrow"/>
                <w:color w:val="333333"/>
                <w:sz w:val="18"/>
                <w:szCs w:val="18"/>
              </w:rPr>
              <w:t>is expected</w:t>
            </w:r>
            <w:proofErr w:type="gramEnd"/>
            <w:r w:rsidRPr="00504352">
              <w:rPr>
                <w:rFonts w:ascii="Arial Narrow" w:hAnsi="Arial Narrow"/>
                <w:color w:val="333333"/>
                <w:sz w:val="18"/>
                <w:szCs w:val="18"/>
              </w:rPr>
              <w:t xml:space="preserve"> to result in reduced costs for biological medicines, allowing the Government to reinvest in new treatments. Further information </w:t>
            </w:r>
            <w:proofErr w:type="gramStart"/>
            <w:r w:rsidRPr="00504352">
              <w:rPr>
                <w:rFonts w:ascii="Arial Narrow" w:hAnsi="Arial Narrow"/>
                <w:color w:val="333333"/>
                <w:sz w:val="18"/>
                <w:szCs w:val="18"/>
              </w:rPr>
              <w:t>can be found</w:t>
            </w:r>
            <w:proofErr w:type="gramEnd"/>
            <w:r w:rsidRPr="00504352">
              <w:rPr>
                <w:rFonts w:ascii="Arial Narrow" w:hAnsi="Arial Narrow"/>
                <w:color w:val="333333"/>
                <w:sz w:val="18"/>
                <w:szCs w:val="18"/>
              </w:rPr>
              <w:t xml:space="preserve"> on the Biosimilar Awareness Initiative webpage (www.health.gov.au/biosimilars).</w:t>
            </w:r>
          </w:p>
        </w:tc>
      </w:tr>
      <w:tr w:rsidR="003B6DE6" w:rsidRPr="00504352" w14:paraId="3E87B409" w14:textId="77777777" w:rsidTr="003B6DE6">
        <w:tc>
          <w:tcPr>
            <w:tcW w:w="5000" w:type="pct"/>
            <w:vAlign w:val="center"/>
            <w:hideMark/>
          </w:tcPr>
          <w:p w14:paraId="0E6E74E8"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b/>
                <w:bCs/>
                <w:color w:val="333333"/>
                <w:sz w:val="18"/>
                <w:szCs w:val="18"/>
              </w:rPr>
              <w:t>Indication:</w:t>
            </w:r>
            <w:r w:rsidRPr="00504352">
              <w:rPr>
                <w:rFonts w:ascii="Arial Narrow" w:hAnsi="Arial Narrow"/>
                <w:color w:val="333333"/>
                <w:sz w:val="18"/>
                <w:szCs w:val="18"/>
              </w:rPr>
              <w:t xml:space="preserve"> Chemotherapy-induced neutropenia</w:t>
            </w:r>
          </w:p>
        </w:tc>
      </w:tr>
      <w:tr w:rsidR="003B6DE6" w:rsidRPr="00504352" w14:paraId="25FE582A" w14:textId="77777777" w:rsidTr="003B6DE6">
        <w:tc>
          <w:tcPr>
            <w:tcW w:w="5000" w:type="pct"/>
            <w:vAlign w:val="center"/>
            <w:hideMark/>
          </w:tcPr>
          <w:p w14:paraId="1D2816C5"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b/>
                <w:bCs/>
                <w:color w:val="333333"/>
                <w:sz w:val="18"/>
                <w:szCs w:val="18"/>
              </w:rPr>
              <w:t>Clinical criteria:</w:t>
            </w:r>
          </w:p>
        </w:tc>
      </w:tr>
      <w:tr w:rsidR="003B6DE6" w:rsidRPr="00504352" w14:paraId="42F86070" w14:textId="77777777" w:rsidTr="003B6DE6">
        <w:tc>
          <w:tcPr>
            <w:tcW w:w="5000" w:type="pct"/>
            <w:vAlign w:val="center"/>
            <w:hideMark/>
          </w:tcPr>
          <w:p w14:paraId="06D8B730"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color w:val="333333"/>
                <w:sz w:val="18"/>
                <w:szCs w:val="18"/>
              </w:rPr>
              <w:t>Patient must be receiving chemotherapy with the intention of achieving a cure or a substantial remission,</w:t>
            </w:r>
          </w:p>
        </w:tc>
      </w:tr>
      <w:tr w:rsidR="003B6DE6" w:rsidRPr="00504352" w14:paraId="4CEA1C97" w14:textId="77777777" w:rsidTr="003B6DE6">
        <w:tc>
          <w:tcPr>
            <w:tcW w:w="5000" w:type="pct"/>
            <w:vAlign w:val="center"/>
            <w:hideMark/>
          </w:tcPr>
          <w:p w14:paraId="6F2A82D5" w14:textId="77777777" w:rsidR="003B6DE6" w:rsidRPr="00504352" w:rsidRDefault="003B6DE6" w:rsidP="002B3433">
            <w:pPr>
              <w:jc w:val="both"/>
              <w:rPr>
                <w:rFonts w:ascii="Arial Narrow" w:hAnsi="Arial Narrow"/>
                <w:color w:val="333333"/>
                <w:sz w:val="18"/>
                <w:szCs w:val="18"/>
              </w:rPr>
            </w:pPr>
            <w:r w:rsidRPr="00504352">
              <w:rPr>
                <w:rFonts w:ascii="Arial Narrow" w:hAnsi="Arial Narrow"/>
                <w:b/>
                <w:bCs/>
                <w:color w:val="333333"/>
                <w:sz w:val="18"/>
                <w:szCs w:val="18"/>
              </w:rPr>
              <w:t>AND</w:t>
            </w:r>
          </w:p>
        </w:tc>
      </w:tr>
      <w:tr w:rsidR="003B6DE6" w:rsidRPr="00504352" w14:paraId="464EF43E" w14:textId="77777777" w:rsidTr="003B6DE6">
        <w:tc>
          <w:tcPr>
            <w:tcW w:w="5000" w:type="pct"/>
            <w:vAlign w:val="center"/>
            <w:hideMark/>
          </w:tcPr>
          <w:p w14:paraId="7CB1A68A" w14:textId="6BD873AC" w:rsidR="003B6DE6" w:rsidRPr="00504352" w:rsidRDefault="003B6DE6" w:rsidP="002B3433">
            <w:pPr>
              <w:jc w:val="both"/>
              <w:rPr>
                <w:rFonts w:ascii="Arial Narrow" w:hAnsi="Arial Narrow"/>
                <w:color w:val="333333"/>
                <w:sz w:val="18"/>
                <w:szCs w:val="18"/>
              </w:rPr>
            </w:pPr>
            <w:r w:rsidRPr="00504352">
              <w:rPr>
                <w:rFonts w:ascii="Arial Narrow" w:hAnsi="Arial Narrow"/>
                <w:color w:val="333333"/>
                <w:sz w:val="18"/>
                <w:szCs w:val="18"/>
              </w:rPr>
              <w:t>Patient must have had a prior episode of febrile neutropenia; or</w:t>
            </w:r>
          </w:p>
        </w:tc>
      </w:tr>
      <w:tr w:rsidR="003B6DE6" w:rsidRPr="00504352" w14:paraId="77D1ED45" w14:textId="77777777" w:rsidTr="003B6DE6">
        <w:tc>
          <w:tcPr>
            <w:tcW w:w="5000" w:type="pct"/>
            <w:vAlign w:val="center"/>
          </w:tcPr>
          <w:p w14:paraId="469C5E14" w14:textId="7E2AE058" w:rsidR="003B6DE6" w:rsidRPr="00504352" w:rsidRDefault="003B6DE6" w:rsidP="002B3433">
            <w:pPr>
              <w:jc w:val="both"/>
              <w:rPr>
                <w:rFonts w:ascii="Arial Narrow" w:hAnsi="Arial Narrow"/>
                <w:color w:val="333333"/>
                <w:sz w:val="18"/>
                <w:szCs w:val="18"/>
              </w:rPr>
            </w:pPr>
            <w:r w:rsidRPr="00504352">
              <w:rPr>
                <w:rFonts w:ascii="Arial Narrow" w:hAnsi="Arial Narrow"/>
                <w:color w:val="333333"/>
                <w:sz w:val="18"/>
                <w:szCs w:val="18"/>
              </w:rPr>
              <w:t>Patient must have had a prior episode of prolonged severe neutropenia for more than or equal to seven days.</w:t>
            </w:r>
          </w:p>
        </w:tc>
      </w:tr>
    </w:tbl>
    <w:p w14:paraId="30A807F0" w14:textId="21C08D11" w:rsidR="0016617B" w:rsidRPr="00504352" w:rsidRDefault="0016617B" w:rsidP="00007428"/>
    <w:p w14:paraId="39B24C7F" w14:textId="55562A59" w:rsidR="006240FF" w:rsidRDefault="00164AC3" w:rsidP="00164AC3">
      <w:pPr>
        <w:pStyle w:val="3Bodytext"/>
        <w:numPr>
          <w:ilvl w:val="0"/>
          <w:numId w:val="0"/>
        </w:numPr>
        <w:rPr>
          <w:rFonts w:cstheme="minorHAnsi"/>
          <w:b/>
          <w:i/>
          <w:szCs w:val="24"/>
        </w:rPr>
      </w:pPr>
      <w:r w:rsidRPr="008212CB">
        <w:rPr>
          <w:rFonts w:cstheme="minorHAnsi"/>
          <w:b/>
          <w:i/>
          <w:szCs w:val="24"/>
        </w:rPr>
        <w:t>This restriction may be subject to further review. Should there be any changes made to the restriction the Sponsor will be informed.</w:t>
      </w:r>
    </w:p>
    <w:p w14:paraId="79F025EB" w14:textId="77777777" w:rsidR="0068722F" w:rsidRPr="00E54E68" w:rsidRDefault="0068722F" w:rsidP="0068722F">
      <w:pPr>
        <w:pStyle w:val="2-SectionHeading"/>
        <w:numPr>
          <w:ilvl w:val="0"/>
          <w:numId w:val="5"/>
        </w:numPr>
        <w:rPr>
          <w:rFonts w:eastAsiaTheme="minorHAnsi"/>
          <w:szCs w:val="22"/>
          <w:lang w:eastAsia="en-US"/>
        </w:rPr>
      </w:pPr>
      <w:r w:rsidRPr="00E54E68">
        <w:rPr>
          <w:rFonts w:eastAsiaTheme="minorHAnsi"/>
          <w:szCs w:val="22"/>
          <w:lang w:eastAsia="en-US"/>
        </w:rPr>
        <w:t>Context for Decision</w:t>
      </w:r>
    </w:p>
    <w:p w14:paraId="0CEBA5F4" w14:textId="77777777" w:rsidR="0068722F" w:rsidRPr="00E54E68" w:rsidRDefault="0068722F" w:rsidP="0068722F">
      <w:pPr>
        <w:spacing w:line="276" w:lineRule="auto"/>
        <w:rPr>
          <w:rFonts w:asciiTheme="minorHAnsi" w:eastAsiaTheme="minorHAnsi" w:hAnsiTheme="minorHAnsi"/>
          <w:szCs w:val="22"/>
          <w:lang w:eastAsia="en-US"/>
        </w:rPr>
      </w:pPr>
      <w:r w:rsidRPr="002324FB">
        <w:rPr>
          <w:rFonts w:asciiTheme="minorHAnsi" w:eastAsiaTheme="minorHAnsi" w:hAnsiTheme="minorHAnsi"/>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2324FB">
        <w:rPr>
          <w:rFonts w:asciiTheme="minorHAnsi" w:eastAsiaTheme="minorHAnsi" w:hAnsiTheme="minorHAnsi"/>
          <w:szCs w:val="22"/>
          <w:lang w:eastAsia="en-US"/>
        </w:rPr>
        <w:t>should be made</w:t>
      </w:r>
      <w:proofErr w:type="gramEnd"/>
      <w:r w:rsidRPr="002324FB">
        <w:rPr>
          <w:rFonts w:asciiTheme="minorHAnsi" w:eastAsiaTheme="minorHAnsi" w:hAnsiTheme="minorHAnsi"/>
          <w:szCs w:val="22"/>
          <w:lang w:eastAsia="en-US"/>
        </w:rPr>
        <w:t xml:space="preserve"> available through the PBS. The PBAC welcomes applications containing new information at any time.</w:t>
      </w:r>
    </w:p>
    <w:p w14:paraId="474A459A" w14:textId="77777777" w:rsidR="0068722F" w:rsidRPr="00E54E68" w:rsidRDefault="0068722F" w:rsidP="0068722F">
      <w:pPr>
        <w:pStyle w:val="2-SectionHeading"/>
        <w:numPr>
          <w:ilvl w:val="0"/>
          <w:numId w:val="5"/>
        </w:numPr>
        <w:rPr>
          <w:rFonts w:eastAsiaTheme="minorHAnsi"/>
          <w:szCs w:val="22"/>
          <w:lang w:eastAsia="en-US"/>
        </w:rPr>
      </w:pPr>
      <w:r w:rsidRPr="00E54E68">
        <w:rPr>
          <w:rFonts w:eastAsiaTheme="minorHAnsi"/>
          <w:szCs w:val="22"/>
          <w:lang w:eastAsia="en-US"/>
        </w:rPr>
        <w:t>Sponsor’s Comment</w:t>
      </w:r>
    </w:p>
    <w:p w14:paraId="396EA1CC" w14:textId="70F99BC8" w:rsidR="0068722F" w:rsidRDefault="0068722F" w:rsidP="0068722F">
      <w:pPr>
        <w:spacing w:line="276" w:lineRule="auto"/>
        <w:rPr>
          <w:rFonts w:asciiTheme="minorHAnsi" w:eastAsiaTheme="minorHAnsi" w:hAnsiTheme="minorHAnsi"/>
          <w:szCs w:val="22"/>
          <w:lang w:eastAsia="en-US"/>
        </w:rPr>
      </w:pPr>
      <w:r w:rsidRPr="00C65A3E">
        <w:rPr>
          <w:rFonts w:asciiTheme="minorHAnsi" w:eastAsiaTheme="minorHAnsi" w:hAnsiTheme="minorHAnsi"/>
          <w:szCs w:val="22"/>
          <w:lang w:eastAsia="en-US"/>
        </w:rPr>
        <w:t>The sponsor had no comment.</w:t>
      </w:r>
    </w:p>
    <w:p w14:paraId="65A38E7E" w14:textId="77777777" w:rsidR="0068722F" w:rsidRPr="00164AC3" w:rsidRDefault="0068722F" w:rsidP="00164AC3">
      <w:pPr>
        <w:pStyle w:val="3Bodytext"/>
        <w:numPr>
          <w:ilvl w:val="0"/>
          <w:numId w:val="0"/>
        </w:numPr>
        <w:rPr>
          <w:rFonts w:cstheme="minorHAnsi"/>
          <w:b/>
          <w:color w:val="FF00FF"/>
          <w:szCs w:val="24"/>
        </w:rPr>
      </w:pPr>
    </w:p>
    <w:sectPr w:rsidR="0068722F" w:rsidRPr="00164AC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394350" w:rsidRDefault="00394350">
      <w:r>
        <w:separator/>
      </w:r>
    </w:p>
    <w:p w14:paraId="038E238C" w14:textId="77777777" w:rsidR="00394350" w:rsidRDefault="00394350"/>
  </w:endnote>
  <w:endnote w:type="continuationSeparator" w:id="0">
    <w:p w14:paraId="4AA3880E" w14:textId="77777777" w:rsidR="00394350" w:rsidRDefault="00394350">
      <w:r>
        <w:continuationSeparator/>
      </w:r>
    </w:p>
    <w:p w14:paraId="7EA76869" w14:textId="77777777" w:rsidR="00394350" w:rsidRDefault="00394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94350" w14:paraId="7AE7B59D" w14:textId="77777777" w:rsidTr="005A3173">
      <w:trPr>
        <w:trHeight w:val="151"/>
      </w:trPr>
      <w:tc>
        <w:tcPr>
          <w:tcW w:w="2250" w:type="pct"/>
          <w:tcBorders>
            <w:top w:val="nil"/>
            <w:left w:val="nil"/>
            <w:bottom w:val="single" w:sz="4" w:space="0" w:color="4F81BD"/>
            <w:right w:val="nil"/>
          </w:tcBorders>
        </w:tcPr>
        <w:p w14:paraId="67C1D142" w14:textId="77777777" w:rsidR="00394350" w:rsidRPr="005A3173" w:rsidRDefault="0039435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185B349" w14:textId="77777777" w:rsidR="00394350" w:rsidRPr="005A3173" w:rsidRDefault="0039435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394350" w:rsidRPr="005A3173" w:rsidRDefault="00394350" w:rsidP="005A3173">
          <w:pPr>
            <w:pStyle w:val="Header"/>
            <w:spacing w:line="276" w:lineRule="auto"/>
            <w:rPr>
              <w:rFonts w:ascii="Calibri" w:eastAsia="MS Gothic" w:hAnsi="Calibri"/>
              <w:b/>
              <w:bCs/>
              <w:color w:val="4F81BD"/>
            </w:rPr>
          </w:pPr>
        </w:p>
      </w:tc>
    </w:tr>
    <w:tr w:rsidR="00394350" w14:paraId="09AEC201" w14:textId="77777777" w:rsidTr="005A3173">
      <w:trPr>
        <w:trHeight w:val="150"/>
      </w:trPr>
      <w:tc>
        <w:tcPr>
          <w:tcW w:w="2250" w:type="pct"/>
          <w:tcBorders>
            <w:top w:val="single" w:sz="4" w:space="0" w:color="4F81BD"/>
            <w:left w:val="nil"/>
            <w:bottom w:val="nil"/>
            <w:right w:val="nil"/>
          </w:tcBorders>
        </w:tcPr>
        <w:p w14:paraId="262F4099" w14:textId="77777777" w:rsidR="00394350" w:rsidRPr="005A3173" w:rsidRDefault="00394350" w:rsidP="005A3173">
          <w:pPr>
            <w:pStyle w:val="Header"/>
            <w:spacing w:line="276" w:lineRule="auto"/>
            <w:rPr>
              <w:rFonts w:ascii="Calibri" w:eastAsia="MS Gothic" w:hAnsi="Calibri"/>
              <w:b/>
              <w:bCs/>
              <w:color w:val="4F81BD"/>
            </w:rPr>
          </w:pPr>
        </w:p>
      </w:tc>
      <w:tc>
        <w:tcPr>
          <w:tcW w:w="0" w:type="auto"/>
          <w:vMerge/>
          <w:vAlign w:val="center"/>
          <w:hideMark/>
        </w:tcPr>
        <w:p w14:paraId="7DCDEB18" w14:textId="77777777" w:rsidR="00394350" w:rsidRPr="005A3173" w:rsidRDefault="0039435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5FC0FCCA" w14:textId="77777777" w:rsidR="00394350" w:rsidRPr="005A3173" w:rsidRDefault="00394350" w:rsidP="005A3173">
          <w:pPr>
            <w:pStyle w:val="Header"/>
            <w:spacing w:line="276" w:lineRule="auto"/>
            <w:rPr>
              <w:rFonts w:ascii="Calibri" w:eastAsia="MS Gothic" w:hAnsi="Calibri"/>
              <w:b/>
              <w:bCs/>
              <w:color w:val="4F81BD"/>
            </w:rPr>
          </w:pPr>
        </w:p>
      </w:tc>
    </w:tr>
  </w:tbl>
  <w:p w14:paraId="10555411" w14:textId="77777777" w:rsidR="00394350" w:rsidRDefault="0039435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394350" w:rsidRDefault="00394350">
    <w:pPr>
      <w:pStyle w:val="Footer"/>
    </w:pPr>
  </w:p>
  <w:p w14:paraId="32F5595B" w14:textId="77777777" w:rsidR="00394350" w:rsidRDefault="003943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C854" w14:textId="77777777" w:rsidR="00394350" w:rsidRDefault="00394350" w:rsidP="00E27234">
    <w:pPr>
      <w:pStyle w:val="PBACFooter"/>
      <w:rPr>
        <w:rFonts w:asciiTheme="minorHAnsi" w:hAnsiTheme="minorHAnsi" w:cstheme="minorHAnsi"/>
        <w:sz w:val="24"/>
      </w:rPr>
    </w:pPr>
  </w:p>
  <w:p w14:paraId="12413FC5" w14:textId="74AB197F" w:rsidR="00394350" w:rsidRPr="000F3384" w:rsidRDefault="00394350" w:rsidP="008B4C96">
    <w:pPr>
      <w:pStyle w:val="PBACFooter"/>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Arabic  \* MERGEFORMAT </w:instrText>
    </w:r>
    <w:r>
      <w:rPr>
        <w:rFonts w:asciiTheme="minorHAnsi" w:hAnsiTheme="minorHAnsi" w:cstheme="minorHAnsi"/>
        <w:sz w:val="24"/>
      </w:rPr>
      <w:fldChar w:fldCharType="separate"/>
    </w:r>
    <w:r w:rsidR="00545864">
      <w:rPr>
        <w:rFonts w:asciiTheme="minorHAnsi" w:hAnsiTheme="minorHAnsi" w:cstheme="minorHAnsi"/>
        <w:noProof/>
        <w:sz w:val="24"/>
      </w:rPr>
      <w:t>1</w:t>
    </w:r>
    <w:r>
      <w:rPr>
        <w:rFonts w:asciiTheme="minorHAnsi" w:hAnsiTheme="minorHAnsi" w:cstheme="minorHAnsi"/>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394350" w14:paraId="031AA569" w14:textId="77777777" w:rsidTr="005A3173">
      <w:trPr>
        <w:trHeight w:val="151"/>
      </w:trPr>
      <w:tc>
        <w:tcPr>
          <w:tcW w:w="2250" w:type="pct"/>
          <w:tcBorders>
            <w:top w:val="nil"/>
            <w:left w:val="nil"/>
            <w:bottom w:val="single" w:sz="4" w:space="0" w:color="4F81BD"/>
            <w:right w:val="nil"/>
          </w:tcBorders>
        </w:tcPr>
        <w:p w14:paraId="41814DAF" w14:textId="77777777" w:rsidR="00394350" w:rsidRPr="005A3173" w:rsidRDefault="0039435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88E01ED" w14:textId="77777777" w:rsidR="00394350" w:rsidRPr="005A3173" w:rsidRDefault="0039435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394350" w:rsidRPr="005A3173" w:rsidRDefault="00394350" w:rsidP="005A3173">
          <w:pPr>
            <w:pStyle w:val="Header"/>
            <w:spacing w:line="276" w:lineRule="auto"/>
            <w:rPr>
              <w:rFonts w:ascii="Calibri" w:eastAsia="MS Gothic" w:hAnsi="Calibri"/>
              <w:b/>
              <w:bCs/>
              <w:color w:val="4F81BD"/>
            </w:rPr>
          </w:pPr>
        </w:p>
      </w:tc>
    </w:tr>
    <w:tr w:rsidR="00394350" w14:paraId="1AF3C146" w14:textId="77777777" w:rsidTr="005A3173">
      <w:trPr>
        <w:trHeight w:val="150"/>
      </w:trPr>
      <w:tc>
        <w:tcPr>
          <w:tcW w:w="2250" w:type="pct"/>
          <w:tcBorders>
            <w:top w:val="single" w:sz="4" w:space="0" w:color="4F81BD"/>
            <w:left w:val="nil"/>
            <w:bottom w:val="nil"/>
            <w:right w:val="nil"/>
          </w:tcBorders>
        </w:tcPr>
        <w:p w14:paraId="30486D49" w14:textId="77777777" w:rsidR="00394350" w:rsidRPr="005A3173" w:rsidRDefault="00394350" w:rsidP="005A3173">
          <w:pPr>
            <w:pStyle w:val="Header"/>
            <w:spacing w:line="276" w:lineRule="auto"/>
            <w:rPr>
              <w:rFonts w:ascii="Calibri" w:eastAsia="MS Gothic" w:hAnsi="Calibri"/>
              <w:b/>
              <w:bCs/>
              <w:color w:val="4F81BD"/>
            </w:rPr>
          </w:pPr>
        </w:p>
      </w:tc>
      <w:tc>
        <w:tcPr>
          <w:tcW w:w="0" w:type="auto"/>
          <w:vMerge/>
          <w:vAlign w:val="center"/>
          <w:hideMark/>
        </w:tcPr>
        <w:p w14:paraId="65954F94" w14:textId="77777777" w:rsidR="00394350" w:rsidRPr="005A3173" w:rsidRDefault="0039435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2C1ACB3E" w14:textId="77777777" w:rsidR="00394350" w:rsidRPr="005A3173" w:rsidRDefault="0039435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94350" w14:paraId="4C2C8FBC" w14:textId="77777777" w:rsidTr="005A3173">
      <w:trPr>
        <w:trHeight w:val="151"/>
      </w:trPr>
      <w:tc>
        <w:tcPr>
          <w:tcW w:w="2250" w:type="pct"/>
          <w:tcBorders>
            <w:top w:val="nil"/>
            <w:left w:val="nil"/>
            <w:bottom w:val="single" w:sz="4" w:space="0" w:color="4F81BD"/>
            <w:right w:val="nil"/>
          </w:tcBorders>
        </w:tcPr>
        <w:p w14:paraId="144A534E" w14:textId="77777777" w:rsidR="00394350" w:rsidRPr="005A3173" w:rsidRDefault="0039435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026A85A5" w14:textId="77777777" w:rsidR="00394350" w:rsidRPr="005A3173" w:rsidRDefault="0039435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394350" w:rsidRPr="005A3173" w:rsidRDefault="00394350" w:rsidP="005A3173">
          <w:pPr>
            <w:pStyle w:val="Header"/>
            <w:spacing w:line="276" w:lineRule="auto"/>
            <w:rPr>
              <w:rFonts w:ascii="Calibri" w:eastAsia="MS Gothic" w:hAnsi="Calibri"/>
              <w:b/>
              <w:bCs/>
              <w:color w:val="4F81BD"/>
            </w:rPr>
          </w:pPr>
        </w:p>
      </w:tc>
    </w:tr>
    <w:tr w:rsidR="00394350" w14:paraId="1EFFFA27" w14:textId="77777777" w:rsidTr="005A3173">
      <w:trPr>
        <w:trHeight w:val="150"/>
      </w:trPr>
      <w:tc>
        <w:tcPr>
          <w:tcW w:w="2250" w:type="pct"/>
          <w:tcBorders>
            <w:top w:val="single" w:sz="4" w:space="0" w:color="4F81BD"/>
            <w:left w:val="nil"/>
            <w:bottom w:val="nil"/>
            <w:right w:val="nil"/>
          </w:tcBorders>
        </w:tcPr>
        <w:p w14:paraId="6492EAAC" w14:textId="77777777" w:rsidR="00394350" w:rsidRPr="005A3173" w:rsidRDefault="00394350" w:rsidP="005A3173">
          <w:pPr>
            <w:pStyle w:val="Header"/>
            <w:spacing w:line="276" w:lineRule="auto"/>
            <w:rPr>
              <w:rFonts w:ascii="Calibri" w:eastAsia="MS Gothic" w:hAnsi="Calibri"/>
              <w:b/>
              <w:bCs/>
              <w:color w:val="4F81BD"/>
            </w:rPr>
          </w:pPr>
        </w:p>
      </w:tc>
      <w:tc>
        <w:tcPr>
          <w:tcW w:w="0" w:type="auto"/>
          <w:vMerge/>
          <w:vAlign w:val="center"/>
          <w:hideMark/>
        </w:tcPr>
        <w:p w14:paraId="7341BE58" w14:textId="77777777" w:rsidR="00394350" w:rsidRPr="005A3173" w:rsidRDefault="0039435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C302B75" w14:textId="77777777" w:rsidR="00394350" w:rsidRPr="005A3173" w:rsidRDefault="00394350" w:rsidP="005A3173">
          <w:pPr>
            <w:pStyle w:val="Header"/>
            <w:spacing w:line="276" w:lineRule="auto"/>
            <w:rPr>
              <w:rFonts w:ascii="Calibri" w:eastAsia="MS Gothic" w:hAnsi="Calibri"/>
              <w:b/>
              <w:bCs/>
              <w:color w:val="4F81BD"/>
            </w:rPr>
          </w:pPr>
        </w:p>
      </w:tc>
    </w:tr>
  </w:tbl>
  <w:p w14:paraId="5D2C6B0E" w14:textId="77777777" w:rsidR="00394350" w:rsidRPr="007C0F57" w:rsidRDefault="0039435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394350" w:rsidRPr="007C0F57" w:rsidRDefault="00394350" w:rsidP="007C0F57">
    <w:pPr>
      <w:pStyle w:val="Footer"/>
      <w:jc w:val="center"/>
      <w:rPr>
        <w:b/>
        <w:i/>
        <w:sz w:val="20"/>
        <w:szCs w:val="20"/>
      </w:rPr>
    </w:pPr>
    <w:r w:rsidRPr="007C0F57">
      <w:rPr>
        <w:b/>
        <w:i/>
        <w:sz w:val="20"/>
        <w:szCs w:val="20"/>
      </w:rPr>
      <w:t>Commercial-in-Confidence</w:t>
    </w:r>
  </w:p>
  <w:p w14:paraId="7123EEDA" w14:textId="77777777" w:rsidR="00394350" w:rsidRDefault="003943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394350" w:rsidRDefault="00394350">
      <w:r>
        <w:separator/>
      </w:r>
    </w:p>
    <w:p w14:paraId="1F7BFAE1" w14:textId="77777777" w:rsidR="00394350" w:rsidRDefault="00394350"/>
  </w:footnote>
  <w:footnote w:type="continuationSeparator" w:id="0">
    <w:p w14:paraId="254A1251" w14:textId="77777777" w:rsidR="00394350" w:rsidRDefault="00394350">
      <w:r>
        <w:continuationSeparator/>
      </w:r>
    </w:p>
    <w:p w14:paraId="25AD7CC7" w14:textId="77777777" w:rsidR="00394350" w:rsidRDefault="003943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94350"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394350" w:rsidRPr="00A06225" w:rsidRDefault="00394350">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394350" w:rsidRPr="00A06225" w:rsidRDefault="0039435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394350" w:rsidRPr="00A06225" w:rsidRDefault="00394350">
          <w:pPr>
            <w:pStyle w:val="Header"/>
            <w:spacing w:line="276" w:lineRule="auto"/>
            <w:rPr>
              <w:rFonts w:ascii="Cambria" w:eastAsia="MS Gothic" w:hAnsi="Cambria"/>
              <w:b/>
              <w:bCs/>
              <w:color w:val="4F81BD"/>
            </w:rPr>
          </w:pPr>
        </w:p>
      </w:tc>
    </w:tr>
    <w:tr w:rsidR="00394350"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394350" w:rsidRPr="00A06225" w:rsidRDefault="00394350">
          <w:pPr>
            <w:pStyle w:val="Header"/>
            <w:spacing w:line="276" w:lineRule="auto"/>
            <w:rPr>
              <w:rFonts w:ascii="Cambria" w:eastAsia="MS Gothic" w:hAnsi="Cambria"/>
              <w:b/>
              <w:bCs/>
              <w:color w:val="4F81BD"/>
            </w:rPr>
          </w:pPr>
        </w:p>
      </w:tc>
      <w:tc>
        <w:tcPr>
          <w:tcW w:w="0" w:type="auto"/>
          <w:vMerge/>
          <w:vAlign w:val="center"/>
          <w:hideMark/>
        </w:tcPr>
        <w:p w14:paraId="093C6CD8" w14:textId="77777777" w:rsidR="00394350" w:rsidRPr="00A06225" w:rsidRDefault="00394350">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394350" w:rsidRPr="00A06225" w:rsidRDefault="00394350">
          <w:pPr>
            <w:pStyle w:val="Header"/>
            <w:spacing w:line="276" w:lineRule="auto"/>
            <w:rPr>
              <w:rFonts w:ascii="Cambria" w:eastAsia="MS Gothic" w:hAnsi="Cambria"/>
              <w:b/>
              <w:bCs/>
              <w:color w:val="4F81BD"/>
            </w:rPr>
          </w:pPr>
        </w:p>
      </w:tc>
    </w:tr>
  </w:tbl>
  <w:p w14:paraId="359FF7DA" w14:textId="77777777" w:rsidR="00394350" w:rsidRDefault="00394350">
    <w:pPr>
      <w:pStyle w:val="Header"/>
    </w:pPr>
  </w:p>
  <w:p w14:paraId="54F42DAD" w14:textId="77777777" w:rsidR="00394350" w:rsidRDefault="003943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EF92" w14:textId="3156CE78" w:rsidR="00394350" w:rsidRPr="008B4C96" w:rsidRDefault="00555E8C" w:rsidP="008B4C96">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w:t>
    </w:r>
    <w:r w:rsidR="00394350">
      <w:rPr>
        <w:rFonts w:asciiTheme="minorHAnsi" w:hAnsiTheme="minorHAnsi" w:cs="Arial"/>
        <w:i/>
        <w:color w:val="808080"/>
      </w:rPr>
      <w:t xml:space="preserve"> </w:t>
    </w:r>
    <w:r w:rsidR="00394350" w:rsidRPr="008B4C96">
      <w:rPr>
        <w:rFonts w:asciiTheme="minorHAnsi" w:hAnsiTheme="minorHAnsi" w:cs="Arial"/>
        <w:i/>
        <w:color w:val="808080"/>
      </w:rPr>
      <w:t xml:space="preserve">– </w:t>
    </w:r>
    <w:r w:rsidR="00394350">
      <w:rPr>
        <w:rFonts w:asciiTheme="minorHAnsi" w:hAnsiTheme="minorHAnsi" w:cs="Arial"/>
        <w:i/>
        <w:color w:val="808080"/>
      </w:rPr>
      <w:t xml:space="preserve">March </w:t>
    </w:r>
    <w:r w:rsidR="00394350" w:rsidRPr="008B4C96">
      <w:rPr>
        <w:rFonts w:asciiTheme="minorHAnsi" w:hAnsiTheme="minorHAnsi" w:cs="Arial"/>
        <w:i/>
        <w:color w:val="808080"/>
      </w:rPr>
      <w:t>20</w:t>
    </w:r>
    <w:r w:rsidR="00394350">
      <w:rPr>
        <w:rFonts w:asciiTheme="minorHAnsi" w:hAnsiTheme="minorHAnsi" w:cs="Arial"/>
        <w:i/>
        <w:color w:val="808080"/>
      </w:rPr>
      <w:t>20</w:t>
    </w:r>
    <w:r w:rsidR="00394350" w:rsidRPr="008B4C96">
      <w:rPr>
        <w:rFonts w:asciiTheme="minorHAnsi" w:hAnsiTheme="minorHAnsi" w:cs="Arial"/>
        <w:i/>
        <w:color w:val="808080"/>
      </w:rPr>
      <w:t xml:space="preserve"> PBAC Meeting</w:t>
    </w:r>
  </w:p>
  <w:p w14:paraId="6982DC81" w14:textId="77777777" w:rsidR="00394350" w:rsidRDefault="00394350" w:rsidP="008B4C9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7C53" w14:textId="77777777" w:rsidR="00981031" w:rsidRDefault="0098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02540"/>
    <w:multiLevelType w:val="hybridMultilevel"/>
    <w:tmpl w:val="62AE4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15881"/>
    <w:multiLevelType w:val="hybridMultilevel"/>
    <w:tmpl w:val="10E47462"/>
    <w:lvl w:ilvl="0" w:tplc="0C090001">
      <w:start w:val="1"/>
      <w:numFmt w:val="bullet"/>
      <w:lvlText w:val=""/>
      <w:lvlJc w:val="left"/>
      <w:pPr>
        <w:ind w:left="1494" w:hanging="360"/>
      </w:pPr>
      <w:rPr>
        <w:rFonts w:ascii="Symbol" w:hAnsi="Symbol" w:hint="default"/>
        <w:sz w:val="32"/>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340E4"/>
    <w:multiLevelType w:val="hybridMultilevel"/>
    <w:tmpl w:val="D8304F32"/>
    <w:lvl w:ilvl="0" w:tplc="AB160D7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041E35"/>
    <w:multiLevelType w:val="hybridMultilevel"/>
    <w:tmpl w:val="1F881734"/>
    <w:lvl w:ilvl="0" w:tplc="AB160D72">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725E9"/>
    <w:multiLevelType w:val="hybridMultilevel"/>
    <w:tmpl w:val="0AB29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21" w15:restartNumberingAfterBreak="0">
    <w:nsid w:val="40943AB2"/>
    <w:multiLevelType w:val="hybridMultilevel"/>
    <w:tmpl w:val="10F4D2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3F04D3"/>
    <w:multiLevelType w:val="hybridMultilevel"/>
    <w:tmpl w:val="97B0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2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341492"/>
    <w:multiLevelType w:val="hybridMultilevel"/>
    <w:tmpl w:val="8DAA57C2"/>
    <w:lvl w:ilvl="0" w:tplc="2F4E25DE">
      <w:numFmt w:val="bullet"/>
      <w:lvlText w:val="-"/>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84D033C"/>
    <w:multiLevelType w:val="multilevel"/>
    <w:tmpl w:val="37A65C9E"/>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25"/>
  </w:num>
  <w:num w:numId="5">
    <w:abstractNumId w:val="34"/>
  </w:num>
  <w:num w:numId="6">
    <w:abstractNumId w:val="8"/>
  </w:num>
  <w:num w:numId="7">
    <w:abstractNumId w:val="17"/>
  </w:num>
  <w:num w:numId="8">
    <w:abstractNumId w:val="3"/>
  </w:num>
  <w:num w:numId="9">
    <w:abstractNumId w:val="15"/>
  </w:num>
  <w:num w:numId="10">
    <w:abstractNumId w:val="12"/>
  </w:num>
  <w:num w:numId="11">
    <w:abstractNumId w:val="11"/>
  </w:num>
  <w:num w:numId="12">
    <w:abstractNumId w:val="1"/>
  </w:num>
  <w:num w:numId="13">
    <w:abstractNumId w:val="0"/>
  </w:num>
  <w:num w:numId="14">
    <w:abstractNumId w:val="34"/>
  </w:num>
  <w:num w:numId="15">
    <w:abstractNumId w:val="34"/>
  </w:num>
  <w:num w:numId="16">
    <w:abstractNumId w:val="34"/>
  </w:num>
  <w:num w:numId="17">
    <w:abstractNumId w:val="28"/>
  </w:num>
  <w:num w:numId="18">
    <w:abstractNumId w:val="34"/>
  </w:num>
  <w:num w:numId="19">
    <w:abstractNumId w:val="23"/>
  </w:num>
  <w:num w:numId="20">
    <w:abstractNumId w:val="14"/>
  </w:num>
  <w:num w:numId="21">
    <w:abstractNumId w:val="34"/>
  </w:num>
  <w:num w:numId="22">
    <w:abstractNumId w:val="37"/>
  </w:num>
  <w:num w:numId="23">
    <w:abstractNumId w:val="35"/>
  </w:num>
  <w:num w:numId="24">
    <w:abstractNumId w:val="27"/>
  </w:num>
  <w:num w:numId="25">
    <w:abstractNumId w:val="22"/>
  </w:num>
  <w:num w:numId="26">
    <w:abstractNumId w:val="21"/>
  </w:num>
  <w:num w:numId="27">
    <w:abstractNumId w:val="36"/>
  </w:num>
  <w:num w:numId="28">
    <w:abstractNumId w:val="31"/>
  </w:num>
  <w:num w:numId="29">
    <w:abstractNumId w:val="33"/>
  </w:num>
  <w:num w:numId="30">
    <w:abstractNumId w:val="19"/>
  </w:num>
  <w:num w:numId="31">
    <w:abstractNumId w:val="26"/>
  </w:num>
  <w:num w:numId="32">
    <w:abstractNumId w:val="6"/>
  </w:num>
  <w:num w:numId="33">
    <w:abstractNumId w:val="13"/>
  </w:num>
  <w:num w:numId="34">
    <w:abstractNumId w:val="29"/>
  </w:num>
  <w:num w:numId="35">
    <w:abstractNumId w:val="32"/>
  </w:num>
  <w:num w:numId="36">
    <w:abstractNumId w:val="16"/>
  </w:num>
  <w:num w:numId="37">
    <w:abstractNumId w:val="20"/>
    <w:lvlOverride w:ilvl="0">
      <w:startOverride w:val="1"/>
    </w:lvlOverride>
  </w:num>
  <w:num w:numId="38">
    <w:abstractNumId w:val="20"/>
  </w:num>
  <w:num w:numId="39">
    <w:abstractNumId w:val="20"/>
    <w:lvlOverride w:ilvl="0">
      <w:startOverride w:val="1"/>
    </w:lvlOverride>
  </w:num>
  <w:num w:numId="40">
    <w:abstractNumId w:val="24"/>
  </w:num>
  <w:num w:numId="41">
    <w:abstractNumId w:val="20"/>
    <w:lvlOverride w:ilvl="0">
      <w:startOverride w:val="4"/>
    </w:lvlOverride>
  </w:num>
  <w:num w:numId="42">
    <w:abstractNumId w:val="10"/>
  </w:num>
  <w:num w:numId="43">
    <w:abstractNumId w:val="4"/>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8"/>
  </w:num>
  <w:num w:numId="47">
    <w:abstractNumId w:val="34"/>
  </w:num>
  <w:num w:numId="48">
    <w:abstractNumId w:val="30"/>
  </w:num>
  <w:num w:numId="49">
    <w:abstractNumId w:val="34"/>
  </w:num>
  <w:num w:numId="50">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7428"/>
    <w:rsid w:val="00011A59"/>
    <w:rsid w:val="0001203A"/>
    <w:rsid w:val="00016A41"/>
    <w:rsid w:val="000214D1"/>
    <w:rsid w:val="0002464A"/>
    <w:rsid w:val="0003106B"/>
    <w:rsid w:val="00034905"/>
    <w:rsid w:val="00034CBA"/>
    <w:rsid w:val="000421A1"/>
    <w:rsid w:val="0004240E"/>
    <w:rsid w:val="00043BEB"/>
    <w:rsid w:val="00045E26"/>
    <w:rsid w:val="00045F77"/>
    <w:rsid w:val="000514B5"/>
    <w:rsid w:val="00060E64"/>
    <w:rsid w:val="00066755"/>
    <w:rsid w:val="000763D5"/>
    <w:rsid w:val="00077143"/>
    <w:rsid w:val="00077875"/>
    <w:rsid w:val="00082169"/>
    <w:rsid w:val="000918CB"/>
    <w:rsid w:val="00091B06"/>
    <w:rsid w:val="000951C4"/>
    <w:rsid w:val="00095ADA"/>
    <w:rsid w:val="000969AD"/>
    <w:rsid w:val="000A04B0"/>
    <w:rsid w:val="000A3AA2"/>
    <w:rsid w:val="000A44B2"/>
    <w:rsid w:val="000A6607"/>
    <w:rsid w:val="000B44C3"/>
    <w:rsid w:val="000B558D"/>
    <w:rsid w:val="000C5F95"/>
    <w:rsid w:val="000C6996"/>
    <w:rsid w:val="000D09E9"/>
    <w:rsid w:val="000D23BA"/>
    <w:rsid w:val="000D7150"/>
    <w:rsid w:val="000E5877"/>
    <w:rsid w:val="000E681E"/>
    <w:rsid w:val="000F0003"/>
    <w:rsid w:val="000F3384"/>
    <w:rsid w:val="000F471E"/>
    <w:rsid w:val="000F4D5F"/>
    <w:rsid w:val="000F4E6A"/>
    <w:rsid w:val="000F7354"/>
    <w:rsid w:val="00102202"/>
    <w:rsid w:val="00104227"/>
    <w:rsid w:val="001107BF"/>
    <w:rsid w:val="001114AB"/>
    <w:rsid w:val="001131F8"/>
    <w:rsid w:val="00113649"/>
    <w:rsid w:val="0012417C"/>
    <w:rsid w:val="0012749D"/>
    <w:rsid w:val="00140939"/>
    <w:rsid w:val="00142395"/>
    <w:rsid w:val="00142714"/>
    <w:rsid w:val="00143407"/>
    <w:rsid w:val="001452ED"/>
    <w:rsid w:val="00147D84"/>
    <w:rsid w:val="001544B9"/>
    <w:rsid w:val="001549C1"/>
    <w:rsid w:val="00162D4E"/>
    <w:rsid w:val="00163329"/>
    <w:rsid w:val="0016439B"/>
    <w:rsid w:val="00164623"/>
    <w:rsid w:val="00164AC3"/>
    <w:rsid w:val="001652DE"/>
    <w:rsid w:val="00165385"/>
    <w:rsid w:val="00165B64"/>
    <w:rsid w:val="0016617B"/>
    <w:rsid w:val="00172B31"/>
    <w:rsid w:val="001742CA"/>
    <w:rsid w:val="00180713"/>
    <w:rsid w:val="001830CE"/>
    <w:rsid w:val="0018643B"/>
    <w:rsid w:val="00186A86"/>
    <w:rsid w:val="00196307"/>
    <w:rsid w:val="001A0C21"/>
    <w:rsid w:val="001A33EA"/>
    <w:rsid w:val="001A4C4F"/>
    <w:rsid w:val="001A76FB"/>
    <w:rsid w:val="001B017F"/>
    <w:rsid w:val="001B2AF4"/>
    <w:rsid w:val="001B2BBC"/>
    <w:rsid w:val="001B3FFE"/>
    <w:rsid w:val="001B5129"/>
    <w:rsid w:val="001C0B4C"/>
    <w:rsid w:val="001C1195"/>
    <w:rsid w:val="001C1E06"/>
    <w:rsid w:val="001C4B1B"/>
    <w:rsid w:val="001D1F5F"/>
    <w:rsid w:val="001E06D2"/>
    <w:rsid w:val="001F017F"/>
    <w:rsid w:val="001F1850"/>
    <w:rsid w:val="001F3189"/>
    <w:rsid w:val="001F7904"/>
    <w:rsid w:val="0020049A"/>
    <w:rsid w:val="00203FAC"/>
    <w:rsid w:val="00204C1E"/>
    <w:rsid w:val="00204F1A"/>
    <w:rsid w:val="00212AEB"/>
    <w:rsid w:val="00213CFB"/>
    <w:rsid w:val="00214A05"/>
    <w:rsid w:val="0021553C"/>
    <w:rsid w:val="0021557B"/>
    <w:rsid w:val="002174FD"/>
    <w:rsid w:val="00217BE1"/>
    <w:rsid w:val="00234252"/>
    <w:rsid w:val="00234E52"/>
    <w:rsid w:val="00235EBC"/>
    <w:rsid w:val="00237AC6"/>
    <w:rsid w:val="00241F40"/>
    <w:rsid w:val="00244490"/>
    <w:rsid w:val="00251B6F"/>
    <w:rsid w:val="00253499"/>
    <w:rsid w:val="002551A4"/>
    <w:rsid w:val="00257664"/>
    <w:rsid w:val="0026029E"/>
    <w:rsid w:val="00265151"/>
    <w:rsid w:val="00266509"/>
    <w:rsid w:val="00271BA1"/>
    <w:rsid w:val="002762FA"/>
    <w:rsid w:val="00277505"/>
    <w:rsid w:val="002823B6"/>
    <w:rsid w:val="00283D46"/>
    <w:rsid w:val="00284C8D"/>
    <w:rsid w:val="00294274"/>
    <w:rsid w:val="0029458F"/>
    <w:rsid w:val="002A0E04"/>
    <w:rsid w:val="002A104C"/>
    <w:rsid w:val="002A20F4"/>
    <w:rsid w:val="002A494D"/>
    <w:rsid w:val="002A4960"/>
    <w:rsid w:val="002A676D"/>
    <w:rsid w:val="002B0AE0"/>
    <w:rsid w:val="002B1AE6"/>
    <w:rsid w:val="002B1D51"/>
    <w:rsid w:val="002B2DE8"/>
    <w:rsid w:val="002B2F5C"/>
    <w:rsid w:val="002B30F8"/>
    <w:rsid w:val="002B3433"/>
    <w:rsid w:val="002B388A"/>
    <w:rsid w:val="002B5596"/>
    <w:rsid w:val="002C212F"/>
    <w:rsid w:val="002C7485"/>
    <w:rsid w:val="002D12DE"/>
    <w:rsid w:val="002D283A"/>
    <w:rsid w:val="002D4543"/>
    <w:rsid w:val="002D7051"/>
    <w:rsid w:val="002E0D30"/>
    <w:rsid w:val="002E3153"/>
    <w:rsid w:val="002E4F55"/>
    <w:rsid w:val="002E5292"/>
    <w:rsid w:val="002E72CA"/>
    <w:rsid w:val="002F600D"/>
    <w:rsid w:val="00300AD6"/>
    <w:rsid w:val="00300B1B"/>
    <w:rsid w:val="003019D0"/>
    <w:rsid w:val="00301AE7"/>
    <w:rsid w:val="003064AF"/>
    <w:rsid w:val="0031612E"/>
    <w:rsid w:val="00317C6C"/>
    <w:rsid w:val="00320CD3"/>
    <w:rsid w:val="00326E79"/>
    <w:rsid w:val="003301B1"/>
    <w:rsid w:val="00331189"/>
    <w:rsid w:val="0033263D"/>
    <w:rsid w:val="0033518A"/>
    <w:rsid w:val="00335A75"/>
    <w:rsid w:val="003367EF"/>
    <w:rsid w:val="00341AE4"/>
    <w:rsid w:val="003476EE"/>
    <w:rsid w:val="003618D0"/>
    <w:rsid w:val="0036347C"/>
    <w:rsid w:val="003647BD"/>
    <w:rsid w:val="003736C9"/>
    <w:rsid w:val="00384988"/>
    <w:rsid w:val="003872CF"/>
    <w:rsid w:val="00394350"/>
    <w:rsid w:val="0039782C"/>
    <w:rsid w:val="003A1DEA"/>
    <w:rsid w:val="003A5B4A"/>
    <w:rsid w:val="003B23C5"/>
    <w:rsid w:val="003B2A75"/>
    <w:rsid w:val="003B3872"/>
    <w:rsid w:val="003B4D9E"/>
    <w:rsid w:val="003B6124"/>
    <w:rsid w:val="003B6216"/>
    <w:rsid w:val="003B6DE6"/>
    <w:rsid w:val="003C093A"/>
    <w:rsid w:val="003C1ECF"/>
    <w:rsid w:val="003C2FB5"/>
    <w:rsid w:val="003C7B6A"/>
    <w:rsid w:val="003D24C5"/>
    <w:rsid w:val="003D4AC4"/>
    <w:rsid w:val="003D63B7"/>
    <w:rsid w:val="003E0A63"/>
    <w:rsid w:val="003E468B"/>
    <w:rsid w:val="003E5800"/>
    <w:rsid w:val="003E62BD"/>
    <w:rsid w:val="003F0C3A"/>
    <w:rsid w:val="003F3228"/>
    <w:rsid w:val="003F5C8C"/>
    <w:rsid w:val="003F775A"/>
    <w:rsid w:val="00400E55"/>
    <w:rsid w:val="0040128E"/>
    <w:rsid w:val="0040216B"/>
    <w:rsid w:val="004252EC"/>
    <w:rsid w:val="00430D39"/>
    <w:rsid w:val="004465BD"/>
    <w:rsid w:val="00447DC4"/>
    <w:rsid w:val="00461A44"/>
    <w:rsid w:val="00464250"/>
    <w:rsid w:val="0046597D"/>
    <w:rsid w:val="00466ADA"/>
    <w:rsid w:val="004702BB"/>
    <w:rsid w:val="0047494B"/>
    <w:rsid w:val="00476245"/>
    <w:rsid w:val="00477A9B"/>
    <w:rsid w:val="00483035"/>
    <w:rsid w:val="00483752"/>
    <w:rsid w:val="00485940"/>
    <w:rsid w:val="004904B9"/>
    <w:rsid w:val="00490CED"/>
    <w:rsid w:val="00493C09"/>
    <w:rsid w:val="00494E25"/>
    <w:rsid w:val="00497BB2"/>
    <w:rsid w:val="004A2484"/>
    <w:rsid w:val="004A5A85"/>
    <w:rsid w:val="004A71D1"/>
    <w:rsid w:val="004A7C5B"/>
    <w:rsid w:val="004B2E98"/>
    <w:rsid w:val="004B5640"/>
    <w:rsid w:val="004C1BD7"/>
    <w:rsid w:val="004C31FE"/>
    <w:rsid w:val="004C524C"/>
    <w:rsid w:val="004C691D"/>
    <w:rsid w:val="004C6C07"/>
    <w:rsid w:val="004D4FF6"/>
    <w:rsid w:val="004E692D"/>
    <w:rsid w:val="004E75DA"/>
    <w:rsid w:val="004E7CA6"/>
    <w:rsid w:val="004E7D87"/>
    <w:rsid w:val="004F2553"/>
    <w:rsid w:val="00501554"/>
    <w:rsid w:val="00502AFE"/>
    <w:rsid w:val="00503AD7"/>
    <w:rsid w:val="00504352"/>
    <w:rsid w:val="00504E0C"/>
    <w:rsid w:val="00507A32"/>
    <w:rsid w:val="005109D4"/>
    <w:rsid w:val="00514CD7"/>
    <w:rsid w:val="00520D6A"/>
    <w:rsid w:val="00522DB6"/>
    <w:rsid w:val="0052529E"/>
    <w:rsid w:val="0052792D"/>
    <w:rsid w:val="00530728"/>
    <w:rsid w:val="005319B2"/>
    <w:rsid w:val="00532402"/>
    <w:rsid w:val="00532C74"/>
    <w:rsid w:val="00534C05"/>
    <w:rsid w:val="00534E2E"/>
    <w:rsid w:val="00543103"/>
    <w:rsid w:val="00544552"/>
    <w:rsid w:val="00545864"/>
    <w:rsid w:val="0055286A"/>
    <w:rsid w:val="00555745"/>
    <w:rsid w:val="00555E8C"/>
    <w:rsid w:val="00557D4F"/>
    <w:rsid w:val="0056368B"/>
    <w:rsid w:val="0056484E"/>
    <w:rsid w:val="00575048"/>
    <w:rsid w:val="005764CD"/>
    <w:rsid w:val="00577C4D"/>
    <w:rsid w:val="00580532"/>
    <w:rsid w:val="00581932"/>
    <w:rsid w:val="00593FBE"/>
    <w:rsid w:val="005963BB"/>
    <w:rsid w:val="005A3173"/>
    <w:rsid w:val="005A3223"/>
    <w:rsid w:val="005A3DA3"/>
    <w:rsid w:val="005A52C4"/>
    <w:rsid w:val="005C7889"/>
    <w:rsid w:val="005D03AB"/>
    <w:rsid w:val="005D2778"/>
    <w:rsid w:val="005D5017"/>
    <w:rsid w:val="005D63FA"/>
    <w:rsid w:val="005E1333"/>
    <w:rsid w:val="005E3136"/>
    <w:rsid w:val="005E507D"/>
    <w:rsid w:val="005F74CA"/>
    <w:rsid w:val="00601A91"/>
    <w:rsid w:val="00602BA3"/>
    <w:rsid w:val="00605B63"/>
    <w:rsid w:val="00606EED"/>
    <w:rsid w:val="00612E34"/>
    <w:rsid w:val="00614159"/>
    <w:rsid w:val="00616C5F"/>
    <w:rsid w:val="00616DAC"/>
    <w:rsid w:val="00617C00"/>
    <w:rsid w:val="006240FF"/>
    <w:rsid w:val="006263BF"/>
    <w:rsid w:val="0062748A"/>
    <w:rsid w:val="00630A2C"/>
    <w:rsid w:val="0063682E"/>
    <w:rsid w:val="00642484"/>
    <w:rsid w:val="00642DA8"/>
    <w:rsid w:val="006436CD"/>
    <w:rsid w:val="00651169"/>
    <w:rsid w:val="00653D69"/>
    <w:rsid w:val="006552E6"/>
    <w:rsid w:val="00657C63"/>
    <w:rsid w:val="006670BE"/>
    <w:rsid w:val="00670A76"/>
    <w:rsid w:val="006711AA"/>
    <w:rsid w:val="00672B57"/>
    <w:rsid w:val="006733EC"/>
    <w:rsid w:val="00675622"/>
    <w:rsid w:val="0067747D"/>
    <w:rsid w:val="00681CA4"/>
    <w:rsid w:val="0068722F"/>
    <w:rsid w:val="0069039D"/>
    <w:rsid w:val="006906DB"/>
    <w:rsid w:val="00691E6C"/>
    <w:rsid w:val="00693DFB"/>
    <w:rsid w:val="0069501D"/>
    <w:rsid w:val="00695990"/>
    <w:rsid w:val="00696129"/>
    <w:rsid w:val="006977CE"/>
    <w:rsid w:val="00697CF2"/>
    <w:rsid w:val="006A12A5"/>
    <w:rsid w:val="006A28FB"/>
    <w:rsid w:val="006A5E20"/>
    <w:rsid w:val="006A67D2"/>
    <w:rsid w:val="006B0D94"/>
    <w:rsid w:val="006B485D"/>
    <w:rsid w:val="006C334C"/>
    <w:rsid w:val="006C708E"/>
    <w:rsid w:val="006D14E7"/>
    <w:rsid w:val="006D4444"/>
    <w:rsid w:val="006D6493"/>
    <w:rsid w:val="006D6EC7"/>
    <w:rsid w:val="006D708C"/>
    <w:rsid w:val="006E1BCD"/>
    <w:rsid w:val="006F5125"/>
    <w:rsid w:val="006F733D"/>
    <w:rsid w:val="00702B6F"/>
    <w:rsid w:val="00706A2F"/>
    <w:rsid w:val="0070718E"/>
    <w:rsid w:val="0071256E"/>
    <w:rsid w:val="0071340B"/>
    <w:rsid w:val="00715CBE"/>
    <w:rsid w:val="007174BB"/>
    <w:rsid w:val="0072025D"/>
    <w:rsid w:val="00721DFE"/>
    <w:rsid w:val="0073137C"/>
    <w:rsid w:val="007338E2"/>
    <w:rsid w:val="007353D3"/>
    <w:rsid w:val="0074146A"/>
    <w:rsid w:val="0074156B"/>
    <w:rsid w:val="0075291A"/>
    <w:rsid w:val="007555E8"/>
    <w:rsid w:val="00760C6D"/>
    <w:rsid w:val="0076420C"/>
    <w:rsid w:val="00771D07"/>
    <w:rsid w:val="00774E2C"/>
    <w:rsid w:val="007753C2"/>
    <w:rsid w:val="007838B8"/>
    <w:rsid w:val="007915BA"/>
    <w:rsid w:val="007975C4"/>
    <w:rsid w:val="007B36C9"/>
    <w:rsid w:val="007B3DDC"/>
    <w:rsid w:val="007B552E"/>
    <w:rsid w:val="007B6D2D"/>
    <w:rsid w:val="007B72A6"/>
    <w:rsid w:val="007C0F57"/>
    <w:rsid w:val="007C2997"/>
    <w:rsid w:val="007C40B6"/>
    <w:rsid w:val="007C729F"/>
    <w:rsid w:val="007D06E8"/>
    <w:rsid w:val="007E1D28"/>
    <w:rsid w:val="007E4203"/>
    <w:rsid w:val="007F0021"/>
    <w:rsid w:val="007F2641"/>
    <w:rsid w:val="007F7703"/>
    <w:rsid w:val="007F7C36"/>
    <w:rsid w:val="0080107E"/>
    <w:rsid w:val="00806796"/>
    <w:rsid w:val="00811CC0"/>
    <w:rsid w:val="008151D6"/>
    <w:rsid w:val="00820708"/>
    <w:rsid w:val="00821527"/>
    <w:rsid w:val="008268BB"/>
    <w:rsid w:val="00826F6D"/>
    <w:rsid w:val="008306F3"/>
    <w:rsid w:val="00830E40"/>
    <w:rsid w:val="00843CB8"/>
    <w:rsid w:val="00845EE9"/>
    <w:rsid w:val="00852CE3"/>
    <w:rsid w:val="00855FD6"/>
    <w:rsid w:val="00856DDD"/>
    <w:rsid w:val="008605C4"/>
    <w:rsid w:val="00863E68"/>
    <w:rsid w:val="008647B5"/>
    <w:rsid w:val="00875DCB"/>
    <w:rsid w:val="00882085"/>
    <w:rsid w:val="00883188"/>
    <w:rsid w:val="00897D58"/>
    <w:rsid w:val="00897F22"/>
    <w:rsid w:val="008A0B39"/>
    <w:rsid w:val="008A1956"/>
    <w:rsid w:val="008A4937"/>
    <w:rsid w:val="008A50F1"/>
    <w:rsid w:val="008A59D9"/>
    <w:rsid w:val="008A6819"/>
    <w:rsid w:val="008B2EC0"/>
    <w:rsid w:val="008B4C96"/>
    <w:rsid w:val="008D1B5C"/>
    <w:rsid w:val="008D3C82"/>
    <w:rsid w:val="008D447E"/>
    <w:rsid w:val="008D7A41"/>
    <w:rsid w:val="008E2C72"/>
    <w:rsid w:val="008E3680"/>
    <w:rsid w:val="008E5870"/>
    <w:rsid w:val="008F0516"/>
    <w:rsid w:val="008F1434"/>
    <w:rsid w:val="008F264F"/>
    <w:rsid w:val="008F54C3"/>
    <w:rsid w:val="008F676A"/>
    <w:rsid w:val="008F7355"/>
    <w:rsid w:val="009023DC"/>
    <w:rsid w:val="009067B7"/>
    <w:rsid w:val="009100E6"/>
    <w:rsid w:val="009205C0"/>
    <w:rsid w:val="0092139F"/>
    <w:rsid w:val="00921D96"/>
    <w:rsid w:val="0092582B"/>
    <w:rsid w:val="00926560"/>
    <w:rsid w:val="009307DC"/>
    <w:rsid w:val="00930937"/>
    <w:rsid w:val="009324A6"/>
    <w:rsid w:val="00933E6C"/>
    <w:rsid w:val="00937958"/>
    <w:rsid w:val="00941602"/>
    <w:rsid w:val="00942160"/>
    <w:rsid w:val="00942514"/>
    <w:rsid w:val="0095146F"/>
    <w:rsid w:val="00957944"/>
    <w:rsid w:val="009602C5"/>
    <w:rsid w:val="00962223"/>
    <w:rsid w:val="00962590"/>
    <w:rsid w:val="009661F7"/>
    <w:rsid w:val="00966D0D"/>
    <w:rsid w:val="0096783C"/>
    <w:rsid w:val="009722B3"/>
    <w:rsid w:val="00974C21"/>
    <w:rsid w:val="00977BF3"/>
    <w:rsid w:val="009803E4"/>
    <w:rsid w:val="00980B0E"/>
    <w:rsid w:val="00981031"/>
    <w:rsid w:val="009836A3"/>
    <w:rsid w:val="009855A8"/>
    <w:rsid w:val="009913F4"/>
    <w:rsid w:val="0099196F"/>
    <w:rsid w:val="0099465B"/>
    <w:rsid w:val="00995876"/>
    <w:rsid w:val="00996F0C"/>
    <w:rsid w:val="009A0CDD"/>
    <w:rsid w:val="009A3168"/>
    <w:rsid w:val="009A61CA"/>
    <w:rsid w:val="009A7E71"/>
    <w:rsid w:val="009B0C64"/>
    <w:rsid w:val="009B0F67"/>
    <w:rsid w:val="009C703C"/>
    <w:rsid w:val="009D206E"/>
    <w:rsid w:val="009D3CAA"/>
    <w:rsid w:val="009D61E1"/>
    <w:rsid w:val="009D6532"/>
    <w:rsid w:val="009E40E1"/>
    <w:rsid w:val="009F0EFA"/>
    <w:rsid w:val="009F21B0"/>
    <w:rsid w:val="009F4E46"/>
    <w:rsid w:val="009F5B65"/>
    <w:rsid w:val="009F5F2E"/>
    <w:rsid w:val="00A06225"/>
    <w:rsid w:val="00A07C16"/>
    <w:rsid w:val="00A128E6"/>
    <w:rsid w:val="00A144D3"/>
    <w:rsid w:val="00A14A7E"/>
    <w:rsid w:val="00A22AC3"/>
    <w:rsid w:val="00A2744D"/>
    <w:rsid w:val="00A34E6C"/>
    <w:rsid w:val="00A36398"/>
    <w:rsid w:val="00A36E5D"/>
    <w:rsid w:val="00A3719C"/>
    <w:rsid w:val="00A37C8D"/>
    <w:rsid w:val="00A4020E"/>
    <w:rsid w:val="00A40FB5"/>
    <w:rsid w:val="00A42826"/>
    <w:rsid w:val="00A5273B"/>
    <w:rsid w:val="00A53A9D"/>
    <w:rsid w:val="00A55FEE"/>
    <w:rsid w:val="00A577F7"/>
    <w:rsid w:val="00A60F0F"/>
    <w:rsid w:val="00A62C1A"/>
    <w:rsid w:val="00A6426D"/>
    <w:rsid w:val="00A665C1"/>
    <w:rsid w:val="00A70622"/>
    <w:rsid w:val="00A70977"/>
    <w:rsid w:val="00A70D58"/>
    <w:rsid w:val="00A744F9"/>
    <w:rsid w:val="00A7733F"/>
    <w:rsid w:val="00A77613"/>
    <w:rsid w:val="00A77CDA"/>
    <w:rsid w:val="00A8390C"/>
    <w:rsid w:val="00A86AE0"/>
    <w:rsid w:val="00A919D6"/>
    <w:rsid w:val="00A928BD"/>
    <w:rsid w:val="00A97DE9"/>
    <w:rsid w:val="00AA12CD"/>
    <w:rsid w:val="00AA4D1C"/>
    <w:rsid w:val="00AB5856"/>
    <w:rsid w:val="00AC193C"/>
    <w:rsid w:val="00AC4DE5"/>
    <w:rsid w:val="00AC5206"/>
    <w:rsid w:val="00AC6093"/>
    <w:rsid w:val="00AD4322"/>
    <w:rsid w:val="00AE0252"/>
    <w:rsid w:val="00AE11A5"/>
    <w:rsid w:val="00AE13E2"/>
    <w:rsid w:val="00AE22D3"/>
    <w:rsid w:val="00AE5A49"/>
    <w:rsid w:val="00AE63EB"/>
    <w:rsid w:val="00AF603F"/>
    <w:rsid w:val="00AF62DF"/>
    <w:rsid w:val="00AF68CC"/>
    <w:rsid w:val="00AF70D7"/>
    <w:rsid w:val="00B07CFB"/>
    <w:rsid w:val="00B1059E"/>
    <w:rsid w:val="00B129F9"/>
    <w:rsid w:val="00B170A5"/>
    <w:rsid w:val="00B176C8"/>
    <w:rsid w:val="00B205AA"/>
    <w:rsid w:val="00B22E84"/>
    <w:rsid w:val="00B233AD"/>
    <w:rsid w:val="00B23E25"/>
    <w:rsid w:val="00B25677"/>
    <w:rsid w:val="00B25F75"/>
    <w:rsid w:val="00B26B3F"/>
    <w:rsid w:val="00B27295"/>
    <w:rsid w:val="00B2778F"/>
    <w:rsid w:val="00B33635"/>
    <w:rsid w:val="00B43E90"/>
    <w:rsid w:val="00B4413D"/>
    <w:rsid w:val="00B467DC"/>
    <w:rsid w:val="00B56118"/>
    <w:rsid w:val="00B63653"/>
    <w:rsid w:val="00B6773F"/>
    <w:rsid w:val="00B760FB"/>
    <w:rsid w:val="00B767AB"/>
    <w:rsid w:val="00B801BA"/>
    <w:rsid w:val="00B84D5C"/>
    <w:rsid w:val="00B86B2D"/>
    <w:rsid w:val="00B9782D"/>
    <w:rsid w:val="00BA2DA8"/>
    <w:rsid w:val="00BA347C"/>
    <w:rsid w:val="00BB191C"/>
    <w:rsid w:val="00BB4F04"/>
    <w:rsid w:val="00BB69F5"/>
    <w:rsid w:val="00BB7465"/>
    <w:rsid w:val="00BB7EC3"/>
    <w:rsid w:val="00BC4B9A"/>
    <w:rsid w:val="00BD02C3"/>
    <w:rsid w:val="00BD59FD"/>
    <w:rsid w:val="00BD784C"/>
    <w:rsid w:val="00BE020A"/>
    <w:rsid w:val="00BF0129"/>
    <w:rsid w:val="00BF092C"/>
    <w:rsid w:val="00BF27A0"/>
    <w:rsid w:val="00BF4A31"/>
    <w:rsid w:val="00BF4CB6"/>
    <w:rsid w:val="00C00DA7"/>
    <w:rsid w:val="00C0726A"/>
    <w:rsid w:val="00C126A7"/>
    <w:rsid w:val="00C12768"/>
    <w:rsid w:val="00C12D70"/>
    <w:rsid w:val="00C21B09"/>
    <w:rsid w:val="00C2673A"/>
    <w:rsid w:val="00C27B58"/>
    <w:rsid w:val="00C31883"/>
    <w:rsid w:val="00C35996"/>
    <w:rsid w:val="00C4747E"/>
    <w:rsid w:val="00C5342C"/>
    <w:rsid w:val="00C53B2B"/>
    <w:rsid w:val="00C60272"/>
    <w:rsid w:val="00C603D4"/>
    <w:rsid w:val="00C6256A"/>
    <w:rsid w:val="00C63AC2"/>
    <w:rsid w:val="00C710E2"/>
    <w:rsid w:val="00C71C3F"/>
    <w:rsid w:val="00C7409E"/>
    <w:rsid w:val="00C758FF"/>
    <w:rsid w:val="00C76E76"/>
    <w:rsid w:val="00C77891"/>
    <w:rsid w:val="00C90137"/>
    <w:rsid w:val="00C91449"/>
    <w:rsid w:val="00C92D10"/>
    <w:rsid w:val="00CA48D9"/>
    <w:rsid w:val="00CB1193"/>
    <w:rsid w:val="00CB4767"/>
    <w:rsid w:val="00CB493D"/>
    <w:rsid w:val="00CB4E22"/>
    <w:rsid w:val="00CC3B97"/>
    <w:rsid w:val="00CC5297"/>
    <w:rsid w:val="00CC7BB6"/>
    <w:rsid w:val="00CD6B64"/>
    <w:rsid w:val="00CE10C4"/>
    <w:rsid w:val="00CE27B5"/>
    <w:rsid w:val="00CE6DAF"/>
    <w:rsid w:val="00CF410A"/>
    <w:rsid w:val="00D00EFD"/>
    <w:rsid w:val="00D02EF8"/>
    <w:rsid w:val="00D0321E"/>
    <w:rsid w:val="00D079EB"/>
    <w:rsid w:val="00D07A8A"/>
    <w:rsid w:val="00D12EF5"/>
    <w:rsid w:val="00D1455A"/>
    <w:rsid w:val="00D145D2"/>
    <w:rsid w:val="00D146B0"/>
    <w:rsid w:val="00D22093"/>
    <w:rsid w:val="00D3009C"/>
    <w:rsid w:val="00D31150"/>
    <w:rsid w:val="00D3138B"/>
    <w:rsid w:val="00D3280C"/>
    <w:rsid w:val="00D3406A"/>
    <w:rsid w:val="00D441F1"/>
    <w:rsid w:val="00D4572C"/>
    <w:rsid w:val="00D469B2"/>
    <w:rsid w:val="00D64198"/>
    <w:rsid w:val="00D65658"/>
    <w:rsid w:val="00D72B6F"/>
    <w:rsid w:val="00D741EB"/>
    <w:rsid w:val="00D75EA6"/>
    <w:rsid w:val="00D7679C"/>
    <w:rsid w:val="00D820F3"/>
    <w:rsid w:val="00D83605"/>
    <w:rsid w:val="00D84934"/>
    <w:rsid w:val="00D91271"/>
    <w:rsid w:val="00D9168B"/>
    <w:rsid w:val="00D917C2"/>
    <w:rsid w:val="00D919F5"/>
    <w:rsid w:val="00D94F03"/>
    <w:rsid w:val="00DA0D14"/>
    <w:rsid w:val="00DA1FC9"/>
    <w:rsid w:val="00DA2CB5"/>
    <w:rsid w:val="00DA4BAC"/>
    <w:rsid w:val="00DB0151"/>
    <w:rsid w:val="00DB53A9"/>
    <w:rsid w:val="00DC2C3E"/>
    <w:rsid w:val="00DC4880"/>
    <w:rsid w:val="00DC5573"/>
    <w:rsid w:val="00DD53FD"/>
    <w:rsid w:val="00DE6D27"/>
    <w:rsid w:val="00DF217D"/>
    <w:rsid w:val="00DF26A7"/>
    <w:rsid w:val="00DF3277"/>
    <w:rsid w:val="00DF7919"/>
    <w:rsid w:val="00E0207E"/>
    <w:rsid w:val="00E03912"/>
    <w:rsid w:val="00E055CE"/>
    <w:rsid w:val="00E15627"/>
    <w:rsid w:val="00E164B3"/>
    <w:rsid w:val="00E16910"/>
    <w:rsid w:val="00E17A08"/>
    <w:rsid w:val="00E24E09"/>
    <w:rsid w:val="00E27234"/>
    <w:rsid w:val="00E426E5"/>
    <w:rsid w:val="00E42BDB"/>
    <w:rsid w:val="00E57EEB"/>
    <w:rsid w:val="00E629DD"/>
    <w:rsid w:val="00E62D94"/>
    <w:rsid w:val="00E64F37"/>
    <w:rsid w:val="00E65E54"/>
    <w:rsid w:val="00E661C7"/>
    <w:rsid w:val="00E67A6D"/>
    <w:rsid w:val="00E748B9"/>
    <w:rsid w:val="00E80155"/>
    <w:rsid w:val="00E81E0D"/>
    <w:rsid w:val="00E81F28"/>
    <w:rsid w:val="00E848C0"/>
    <w:rsid w:val="00E867BB"/>
    <w:rsid w:val="00E91B96"/>
    <w:rsid w:val="00E93D1E"/>
    <w:rsid w:val="00E941A1"/>
    <w:rsid w:val="00E95CE3"/>
    <w:rsid w:val="00EA252F"/>
    <w:rsid w:val="00EA2825"/>
    <w:rsid w:val="00EA7EDE"/>
    <w:rsid w:val="00EB0B63"/>
    <w:rsid w:val="00EB1936"/>
    <w:rsid w:val="00EB2E07"/>
    <w:rsid w:val="00EB37BE"/>
    <w:rsid w:val="00EB5088"/>
    <w:rsid w:val="00EC255D"/>
    <w:rsid w:val="00ED1644"/>
    <w:rsid w:val="00ED2593"/>
    <w:rsid w:val="00ED763F"/>
    <w:rsid w:val="00ED7D9C"/>
    <w:rsid w:val="00EF0069"/>
    <w:rsid w:val="00EF3877"/>
    <w:rsid w:val="00EF44A0"/>
    <w:rsid w:val="00EF4FED"/>
    <w:rsid w:val="00F007C6"/>
    <w:rsid w:val="00F0172E"/>
    <w:rsid w:val="00F050BD"/>
    <w:rsid w:val="00F05657"/>
    <w:rsid w:val="00F209E2"/>
    <w:rsid w:val="00F25578"/>
    <w:rsid w:val="00F258E5"/>
    <w:rsid w:val="00F25B9C"/>
    <w:rsid w:val="00F26CC6"/>
    <w:rsid w:val="00F300BC"/>
    <w:rsid w:val="00F3263C"/>
    <w:rsid w:val="00F3334E"/>
    <w:rsid w:val="00F349A9"/>
    <w:rsid w:val="00F36CCB"/>
    <w:rsid w:val="00F374E5"/>
    <w:rsid w:val="00F37B93"/>
    <w:rsid w:val="00F43AF2"/>
    <w:rsid w:val="00F454DC"/>
    <w:rsid w:val="00F5007E"/>
    <w:rsid w:val="00F50EC4"/>
    <w:rsid w:val="00F52232"/>
    <w:rsid w:val="00F550CF"/>
    <w:rsid w:val="00F550E8"/>
    <w:rsid w:val="00F57A6D"/>
    <w:rsid w:val="00F638CC"/>
    <w:rsid w:val="00F64C9E"/>
    <w:rsid w:val="00F64CC1"/>
    <w:rsid w:val="00F71C55"/>
    <w:rsid w:val="00F72317"/>
    <w:rsid w:val="00F80475"/>
    <w:rsid w:val="00F8247A"/>
    <w:rsid w:val="00F8425A"/>
    <w:rsid w:val="00F853DD"/>
    <w:rsid w:val="00F90133"/>
    <w:rsid w:val="00F9629A"/>
    <w:rsid w:val="00F97EFC"/>
    <w:rsid w:val="00FA1BDD"/>
    <w:rsid w:val="00FA4DD5"/>
    <w:rsid w:val="00FA5883"/>
    <w:rsid w:val="00FA6055"/>
    <w:rsid w:val="00FB322F"/>
    <w:rsid w:val="00FB442F"/>
    <w:rsid w:val="00FC1929"/>
    <w:rsid w:val="00FC5B46"/>
    <w:rsid w:val="00FD0A8D"/>
    <w:rsid w:val="00FD243A"/>
    <w:rsid w:val="00FD6D8E"/>
    <w:rsid w:val="00FE0E94"/>
    <w:rsid w:val="00FE3CD9"/>
    <w:rsid w:val="00FF00BD"/>
    <w:rsid w:val="00FF1ED4"/>
    <w:rsid w:val="00FF2801"/>
    <w:rsid w:val="00FF2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F55"/>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8605C4"/>
    <w:pPr>
      <w:jc w:val="both"/>
    </w:pPr>
    <w:rPr>
      <w:i w:val="0"/>
      <w:lang w:eastAsia="en-US"/>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8605C4"/>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14"/>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37"/>
      </w:numPr>
      <w:spacing w:before="60" w:after="60" w:line="300" w:lineRule="atLeast"/>
      <w:ind w:right="567"/>
    </w:pPr>
    <w:rPr>
      <w:rFonts w:ascii="Tahoma" w:hAnsi="Tahoma"/>
      <w:sz w:val="22"/>
      <w:szCs w:val="20"/>
    </w:rPr>
  </w:style>
  <w:style w:type="paragraph" w:customStyle="1" w:styleId="Table">
    <w:name w:val="Table"/>
    <w:basedOn w:val="Normal"/>
    <w:link w:val="TableChar"/>
    <w:qFormat/>
    <w:rsid w:val="000F4D5F"/>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0F4D5F"/>
    <w:rPr>
      <w:rFonts w:ascii="Candara" w:eastAsiaTheme="majorEastAsia" w:hAnsi="Candara" w:cstheme="majorBidi"/>
      <w:szCs w:val="22"/>
      <w:lang w:eastAsia="en-US" w:bidi="en-US"/>
    </w:rPr>
  </w:style>
  <w:style w:type="table" w:customStyle="1" w:styleId="Summarybox1">
    <w:name w:val="Summary box1"/>
    <w:basedOn w:val="TableNormal"/>
    <w:next w:val="TableGrid"/>
    <w:uiPriority w:val="39"/>
    <w:rsid w:val="000F4D5F"/>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FontSubscript">
    <w:name w:val="Font Subscript"/>
    <w:basedOn w:val="DefaultParagraphFont"/>
    <w:uiPriority w:val="1"/>
    <w:qFormat/>
    <w:rsid w:val="00E67A6D"/>
    <w:rPr>
      <w:rFonts w:ascii="Calibri" w:hAnsi="Calibri"/>
      <w:sz w:val="24"/>
      <w:vertAlign w:val="subscript"/>
    </w:rPr>
  </w:style>
  <w:style w:type="paragraph" w:customStyle="1" w:styleId="subsection3">
    <w:name w:val="subsection3"/>
    <w:basedOn w:val="Normal"/>
    <w:link w:val="subsection3Char"/>
    <w:qFormat/>
    <w:rsid w:val="000F471E"/>
    <w:pPr>
      <w:keepNext/>
      <w:keepLines/>
      <w:spacing w:before="120"/>
      <w:outlineLvl w:val="1"/>
    </w:pPr>
    <w:rPr>
      <w:rFonts w:asciiTheme="minorHAnsi" w:eastAsiaTheme="majorEastAsia" w:hAnsiTheme="minorHAnsi" w:cstheme="majorBidi"/>
      <w:b/>
      <w:snapToGrid w:val="0"/>
      <w:szCs w:val="28"/>
      <w:lang w:val="en-GB" w:eastAsia="en-US"/>
    </w:rPr>
  </w:style>
  <w:style w:type="character" w:customStyle="1" w:styleId="subsection3Char">
    <w:name w:val="subsection3 Char"/>
    <w:basedOn w:val="DefaultParagraphFont"/>
    <w:link w:val="subsection3"/>
    <w:rsid w:val="000F471E"/>
    <w:rPr>
      <w:rFonts w:asciiTheme="minorHAnsi" w:eastAsiaTheme="majorEastAsia" w:hAnsiTheme="minorHAnsi" w:cstheme="majorBidi"/>
      <w:b/>
      <w:snapToGrid w:val="0"/>
      <w:sz w:val="24"/>
      <w:szCs w:val="28"/>
      <w:lang w:val="en-GB" w:eastAsia="en-US"/>
    </w:rPr>
  </w:style>
  <w:style w:type="paragraph" w:customStyle="1" w:styleId="2-SectionHeading">
    <w:name w:val="2-Section Heading"/>
    <w:qFormat/>
    <w:rsid w:val="0068722F"/>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qFormat/>
    <w:rsid w:val="0068722F"/>
    <w:pPr>
      <w:widowControl/>
      <w:spacing w:after="120"/>
      <w:ind w:hanging="720"/>
      <w:contextualSpacing w:val="0"/>
    </w:pPr>
    <w:rPr>
      <w:rFonts w:asciiTheme="minorHAnsi" w:hAnsiTheme="minorHAnsi" w:cs="Calibri"/>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3B4F-9091-4201-AA57-CA677067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2464</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2020-06-18T07:12:00Z</dcterms:created>
  <dcterms:modified xsi:type="dcterms:W3CDTF">2020-06-24T23:38:00Z</dcterms:modified>
</cp:coreProperties>
</file>