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66E" w:rsidRPr="00B66840" w:rsidRDefault="0068666E" w:rsidP="0068666E">
      <w:pPr>
        <w:pStyle w:val="1MainTitle"/>
        <w:rPr>
          <w:rFonts w:eastAsia="Calibri"/>
          <w:lang w:eastAsia="en-US"/>
        </w:rPr>
      </w:pPr>
      <w:bookmarkStart w:id="0" w:name="_GoBack"/>
      <w:bookmarkEnd w:id="0"/>
      <w:r w:rsidRPr="00B66840">
        <w:t>7.13</w:t>
      </w:r>
      <w:r w:rsidR="00646C6C" w:rsidRPr="00B66840">
        <w:tab/>
      </w:r>
      <w:r w:rsidRPr="00B66840">
        <w:t>PEMBROLIZUMAB</w:t>
      </w:r>
      <w:r w:rsidR="00CB4511">
        <w:br/>
      </w:r>
      <w:r w:rsidRPr="00B66840">
        <w:rPr>
          <w:rFonts w:eastAsia="Calibri"/>
          <w:lang w:eastAsia="en-US"/>
        </w:rPr>
        <w:t>Solution concentrate for I.V. infusion 100 mg in 4 mL,</w:t>
      </w:r>
      <w:r w:rsidR="00CB4511">
        <w:rPr>
          <w:rFonts w:eastAsia="Calibri"/>
          <w:lang w:eastAsia="en-US"/>
        </w:rPr>
        <w:br/>
      </w:r>
      <w:r w:rsidRPr="00B66840">
        <w:rPr>
          <w:rFonts w:eastAsia="Calibri"/>
          <w:lang w:eastAsia="en-US"/>
        </w:rPr>
        <w:t>Keytruda,</w:t>
      </w:r>
      <w:r w:rsidR="00CB4511">
        <w:rPr>
          <w:rFonts w:eastAsia="Calibri"/>
          <w:lang w:eastAsia="en-US"/>
        </w:rPr>
        <w:br/>
      </w:r>
      <w:r w:rsidRPr="00B66840">
        <w:rPr>
          <w:rFonts w:eastAsia="Calibri"/>
          <w:lang w:eastAsia="en-US"/>
        </w:rPr>
        <w:t xml:space="preserve">Merck Sharp &amp; Dohme (Australia) Pty Ltd </w:t>
      </w:r>
    </w:p>
    <w:p w:rsidR="00FC3647" w:rsidRPr="00B66840" w:rsidRDefault="00FC3647" w:rsidP="00813D50">
      <w:pPr>
        <w:pStyle w:val="2Sections"/>
        <w:numPr>
          <w:ilvl w:val="0"/>
          <w:numId w:val="14"/>
        </w:numPr>
      </w:pPr>
      <w:r w:rsidRPr="00B66840">
        <w:t xml:space="preserve">Purpose of Application </w:t>
      </w:r>
    </w:p>
    <w:p w:rsidR="00E63080" w:rsidRPr="00B66840" w:rsidRDefault="00E63080" w:rsidP="0068666E">
      <w:pPr>
        <w:pStyle w:val="ListParagraph"/>
        <w:widowControl/>
        <w:numPr>
          <w:ilvl w:val="1"/>
          <w:numId w:val="5"/>
        </w:numPr>
        <w:spacing w:after="120"/>
        <w:contextualSpacing w:val="0"/>
        <w:rPr>
          <w:rFonts w:asciiTheme="minorHAnsi" w:eastAsiaTheme="minorHAnsi" w:hAnsiTheme="minorHAnsi" w:cstheme="minorHAnsi"/>
          <w:snapToGrid/>
          <w:sz w:val="24"/>
          <w:szCs w:val="24"/>
        </w:rPr>
      </w:pPr>
      <w:r w:rsidRPr="00B66840">
        <w:rPr>
          <w:rFonts w:asciiTheme="minorHAnsi" w:eastAsiaTheme="minorHAnsi" w:hAnsiTheme="minorHAnsi" w:cstheme="minorHAnsi"/>
          <w:snapToGrid/>
          <w:sz w:val="24"/>
          <w:szCs w:val="24"/>
        </w:rPr>
        <w:t xml:space="preserve">Following a deferral at the November 2019 PBAC meeting, this </w:t>
      </w:r>
      <w:r w:rsidR="0068666E" w:rsidRPr="00B66840">
        <w:rPr>
          <w:rFonts w:asciiTheme="minorHAnsi" w:eastAsiaTheme="minorHAnsi" w:hAnsiTheme="minorHAnsi" w:cstheme="minorHAnsi"/>
          <w:snapToGrid/>
          <w:sz w:val="24"/>
          <w:szCs w:val="24"/>
        </w:rPr>
        <w:t xml:space="preserve">minor </w:t>
      </w:r>
      <w:r w:rsidR="00953E4C" w:rsidRPr="00B66840">
        <w:rPr>
          <w:rFonts w:asciiTheme="minorHAnsi" w:eastAsiaTheme="minorHAnsi" w:hAnsiTheme="minorHAnsi" w:cstheme="minorHAnsi"/>
          <w:snapToGrid/>
          <w:sz w:val="24"/>
          <w:szCs w:val="24"/>
        </w:rPr>
        <w:t>re</w:t>
      </w:r>
      <w:r w:rsidR="0068666E" w:rsidRPr="00B66840">
        <w:rPr>
          <w:rFonts w:asciiTheme="minorHAnsi" w:eastAsiaTheme="minorHAnsi" w:hAnsiTheme="minorHAnsi" w:cstheme="minorHAnsi"/>
          <w:snapToGrid/>
          <w:sz w:val="24"/>
          <w:szCs w:val="24"/>
        </w:rPr>
        <w:t>submission sought</w:t>
      </w:r>
      <w:r w:rsidRPr="00B66840">
        <w:rPr>
          <w:rFonts w:asciiTheme="minorHAnsi" w:eastAsiaTheme="minorHAnsi" w:hAnsiTheme="minorHAnsi" w:cstheme="minorHAnsi"/>
          <w:snapToGrid/>
          <w:sz w:val="24"/>
          <w:szCs w:val="24"/>
        </w:rPr>
        <w:t>:</w:t>
      </w:r>
      <w:r w:rsidR="0068666E" w:rsidRPr="00B66840">
        <w:rPr>
          <w:rFonts w:asciiTheme="minorHAnsi" w:eastAsiaTheme="minorHAnsi" w:hAnsiTheme="minorHAnsi" w:cstheme="minorHAnsi"/>
          <w:snapToGrid/>
          <w:sz w:val="24"/>
          <w:szCs w:val="24"/>
        </w:rPr>
        <w:t xml:space="preserve"> </w:t>
      </w:r>
    </w:p>
    <w:p w:rsidR="00E63080" w:rsidRPr="00B66840" w:rsidRDefault="0068666E" w:rsidP="00E63080">
      <w:pPr>
        <w:pStyle w:val="ListParagraph"/>
        <w:widowControl/>
        <w:numPr>
          <w:ilvl w:val="1"/>
          <w:numId w:val="23"/>
        </w:numPr>
        <w:spacing w:after="120"/>
        <w:ind w:left="1077" w:hanging="357"/>
        <w:contextualSpacing w:val="0"/>
        <w:rPr>
          <w:rFonts w:asciiTheme="minorHAnsi" w:eastAsiaTheme="minorHAnsi" w:hAnsiTheme="minorHAnsi" w:cstheme="minorHAnsi"/>
          <w:snapToGrid/>
          <w:sz w:val="24"/>
          <w:szCs w:val="24"/>
        </w:rPr>
      </w:pPr>
      <w:r w:rsidRPr="00B66840">
        <w:rPr>
          <w:rFonts w:asciiTheme="minorHAnsi" w:eastAsiaTheme="minorHAnsi" w:hAnsiTheme="minorHAnsi" w:cstheme="minorHAnsi"/>
          <w:snapToGrid/>
          <w:sz w:val="24"/>
          <w:szCs w:val="24"/>
        </w:rPr>
        <w:t>a recommendation for pembrolizumab for the adjuvant treatment of resected Stage IIIB, IIIC and IIID melanoma</w:t>
      </w:r>
      <w:r w:rsidR="00E63080" w:rsidRPr="00B66840">
        <w:rPr>
          <w:rFonts w:asciiTheme="minorHAnsi" w:eastAsiaTheme="minorHAnsi" w:hAnsiTheme="minorHAnsi" w:cstheme="minorHAnsi"/>
          <w:snapToGrid/>
          <w:sz w:val="24"/>
          <w:szCs w:val="24"/>
        </w:rPr>
        <w:t xml:space="preserve">; </w:t>
      </w:r>
      <w:r w:rsidRPr="00B66840">
        <w:rPr>
          <w:rFonts w:asciiTheme="minorHAnsi" w:eastAsiaTheme="minorHAnsi" w:hAnsiTheme="minorHAnsi" w:cstheme="minorHAnsi"/>
          <w:snapToGrid/>
          <w:sz w:val="24"/>
          <w:szCs w:val="24"/>
        </w:rPr>
        <w:t xml:space="preserve"> and </w:t>
      </w:r>
    </w:p>
    <w:p w:rsidR="0068666E" w:rsidRPr="00FF2A28" w:rsidRDefault="0068666E" w:rsidP="00E63080">
      <w:pPr>
        <w:pStyle w:val="ListParagraph"/>
        <w:widowControl/>
        <w:numPr>
          <w:ilvl w:val="1"/>
          <w:numId w:val="23"/>
        </w:numPr>
        <w:spacing w:after="120"/>
        <w:ind w:left="1077" w:hanging="357"/>
        <w:contextualSpacing w:val="0"/>
        <w:rPr>
          <w:rFonts w:asciiTheme="minorHAnsi" w:eastAsiaTheme="minorHAnsi" w:hAnsiTheme="minorHAnsi" w:cstheme="minorHAnsi"/>
          <w:snapToGrid/>
          <w:sz w:val="24"/>
          <w:szCs w:val="24"/>
        </w:rPr>
      </w:pPr>
      <w:r w:rsidRPr="00B66840">
        <w:rPr>
          <w:rFonts w:asciiTheme="minorHAnsi" w:eastAsiaTheme="minorHAnsi" w:hAnsiTheme="minorHAnsi" w:cstheme="minorHAnsi"/>
          <w:snapToGrid/>
          <w:sz w:val="24"/>
          <w:szCs w:val="24"/>
        </w:rPr>
        <w:t>to highlight the sponsor</w:t>
      </w:r>
      <w:r w:rsidR="001403AC" w:rsidRPr="00B66840">
        <w:rPr>
          <w:rFonts w:asciiTheme="minorHAnsi" w:eastAsiaTheme="minorHAnsi" w:hAnsiTheme="minorHAnsi" w:cstheme="minorHAnsi"/>
          <w:snapToGrid/>
          <w:sz w:val="24"/>
          <w:szCs w:val="24"/>
        </w:rPr>
        <w:t>’</w:t>
      </w:r>
      <w:r w:rsidRPr="00B66840">
        <w:rPr>
          <w:rFonts w:asciiTheme="minorHAnsi" w:eastAsiaTheme="minorHAnsi" w:hAnsiTheme="minorHAnsi" w:cstheme="minorHAnsi"/>
          <w:snapToGrid/>
          <w:sz w:val="24"/>
          <w:szCs w:val="24"/>
        </w:rPr>
        <w:t xml:space="preserve">s concerns regarding </w:t>
      </w:r>
      <w:r w:rsidR="00E63080" w:rsidRPr="00B66840">
        <w:rPr>
          <w:rFonts w:asciiTheme="minorHAnsi" w:eastAsiaTheme="minorHAnsi" w:hAnsiTheme="minorHAnsi" w:cstheme="minorHAnsi"/>
          <w:snapToGrid/>
          <w:sz w:val="24"/>
          <w:szCs w:val="24"/>
        </w:rPr>
        <w:t>weighting and market share with the proposed cost-minimised price to nivolumab and with t</w:t>
      </w:r>
      <w:r w:rsidRPr="00B66840">
        <w:rPr>
          <w:rFonts w:asciiTheme="minorHAnsi" w:eastAsiaTheme="minorHAnsi" w:hAnsiTheme="minorHAnsi" w:cstheme="minorHAnsi"/>
          <w:snapToGrid/>
          <w:sz w:val="24"/>
          <w:szCs w:val="24"/>
        </w:rPr>
        <w:t xml:space="preserve">he existing melanoma Risk Sharing Arrangement (RSA). </w:t>
      </w:r>
    </w:p>
    <w:p w:rsidR="0068666E" w:rsidRPr="00813D50" w:rsidRDefault="0068666E" w:rsidP="00813D50">
      <w:pPr>
        <w:pStyle w:val="2Sections"/>
        <w:numPr>
          <w:ilvl w:val="0"/>
          <w:numId w:val="14"/>
        </w:numPr>
      </w:pPr>
      <w:r w:rsidRPr="00813D50">
        <w:t>Background</w:t>
      </w:r>
    </w:p>
    <w:p w:rsidR="0068666E" w:rsidRPr="00B66840" w:rsidRDefault="0068666E" w:rsidP="0068666E">
      <w:pPr>
        <w:pStyle w:val="3Bodytext"/>
      </w:pPr>
      <w:r w:rsidRPr="00B66840">
        <w:t>Pembrolizumab for the adjuvant treatment of Stage IIIB, IIIC and IIID melanoma was deferred at</w:t>
      </w:r>
      <w:r w:rsidR="00953E4C" w:rsidRPr="00B66840">
        <w:t xml:space="preserve"> the November 2019 PBAC meeting, with the Committee noting that a listing for pembrolizumab would be unable to proceed until a </w:t>
      </w:r>
      <w:r w:rsidRPr="00B66840">
        <w:t xml:space="preserve">listing </w:t>
      </w:r>
      <w:r w:rsidR="00953E4C" w:rsidRPr="00B66840">
        <w:t>f</w:t>
      </w:r>
      <w:r w:rsidRPr="00B66840">
        <w:t>or nivolumab</w:t>
      </w:r>
      <w:r w:rsidR="00953E4C" w:rsidRPr="00B66840">
        <w:t xml:space="preserve"> was agreed</w:t>
      </w:r>
      <w:r w:rsidRPr="00B66840">
        <w:t xml:space="preserve">. This </w:t>
      </w:r>
      <w:r w:rsidR="00953E4C" w:rsidRPr="00B66840">
        <w:t>was because the PBAC considered it appropriate for pembrolizumab to be listed on a cost minimisation basis versus nivolumab (paragraph 6.4, pembrolizumab minutes, Nov 2019)</w:t>
      </w:r>
      <w:r w:rsidRPr="00B66840">
        <w:t xml:space="preserve">. </w:t>
      </w:r>
    </w:p>
    <w:p w:rsidR="00E63080" w:rsidRPr="00B66840" w:rsidRDefault="00E63080" w:rsidP="0068666E">
      <w:pPr>
        <w:pStyle w:val="3Bodytext"/>
      </w:pPr>
      <w:r w:rsidRPr="00B66840">
        <w:t>Nivolumab for the adjuvant treatment of Stage IIIB, IIIC, IIID and Stage IV melanoma was recommended at the November 2019 PBAC meeting.</w:t>
      </w:r>
      <w:r w:rsidR="0021610E" w:rsidRPr="00B66840">
        <w:t xml:space="preserve"> </w:t>
      </w:r>
      <w:r w:rsidR="00EF7924" w:rsidRPr="00B66840">
        <w:t>N</w:t>
      </w:r>
      <w:r w:rsidR="0021610E" w:rsidRPr="00B66840">
        <w:t>ivolumab was listed on the PBS for this indication on 1 March 2020.</w:t>
      </w:r>
    </w:p>
    <w:p w:rsidR="00E63080" w:rsidRPr="00B66840" w:rsidRDefault="00E63080" w:rsidP="0068666E">
      <w:pPr>
        <w:pStyle w:val="3Bodytext"/>
      </w:pPr>
      <w:r w:rsidRPr="00B66840">
        <w:t xml:space="preserve">A major submission to extend the restrictions of pembrolizumab to allow its use as first-line treatment in BRAF mutant patients in the unresectable or metastatic setting </w:t>
      </w:r>
      <w:r w:rsidR="00AC5131" w:rsidRPr="00B66840">
        <w:t>wa</w:t>
      </w:r>
      <w:r w:rsidRPr="00B66840">
        <w:t>s also considered at the March 2020 PBAC meeting (Item 6.03).</w:t>
      </w:r>
      <w:r w:rsidR="00D3152E" w:rsidRPr="00B66840">
        <w:t xml:space="preserve"> This restriction extension was recommended by the PBAC.</w:t>
      </w:r>
    </w:p>
    <w:p w:rsidR="00E63080" w:rsidRPr="00B66840" w:rsidRDefault="00E63080" w:rsidP="0068666E">
      <w:pPr>
        <w:pStyle w:val="3Bodytext"/>
      </w:pPr>
      <w:r w:rsidRPr="00B66840">
        <w:t xml:space="preserve">Nivolumab monotherapy and nivolumab plus ipilimumab combination therapy </w:t>
      </w:r>
      <w:r w:rsidR="00F74C57" w:rsidRPr="00B66840">
        <w:t xml:space="preserve">were </w:t>
      </w:r>
      <w:r w:rsidRPr="00B66840">
        <w:t>recommended for use as first-line treatment options in BRAF mutant patients in the unresectable or metastatic setting at the November 2019 PBAC meeting.</w:t>
      </w:r>
      <w:r w:rsidR="00EF7924" w:rsidRPr="00B66840">
        <w:t xml:space="preserve"> Nivolumab was listed on the PBS for this indication on 1 March 2020.</w:t>
      </w:r>
    </w:p>
    <w:p w:rsidR="0039130A" w:rsidRPr="00B66840" w:rsidRDefault="0039130A" w:rsidP="0039130A">
      <w:pPr>
        <w:pStyle w:val="3Bodytext"/>
        <w:numPr>
          <w:ilvl w:val="0"/>
          <w:numId w:val="0"/>
        </w:numPr>
        <w:ind w:left="720"/>
        <w:rPr>
          <w:i/>
        </w:rPr>
      </w:pPr>
      <w:r w:rsidRPr="00B66840">
        <w:rPr>
          <w:i/>
        </w:rPr>
        <w:t>For more detail on PBAC’s view, see Section 4 PBAC outcome.</w:t>
      </w:r>
    </w:p>
    <w:p w:rsidR="00FC3647" w:rsidRPr="00B66840" w:rsidRDefault="00FC3647" w:rsidP="00FC3647">
      <w:pPr>
        <w:pStyle w:val="Heading1"/>
        <w:keepNext/>
        <w:keepLines/>
        <w:widowControl/>
        <w:numPr>
          <w:ilvl w:val="0"/>
          <w:numId w:val="5"/>
        </w:numPr>
        <w:spacing w:before="240" w:after="120"/>
        <w:ind w:left="709" w:hanging="709"/>
        <w:contextualSpacing w:val="0"/>
        <w:jc w:val="left"/>
        <w:rPr>
          <w:rFonts w:asciiTheme="minorHAnsi" w:hAnsiTheme="minorHAnsi"/>
          <w:sz w:val="32"/>
          <w:szCs w:val="32"/>
        </w:rPr>
      </w:pPr>
      <w:r w:rsidRPr="00B66840">
        <w:rPr>
          <w:rFonts w:asciiTheme="minorHAnsi" w:hAnsiTheme="minorHAnsi"/>
          <w:sz w:val="32"/>
          <w:szCs w:val="32"/>
        </w:rPr>
        <w:t>Consideration of the evidence</w:t>
      </w:r>
    </w:p>
    <w:p w:rsidR="00953E4C" w:rsidRPr="00B66840" w:rsidRDefault="00953E4C" w:rsidP="008C5971">
      <w:pPr>
        <w:pStyle w:val="ListParagraph"/>
        <w:widowControl/>
        <w:numPr>
          <w:ilvl w:val="1"/>
          <w:numId w:val="5"/>
        </w:numPr>
        <w:spacing w:before="120" w:after="160"/>
        <w:contextualSpacing w:val="0"/>
        <w:rPr>
          <w:rFonts w:asciiTheme="minorHAnsi" w:eastAsiaTheme="minorHAnsi" w:hAnsiTheme="minorHAnsi" w:cstheme="minorBidi"/>
          <w:snapToGrid/>
          <w:sz w:val="24"/>
          <w:szCs w:val="22"/>
        </w:rPr>
      </w:pPr>
      <w:r w:rsidRPr="00B66840">
        <w:rPr>
          <w:rFonts w:asciiTheme="minorHAnsi" w:eastAsiaTheme="minorHAnsi" w:hAnsiTheme="minorHAnsi" w:cstheme="minorBidi"/>
          <w:snapToGrid/>
          <w:sz w:val="24"/>
          <w:szCs w:val="22"/>
        </w:rPr>
        <w:t>No changes were made to the clinical, economic or financial claims outlined in the November 2019 submission.</w:t>
      </w:r>
    </w:p>
    <w:p w:rsidR="00953E4C" w:rsidRPr="00B66840" w:rsidRDefault="00953E4C" w:rsidP="008C5971">
      <w:pPr>
        <w:pStyle w:val="ListParagraph"/>
        <w:widowControl/>
        <w:numPr>
          <w:ilvl w:val="1"/>
          <w:numId w:val="5"/>
        </w:numPr>
        <w:spacing w:before="120" w:after="160"/>
        <w:contextualSpacing w:val="0"/>
        <w:rPr>
          <w:rFonts w:asciiTheme="minorHAnsi" w:eastAsiaTheme="minorHAnsi" w:hAnsiTheme="minorHAnsi" w:cstheme="minorBidi"/>
          <w:snapToGrid/>
          <w:sz w:val="24"/>
          <w:szCs w:val="22"/>
        </w:rPr>
      </w:pPr>
      <w:r w:rsidRPr="00B66840">
        <w:rPr>
          <w:rFonts w:asciiTheme="minorHAnsi" w:eastAsiaTheme="minorHAnsi" w:hAnsiTheme="minorHAnsi" w:cstheme="minorBidi"/>
          <w:snapToGrid/>
          <w:sz w:val="24"/>
          <w:szCs w:val="22"/>
        </w:rPr>
        <w:lastRenderedPageBreak/>
        <w:t>A minor change was made to the financial estimates to reflect recent changes to the pembrolizumab list price. The neutral budget impact compared with nivolumab was maintained.</w:t>
      </w:r>
      <w:r w:rsidR="00AC5131" w:rsidRPr="00B66840">
        <w:rPr>
          <w:rFonts w:asciiTheme="minorHAnsi" w:eastAsiaTheme="minorHAnsi" w:hAnsiTheme="minorHAnsi" w:cstheme="minorBidi"/>
          <w:snapToGrid/>
          <w:sz w:val="24"/>
          <w:szCs w:val="22"/>
        </w:rPr>
        <w:t xml:space="preserve"> The PBAC considered that this was appropriate.</w:t>
      </w:r>
    </w:p>
    <w:p w:rsidR="0039130A" w:rsidRPr="00CC408F" w:rsidRDefault="0039130A" w:rsidP="00CC408F">
      <w:pPr>
        <w:pStyle w:val="Heading2"/>
        <w:keepLines/>
        <w:spacing w:before="240" w:after="120"/>
        <w:rPr>
          <w:rFonts w:asciiTheme="minorHAnsi" w:eastAsiaTheme="majorEastAsia" w:hAnsiTheme="minorHAnsi" w:cstheme="majorBidi"/>
          <w:sz w:val="28"/>
          <w:szCs w:val="28"/>
          <w:lang w:eastAsia="en-US"/>
        </w:rPr>
      </w:pPr>
      <w:r w:rsidRPr="00CC408F">
        <w:rPr>
          <w:rFonts w:asciiTheme="minorHAnsi" w:eastAsiaTheme="majorEastAsia" w:hAnsiTheme="minorHAnsi" w:cstheme="majorBidi"/>
          <w:sz w:val="28"/>
          <w:szCs w:val="28"/>
          <w:lang w:eastAsia="en-US"/>
        </w:rPr>
        <w:t>Sponsor hearing</w:t>
      </w:r>
    </w:p>
    <w:p w:rsidR="0039130A" w:rsidRPr="00B66840" w:rsidRDefault="0039130A" w:rsidP="0039130A">
      <w:pPr>
        <w:widowControl w:val="0"/>
        <w:numPr>
          <w:ilvl w:val="1"/>
          <w:numId w:val="5"/>
        </w:numPr>
        <w:spacing w:after="120"/>
        <w:jc w:val="both"/>
        <w:rPr>
          <w:rFonts w:asciiTheme="minorHAnsi" w:hAnsiTheme="minorHAnsi" w:cs="Arial"/>
          <w:bCs/>
          <w:snapToGrid w:val="0"/>
        </w:rPr>
      </w:pPr>
      <w:r w:rsidRPr="00B66840">
        <w:rPr>
          <w:rFonts w:asciiTheme="minorHAnsi" w:hAnsiTheme="minorHAnsi" w:cs="Arial"/>
          <w:bCs/>
          <w:snapToGrid w:val="0"/>
        </w:rPr>
        <w:t>There was no hearing for this item as it was a minor submission.</w:t>
      </w:r>
    </w:p>
    <w:p w:rsidR="0039130A" w:rsidRPr="00CC408F" w:rsidRDefault="0039130A" w:rsidP="00CC408F">
      <w:pPr>
        <w:pStyle w:val="Heading2"/>
        <w:keepLines/>
        <w:spacing w:before="240" w:after="120"/>
        <w:rPr>
          <w:rFonts w:asciiTheme="minorHAnsi" w:eastAsiaTheme="majorEastAsia" w:hAnsiTheme="minorHAnsi" w:cstheme="majorBidi"/>
          <w:sz w:val="28"/>
          <w:szCs w:val="28"/>
          <w:lang w:eastAsia="en-US"/>
        </w:rPr>
      </w:pPr>
      <w:r w:rsidRPr="00CC408F">
        <w:rPr>
          <w:rFonts w:asciiTheme="minorHAnsi" w:eastAsiaTheme="majorEastAsia" w:hAnsiTheme="minorHAnsi" w:cstheme="majorBidi"/>
          <w:sz w:val="28"/>
          <w:szCs w:val="28"/>
          <w:lang w:eastAsia="en-US"/>
        </w:rPr>
        <w:t>Consumer comments</w:t>
      </w:r>
    </w:p>
    <w:p w:rsidR="00967868" w:rsidRPr="00B66840" w:rsidRDefault="0039130A" w:rsidP="0058326C">
      <w:pPr>
        <w:widowControl w:val="0"/>
        <w:numPr>
          <w:ilvl w:val="1"/>
          <w:numId w:val="5"/>
        </w:numPr>
        <w:spacing w:after="120"/>
        <w:jc w:val="both"/>
        <w:rPr>
          <w:rFonts w:asciiTheme="minorHAnsi" w:hAnsiTheme="minorHAnsi" w:cs="Arial"/>
          <w:bCs/>
          <w:snapToGrid w:val="0"/>
        </w:rPr>
      </w:pPr>
      <w:r w:rsidRPr="00B66840">
        <w:rPr>
          <w:rFonts w:asciiTheme="minorHAnsi" w:hAnsiTheme="minorHAnsi" w:cs="Arial"/>
          <w:bCs/>
          <w:snapToGrid w:val="0"/>
        </w:rPr>
        <w:t xml:space="preserve">The PBAC noted and welcomed the input from </w:t>
      </w:r>
      <w:r w:rsidR="00967868" w:rsidRPr="00B66840">
        <w:rPr>
          <w:rFonts w:asciiTheme="minorHAnsi" w:hAnsiTheme="minorHAnsi" w:cs="Arial"/>
          <w:bCs/>
          <w:snapToGrid w:val="0"/>
        </w:rPr>
        <w:t xml:space="preserve">an </w:t>
      </w:r>
      <w:r w:rsidRPr="00B66840">
        <w:rPr>
          <w:rFonts w:asciiTheme="minorHAnsi" w:hAnsiTheme="minorHAnsi" w:cs="Arial"/>
          <w:bCs/>
          <w:snapToGrid w:val="0"/>
        </w:rPr>
        <w:t>organisation (1) via the Consumer Comments facility on the PBS website</w:t>
      </w:r>
      <w:r w:rsidR="00B66840">
        <w:rPr>
          <w:rFonts w:asciiTheme="minorHAnsi" w:hAnsiTheme="minorHAnsi" w:cs="Arial"/>
          <w:bCs/>
          <w:snapToGrid w:val="0"/>
        </w:rPr>
        <w:t xml:space="preserve">. </w:t>
      </w:r>
    </w:p>
    <w:p w:rsidR="0039130A" w:rsidRPr="00B66840" w:rsidRDefault="0039130A" w:rsidP="0066042C">
      <w:pPr>
        <w:numPr>
          <w:ilvl w:val="1"/>
          <w:numId w:val="5"/>
        </w:numPr>
        <w:spacing w:after="120"/>
        <w:jc w:val="both"/>
      </w:pPr>
      <w:r w:rsidRPr="00B66840">
        <w:rPr>
          <w:rFonts w:asciiTheme="minorHAnsi" w:hAnsiTheme="minorHAnsi" w:cs="Arial"/>
          <w:bCs/>
          <w:snapToGrid w:val="0"/>
        </w:rPr>
        <w:t xml:space="preserve">The Medical Oncology Group of Australia (MOGA) expressed its strong support for the </w:t>
      </w:r>
      <w:r w:rsidR="00967868" w:rsidRPr="00FF2A28">
        <w:rPr>
          <w:rFonts w:asciiTheme="minorHAnsi" w:hAnsiTheme="minorHAnsi" w:cs="Arial"/>
          <w:bCs/>
          <w:snapToGrid w:val="0"/>
        </w:rPr>
        <w:t xml:space="preserve">pembrolizumab </w:t>
      </w:r>
      <w:r w:rsidRPr="00FF2A28">
        <w:rPr>
          <w:rFonts w:asciiTheme="minorHAnsi" w:hAnsiTheme="minorHAnsi" w:cs="Arial"/>
          <w:bCs/>
          <w:snapToGrid w:val="0"/>
        </w:rPr>
        <w:t>submission, categorising it as one of the therapies of “high priority for PBS listing” on th</w:t>
      </w:r>
      <w:r w:rsidRPr="00B66840">
        <w:rPr>
          <w:rFonts w:asciiTheme="minorHAnsi" w:hAnsiTheme="minorHAnsi" w:cs="Arial"/>
          <w:bCs/>
          <w:snapToGrid w:val="0"/>
        </w:rPr>
        <w:t xml:space="preserve">e basis of the </w:t>
      </w:r>
      <w:r w:rsidR="00967868" w:rsidRPr="00B66840">
        <w:rPr>
          <w:rFonts w:asciiTheme="minorHAnsi" w:hAnsiTheme="minorHAnsi" w:cs="Arial"/>
          <w:bCs/>
          <w:snapToGrid w:val="0"/>
        </w:rPr>
        <w:t>KN054 t</w:t>
      </w:r>
      <w:r w:rsidRPr="00B66840">
        <w:rPr>
          <w:rFonts w:asciiTheme="minorHAnsi" w:hAnsiTheme="minorHAnsi" w:cs="Arial"/>
          <w:bCs/>
          <w:snapToGrid w:val="0"/>
        </w:rPr>
        <w:t xml:space="preserve">rial. The PBAC noted that the MOGA presented a European Society for Medical Oncology Magnitude of Clinical Benefit Scale (ESMO-MCBS) for </w:t>
      </w:r>
      <w:r w:rsidR="00967868" w:rsidRPr="00B66840">
        <w:rPr>
          <w:rFonts w:asciiTheme="minorHAnsi" w:hAnsiTheme="minorHAnsi" w:cs="Arial"/>
          <w:bCs/>
          <w:snapToGrid w:val="0"/>
        </w:rPr>
        <w:t>pembrolizumab as an adjuvant treatment for Stage III melanoma</w:t>
      </w:r>
      <w:r w:rsidRPr="00B66840">
        <w:rPr>
          <w:rFonts w:asciiTheme="minorHAnsi" w:hAnsiTheme="minorHAnsi" w:cs="Arial"/>
          <w:bCs/>
          <w:snapToGrid w:val="0"/>
        </w:rPr>
        <w:t xml:space="preserve">, which was </w:t>
      </w:r>
      <w:r w:rsidR="00967868" w:rsidRPr="00B66840">
        <w:rPr>
          <w:rFonts w:asciiTheme="minorHAnsi" w:hAnsiTheme="minorHAnsi" w:cs="Arial"/>
          <w:bCs/>
          <w:snapToGrid w:val="0"/>
        </w:rPr>
        <w:t xml:space="preserve">a Grade A, </w:t>
      </w:r>
      <w:r w:rsidR="00967868" w:rsidRPr="00B66840">
        <w:rPr>
          <w:rFonts w:asciiTheme="minorHAnsi" w:hAnsiTheme="minorHAnsi"/>
          <w:bCs/>
        </w:rPr>
        <w:t>which is the highest grade (out of C, and where A and B represent the grades with substantial improvement for new approaches to adjuvant therapy or new potentially curative therapies), based on a comparison with placebo in the KN054 trial.</w:t>
      </w:r>
      <w:r w:rsidR="00967868" w:rsidRPr="00B66840">
        <w:rPr>
          <w:rStyle w:val="FootnoteReference"/>
          <w:rFonts w:asciiTheme="minorHAnsi" w:hAnsiTheme="minorHAnsi"/>
          <w:bCs/>
        </w:rPr>
        <w:footnoteReference w:id="1"/>
      </w:r>
    </w:p>
    <w:p w:rsidR="00953E4C" w:rsidRPr="00B66840" w:rsidRDefault="005B4FCD" w:rsidP="0066042C">
      <w:pPr>
        <w:pStyle w:val="Heading2"/>
        <w:rPr>
          <w:rFonts w:asciiTheme="minorHAnsi" w:eastAsiaTheme="minorHAnsi" w:hAnsiTheme="minorHAnsi" w:cstheme="minorHAnsi"/>
          <w:sz w:val="28"/>
        </w:rPr>
      </w:pPr>
      <w:r w:rsidRPr="00B66840">
        <w:rPr>
          <w:rFonts w:asciiTheme="minorHAnsi" w:eastAsiaTheme="minorHAnsi" w:hAnsiTheme="minorHAnsi" w:cstheme="minorHAnsi"/>
          <w:sz w:val="28"/>
        </w:rPr>
        <w:t>Pricing considerations</w:t>
      </w:r>
    </w:p>
    <w:p w:rsidR="005B4FCD" w:rsidRPr="00B66840" w:rsidRDefault="005B4FCD" w:rsidP="0066042C">
      <w:pPr>
        <w:pStyle w:val="ListParagraph"/>
        <w:widowControl/>
        <w:numPr>
          <w:ilvl w:val="1"/>
          <w:numId w:val="5"/>
        </w:numPr>
        <w:spacing w:before="120" w:after="160"/>
        <w:contextualSpacing w:val="0"/>
        <w:rPr>
          <w:rFonts w:asciiTheme="minorHAnsi" w:eastAsiaTheme="minorHAnsi" w:hAnsiTheme="minorHAnsi" w:cstheme="minorBidi"/>
          <w:snapToGrid/>
          <w:sz w:val="24"/>
          <w:szCs w:val="22"/>
        </w:rPr>
      </w:pPr>
      <w:r w:rsidRPr="00FF2A28">
        <w:rPr>
          <w:rFonts w:asciiTheme="minorHAnsi" w:eastAsiaTheme="minorHAnsi" w:hAnsiTheme="minorHAnsi" w:cstheme="minorBidi"/>
          <w:snapToGrid/>
          <w:sz w:val="24"/>
          <w:szCs w:val="22"/>
        </w:rPr>
        <w:t xml:space="preserve">The sponsor noted that in </w:t>
      </w:r>
      <w:r w:rsidR="001E7185">
        <w:rPr>
          <w:rFonts w:asciiTheme="minorHAnsi" w:eastAsiaTheme="minorHAnsi" w:hAnsiTheme="minorHAnsi" w:cstheme="minorBidi"/>
          <w:snapToGrid/>
          <w:sz w:val="24"/>
          <w:szCs w:val="22"/>
        </w:rPr>
        <w:t xml:space="preserve">its </w:t>
      </w:r>
      <w:r w:rsidRPr="00FF2A28">
        <w:rPr>
          <w:rFonts w:asciiTheme="minorHAnsi" w:eastAsiaTheme="minorHAnsi" w:hAnsiTheme="minorHAnsi" w:cstheme="minorBidi"/>
          <w:snapToGrid/>
          <w:sz w:val="24"/>
          <w:szCs w:val="22"/>
        </w:rPr>
        <w:t xml:space="preserve">consideration of nivolumab in July 2019, the PBAC stated that the effective price of nivolumab should be weighted across the adjuvant and </w:t>
      </w:r>
      <w:r w:rsidR="00F21D20">
        <w:rPr>
          <w:rFonts w:asciiTheme="minorHAnsi" w:eastAsiaTheme="minorHAnsi" w:hAnsiTheme="minorHAnsi" w:cstheme="minorBidi"/>
          <w:snapToGrid/>
          <w:sz w:val="24"/>
          <w:szCs w:val="22"/>
        </w:rPr>
        <w:t>‘</w:t>
      </w:r>
      <w:r w:rsidRPr="00FF2A28">
        <w:rPr>
          <w:rFonts w:asciiTheme="minorHAnsi" w:eastAsiaTheme="minorHAnsi" w:hAnsiTheme="minorHAnsi" w:cstheme="minorBidi"/>
          <w:snapToGrid/>
          <w:sz w:val="24"/>
          <w:szCs w:val="22"/>
        </w:rPr>
        <w:t>unresectable or metastatic settings (paragraph 4.48, nivolumab PSD, July 2019). The same approach</w:t>
      </w:r>
      <w:r w:rsidRPr="00B66840">
        <w:rPr>
          <w:rFonts w:asciiTheme="minorHAnsi" w:eastAsiaTheme="minorHAnsi" w:hAnsiTheme="minorHAnsi" w:cstheme="minorBidi"/>
          <w:snapToGrid/>
          <w:sz w:val="24"/>
          <w:szCs w:val="22"/>
        </w:rPr>
        <w:t xml:space="preserve"> was accepted by the PBAC for dabrafenib + trametinib (paragraph 5.9, dabrafenib + trametinib PSD, July 2019).</w:t>
      </w:r>
    </w:p>
    <w:p w:rsidR="005125EC" w:rsidRPr="00B66840" w:rsidRDefault="005125EC" w:rsidP="008C5971">
      <w:pPr>
        <w:pStyle w:val="ListParagraph"/>
        <w:widowControl/>
        <w:numPr>
          <w:ilvl w:val="1"/>
          <w:numId w:val="5"/>
        </w:numPr>
        <w:spacing w:before="120" w:after="160"/>
        <w:contextualSpacing w:val="0"/>
        <w:rPr>
          <w:rFonts w:asciiTheme="minorHAnsi" w:eastAsiaTheme="minorHAnsi" w:hAnsiTheme="minorHAnsi" w:cstheme="minorBidi"/>
          <w:snapToGrid/>
          <w:sz w:val="24"/>
          <w:szCs w:val="22"/>
        </w:rPr>
      </w:pPr>
      <w:r w:rsidRPr="00B66840">
        <w:rPr>
          <w:rFonts w:asciiTheme="minorHAnsi" w:eastAsiaTheme="minorHAnsi" w:hAnsiTheme="minorHAnsi" w:cstheme="minorBidi"/>
          <w:snapToGrid/>
          <w:sz w:val="24"/>
          <w:szCs w:val="22"/>
        </w:rPr>
        <w:t>The sponsor presented a number of concerns relating to a weighed melanoma price for pembrolizumab</w:t>
      </w:r>
      <w:r w:rsidR="00A02E65" w:rsidRPr="00B66840">
        <w:rPr>
          <w:rFonts w:asciiTheme="minorHAnsi" w:eastAsiaTheme="minorHAnsi" w:hAnsiTheme="minorHAnsi" w:cstheme="minorBidi"/>
          <w:snapToGrid/>
          <w:sz w:val="24"/>
          <w:szCs w:val="22"/>
        </w:rPr>
        <w:t xml:space="preserve"> including</w:t>
      </w:r>
      <w:r w:rsidRPr="00B66840">
        <w:rPr>
          <w:rFonts w:asciiTheme="minorHAnsi" w:eastAsiaTheme="minorHAnsi" w:hAnsiTheme="minorHAnsi" w:cstheme="minorBidi"/>
          <w:snapToGrid/>
          <w:sz w:val="24"/>
          <w:szCs w:val="22"/>
        </w:rPr>
        <w:t>:</w:t>
      </w:r>
    </w:p>
    <w:p w:rsidR="005125EC" w:rsidRPr="00B66840" w:rsidRDefault="002C20FD" w:rsidP="00A02E65">
      <w:pPr>
        <w:pStyle w:val="ListParagraph"/>
        <w:widowControl/>
        <w:numPr>
          <w:ilvl w:val="1"/>
          <w:numId w:val="21"/>
        </w:numPr>
        <w:spacing w:before="120" w:after="160"/>
        <w:ind w:left="1077" w:hanging="357"/>
        <w:contextualSpacing w:val="0"/>
        <w:rPr>
          <w:rFonts w:asciiTheme="minorHAnsi" w:eastAsiaTheme="minorHAnsi" w:hAnsiTheme="minorHAnsi" w:cstheme="minorBidi"/>
          <w:snapToGrid/>
          <w:sz w:val="24"/>
          <w:szCs w:val="22"/>
        </w:rPr>
      </w:pPr>
      <w:r w:rsidRPr="00B66840">
        <w:rPr>
          <w:rFonts w:asciiTheme="minorHAnsi" w:eastAsiaTheme="minorHAnsi" w:hAnsiTheme="minorHAnsi" w:cstheme="minorBidi"/>
          <w:snapToGrid/>
          <w:sz w:val="24"/>
          <w:szCs w:val="22"/>
        </w:rPr>
        <w:t>t</w:t>
      </w:r>
      <w:r w:rsidR="005125EC" w:rsidRPr="00B66840">
        <w:rPr>
          <w:rFonts w:asciiTheme="minorHAnsi" w:eastAsiaTheme="minorHAnsi" w:hAnsiTheme="minorHAnsi" w:cstheme="minorBidi"/>
          <w:snapToGrid/>
          <w:sz w:val="24"/>
          <w:szCs w:val="22"/>
        </w:rPr>
        <w:t>he price in the adjuvant setting is expected to be lower than in the metastatic setting and any underweighting of the metastatic</w:t>
      </w:r>
      <w:r w:rsidRPr="00B66840">
        <w:rPr>
          <w:rFonts w:asciiTheme="minorHAnsi" w:eastAsiaTheme="minorHAnsi" w:hAnsiTheme="minorHAnsi" w:cstheme="minorBidi"/>
          <w:snapToGrid/>
          <w:sz w:val="24"/>
          <w:szCs w:val="22"/>
        </w:rPr>
        <w:t xml:space="preserve"> </w:t>
      </w:r>
      <w:r w:rsidR="005125EC" w:rsidRPr="00B66840">
        <w:rPr>
          <w:rFonts w:asciiTheme="minorHAnsi" w:eastAsiaTheme="minorHAnsi" w:hAnsiTheme="minorHAnsi" w:cstheme="minorBidi"/>
          <w:snapToGrid/>
          <w:sz w:val="24"/>
          <w:szCs w:val="22"/>
        </w:rPr>
        <w:t>share or overweighting of the adjuvant</w:t>
      </w:r>
      <w:r w:rsidRPr="00B66840">
        <w:rPr>
          <w:rFonts w:asciiTheme="minorHAnsi" w:eastAsiaTheme="minorHAnsi" w:hAnsiTheme="minorHAnsi" w:cstheme="minorBidi"/>
          <w:snapToGrid/>
          <w:sz w:val="24"/>
          <w:szCs w:val="22"/>
        </w:rPr>
        <w:t xml:space="preserve"> </w:t>
      </w:r>
      <w:r w:rsidR="005125EC" w:rsidRPr="00B66840">
        <w:rPr>
          <w:rFonts w:asciiTheme="minorHAnsi" w:eastAsiaTheme="minorHAnsi" w:hAnsiTheme="minorHAnsi" w:cstheme="minorBidi"/>
          <w:snapToGrid/>
          <w:sz w:val="24"/>
          <w:szCs w:val="22"/>
        </w:rPr>
        <w:t xml:space="preserve">share </w:t>
      </w:r>
      <w:r w:rsidRPr="00B66840">
        <w:rPr>
          <w:rFonts w:asciiTheme="minorHAnsi" w:eastAsiaTheme="minorHAnsi" w:hAnsiTheme="minorHAnsi" w:cstheme="minorBidi"/>
          <w:snapToGrid/>
          <w:sz w:val="24"/>
          <w:szCs w:val="22"/>
        </w:rPr>
        <w:t xml:space="preserve">will </w:t>
      </w:r>
      <w:r w:rsidR="005125EC" w:rsidRPr="00B66840">
        <w:rPr>
          <w:rFonts w:asciiTheme="minorHAnsi" w:eastAsiaTheme="minorHAnsi" w:hAnsiTheme="minorHAnsi" w:cstheme="minorBidi"/>
          <w:snapToGrid/>
          <w:sz w:val="24"/>
          <w:szCs w:val="22"/>
        </w:rPr>
        <w:t>pose a commercial risk;</w:t>
      </w:r>
    </w:p>
    <w:p w:rsidR="00B04B28" w:rsidRPr="00B66840" w:rsidRDefault="002C20FD" w:rsidP="00A02E65">
      <w:pPr>
        <w:pStyle w:val="ListParagraph"/>
        <w:widowControl/>
        <w:numPr>
          <w:ilvl w:val="1"/>
          <w:numId w:val="21"/>
        </w:numPr>
        <w:spacing w:before="120" w:after="160"/>
        <w:ind w:left="1077" w:hanging="357"/>
        <w:contextualSpacing w:val="0"/>
        <w:rPr>
          <w:rFonts w:asciiTheme="minorHAnsi" w:eastAsiaTheme="minorHAnsi" w:hAnsiTheme="minorHAnsi" w:cstheme="minorBidi"/>
          <w:snapToGrid/>
          <w:sz w:val="24"/>
          <w:szCs w:val="22"/>
        </w:rPr>
      </w:pPr>
      <w:r w:rsidRPr="00B66840">
        <w:rPr>
          <w:rFonts w:asciiTheme="minorHAnsi" w:eastAsiaTheme="minorHAnsi" w:hAnsiTheme="minorHAnsi" w:cstheme="minorBidi"/>
          <w:snapToGrid/>
          <w:sz w:val="24"/>
          <w:szCs w:val="22"/>
        </w:rPr>
        <w:t>t</w:t>
      </w:r>
      <w:r w:rsidR="005125EC" w:rsidRPr="00B66840">
        <w:rPr>
          <w:rFonts w:asciiTheme="minorHAnsi" w:eastAsiaTheme="minorHAnsi" w:hAnsiTheme="minorHAnsi" w:cstheme="minorBidi"/>
          <w:snapToGrid/>
          <w:sz w:val="24"/>
          <w:szCs w:val="22"/>
        </w:rPr>
        <w:t>he market</w:t>
      </w:r>
      <w:r w:rsidRPr="00B66840">
        <w:rPr>
          <w:rFonts w:asciiTheme="minorHAnsi" w:eastAsiaTheme="minorHAnsi" w:hAnsiTheme="minorHAnsi" w:cstheme="minorBidi"/>
          <w:snapToGrid/>
          <w:sz w:val="24"/>
          <w:szCs w:val="22"/>
        </w:rPr>
        <w:t xml:space="preserve"> </w:t>
      </w:r>
      <w:r w:rsidR="005125EC" w:rsidRPr="00B66840">
        <w:rPr>
          <w:rFonts w:asciiTheme="minorHAnsi" w:eastAsiaTheme="minorHAnsi" w:hAnsiTheme="minorHAnsi" w:cstheme="minorBidi"/>
          <w:snapToGrid/>
          <w:sz w:val="24"/>
          <w:szCs w:val="22"/>
        </w:rPr>
        <w:t xml:space="preserve">share splits will not be equal for pembrolizumab </w:t>
      </w:r>
      <w:r w:rsidR="00B04B28" w:rsidRPr="00B66840">
        <w:rPr>
          <w:rFonts w:asciiTheme="minorHAnsi" w:eastAsiaTheme="minorHAnsi" w:hAnsiTheme="minorHAnsi" w:cstheme="minorBidi"/>
          <w:snapToGrid/>
          <w:sz w:val="24"/>
          <w:szCs w:val="22"/>
        </w:rPr>
        <w:t>and nivolumab across the adjuvant and metastatic settings, given the market share of pembrolizumab in the metastati</w:t>
      </w:r>
      <w:r w:rsidRPr="00B66840">
        <w:rPr>
          <w:rFonts w:asciiTheme="minorHAnsi" w:eastAsiaTheme="minorHAnsi" w:hAnsiTheme="minorHAnsi" w:cstheme="minorBidi"/>
          <w:snapToGrid/>
          <w:sz w:val="24"/>
          <w:szCs w:val="22"/>
        </w:rPr>
        <w:t xml:space="preserve">c setting was </w:t>
      </w:r>
      <w:r w:rsidR="00B04B28" w:rsidRPr="00B66840">
        <w:rPr>
          <w:rFonts w:asciiTheme="minorHAnsi" w:eastAsiaTheme="minorHAnsi" w:hAnsiTheme="minorHAnsi" w:cstheme="minorBidi"/>
          <w:snapToGrid/>
          <w:sz w:val="24"/>
          <w:szCs w:val="22"/>
        </w:rPr>
        <w:t xml:space="preserve">approximately </w:t>
      </w:r>
      <w:r w:rsidR="009D06E4">
        <w:rPr>
          <w:rFonts w:asciiTheme="minorHAnsi" w:eastAsiaTheme="minorHAnsi" w:hAnsiTheme="minorHAnsi" w:cstheme="minorBidi"/>
          <w:noProof/>
          <w:snapToGrid/>
          <w:color w:val="000000"/>
          <w:sz w:val="24"/>
          <w:szCs w:val="22"/>
          <w:highlight w:val="black"/>
        </w:rPr>
        <w:t>'''''</w:t>
      </w:r>
      <w:r w:rsidR="00B04B28" w:rsidRPr="00B66840">
        <w:rPr>
          <w:rFonts w:asciiTheme="minorHAnsi" w:eastAsiaTheme="minorHAnsi" w:hAnsiTheme="minorHAnsi" w:cstheme="minorBidi"/>
          <w:snapToGrid/>
          <w:sz w:val="24"/>
          <w:szCs w:val="22"/>
        </w:rPr>
        <w:t>% in the most recent RSA year. The sponsor states that an overall PD-1 inhibitor weighted price would assume a 50</w:t>
      </w:r>
      <w:r w:rsidRPr="00B66840">
        <w:rPr>
          <w:rFonts w:asciiTheme="minorHAnsi" w:eastAsiaTheme="minorHAnsi" w:hAnsiTheme="minorHAnsi" w:cstheme="minorBidi"/>
          <w:snapToGrid/>
          <w:sz w:val="24"/>
          <w:szCs w:val="22"/>
        </w:rPr>
        <w:t>%</w:t>
      </w:r>
      <w:r w:rsidR="00B04B28" w:rsidRPr="00B66840">
        <w:rPr>
          <w:rFonts w:asciiTheme="minorHAnsi" w:eastAsiaTheme="minorHAnsi" w:hAnsiTheme="minorHAnsi" w:cstheme="minorBidi"/>
          <w:snapToGrid/>
          <w:sz w:val="24"/>
          <w:szCs w:val="22"/>
        </w:rPr>
        <w:t>/50</w:t>
      </w:r>
      <w:r w:rsidRPr="00B66840">
        <w:rPr>
          <w:rFonts w:asciiTheme="minorHAnsi" w:eastAsiaTheme="minorHAnsi" w:hAnsiTheme="minorHAnsi" w:cstheme="minorBidi"/>
          <w:snapToGrid/>
          <w:sz w:val="24"/>
          <w:szCs w:val="22"/>
        </w:rPr>
        <w:t>%</w:t>
      </w:r>
      <w:r w:rsidR="00B04B28" w:rsidRPr="00B66840">
        <w:rPr>
          <w:rFonts w:asciiTheme="minorHAnsi" w:eastAsiaTheme="minorHAnsi" w:hAnsiTheme="minorHAnsi" w:cstheme="minorBidi"/>
          <w:snapToGrid/>
          <w:sz w:val="24"/>
          <w:szCs w:val="22"/>
        </w:rPr>
        <w:t xml:space="preserve"> market share split in both settings, undervaluing pembrolizumab;</w:t>
      </w:r>
    </w:p>
    <w:p w:rsidR="00B04B28" w:rsidRPr="00B66840" w:rsidRDefault="002C20FD" w:rsidP="00A02E65">
      <w:pPr>
        <w:pStyle w:val="ListParagraph"/>
        <w:widowControl/>
        <w:numPr>
          <w:ilvl w:val="1"/>
          <w:numId w:val="21"/>
        </w:numPr>
        <w:spacing w:before="120" w:after="160"/>
        <w:ind w:left="1077" w:hanging="357"/>
        <w:contextualSpacing w:val="0"/>
        <w:rPr>
          <w:rFonts w:asciiTheme="minorHAnsi" w:eastAsiaTheme="minorHAnsi" w:hAnsiTheme="minorHAnsi" w:cstheme="minorBidi"/>
          <w:snapToGrid/>
          <w:sz w:val="24"/>
          <w:szCs w:val="22"/>
        </w:rPr>
      </w:pPr>
      <w:r w:rsidRPr="00B66840">
        <w:rPr>
          <w:rFonts w:asciiTheme="minorHAnsi" w:eastAsiaTheme="minorHAnsi" w:hAnsiTheme="minorHAnsi" w:cstheme="minorBidi"/>
          <w:snapToGrid/>
          <w:sz w:val="24"/>
          <w:szCs w:val="22"/>
        </w:rPr>
        <w:t>n</w:t>
      </w:r>
      <w:r w:rsidR="00B04B28" w:rsidRPr="00B66840">
        <w:rPr>
          <w:rFonts w:asciiTheme="minorHAnsi" w:eastAsiaTheme="minorHAnsi" w:hAnsiTheme="minorHAnsi" w:cstheme="minorBidi"/>
          <w:snapToGrid/>
          <w:sz w:val="24"/>
          <w:szCs w:val="22"/>
        </w:rPr>
        <w:t xml:space="preserve">ivolumab has a large patient access program in the adjuvant setting, which will result in the market share being heavily weighted towards nivolumab in the first years of the new RSA, </w:t>
      </w:r>
      <w:r w:rsidRPr="00B66840">
        <w:rPr>
          <w:rFonts w:asciiTheme="minorHAnsi" w:eastAsiaTheme="minorHAnsi" w:hAnsiTheme="minorHAnsi" w:cstheme="minorBidi"/>
          <w:snapToGrid/>
          <w:sz w:val="24"/>
          <w:szCs w:val="22"/>
        </w:rPr>
        <w:t xml:space="preserve">and </w:t>
      </w:r>
      <w:r w:rsidR="00B04B28" w:rsidRPr="00B66840">
        <w:rPr>
          <w:rFonts w:asciiTheme="minorHAnsi" w:eastAsiaTheme="minorHAnsi" w:hAnsiTheme="minorHAnsi" w:cstheme="minorBidi"/>
          <w:snapToGrid/>
          <w:sz w:val="24"/>
          <w:szCs w:val="22"/>
        </w:rPr>
        <w:t>which is expected to continue throughout the RSA;</w:t>
      </w:r>
      <w:r w:rsidR="00A02E65" w:rsidRPr="00B66840">
        <w:rPr>
          <w:rFonts w:asciiTheme="minorHAnsi" w:eastAsiaTheme="minorHAnsi" w:hAnsiTheme="minorHAnsi" w:cstheme="minorBidi"/>
          <w:snapToGrid/>
          <w:sz w:val="24"/>
          <w:szCs w:val="22"/>
        </w:rPr>
        <w:t xml:space="preserve"> and</w:t>
      </w:r>
    </w:p>
    <w:p w:rsidR="00B04B28" w:rsidRPr="00B66840" w:rsidRDefault="002C20FD" w:rsidP="00A02E65">
      <w:pPr>
        <w:pStyle w:val="ListParagraph"/>
        <w:widowControl/>
        <w:numPr>
          <w:ilvl w:val="1"/>
          <w:numId w:val="21"/>
        </w:numPr>
        <w:spacing w:before="120" w:after="160"/>
        <w:ind w:left="1077" w:hanging="357"/>
        <w:contextualSpacing w:val="0"/>
        <w:rPr>
          <w:rFonts w:asciiTheme="minorHAnsi" w:eastAsiaTheme="minorHAnsi" w:hAnsiTheme="minorHAnsi" w:cstheme="minorBidi"/>
          <w:snapToGrid/>
          <w:sz w:val="24"/>
          <w:szCs w:val="22"/>
        </w:rPr>
      </w:pPr>
      <w:r w:rsidRPr="00B66840">
        <w:rPr>
          <w:rFonts w:asciiTheme="minorHAnsi" w:eastAsiaTheme="minorHAnsi" w:hAnsiTheme="minorHAnsi" w:cstheme="minorBidi"/>
          <w:snapToGrid/>
          <w:sz w:val="24"/>
          <w:szCs w:val="22"/>
        </w:rPr>
        <w:t>t</w:t>
      </w:r>
      <w:r w:rsidR="00B04B28" w:rsidRPr="00B66840">
        <w:rPr>
          <w:rFonts w:asciiTheme="minorHAnsi" w:eastAsiaTheme="minorHAnsi" w:hAnsiTheme="minorHAnsi" w:cstheme="minorBidi"/>
          <w:snapToGrid/>
          <w:sz w:val="24"/>
          <w:szCs w:val="22"/>
        </w:rPr>
        <w:t>he</w:t>
      </w:r>
      <w:r w:rsidRPr="00B66840">
        <w:rPr>
          <w:rFonts w:asciiTheme="minorHAnsi" w:eastAsiaTheme="minorHAnsi" w:hAnsiTheme="minorHAnsi" w:cstheme="minorBidi"/>
          <w:snapToGrid/>
          <w:sz w:val="24"/>
          <w:szCs w:val="22"/>
        </w:rPr>
        <w:t xml:space="preserve"> adjuvant </w:t>
      </w:r>
      <w:r w:rsidR="00B04B28" w:rsidRPr="00B66840">
        <w:rPr>
          <w:rFonts w:asciiTheme="minorHAnsi" w:eastAsiaTheme="minorHAnsi" w:hAnsiTheme="minorHAnsi" w:cstheme="minorBidi"/>
          <w:snapToGrid/>
          <w:sz w:val="24"/>
          <w:szCs w:val="22"/>
        </w:rPr>
        <w:t>nivolumab listing include</w:t>
      </w:r>
      <w:r w:rsidRPr="00B66840">
        <w:rPr>
          <w:rFonts w:asciiTheme="minorHAnsi" w:eastAsiaTheme="minorHAnsi" w:hAnsiTheme="minorHAnsi" w:cstheme="minorBidi"/>
          <w:snapToGrid/>
          <w:sz w:val="24"/>
          <w:szCs w:val="22"/>
        </w:rPr>
        <w:t>s</w:t>
      </w:r>
      <w:r w:rsidR="00B04B28" w:rsidRPr="00B66840">
        <w:rPr>
          <w:rFonts w:asciiTheme="minorHAnsi" w:eastAsiaTheme="minorHAnsi" w:hAnsiTheme="minorHAnsi" w:cstheme="minorBidi"/>
          <w:snapToGrid/>
          <w:sz w:val="24"/>
          <w:szCs w:val="22"/>
        </w:rPr>
        <w:t xml:space="preserve"> Stage IV patients </w:t>
      </w:r>
      <w:r w:rsidRPr="00B66840">
        <w:rPr>
          <w:rFonts w:asciiTheme="minorHAnsi" w:eastAsiaTheme="minorHAnsi" w:hAnsiTheme="minorHAnsi" w:cstheme="minorBidi"/>
          <w:snapToGrid/>
          <w:sz w:val="24"/>
          <w:szCs w:val="22"/>
        </w:rPr>
        <w:t>which will</w:t>
      </w:r>
      <w:r w:rsidR="00B04B28" w:rsidRPr="00B66840">
        <w:rPr>
          <w:rFonts w:asciiTheme="minorHAnsi" w:eastAsiaTheme="minorHAnsi" w:hAnsiTheme="minorHAnsi" w:cstheme="minorBidi"/>
          <w:snapToGrid/>
          <w:sz w:val="24"/>
          <w:szCs w:val="22"/>
        </w:rPr>
        <w:t xml:space="preserve"> also increas</w:t>
      </w:r>
      <w:r w:rsidRPr="00B66840">
        <w:rPr>
          <w:rFonts w:asciiTheme="minorHAnsi" w:eastAsiaTheme="minorHAnsi" w:hAnsiTheme="minorHAnsi" w:cstheme="minorBidi"/>
          <w:snapToGrid/>
          <w:sz w:val="24"/>
          <w:szCs w:val="22"/>
        </w:rPr>
        <w:t>e</w:t>
      </w:r>
      <w:r w:rsidR="00B04B28" w:rsidRPr="00B66840">
        <w:rPr>
          <w:rFonts w:asciiTheme="minorHAnsi" w:eastAsiaTheme="minorHAnsi" w:hAnsiTheme="minorHAnsi" w:cstheme="minorBidi"/>
          <w:snapToGrid/>
          <w:sz w:val="24"/>
          <w:szCs w:val="22"/>
        </w:rPr>
        <w:t xml:space="preserve"> its expected market share. </w:t>
      </w:r>
      <w:r w:rsidR="00A02E65" w:rsidRPr="00B66840">
        <w:rPr>
          <w:rFonts w:asciiTheme="minorHAnsi" w:eastAsiaTheme="minorHAnsi" w:hAnsiTheme="minorHAnsi" w:cstheme="minorBidi"/>
          <w:snapToGrid/>
          <w:sz w:val="24"/>
          <w:szCs w:val="22"/>
        </w:rPr>
        <w:t>The nivolumab submission estimated that 14% of the eli</w:t>
      </w:r>
      <w:r w:rsidR="00B04B28" w:rsidRPr="00B66840">
        <w:rPr>
          <w:rFonts w:asciiTheme="minorHAnsi" w:eastAsiaTheme="minorHAnsi" w:hAnsiTheme="minorHAnsi" w:cstheme="minorBidi"/>
          <w:snapToGrid/>
          <w:sz w:val="24"/>
          <w:szCs w:val="22"/>
        </w:rPr>
        <w:t xml:space="preserve">gible </w:t>
      </w:r>
      <w:r w:rsidR="00A02E65" w:rsidRPr="00B66840">
        <w:rPr>
          <w:rFonts w:asciiTheme="minorHAnsi" w:eastAsiaTheme="minorHAnsi" w:hAnsiTheme="minorHAnsi" w:cstheme="minorBidi"/>
          <w:snapToGrid/>
          <w:sz w:val="24"/>
          <w:szCs w:val="22"/>
        </w:rPr>
        <w:t xml:space="preserve">adjuvant </w:t>
      </w:r>
      <w:r w:rsidR="00B04B28" w:rsidRPr="00B66840">
        <w:rPr>
          <w:rFonts w:asciiTheme="minorHAnsi" w:eastAsiaTheme="minorHAnsi" w:hAnsiTheme="minorHAnsi" w:cstheme="minorBidi"/>
          <w:snapToGrid/>
          <w:sz w:val="24"/>
          <w:szCs w:val="22"/>
        </w:rPr>
        <w:t>population w</w:t>
      </w:r>
      <w:r w:rsidR="00A02E65" w:rsidRPr="00B66840">
        <w:rPr>
          <w:rFonts w:asciiTheme="minorHAnsi" w:eastAsiaTheme="minorHAnsi" w:hAnsiTheme="minorHAnsi" w:cstheme="minorBidi"/>
          <w:snapToGrid/>
          <w:sz w:val="24"/>
          <w:szCs w:val="22"/>
        </w:rPr>
        <w:t>ould have Stage IV disease (paragraph 6.43, nivolumab PSD, March 2019).</w:t>
      </w:r>
      <w:r w:rsidR="00B04B28" w:rsidRPr="00B66840">
        <w:rPr>
          <w:rFonts w:asciiTheme="minorHAnsi" w:eastAsiaTheme="minorHAnsi" w:hAnsiTheme="minorHAnsi" w:cstheme="minorBidi"/>
          <w:snapToGrid/>
          <w:sz w:val="24"/>
          <w:szCs w:val="22"/>
        </w:rPr>
        <w:t xml:space="preserve"> </w:t>
      </w:r>
    </w:p>
    <w:p w:rsidR="008C5971" w:rsidRPr="00B66840" w:rsidRDefault="00A02E65" w:rsidP="008C5971">
      <w:pPr>
        <w:pStyle w:val="ListParagraph"/>
        <w:widowControl/>
        <w:numPr>
          <w:ilvl w:val="1"/>
          <w:numId w:val="5"/>
        </w:numPr>
        <w:spacing w:before="120" w:after="160"/>
        <w:contextualSpacing w:val="0"/>
        <w:rPr>
          <w:rFonts w:asciiTheme="minorHAnsi" w:eastAsiaTheme="minorHAnsi" w:hAnsiTheme="minorHAnsi" w:cstheme="minorBidi"/>
          <w:snapToGrid/>
          <w:sz w:val="24"/>
          <w:szCs w:val="22"/>
        </w:rPr>
      </w:pPr>
      <w:r w:rsidRPr="00B66840">
        <w:rPr>
          <w:rFonts w:asciiTheme="minorHAnsi" w:eastAsiaTheme="minorHAnsi" w:hAnsiTheme="minorHAnsi" w:cstheme="minorBidi"/>
          <w:snapToGrid/>
          <w:sz w:val="24"/>
          <w:szCs w:val="22"/>
        </w:rPr>
        <w:t>Therefore, the sponsor request</w:t>
      </w:r>
      <w:r w:rsidR="002C20FD" w:rsidRPr="00B66840">
        <w:rPr>
          <w:rFonts w:asciiTheme="minorHAnsi" w:eastAsiaTheme="minorHAnsi" w:hAnsiTheme="minorHAnsi" w:cstheme="minorBidi"/>
          <w:snapToGrid/>
          <w:sz w:val="24"/>
          <w:szCs w:val="22"/>
        </w:rPr>
        <w:t>ed</w:t>
      </w:r>
      <w:r w:rsidRPr="00B66840">
        <w:rPr>
          <w:rFonts w:asciiTheme="minorHAnsi" w:eastAsiaTheme="minorHAnsi" w:hAnsiTheme="minorHAnsi" w:cstheme="minorBidi"/>
          <w:snapToGrid/>
          <w:sz w:val="24"/>
          <w:szCs w:val="22"/>
        </w:rPr>
        <w:t xml:space="preserve"> that the weighted price for pembrolizumab be product specific and represent an accurate forecast of the market share split between pembrolizumab and nivolumab. </w:t>
      </w:r>
    </w:p>
    <w:p w:rsidR="00CE0207" w:rsidRPr="00FF2A28" w:rsidRDefault="00DF08A8" w:rsidP="00E73C02">
      <w:pPr>
        <w:pStyle w:val="ListParagraph"/>
        <w:widowControl/>
        <w:numPr>
          <w:ilvl w:val="1"/>
          <w:numId w:val="5"/>
        </w:numPr>
        <w:spacing w:before="120" w:after="160"/>
        <w:contextualSpacing w:val="0"/>
        <w:rPr>
          <w:rFonts w:asciiTheme="minorHAnsi" w:eastAsiaTheme="minorHAnsi" w:hAnsiTheme="minorHAnsi" w:cstheme="minorBidi"/>
          <w:snapToGrid/>
          <w:sz w:val="24"/>
          <w:szCs w:val="22"/>
        </w:rPr>
      </w:pPr>
      <w:r w:rsidRPr="00B66840">
        <w:rPr>
          <w:rFonts w:asciiTheme="minorHAnsi" w:eastAsiaTheme="minorHAnsi" w:hAnsiTheme="minorHAnsi" w:cstheme="minorBidi"/>
          <w:snapToGrid/>
          <w:sz w:val="24"/>
          <w:szCs w:val="22"/>
        </w:rPr>
        <w:t xml:space="preserve">The PBAC recalled that when considering nivolumab in November 2019, it recommended that the weightings be based on </w:t>
      </w:r>
      <w:r w:rsidR="00B21F08">
        <w:rPr>
          <w:rFonts w:asciiTheme="minorHAnsi" w:eastAsiaTheme="minorHAnsi" w:hAnsiTheme="minorHAnsi" w:cstheme="minorBidi"/>
          <w:snapToGrid/>
          <w:sz w:val="24"/>
          <w:szCs w:val="22"/>
        </w:rPr>
        <w:t>estimated</w:t>
      </w:r>
      <w:r w:rsidR="00B21F08" w:rsidRPr="00B66840">
        <w:rPr>
          <w:rFonts w:asciiTheme="minorHAnsi" w:eastAsiaTheme="minorHAnsi" w:hAnsiTheme="minorHAnsi" w:cstheme="minorBidi"/>
          <w:snapToGrid/>
          <w:sz w:val="24"/>
          <w:szCs w:val="22"/>
        </w:rPr>
        <w:t xml:space="preserve"> </w:t>
      </w:r>
      <w:r w:rsidRPr="00B66840">
        <w:rPr>
          <w:rFonts w:asciiTheme="minorHAnsi" w:eastAsiaTheme="minorHAnsi" w:hAnsiTheme="minorHAnsi" w:cstheme="minorBidi"/>
          <w:snapToGrid/>
          <w:sz w:val="24"/>
          <w:szCs w:val="22"/>
        </w:rPr>
        <w:t xml:space="preserve">volumes, rather than estimated indication-specific expenditure </w:t>
      </w:r>
      <w:r w:rsidR="00BE435C" w:rsidRPr="00B66840">
        <w:rPr>
          <w:rFonts w:asciiTheme="minorHAnsi" w:eastAsiaTheme="minorHAnsi" w:hAnsiTheme="minorHAnsi" w:cstheme="minorBidi"/>
          <w:snapToGrid/>
          <w:sz w:val="24"/>
          <w:szCs w:val="22"/>
        </w:rPr>
        <w:t xml:space="preserve">as </w:t>
      </w:r>
      <w:r w:rsidRPr="00B66840">
        <w:rPr>
          <w:rFonts w:asciiTheme="minorHAnsi" w:eastAsiaTheme="minorHAnsi" w:hAnsiTheme="minorHAnsi" w:cstheme="minorBidi"/>
          <w:snapToGrid/>
          <w:sz w:val="24"/>
          <w:szCs w:val="22"/>
        </w:rPr>
        <w:t>that would result in a higher weighting for indications with higher effective prices</w:t>
      </w:r>
      <w:r w:rsidR="00BE435C" w:rsidRPr="00B66840">
        <w:rPr>
          <w:rFonts w:asciiTheme="minorHAnsi" w:eastAsiaTheme="minorHAnsi" w:hAnsiTheme="minorHAnsi" w:cstheme="minorBidi"/>
          <w:snapToGrid/>
          <w:sz w:val="24"/>
          <w:szCs w:val="22"/>
        </w:rPr>
        <w:t xml:space="preserve">. In addition, the weighted price for nivolumab </w:t>
      </w:r>
      <w:r w:rsidRPr="00B66840">
        <w:rPr>
          <w:rFonts w:asciiTheme="minorHAnsi" w:eastAsiaTheme="minorHAnsi" w:hAnsiTheme="minorHAnsi" w:cstheme="minorBidi"/>
          <w:snapToGrid/>
          <w:sz w:val="24"/>
          <w:szCs w:val="22"/>
        </w:rPr>
        <w:t>include</w:t>
      </w:r>
      <w:r w:rsidR="00BE435C" w:rsidRPr="00B66840">
        <w:rPr>
          <w:rFonts w:asciiTheme="minorHAnsi" w:eastAsiaTheme="minorHAnsi" w:hAnsiTheme="minorHAnsi" w:cstheme="minorBidi"/>
          <w:snapToGrid/>
          <w:sz w:val="24"/>
          <w:szCs w:val="22"/>
        </w:rPr>
        <w:t>d</w:t>
      </w:r>
      <w:r w:rsidRPr="00B66840">
        <w:rPr>
          <w:rFonts w:asciiTheme="minorHAnsi" w:eastAsiaTheme="minorHAnsi" w:hAnsiTheme="minorHAnsi" w:cstheme="minorBidi"/>
          <w:snapToGrid/>
          <w:sz w:val="24"/>
          <w:szCs w:val="22"/>
        </w:rPr>
        <w:t xml:space="preserve"> use in the first-line unresectable or metastatic setting for BRAF mutant patients</w:t>
      </w:r>
      <w:r w:rsidR="00BE435C" w:rsidRPr="00FF2A28">
        <w:rPr>
          <w:rFonts w:asciiTheme="minorHAnsi" w:eastAsiaTheme="minorHAnsi" w:hAnsiTheme="minorHAnsi" w:cstheme="minorBidi"/>
          <w:snapToGrid/>
          <w:sz w:val="24"/>
          <w:szCs w:val="22"/>
        </w:rPr>
        <w:t>.</w:t>
      </w:r>
    </w:p>
    <w:p w:rsidR="00FC3647" w:rsidRPr="00B66840" w:rsidRDefault="00A02E65" w:rsidP="00FC3647">
      <w:pPr>
        <w:pStyle w:val="Heading2"/>
        <w:keepLines/>
        <w:spacing w:before="240" w:after="120"/>
        <w:rPr>
          <w:rFonts w:asciiTheme="minorHAnsi" w:eastAsiaTheme="majorEastAsia" w:hAnsiTheme="minorHAnsi" w:cstheme="majorBidi"/>
          <w:sz w:val="28"/>
          <w:szCs w:val="28"/>
          <w:lang w:eastAsia="en-US"/>
        </w:rPr>
      </w:pPr>
      <w:r w:rsidRPr="00B66840">
        <w:rPr>
          <w:rFonts w:asciiTheme="minorHAnsi" w:eastAsiaTheme="majorEastAsia" w:hAnsiTheme="minorHAnsi" w:cstheme="majorBidi"/>
          <w:sz w:val="28"/>
          <w:szCs w:val="28"/>
          <w:lang w:eastAsia="en-US"/>
        </w:rPr>
        <w:t>Risk sharing arrangements</w:t>
      </w:r>
    </w:p>
    <w:p w:rsidR="00AD79B4" w:rsidRPr="00B66840" w:rsidRDefault="00C803C9" w:rsidP="00C803C9">
      <w:pPr>
        <w:pStyle w:val="ListParagraph"/>
        <w:widowControl/>
        <w:numPr>
          <w:ilvl w:val="1"/>
          <w:numId w:val="5"/>
        </w:numPr>
        <w:spacing w:after="120"/>
        <w:contextualSpacing w:val="0"/>
        <w:rPr>
          <w:rFonts w:asciiTheme="minorHAnsi" w:eastAsiaTheme="minorHAnsi" w:hAnsiTheme="minorHAnsi" w:cstheme="minorBidi"/>
          <w:snapToGrid/>
          <w:color w:val="000000" w:themeColor="text1"/>
          <w:sz w:val="24"/>
          <w:szCs w:val="22"/>
        </w:rPr>
      </w:pPr>
      <w:r w:rsidRPr="00B66840">
        <w:rPr>
          <w:rFonts w:asciiTheme="minorHAnsi" w:hAnsiTheme="minorHAnsi"/>
          <w:color w:val="000000" w:themeColor="text1"/>
          <w:sz w:val="24"/>
          <w:szCs w:val="24"/>
        </w:rPr>
        <w:t xml:space="preserve">The </w:t>
      </w:r>
      <w:r w:rsidR="00E96E1F" w:rsidRPr="00B66840">
        <w:rPr>
          <w:rFonts w:asciiTheme="minorHAnsi" w:hAnsiTheme="minorHAnsi"/>
          <w:color w:val="000000" w:themeColor="text1"/>
          <w:sz w:val="24"/>
          <w:szCs w:val="24"/>
        </w:rPr>
        <w:t>sponsor state</w:t>
      </w:r>
      <w:r w:rsidR="002C20FD" w:rsidRPr="00B66840">
        <w:rPr>
          <w:rFonts w:asciiTheme="minorHAnsi" w:hAnsiTheme="minorHAnsi"/>
          <w:color w:val="000000" w:themeColor="text1"/>
          <w:sz w:val="24"/>
          <w:szCs w:val="24"/>
        </w:rPr>
        <w:t>d</w:t>
      </w:r>
      <w:r w:rsidR="00E96E1F" w:rsidRPr="00B66840">
        <w:rPr>
          <w:rFonts w:asciiTheme="minorHAnsi" w:hAnsiTheme="minorHAnsi"/>
          <w:color w:val="000000" w:themeColor="text1"/>
          <w:sz w:val="24"/>
          <w:szCs w:val="24"/>
        </w:rPr>
        <w:t xml:space="preserve"> that they agree in principle to a joint </w:t>
      </w:r>
      <w:r w:rsidR="00AD79B4" w:rsidRPr="00B66840">
        <w:rPr>
          <w:rFonts w:asciiTheme="minorHAnsi" w:hAnsiTheme="minorHAnsi"/>
          <w:color w:val="000000" w:themeColor="text1"/>
          <w:sz w:val="24"/>
          <w:szCs w:val="24"/>
        </w:rPr>
        <w:t>RSA consisting of PD-1 inhibitor subsidisation caps across both the adjuvant and metastatic settings; however, raise the following concerns:</w:t>
      </w:r>
    </w:p>
    <w:p w:rsidR="00AD79B4" w:rsidRPr="00DE775E" w:rsidRDefault="00AD79B4" w:rsidP="00CC0A29">
      <w:pPr>
        <w:pStyle w:val="ListParagraph"/>
        <w:widowControl/>
        <w:numPr>
          <w:ilvl w:val="1"/>
          <w:numId w:val="22"/>
        </w:numPr>
        <w:spacing w:after="120"/>
        <w:ind w:left="1077" w:hanging="357"/>
        <w:contextualSpacing w:val="0"/>
        <w:rPr>
          <w:rFonts w:asciiTheme="minorHAnsi" w:eastAsiaTheme="minorHAnsi" w:hAnsiTheme="minorHAnsi" w:cstheme="minorBidi"/>
          <w:snapToGrid/>
          <w:color w:val="000000" w:themeColor="text1"/>
          <w:sz w:val="24"/>
          <w:szCs w:val="22"/>
        </w:rPr>
      </w:pPr>
      <w:r w:rsidRPr="00DE775E">
        <w:rPr>
          <w:rFonts w:asciiTheme="minorHAnsi" w:hAnsiTheme="minorHAnsi"/>
          <w:color w:val="000000" w:themeColor="text1"/>
          <w:sz w:val="24"/>
          <w:szCs w:val="24"/>
        </w:rPr>
        <w:t xml:space="preserve">the current caps do not appropriately account for existing PBS use and </w:t>
      </w:r>
      <w:r w:rsidR="002C20FD" w:rsidRPr="00DE775E">
        <w:rPr>
          <w:rFonts w:asciiTheme="minorHAnsi" w:hAnsiTheme="minorHAnsi"/>
          <w:color w:val="000000" w:themeColor="text1"/>
          <w:sz w:val="24"/>
          <w:szCs w:val="24"/>
        </w:rPr>
        <w:t xml:space="preserve">it is </w:t>
      </w:r>
      <w:r w:rsidRPr="00DE775E">
        <w:rPr>
          <w:rFonts w:asciiTheme="minorHAnsi" w:hAnsiTheme="minorHAnsi"/>
          <w:color w:val="000000" w:themeColor="text1"/>
          <w:sz w:val="24"/>
          <w:szCs w:val="24"/>
        </w:rPr>
        <w:t>estimate</w:t>
      </w:r>
      <w:r w:rsidR="002C20FD" w:rsidRPr="00DE775E">
        <w:rPr>
          <w:rFonts w:asciiTheme="minorHAnsi" w:hAnsiTheme="minorHAnsi"/>
          <w:color w:val="000000" w:themeColor="text1"/>
          <w:sz w:val="24"/>
          <w:szCs w:val="24"/>
        </w:rPr>
        <w:t>d</w:t>
      </w:r>
      <w:r w:rsidRPr="00DE775E">
        <w:rPr>
          <w:rFonts w:asciiTheme="minorHAnsi" w:hAnsiTheme="minorHAnsi"/>
          <w:color w:val="000000" w:themeColor="text1"/>
          <w:sz w:val="24"/>
          <w:szCs w:val="24"/>
        </w:rPr>
        <w:t xml:space="preserve"> that they will be exceeded in Year 5 of the deed </w:t>
      </w:r>
      <w:r w:rsidR="00DE775E" w:rsidRPr="00DE775E">
        <w:rPr>
          <w:rFonts w:asciiTheme="minorHAnsi" w:hAnsiTheme="minorHAnsi"/>
          <w:color w:val="000000" w:themeColor="text1"/>
          <w:sz w:val="24"/>
          <w:szCs w:val="24"/>
        </w:rPr>
        <w:t>within the financial range of less than $10 million</w:t>
      </w:r>
      <w:r w:rsidRPr="00DE775E">
        <w:rPr>
          <w:rFonts w:asciiTheme="minorHAnsi" w:hAnsiTheme="minorHAnsi"/>
          <w:color w:val="000000" w:themeColor="text1"/>
          <w:sz w:val="24"/>
          <w:szCs w:val="24"/>
        </w:rPr>
        <w:t>;</w:t>
      </w:r>
    </w:p>
    <w:p w:rsidR="00AD79B4" w:rsidRPr="00B66840" w:rsidRDefault="002C20FD" w:rsidP="00AD79B4">
      <w:pPr>
        <w:pStyle w:val="ListParagraph"/>
        <w:widowControl/>
        <w:numPr>
          <w:ilvl w:val="1"/>
          <w:numId w:val="22"/>
        </w:numPr>
        <w:spacing w:after="120"/>
        <w:ind w:left="1077" w:hanging="357"/>
        <w:contextualSpacing w:val="0"/>
        <w:rPr>
          <w:rFonts w:asciiTheme="minorHAnsi" w:eastAsiaTheme="minorHAnsi" w:hAnsiTheme="minorHAnsi" w:cstheme="minorBidi"/>
          <w:snapToGrid/>
          <w:color w:val="000000" w:themeColor="text1"/>
          <w:sz w:val="24"/>
          <w:szCs w:val="22"/>
        </w:rPr>
      </w:pPr>
      <w:r w:rsidRPr="00B66840">
        <w:rPr>
          <w:rFonts w:asciiTheme="minorHAnsi" w:hAnsiTheme="minorHAnsi"/>
          <w:color w:val="000000" w:themeColor="text1"/>
          <w:sz w:val="24"/>
          <w:szCs w:val="24"/>
        </w:rPr>
        <w:t>a</w:t>
      </w:r>
      <w:r w:rsidR="00AD79B4" w:rsidRPr="00B66840">
        <w:rPr>
          <w:rFonts w:asciiTheme="minorHAnsi" w:hAnsiTheme="minorHAnsi"/>
          <w:color w:val="000000" w:themeColor="text1"/>
          <w:sz w:val="24"/>
          <w:szCs w:val="24"/>
        </w:rPr>
        <w:t>ny new caps should include an adequate uplift to account for first-line use in the BRAF positive unresectable or metastatic population (considered by PBAC for nivolumab in November 2019 and for pembrolizumab in March 2020); and</w:t>
      </w:r>
    </w:p>
    <w:p w:rsidR="00AD79B4" w:rsidRPr="00B66840" w:rsidRDefault="002C20FD" w:rsidP="00AD79B4">
      <w:pPr>
        <w:pStyle w:val="ListParagraph"/>
        <w:widowControl/>
        <w:numPr>
          <w:ilvl w:val="1"/>
          <w:numId w:val="22"/>
        </w:numPr>
        <w:spacing w:after="120"/>
        <w:ind w:left="1077" w:hanging="357"/>
        <w:contextualSpacing w:val="0"/>
        <w:rPr>
          <w:rFonts w:asciiTheme="minorHAnsi" w:eastAsiaTheme="minorHAnsi" w:hAnsiTheme="minorHAnsi" w:cstheme="minorBidi"/>
          <w:snapToGrid/>
          <w:color w:val="000000" w:themeColor="text1"/>
          <w:sz w:val="24"/>
          <w:szCs w:val="22"/>
        </w:rPr>
      </w:pPr>
      <w:r w:rsidRPr="00B66840">
        <w:rPr>
          <w:rFonts w:asciiTheme="minorHAnsi" w:hAnsiTheme="minorHAnsi"/>
          <w:color w:val="000000" w:themeColor="text1"/>
          <w:sz w:val="24"/>
          <w:szCs w:val="24"/>
        </w:rPr>
        <w:t>a</w:t>
      </w:r>
      <w:r w:rsidR="00AD79B4" w:rsidRPr="00B66840">
        <w:rPr>
          <w:rFonts w:asciiTheme="minorHAnsi" w:hAnsiTheme="minorHAnsi"/>
          <w:color w:val="000000" w:themeColor="text1"/>
          <w:sz w:val="24"/>
          <w:szCs w:val="24"/>
        </w:rPr>
        <w:t>ny new caps should also account for adequate uplift due to adjuvant PD-1 usage.</w:t>
      </w:r>
    </w:p>
    <w:p w:rsidR="00FD7EFD" w:rsidRPr="00B66840" w:rsidRDefault="00FD7EFD" w:rsidP="00C803C9">
      <w:pPr>
        <w:pStyle w:val="ListParagraph"/>
        <w:widowControl/>
        <w:numPr>
          <w:ilvl w:val="1"/>
          <w:numId w:val="5"/>
        </w:numPr>
        <w:spacing w:after="120"/>
        <w:contextualSpacing w:val="0"/>
        <w:rPr>
          <w:rFonts w:asciiTheme="minorHAnsi" w:eastAsiaTheme="minorHAnsi" w:hAnsiTheme="minorHAnsi" w:cstheme="minorBidi"/>
          <w:snapToGrid/>
          <w:color w:val="000000" w:themeColor="text1"/>
          <w:sz w:val="24"/>
          <w:szCs w:val="22"/>
        </w:rPr>
      </w:pPr>
      <w:r w:rsidRPr="00B66840">
        <w:rPr>
          <w:rFonts w:asciiTheme="minorHAnsi" w:hAnsiTheme="minorHAnsi"/>
          <w:color w:val="000000" w:themeColor="text1"/>
          <w:sz w:val="24"/>
          <w:szCs w:val="24"/>
        </w:rPr>
        <w:t>The Secretariat notes that</w:t>
      </w:r>
      <w:r w:rsidR="00961784" w:rsidRPr="00B66840">
        <w:rPr>
          <w:rFonts w:asciiTheme="minorHAnsi" w:hAnsiTheme="minorHAnsi"/>
          <w:color w:val="000000" w:themeColor="text1"/>
          <w:sz w:val="24"/>
          <w:szCs w:val="24"/>
        </w:rPr>
        <w:t xml:space="preserve"> the PBAC reviewed the financial estimates </w:t>
      </w:r>
      <w:r w:rsidR="00BE435C" w:rsidRPr="00B66840">
        <w:rPr>
          <w:rFonts w:asciiTheme="minorHAnsi" w:hAnsiTheme="minorHAnsi"/>
          <w:color w:val="000000" w:themeColor="text1"/>
          <w:sz w:val="24"/>
          <w:szCs w:val="24"/>
        </w:rPr>
        <w:t xml:space="preserve">and proposed a revised RSA for the PD-1 inhibitors </w:t>
      </w:r>
      <w:r w:rsidR="00961784" w:rsidRPr="00B66840">
        <w:rPr>
          <w:rFonts w:asciiTheme="minorHAnsi" w:hAnsiTheme="minorHAnsi"/>
          <w:color w:val="000000" w:themeColor="text1"/>
          <w:sz w:val="24"/>
          <w:szCs w:val="24"/>
        </w:rPr>
        <w:t xml:space="preserve">as part of its consideration of the </w:t>
      </w:r>
      <w:r w:rsidR="003534FD" w:rsidRPr="00B66840">
        <w:rPr>
          <w:rFonts w:asciiTheme="minorHAnsi" w:hAnsiTheme="minorHAnsi"/>
          <w:color w:val="000000" w:themeColor="text1"/>
          <w:sz w:val="24"/>
          <w:szCs w:val="24"/>
        </w:rPr>
        <w:t xml:space="preserve">November 2019 submissions for </w:t>
      </w:r>
      <w:r w:rsidRPr="00B66840">
        <w:rPr>
          <w:rFonts w:asciiTheme="minorHAnsi" w:hAnsiTheme="minorHAnsi"/>
          <w:color w:val="000000" w:themeColor="text1"/>
          <w:sz w:val="24"/>
          <w:szCs w:val="24"/>
        </w:rPr>
        <w:t>nivolumab as adjuvant melanoma treatment and</w:t>
      </w:r>
      <w:r w:rsidR="003534FD" w:rsidRPr="00B66840">
        <w:rPr>
          <w:rFonts w:asciiTheme="minorHAnsi" w:hAnsiTheme="minorHAnsi"/>
          <w:color w:val="000000" w:themeColor="text1"/>
          <w:sz w:val="24"/>
          <w:szCs w:val="24"/>
        </w:rPr>
        <w:t xml:space="preserve"> </w:t>
      </w:r>
      <w:r w:rsidR="00AB4B01" w:rsidRPr="00B66840">
        <w:rPr>
          <w:rFonts w:asciiTheme="minorHAnsi" w:hAnsiTheme="minorHAnsi"/>
          <w:color w:val="000000" w:themeColor="text1"/>
          <w:sz w:val="24"/>
          <w:szCs w:val="24"/>
        </w:rPr>
        <w:t>nivolumab monotherapy and nivolumab in combination with ipilimumab for the first-line treatment of BRAF mutant patients with unresectable or metastatic melanoma</w:t>
      </w:r>
      <w:r w:rsidR="00B66840">
        <w:rPr>
          <w:rFonts w:asciiTheme="minorHAnsi" w:hAnsiTheme="minorHAnsi"/>
          <w:color w:val="000000" w:themeColor="text1"/>
          <w:sz w:val="24"/>
          <w:szCs w:val="24"/>
        </w:rPr>
        <w:t xml:space="preserve">. </w:t>
      </w:r>
    </w:p>
    <w:p w:rsidR="0039130A" w:rsidRPr="00FF2A28" w:rsidRDefault="0039130A" w:rsidP="0039130A">
      <w:pPr>
        <w:pStyle w:val="ListParagraph"/>
        <w:widowControl/>
        <w:spacing w:after="120"/>
        <w:contextualSpacing w:val="0"/>
        <w:rPr>
          <w:rFonts w:asciiTheme="minorHAnsi" w:eastAsiaTheme="minorHAnsi" w:hAnsiTheme="minorHAnsi" w:cstheme="minorBidi"/>
          <w:i/>
          <w:snapToGrid/>
          <w:color w:val="000000" w:themeColor="text1"/>
          <w:sz w:val="24"/>
          <w:szCs w:val="22"/>
        </w:rPr>
      </w:pPr>
      <w:r w:rsidRPr="00FF2A28">
        <w:rPr>
          <w:rFonts w:asciiTheme="minorHAnsi" w:hAnsiTheme="minorHAnsi"/>
          <w:i/>
          <w:color w:val="000000" w:themeColor="text1"/>
          <w:sz w:val="24"/>
          <w:szCs w:val="24"/>
        </w:rPr>
        <w:t>For more detail on PBAC’s view, see Section 4 PBAC outcome.</w:t>
      </w:r>
    </w:p>
    <w:p w:rsidR="0039130A" w:rsidRPr="0066042C" w:rsidRDefault="0039130A" w:rsidP="0066042C">
      <w:pPr>
        <w:pStyle w:val="Heading1"/>
        <w:keepNext/>
        <w:keepLines/>
        <w:widowControl/>
        <w:numPr>
          <w:ilvl w:val="0"/>
          <w:numId w:val="5"/>
        </w:numPr>
        <w:spacing w:before="240" w:after="120"/>
        <w:ind w:left="709" w:hanging="709"/>
        <w:contextualSpacing w:val="0"/>
        <w:jc w:val="left"/>
        <w:rPr>
          <w:rFonts w:asciiTheme="minorHAnsi" w:hAnsiTheme="minorHAnsi"/>
          <w:sz w:val="32"/>
          <w:szCs w:val="32"/>
        </w:rPr>
      </w:pPr>
      <w:r w:rsidRPr="0066042C">
        <w:rPr>
          <w:rFonts w:asciiTheme="minorHAnsi" w:hAnsiTheme="minorHAnsi"/>
          <w:sz w:val="32"/>
          <w:szCs w:val="32"/>
        </w:rPr>
        <w:t>PBAC Outcome</w:t>
      </w:r>
    </w:p>
    <w:p w:rsidR="005B54D1" w:rsidRPr="005D74E5" w:rsidRDefault="005B54D1" w:rsidP="005B54D1">
      <w:pPr>
        <w:widowControl w:val="0"/>
        <w:numPr>
          <w:ilvl w:val="1"/>
          <w:numId w:val="5"/>
        </w:numPr>
        <w:spacing w:after="120"/>
        <w:jc w:val="both"/>
        <w:rPr>
          <w:rFonts w:asciiTheme="minorHAnsi" w:hAnsiTheme="minorHAnsi" w:cstheme="minorHAnsi"/>
          <w:bCs/>
          <w:snapToGrid w:val="0"/>
        </w:rPr>
      </w:pPr>
      <w:r w:rsidRPr="00B66840">
        <w:rPr>
          <w:rFonts w:asciiTheme="minorHAnsi" w:hAnsiTheme="minorHAnsi" w:cstheme="minorHAnsi"/>
          <w:snapToGrid w:val="0"/>
        </w:rPr>
        <w:t>The PBAC recommended the listing of pembrolizumab as adjuvant treatment for patients who have had completely surgically resected Stage IIIB, IIIC or IIID malignant melanoma. The PBAC had previously deferred making a recommendation as it considered it appropriate for pembrolizumab to be listed on a cost-minimisation basis versus nivolumab. The PBAC noted that nivolumab was listed on the PBS on 1 March 2020</w:t>
      </w:r>
      <w:r w:rsidRPr="005D74E5">
        <w:rPr>
          <w:rFonts w:asciiTheme="minorHAnsi" w:hAnsiTheme="minorHAnsi" w:cs="Arial"/>
          <w:bCs/>
          <w:snapToGrid w:val="0"/>
        </w:rPr>
        <w:t>.</w:t>
      </w:r>
      <w:r w:rsidRPr="00B66840">
        <w:rPr>
          <w:rFonts w:asciiTheme="minorHAnsi" w:hAnsiTheme="minorHAnsi" w:cstheme="minorHAnsi"/>
          <w:snapToGrid w:val="0"/>
        </w:rPr>
        <w:t xml:space="preserve"> The PBAC considered that the uncertainty surrounding uptake in the adjuvant setting and changes to use in the unresectable or metastatic setting</w:t>
      </w:r>
      <w:r w:rsidR="001C0DA8" w:rsidRPr="00B66840">
        <w:rPr>
          <w:rFonts w:asciiTheme="minorHAnsi" w:hAnsiTheme="minorHAnsi" w:cstheme="minorHAnsi"/>
          <w:snapToGrid w:val="0"/>
        </w:rPr>
        <w:t xml:space="preserve"> (see item 6.03, March 2020 PBAC meeting)</w:t>
      </w:r>
      <w:r w:rsidRPr="00FF2A28">
        <w:rPr>
          <w:rFonts w:asciiTheme="minorHAnsi" w:hAnsiTheme="minorHAnsi" w:cstheme="minorHAnsi"/>
          <w:snapToGrid w:val="0"/>
        </w:rPr>
        <w:t xml:space="preserve"> could be managed by subsidisation caps through a risk sharing arrangement and recommended that pembrolizumab join the arrangement agreed for nivolumab</w:t>
      </w:r>
      <w:r w:rsidR="00B21F08">
        <w:rPr>
          <w:rFonts w:asciiTheme="minorHAnsi" w:hAnsiTheme="minorHAnsi" w:cstheme="minorHAnsi"/>
          <w:snapToGrid w:val="0"/>
        </w:rPr>
        <w:t xml:space="preserve"> for melanoma</w:t>
      </w:r>
      <w:r w:rsidRPr="00FF2A28">
        <w:rPr>
          <w:rFonts w:asciiTheme="minorHAnsi" w:hAnsiTheme="minorHAnsi" w:cstheme="minorHAnsi"/>
          <w:snapToGrid w:val="0"/>
        </w:rPr>
        <w:t xml:space="preserve">, which reflected likely use across both settings. </w:t>
      </w:r>
    </w:p>
    <w:p w:rsidR="00DF01B8" w:rsidRPr="005D74E5" w:rsidRDefault="00DF01B8" w:rsidP="00DF01B8">
      <w:pPr>
        <w:widowControl w:val="0"/>
        <w:numPr>
          <w:ilvl w:val="1"/>
          <w:numId w:val="5"/>
        </w:numPr>
        <w:spacing w:after="120"/>
        <w:jc w:val="both"/>
        <w:rPr>
          <w:rFonts w:asciiTheme="minorHAnsi" w:hAnsiTheme="minorHAnsi" w:cs="Arial"/>
          <w:bCs/>
          <w:snapToGrid w:val="0"/>
        </w:rPr>
      </w:pPr>
      <w:r w:rsidRPr="005D74E5">
        <w:rPr>
          <w:rFonts w:asciiTheme="minorHAnsi" w:hAnsiTheme="minorHAnsi" w:cs="Arial"/>
          <w:bCs/>
          <w:snapToGrid w:val="0"/>
        </w:rPr>
        <w:t xml:space="preserve">The PBAC considered that the equi-effective doses </w:t>
      </w:r>
      <w:r w:rsidR="008F5F95" w:rsidRPr="005D74E5">
        <w:rPr>
          <w:rFonts w:asciiTheme="minorHAnsi" w:hAnsiTheme="minorHAnsi" w:cs="Arial"/>
          <w:bCs/>
          <w:snapToGrid w:val="0"/>
        </w:rPr>
        <w:t xml:space="preserve">of pembrolizumab and nivolumab in the cost-minimisation analysis </w:t>
      </w:r>
      <w:r w:rsidRPr="005D74E5">
        <w:rPr>
          <w:rFonts w:asciiTheme="minorHAnsi" w:hAnsiTheme="minorHAnsi" w:cs="Arial"/>
          <w:bCs/>
          <w:snapToGrid w:val="0"/>
        </w:rPr>
        <w:t>w</w:t>
      </w:r>
      <w:r w:rsidR="008F5F95" w:rsidRPr="005D74E5">
        <w:rPr>
          <w:rFonts w:asciiTheme="minorHAnsi" w:hAnsiTheme="minorHAnsi" w:cs="Arial"/>
          <w:bCs/>
          <w:snapToGrid w:val="0"/>
        </w:rPr>
        <w:t>ould be</w:t>
      </w:r>
      <w:r w:rsidRPr="005D74E5">
        <w:rPr>
          <w:rFonts w:asciiTheme="minorHAnsi" w:hAnsiTheme="minorHAnsi" w:cs="Arial"/>
          <w:bCs/>
          <w:snapToGrid w:val="0"/>
        </w:rPr>
        <w:t>:</w:t>
      </w:r>
    </w:p>
    <w:p w:rsidR="00DF01B8" w:rsidRPr="005D74E5" w:rsidRDefault="00DF01B8" w:rsidP="00DF01B8">
      <w:pPr>
        <w:widowControl w:val="0"/>
        <w:spacing w:after="120"/>
        <w:ind w:left="1440"/>
        <w:jc w:val="both"/>
        <w:rPr>
          <w:rFonts w:asciiTheme="minorHAnsi" w:hAnsiTheme="minorHAnsi" w:cs="Arial"/>
          <w:bCs/>
          <w:snapToGrid w:val="0"/>
        </w:rPr>
      </w:pPr>
      <w:r w:rsidRPr="005D74E5">
        <w:rPr>
          <w:rFonts w:asciiTheme="minorHAnsi" w:hAnsiTheme="minorHAnsi" w:cs="Arial"/>
          <w:bCs/>
          <w:snapToGrid w:val="0"/>
        </w:rPr>
        <w:t xml:space="preserve">Pembrolizumab 200 mg every 3 weeks = Nivolumab </w:t>
      </w:r>
      <w:r w:rsidR="007C72B9">
        <w:rPr>
          <w:rFonts w:asciiTheme="minorHAnsi" w:hAnsiTheme="minorHAnsi" w:cs="Arial"/>
          <w:bCs/>
          <w:snapToGrid w:val="0"/>
        </w:rPr>
        <w:t xml:space="preserve">360 </w:t>
      </w:r>
      <w:r w:rsidRPr="005D74E5">
        <w:rPr>
          <w:rFonts w:asciiTheme="minorHAnsi" w:hAnsiTheme="minorHAnsi" w:cs="Arial"/>
          <w:bCs/>
          <w:snapToGrid w:val="0"/>
        </w:rPr>
        <w:t xml:space="preserve">mg every </w:t>
      </w:r>
      <w:r w:rsidR="007C72B9">
        <w:rPr>
          <w:rFonts w:asciiTheme="minorHAnsi" w:hAnsiTheme="minorHAnsi" w:cs="Arial"/>
          <w:bCs/>
          <w:snapToGrid w:val="0"/>
        </w:rPr>
        <w:t>3</w:t>
      </w:r>
      <w:r w:rsidRPr="005D74E5">
        <w:rPr>
          <w:rFonts w:asciiTheme="minorHAnsi" w:hAnsiTheme="minorHAnsi" w:cs="Arial"/>
          <w:bCs/>
          <w:snapToGrid w:val="0"/>
        </w:rPr>
        <w:t xml:space="preserve"> weeks </w:t>
      </w:r>
    </w:p>
    <w:p w:rsidR="00DF01B8" w:rsidRPr="005D74E5" w:rsidRDefault="00DF01B8" w:rsidP="00DF01B8">
      <w:pPr>
        <w:widowControl w:val="0"/>
        <w:numPr>
          <w:ilvl w:val="1"/>
          <w:numId w:val="5"/>
        </w:numPr>
        <w:spacing w:after="120"/>
        <w:jc w:val="both"/>
        <w:rPr>
          <w:rFonts w:asciiTheme="minorHAnsi" w:hAnsiTheme="minorHAnsi" w:cs="Arial"/>
          <w:bCs/>
          <w:snapToGrid w:val="0"/>
        </w:rPr>
      </w:pPr>
      <w:r w:rsidRPr="005D74E5">
        <w:rPr>
          <w:rFonts w:asciiTheme="minorHAnsi" w:hAnsiTheme="minorHAnsi" w:cs="Arial"/>
          <w:bCs/>
          <w:snapToGrid w:val="0"/>
        </w:rPr>
        <w:t>The PBAC considered that as adjuvant therapy with both treatment is a fixed 12 month course, it was reasonable for the equi-effective doses to not reflect the mean treatment duration from the trials.</w:t>
      </w:r>
    </w:p>
    <w:p w:rsidR="001274EF" w:rsidRPr="005D74E5" w:rsidRDefault="00AB512A" w:rsidP="00DF01B8">
      <w:pPr>
        <w:widowControl w:val="0"/>
        <w:numPr>
          <w:ilvl w:val="1"/>
          <w:numId w:val="5"/>
        </w:numPr>
        <w:spacing w:after="120"/>
        <w:jc w:val="both"/>
        <w:rPr>
          <w:rFonts w:asciiTheme="minorHAnsi" w:hAnsiTheme="minorHAnsi" w:cs="Arial"/>
          <w:bCs/>
          <w:snapToGrid w:val="0"/>
        </w:rPr>
      </w:pPr>
      <w:r w:rsidRPr="00B66840">
        <w:rPr>
          <w:rFonts w:asciiTheme="minorHAnsi" w:eastAsiaTheme="minorHAnsi" w:hAnsiTheme="minorHAnsi" w:cstheme="minorBidi"/>
          <w:color w:val="000000" w:themeColor="text1"/>
          <w:szCs w:val="22"/>
        </w:rPr>
        <w:t xml:space="preserve">The PBAC recalled that </w:t>
      </w:r>
      <w:r w:rsidR="00D3152E" w:rsidRPr="00B66840">
        <w:rPr>
          <w:rFonts w:asciiTheme="minorHAnsi" w:eastAsiaTheme="minorHAnsi" w:hAnsiTheme="minorHAnsi" w:cstheme="minorBidi"/>
          <w:color w:val="000000" w:themeColor="text1"/>
          <w:szCs w:val="22"/>
        </w:rPr>
        <w:t>in consider</w:t>
      </w:r>
      <w:r w:rsidR="008F5F95" w:rsidRPr="00B66840">
        <w:rPr>
          <w:rFonts w:asciiTheme="minorHAnsi" w:eastAsiaTheme="minorHAnsi" w:hAnsiTheme="minorHAnsi" w:cstheme="minorBidi"/>
          <w:color w:val="000000" w:themeColor="text1"/>
          <w:szCs w:val="22"/>
        </w:rPr>
        <w:t xml:space="preserve">ing </w:t>
      </w:r>
      <w:r w:rsidR="00D6197D" w:rsidRPr="00B66840">
        <w:rPr>
          <w:rFonts w:asciiTheme="minorHAnsi" w:eastAsiaTheme="minorHAnsi" w:hAnsiTheme="minorHAnsi" w:cstheme="minorBidi"/>
          <w:color w:val="000000" w:themeColor="text1"/>
          <w:szCs w:val="22"/>
        </w:rPr>
        <w:t xml:space="preserve">the </w:t>
      </w:r>
      <w:r w:rsidR="00D3152E" w:rsidRPr="00FF2A28">
        <w:rPr>
          <w:rFonts w:asciiTheme="minorHAnsi" w:eastAsiaTheme="minorHAnsi" w:hAnsiTheme="minorHAnsi" w:cstheme="minorBidi"/>
          <w:color w:val="000000" w:themeColor="text1"/>
          <w:szCs w:val="22"/>
        </w:rPr>
        <w:t xml:space="preserve">nivolumab </w:t>
      </w:r>
      <w:r w:rsidR="00D6197D" w:rsidRPr="00FF2A28">
        <w:rPr>
          <w:rFonts w:asciiTheme="minorHAnsi" w:eastAsiaTheme="minorHAnsi" w:hAnsiTheme="minorHAnsi" w:cstheme="minorBidi"/>
          <w:color w:val="000000" w:themeColor="text1"/>
          <w:szCs w:val="22"/>
        </w:rPr>
        <w:t>submiss</w:t>
      </w:r>
      <w:r w:rsidR="00D6197D" w:rsidRPr="00B66840">
        <w:rPr>
          <w:rFonts w:asciiTheme="minorHAnsi" w:eastAsiaTheme="minorHAnsi" w:hAnsiTheme="minorHAnsi" w:cstheme="minorBidi"/>
          <w:color w:val="000000" w:themeColor="text1"/>
          <w:szCs w:val="22"/>
        </w:rPr>
        <w:t xml:space="preserve">ions </w:t>
      </w:r>
      <w:r w:rsidR="00D3152E" w:rsidRPr="00B66840">
        <w:rPr>
          <w:rFonts w:asciiTheme="minorHAnsi" w:eastAsiaTheme="minorHAnsi" w:hAnsiTheme="minorHAnsi" w:cstheme="minorBidi"/>
          <w:color w:val="000000" w:themeColor="text1"/>
          <w:szCs w:val="22"/>
        </w:rPr>
        <w:t xml:space="preserve">in November 2019 it recommended that the weighted price of nivolumab be based on the </w:t>
      </w:r>
      <w:r w:rsidR="00B21F08">
        <w:rPr>
          <w:rFonts w:asciiTheme="minorHAnsi" w:eastAsiaTheme="minorHAnsi" w:hAnsiTheme="minorHAnsi" w:cstheme="minorBidi"/>
          <w:color w:val="000000" w:themeColor="text1"/>
          <w:szCs w:val="22"/>
        </w:rPr>
        <w:t>estimated</w:t>
      </w:r>
      <w:r w:rsidR="00B21F08" w:rsidRPr="00B66840">
        <w:rPr>
          <w:rFonts w:asciiTheme="minorHAnsi" w:eastAsiaTheme="minorHAnsi" w:hAnsiTheme="minorHAnsi" w:cstheme="minorBidi"/>
          <w:color w:val="000000" w:themeColor="text1"/>
          <w:szCs w:val="22"/>
        </w:rPr>
        <w:t xml:space="preserve"> </w:t>
      </w:r>
      <w:r w:rsidR="00D3152E" w:rsidRPr="00B66840">
        <w:rPr>
          <w:rFonts w:asciiTheme="minorHAnsi" w:eastAsiaTheme="minorHAnsi" w:hAnsiTheme="minorHAnsi" w:cstheme="minorBidi"/>
          <w:color w:val="000000" w:themeColor="text1"/>
          <w:szCs w:val="22"/>
        </w:rPr>
        <w:t xml:space="preserve">volume for each indication, and that the weighted price be updated to include extended use in the first-line unresectable or metastatic setting for BRAF mutant patients. </w:t>
      </w:r>
      <w:r w:rsidR="001F733D" w:rsidRPr="00B66840">
        <w:rPr>
          <w:rFonts w:asciiTheme="minorHAnsi" w:eastAsiaTheme="minorHAnsi" w:hAnsiTheme="minorHAnsi" w:cstheme="minorBidi"/>
          <w:color w:val="000000" w:themeColor="text1"/>
          <w:szCs w:val="22"/>
        </w:rPr>
        <w:t>As the r</w:t>
      </w:r>
      <w:r w:rsidRPr="00B66840">
        <w:rPr>
          <w:rFonts w:asciiTheme="minorHAnsi" w:eastAsiaTheme="minorHAnsi" w:hAnsiTheme="minorHAnsi" w:cstheme="minorBidi"/>
          <w:color w:val="000000" w:themeColor="text1"/>
          <w:szCs w:val="22"/>
        </w:rPr>
        <w:t xml:space="preserve">ecommended </w:t>
      </w:r>
      <w:r w:rsidR="007F7273" w:rsidRPr="00B66840">
        <w:rPr>
          <w:rFonts w:asciiTheme="minorHAnsi" w:eastAsiaTheme="minorHAnsi" w:hAnsiTheme="minorHAnsi" w:cstheme="minorBidi"/>
          <w:color w:val="000000" w:themeColor="text1"/>
          <w:szCs w:val="22"/>
        </w:rPr>
        <w:t>weigh</w:t>
      </w:r>
      <w:r w:rsidRPr="00B66840">
        <w:rPr>
          <w:rFonts w:asciiTheme="minorHAnsi" w:eastAsiaTheme="minorHAnsi" w:hAnsiTheme="minorHAnsi" w:cstheme="minorBidi"/>
          <w:color w:val="000000" w:themeColor="text1"/>
          <w:szCs w:val="22"/>
        </w:rPr>
        <w:t xml:space="preserve">ted nivolumab price </w:t>
      </w:r>
      <w:r w:rsidR="001F733D" w:rsidRPr="00B66840">
        <w:rPr>
          <w:rFonts w:asciiTheme="minorHAnsi" w:eastAsiaTheme="minorHAnsi" w:hAnsiTheme="minorHAnsi" w:cstheme="minorBidi"/>
          <w:color w:val="000000" w:themeColor="text1"/>
          <w:szCs w:val="22"/>
        </w:rPr>
        <w:t>was</w:t>
      </w:r>
      <w:r w:rsidRPr="00B66840">
        <w:rPr>
          <w:rFonts w:asciiTheme="minorHAnsi" w:eastAsiaTheme="minorHAnsi" w:hAnsiTheme="minorHAnsi" w:cstheme="minorBidi"/>
          <w:color w:val="000000" w:themeColor="text1"/>
          <w:szCs w:val="22"/>
        </w:rPr>
        <w:t xml:space="preserve"> based on </w:t>
      </w:r>
      <w:r w:rsidR="001274EF" w:rsidRPr="00B66840">
        <w:rPr>
          <w:rFonts w:asciiTheme="minorHAnsi" w:eastAsiaTheme="minorHAnsi" w:hAnsiTheme="minorHAnsi" w:cstheme="minorBidi"/>
          <w:color w:val="000000" w:themeColor="text1"/>
          <w:szCs w:val="22"/>
        </w:rPr>
        <w:t>the total number of patients expected to be treated with a PD-1 inhibitor in each setting</w:t>
      </w:r>
      <w:r w:rsidRPr="00B66840">
        <w:rPr>
          <w:rFonts w:asciiTheme="minorHAnsi" w:eastAsiaTheme="minorHAnsi" w:hAnsiTheme="minorHAnsi" w:cstheme="minorBidi"/>
          <w:color w:val="000000" w:themeColor="text1"/>
          <w:szCs w:val="22"/>
        </w:rPr>
        <w:t xml:space="preserve"> (BRAF mutant adjuvant, BRAF wild type adjuvant, BRAF mutant unresectable and BRAF wild type unresectable)</w:t>
      </w:r>
      <w:r w:rsidR="007F7273" w:rsidRPr="00B66840">
        <w:rPr>
          <w:rFonts w:asciiTheme="minorHAnsi" w:eastAsiaTheme="minorHAnsi" w:hAnsiTheme="minorHAnsi" w:cstheme="minorBidi"/>
          <w:color w:val="000000" w:themeColor="text1"/>
          <w:szCs w:val="22"/>
        </w:rPr>
        <w:t xml:space="preserve"> </w:t>
      </w:r>
      <w:r w:rsidR="001F733D" w:rsidRPr="00B66840">
        <w:rPr>
          <w:rFonts w:asciiTheme="minorHAnsi" w:eastAsiaTheme="minorHAnsi" w:hAnsiTheme="minorHAnsi" w:cstheme="minorBidi"/>
          <w:color w:val="000000" w:themeColor="text1"/>
          <w:szCs w:val="22"/>
        </w:rPr>
        <w:t>it d</w:t>
      </w:r>
      <w:r w:rsidRPr="00B66840">
        <w:rPr>
          <w:rFonts w:asciiTheme="minorHAnsi" w:eastAsiaTheme="minorHAnsi" w:hAnsiTheme="minorHAnsi" w:cstheme="minorBidi"/>
          <w:color w:val="000000" w:themeColor="text1"/>
          <w:szCs w:val="22"/>
        </w:rPr>
        <w:t>id not incorporate differences in market share by setting for each specific PD-1 inhibitor</w:t>
      </w:r>
      <w:r w:rsidR="001274EF" w:rsidRPr="00B66840">
        <w:rPr>
          <w:rFonts w:asciiTheme="minorHAnsi" w:eastAsiaTheme="minorHAnsi" w:hAnsiTheme="minorHAnsi" w:cstheme="minorBidi"/>
          <w:color w:val="000000" w:themeColor="text1"/>
          <w:szCs w:val="22"/>
        </w:rPr>
        <w:t xml:space="preserve">. </w:t>
      </w:r>
      <w:r w:rsidR="001F733D" w:rsidRPr="00B66840">
        <w:rPr>
          <w:rFonts w:asciiTheme="minorHAnsi" w:eastAsiaTheme="minorHAnsi" w:hAnsiTheme="minorHAnsi" w:cstheme="minorBidi"/>
          <w:color w:val="000000" w:themeColor="text1"/>
          <w:szCs w:val="22"/>
        </w:rPr>
        <w:t xml:space="preserve">Noting that the extension of the restriction for pembrolizumab to include BRAF mutant patients in the unresectable or metastatic setting was recommended at the March 2020 meeting, the PBAC </w:t>
      </w:r>
      <w:r w:rsidR="00BE435C" w:rsidRPr="00B66840">
        <w:rPr>
          <w:rFonts w:asciiTheme="minorHAnsi" w:eastAsiaTheme="minorHAnsi" w:hAnsiTheme="minorHAnsi" w:cstheme="minorBidi"/>
          <w:color w:val="000000" w:themeColor="text1"/>
          <w:szCs w:val="22"/>
        </w:rPr>
        <w:t xml:space="preserve">recommended </w:t>
      </w:r>
      <w:r w:rsidR="001F733D" w:rsidRPr="00B66840">
        <w:rPr>
          <w:rFonts w:asciiTheme="minorHAnsi" w:eastAsiaTheme="minorHAnsi" w:hAnsiTheme="minorHAnsi" w:cstheme="minorBidi"/>
          <w:color w:val="000000" w:themeColor="text1"/>
          <w:szCs w:val="22"/>
        </w:rPr>
        <w:t xml:space="preserve">that pembrolizumab be cost-minimised to the weighted price of nivolumab. </w:t>
      </w:r>
    </w:p>
    <w:p w:rsidR="00AB512A" w:rsidRPr="004E1109" w:rsidRDefault="00D6197D" w:rsidP="00DF01B8">
      <w:pPr>
        <w:widowControl w:val="0"/>
        <w:numPr>
          <w:ilvl w:val="1"/>
          <w:numId w:val="5"/>
        </w:numPr>
        <w:spacing w:after="120"/>
        <w:jc w:val="both"/>
        <w:rPr>
          <w:rFonts w:asciiTheme="minorHAnsi" w:hAnsiTheme="minorHAnsi" w:cs="Arial"/>
          <w:bCs/>
          <w:snapToGrid w:val="0"/>
        </w:rPr>
      </w:pPr>
      <w:r w:rsidRPr="00B66840">
        <w:rPr>
          <w:rFonts w:asciiTheme="minorHAnsi" w:eastAsiaTheme="minorHAnsi" w:hAnsiTheme="minorHAnsi" w:cstheme="minorBidi"/>
          <w:color w:val="000000" w:themeColor="text1"/>
          <w:szCs w:val="22"/>
        </w:rPr>
        <w:t xml:space="preserve">The PBAC recalled that it reviewed the RSA of the PD-1 inhibitors across the adjuvant and unresectable or metastatic </w:t>
      </w:r>
      <w:r w:rsidR="00A83D64" w:rsidRPr="00B66840">
        <w:rPr>
          <w:rFonts w:asciiTheme="minorHAnsi" w:eastAsiaTheme="minorHAnsi" w:hAnsiTheme="minorHAnsi" w:cstheme="minorBidi"/>
          <w:color w:val="000000" w:themeColor="text1"/>
          <w:szCs w:val="22"/>
        </w:rPr>
        <w:t xml:space="preserve">melanoma </w:t>
      </w:r>
      <w:r w:rsidRPr="00B66840">
        <w:rPr>
          <w:rFonts w:asciiTheme="minorHAnsi" w:eastAsiaTheme="minorHAnsi" w:hAnsiTheme="minorHAnsi" w:cstheme="minorBidi"/>
          <w:color w:val="000000" w:themeColor="text1"/>
          <w:szCs w:val="22"/>
        </w:rPr>
        <w:t xml:space="preserve">settings as part of its consideration of the November 2019 </w:t>
      </w:r>
      <w:r w:rsidR="00740FC4" w:rsidRPr="00FF2A28">
        <w:rPr>
          <w:rFonts w:asciiTheme="minorHAnsi" w:eastAsiaTheme="minorHAnsi" w:hAnsiTheme="minorHAnsi" w:cstheme="minorBidi"/>
          <w:color w:val="000000" w:themeColor="text1"/>
          <w:szCs w:val="22"/>
        </w:rPr>
        <w:t xml:space="preserve">nivolumab </w:t>
      </w:r>
      <w:r w:rsidRPr="00FF2A28">
        <w:rPr>
          <w:rFonts w:asciiTheme="minorHAnsi" w:eastAsiaTheme="minorHAnsi" w:hAnsiTheme="minorHAnsi" w:cstheme="minorBidi"/>
          <w:color w:val="000000" w:themeColor="text1"/>
          <w:szCs w:val="22"/>
        </w:rPr>
        <w:t xml:space="preserve">submissions. The PBAC noted that the accepted RSA </w:t>
      </w:r>
      <w:r w:rsidRPr="004E1109">
        <w:rPr>
          <w:rFonts w:asciiTheme="minorHAnsi" w:eastAsiaTheme="minorHAnsi" w:hAnsiTheme="minorHAnsi" w:cstheme="minorBidi"/>
          <w:color w:val="000000" w:themeColor="text1"/>
          <w:szCs w:val="22"/>
        </w:rPr>
        <w:t xml:space="preserve">encompassed the entire melanoma market and consisted of subsidisation caps beyond which 100% rebates would apply. The PBAC </w:t>
      </w:r>
      <w:r w:rsidR="00BE435C" w:rsidRPr="004E1109">
        <w:rPr>
          <w:rFonts w:asciiTheme="minorHAnsi" w:eastAsiaTheme="minorHAnsi" w:hAnsiTheme="minorHAnsi" w:cstheme="minorBidi"/>
          <w:color w:val="000000" w:themeColor="text1"/>
          <w:szCs w:val="22"/>
        </w:rPr>
        <w:t>recommended</w:t>
      </w:r>
      <w:r w:rsidRPr="004E1109">
        <w:rPr>
          <w:rFonts w:asciiTheme="minorHAnsi" w:eastAsiaTheme="minorHAnsi" w:hAnsiTheme="minorHAnsi" w:cstheme="minorBidi"/>
          <w:color w:val="000000" w:themeColor="text1"/>
          <w:szCs w:val="22"/>
        </w:rPr>
        <w:t xml:space="preserve"> that pembrolizumab join the revised RS</w:t>
      </w:r>
      <w:r w:rsidR="00740FC4" w:rsidRPr="004E1109">
        <w:rPr>
          <w:rFonts w:asciiTheme="minorHAnsi" w:eastAsiaTheme="minorHAnsi" w:hAnsiTheme="minorHAnsi" w:cstheme="minorBidi"/>
          <w:color w:val="000000" w:themeColor="text1"/>
          <w:szCs w:val="22"/>
        </w:rPr>
        <w:t>A.</w:t>
      </w:r>
      <w:r w:rsidR="009D06E4">
        <w:rPr>
          <w:rFonts w:asciiTheme="minorHAnsi" w:eastAsiaTheme="minorHAnsi" w:hAnsiTheme="minorHAnsi" w:cstheme="minorBidi"/>
          <w:noProof/>
          <w:color w:val="000000"/>
          <w:szCs w:val="22"/>
          <w:highlight w:val="black"/>
        </w:rPr>
        <w:t xml:space="preserve"> </w:t>
      </w:r>
    </w:p>
    <w:p w:rsidR="004E1109" w:rsidRPr="004E1109" w:rsidRDefault="004E1109" w:rsidP="0058326C">
      <w:pPr>
        <w:widowControl w:val="0"/>
        <w:numPr>
          <w:ilvl w:val="1"/>
          <w:numId w:val="5"/>
        </w:numPr>
        <w:spacing w:after="120"/>
        <w:jc w:val="both"/>
        <w:rPr>
          <w:rFonts w:asciiTheme="minorHAnsi" w:hAnsiTheme="minorHAnsi"/>
          <w:bCs/>
        </w:rPr>
      </w:pPr>
      <w:r>
        <w:rPr>
          <w:rFonts w:asciiTheme="minorHAnsi" w:hAnsiTheme="minorHAnsi"/>
          <w:bCs/>
        </w:rPr>
        <w:t>The PBAC recommended that a grandfather listing be in operation for a period of 12 months to transition private patients to PBS-subsidised use.</w:t>
      </w:r>
    </w:p>
    <w:p w:rsidR="00DF01B8" w:rsidRPr="00B66840" w:rsidRDefault="00DF01B8" w:rsidP="0058326C">
      <w:pPr>
        <w:widowControl w:val="0"/>
        <w:numPr>
          <w:ilvl w:val="1"/>
          <w:numId w:val="5"/>
        </w:numPr>
        <w:spacing w:after="120"/>
        <w:jc w:val="both"/>
        <w:rPr>
          <w:rFonts w:asciiTheme="minorHAnsi" w:hAnsiTheme="minorHAnsi"/>
          <w:bCs/>
        </w:rPr>
      </w:pPr>
      <w:r w:rsidRPr="004E1109">
        <w:rPr>
          <w:rFonts w:asciiTheme="minorHAnsi" w:hAnsiTheme="minorHAnsi" w:cs="Arial"/>
          <w:bCs/>
          <w:snapToGrid w:val="0"/>
        </w:rPr>
        <w:t>The PBAC</w:t>
      </w:r>
      <w:r w:rsidR="00FD31F0" w:rsidRPr="004E1109">
        <w:rPr>
          <w:rFonts w:asciiTheme="minorHAnsi" w:hAnsiTheme="minorHAnsi" w:cs="Arial"/>
          <w:bCs/>
          <w:snapToGrid w:val="0"/>
        </w:rPr>
        <w:t xml:space="preserve">, </w:t>
      </w:r>
      <w:r w:rsidR="0058326C" w:rsidRPr="004E1109">
        <w:rPr>
          <w:rFonts w:asciiTheme="minorHAnsi" w:hAnsiTheme="minorHAnsi" w:cs="Arial"/>
          <w:bCs/>
          <w:snapToGrid w:val="0"/>
        </w:rPr>
        <w:t>not</w:t>
      </w:r>
      <w:r w:rsidR="00FD31F0" w:rsidRPr="004E1109">
        <w:rPr>
          <w:rFonts w:asciiTheme="minorHAnsi" w:hAnsiTheme="minorHAnsi" w:cs="Arial"/>
          <w:bCs/>
          <w:snapToGrid w:val="0"/>
        </w:rPr>
        <w:t>ing</w:t>
      </w:r>
      <w:r w:rsidR="0058326C" w:rsidRPr="004E1109">
        <w:rPr>
          <w:rFonts w:asciiTheme="minorHAnsi" w:hAnsiTheme="minorHAnsi" w:cs="Arial"/>
          <w:bCs/>
          <w:snapToGrid w:val="0"/>
        </w:rPr>
        <w:t xml:space="preserve"> that its recommendation was on a cost-minimisation basis</w:t>
      </w:r>
      <w:r w:rsidR="00FD31F0" w:rsidRPr="004E1109">
        <w:rPr>
          <w:rFonts w:asciiTheme="minorHAnsi" w:hAnsiTheme="minorHAnsi" w:cs="Arial"/>
          <w:bCs/>
          <w:snapToGrid w:val="0"/>
        </w:rPr>
        <w:t>,</w:t>
      </w:r>
      <w:r w:rsidR="0058326C" w:rsidRPr="004E1109">
        <w:rPr>
          <w:rFonts w:asciiTheme="minorHAnsi" w:hAnsiTheme="minorHAnsi" w:cs="Arial"/>
          <w:bCs/>
          <w:snapToGrid w:val="0"/>
        </w:rPr>
        <w:t xml:space="preserve"> advised that </w:t>
      </w:r>
      <w:r w:rsidR="00FD31F0" w:rsidRPr="004E1109">
        <w:rPr>
          <w:rFonts w:asciiTheme="minorHAnsi" w:hAnsiTheme="minorHAnsi" w:cs="Arial"/>
          <w:bCs/>
          <w:snapToGrid w:val="0"/>
        </w:rPr>
        <w:t>as</w:t>
      </w:r>
      <w:r w:rsidR="0058326C" w:rsidRPr="004E1109">
        <w:rPr>
          <w:rFonts w:asciiTheme="minorHAnsi" w:hAnsiTheme="minorHAnsi" w:cs="Arial"/>
          <w:bCs/>
          <w:snapToGrid w:val="0"/>
        </w:rPr>
        <w:t xml:space="preserve"> pembrolizumab was not expected to provide a substantial</w:t>
      </w:r>
      <w:r w:rsidR="0058326C" w:rsidRPr="00B66840">
        <w:rPr>
          <w:rFonts w:asciiTheme="minorHAnsi" w:hAnsiTheme="minorHAnsi" w:cs="Arial"/>
          <w:bCs/>
          <w:snapToGrid w:val="0"/>
        </w:rPr>
        <w:t xml:space="preserve"> and clinically relevant improvement in efficacy or reduction in toxicity over nivolumab and not expected to address a high and urgent unmet clinical need, the </w:t>
      </w:r>
      <w:r w:rsidRPr="00B66840">
        <w:rPr>
          <w:rFonts w:asciiTheme="minorHAnsi" w:hAnsiTheme="minorHAnsi" w:cs="Arial"/>
          <w:bCs/>
          <w:snapToGrid w:val="0"/>
        </w:rPr>
        <w:t xml:space="preserve">criteria prescribed by the </w:t>
      </w:r>
      <w:r w:rsidRPr="00B66840">
        <w:rPr>
          <w:rFonts w:asciiTheme="minorHAnsi" w:hAnsiTheme="minorHAnsi" w:cs="Arial"/>
          <w:bCs/>
          <w:i/>
          <w:snapToGrid w:val="0"/>
        </w:rPr>
        <w:t>National Health (Pharmaceutical and Vaccines – Cost Recovery) Regulations 2009</w:t>
      </w:r>
      <w:r w:rsidRPr="00B66840">
        <w:rPr>
          <w:rFonts w:asciiTheme="minorHAnsi" w:hAnsiTheme="minorHAnsi" w:cs="Arial"/>
          <w:bCs/>
          <w:snapToGrid w:val="0"/>
        </w:rPr>
        <w:t xml:space="preserve"> for Pricing Pathway A were not met. </w:t>
      </w:r>
    </w:p>
    <w:p w:rsidR="00DF01B8" w:rsidRPr="00B66840" w:rsidRDefault="00DF01B8" w:rsidP="00DF01B8">
      <w:pPr>
        <w:widowControl w:val="0"/>
        <w:numPr>
          <w:ilvl w:val="1"/>
          <w:numId w:val="5"/>
        </w:numPr>
        <w:spacing w:after="120"/>
        <w:jc w:val="both"/>
        <w:rPr>
          <w:rFonts w:asciiTheme="minorHAnsi" w:hAnsiTheme="minorHAnsi" w:cs="Arial"/>
          <w:bCs/>
          <w:snapToGrid w:val="0"/>
        </w:rPr>
      </w:pPr>
      <w:r w:rsidRPr="00FF2A28">
        <w:rPr>
          <w:rFonts w:asciiTheme="minorHAnsi" w:hAnsiTheme="minorHAnsi" w:cs="Arial"/>
          <w:bCs/>
          <w:snapToGrid w:val="0"/>
        </w:rPr>
        <w:t>The PBAC advised that</w:t>
      </w:r>
      <w:r w:rsidR="0058326C" w:rsidRPr="00FF2A28">
        <w:rPr>
          <w:rFonts w:asciiTheme="minorHAnsi" w:hAnsiTheme="minorHAnsi" w:cs="Arial"/>
          <w:bCs/>
          <w:snapToGrid w:val="0"/>
        </w:rPr>
        <w:t xml:space="preserve"> pembroliz</w:t>
      </w:r>
      <w:r w:rsidRPr="00B66840">
        <w:rPr>
          <w:rFonts w:asciiTheme="minorHAnsi" w:hAnsiTheme="minorHAnsi" w:cs="Arial"/>
          <w:bCs/>
          <w:snapToGrid w:val="0"/>
        </w:rPr>
        <w:t>umab is not suitable for prescribing by nurse practitioners.</w:t>
      </w:r>
    </w:p>
    <w:p w:rsidR="00DF01B8" w:rsidRPr="00B66840" w:rsidRDefault="00DF01B8" w:rsidP="00DF01B8">
      <w:pPr>
        <w:widowControl w:val="0"/>
        <w:numPr>
          <w:ilvl w:val="1"/>
          <w:numId w:val="5"/>
        </w:numPr>
        <w:spacing w:after="120"/>
        <w:jc w:val="both"/>
        <w:rPr>
          <w:rFonts w:asciiTheme="minorHAnsi" w:hAnsiTheme="minorHAnsi" w:cs="Arial"/>
          <w:bCs/>
          <w:snapToGrid w:val="0"/>
        </w:rPr>
      </w:pPr>
      <w:r w:rsidRPr="00B66840">
        <w:rPr>
          <w:rFonts w:asciiTheme="minorHAnsi" w:hAnsiTheme="minorHAnsi" w:cs="Arial"/>
          <w:bCs/>
          <w:snapToGrid w:val="0"/>
        </w:rPr>
        <w:t xml:space="preserve">The PBAC recommended that the Early Supply Rule should not apply to </w:t>
      </w:r>
      <w:r w:rsidR="0058326C" w:rsidRPr="00B66840">
        <w:rPr>
          <w:rFonts w:asciiTheme="minorHAnsi" w:hAnsiTheme="minorHAnsi" w:cs="Arial"/>
          <w:bCs/>
          <w:snapToGrid w:val="0"/>
        </w:rPr>
        <w:t>pembroliz</w:t>
      </w:r>
      <w:r w:rsidRPr="00B66840">
        <w:rPr>
          <w:rFonts w:asciiTheme="minorHAnsi" w:hAnsiTheme="minorHAnsi" w:cs="Arial"/>
          <w:bCs/>
          <w:snapToGrid w:val="0"/>
        </w:rPr>
        <w:t>umab.</w:t>
      </w:r>
    </w:p>
    <w:p w:rsidR="00DF01B8" w:rsidRPr="00B66840" w:rsidRDefault="00DF01B8" w:rsidP="00DF01B8">
      <w:pPr>
        <w:widowControl w:val="0"/>
        <w:numPr>
          <w:ilvl w:val="1"/>
          <w:numId w:val="5"/>
        </w:numPr>
        <w:spacing w:after="120"/>
        <w:jc w:val="both"/>
        <w:rPr>
          <w:rFonts w:asciiTheme="minorHAnsi" w:hAnsiTheme="minorHAnsi" w:cs="Arial"/>
          <w:bCs/>
          <w:snapToGrid w:val="0"/>
        </w:rPr>
      </w:pPr>
      <w:r w:rsidRPr="00B66840">
        <w:rPr>
          <w:rFonts w:asciiTheme="minorHAnsi" w:hAnsiTheme="minorHAnsi" w:cs="Arial"/>
          <w:bCs/>
          <w:snapToGrid w:val="0"/>
        </w:rPr>
        <w:t>The PBAC noted that this submission is not eligible for an Independent Review as it was a positive recommendation.</w:t>
      </w:r>
    </w:p>
    <w:p w:rsidR="0039130A" w:rsidRPr="005D74E5" w:rsidRDefault="0039130A" w:rsidP="0039130A">
      <w:pPr>
        <w:spacing w:before="240"/>
        <w:jc w:val="both"/>
        <w:rPr>
          <w:rFonts w:asciiTheme="minorHAnsi" w:hAnsiTheme="minorHAnsi" w:cs="Arial"/>
          <w:b/>
          <w:bCs/>
          <w:snapToGrid w:val="0"/>
        </w:rPr>
      </w:pPr>
      <w:r w:rsidRPr="005D74E5">
        <w:rPr>
          <w:rFonts w:asciiTheme="minorHAnsi" w:hAnsiTheme="minorHAnsi" w:cs="Arial"/>
          <w:b/>
          <w:bCs/>
          <w:snapToGrid w:val="0"/>
        </w:rPr>
        <w:t>Outcome:</w:t>
      </w:r>
    </w:p>
    <w:p w:rsidR="0039130A" w:rsidRPr="005D74E5" w:rsidRDefault="0039130A" w:rsidP="0039130A">
      <w:pPr>
        <w:jc w:val="both"/>
        <w:rPr>
          <w:rFonts w:asciiTheme="minorHAnsi" w:hAnsiTheme="minorHAnsi" w:cs="Arial"/>
          <w:bCs/>
          <w:snapToGrid w:val="0"/>
        </w:rPr>
      </w:pPr>
      <w:r w:rsidRPr="005D74E5">
        <w:rPr>
          <w:rFonts w:asciiTheme="minorHAnsi" w:hAnsiTheme="minorHAnsi" w:cs="Arial"/>
          <w:bCs/>
          <w:snapToGrid w:val="0"/>
        </w:rPr>
        <w:t xml:space="preserve">Recommended </w:t>
      </w:r>
    </w:p>
    <w:p w:rsidR="0039130A" w:rsidRPr="0066042C" w:rsidRDefault="0039130A" w:rsidP="0066042C">
      <w:pPr>
        <w:pStyle w:val="Heading1"/>
        <w:keepNext/>
        <w:keepLines/>
        <w:widowControl/>
        <w:numPr>
          <w:ilvl w:val="0"/>
          <w:numId w:val="5"/>
        </w:numPr>
        <w:spacing w:before="240" w:after="120"/>
        <w:ind w:left="709" w:hanging="709"/>
        <w:contextualSpacing w:val="0"/>
        <w:jc w:val="left"/>
        <w:rPr>
          <w:rFonts w:asciiTheme="minorHAnsi" w:hAnsiTheme="minorHAnsi"/>
          <w:sz w:val="32"/>
          <w:szCs w:val="32"/>
        </w:rPr>
      </w:pPr>
      <w:r w:rsidRPr="0066042C">
        <w:rPr>
          <w:rFonts w:asciiTheme="minorHAnsi" w:hAnsiTheme="minorHAnsi"/>
          <w:sz w:val="32"/>
          <w:szCs w:val="32"/>
        </w:rPr>
        <w:t>Recommended listing</w:t>
      </w:r>
    </w:p>
    <w:p w:rsidR="00CC7AB8" w:rsidRPr="00867A4F" w:rsidRDefault="00453B64" w:rsidP="00DA451C">
      <w:pPr>
        <w:pStyle w:val="3Bodytext"/>
        <w:spacing w:before="120"/>
      </w:pPr>
      <w:r w:rsidRPr="00867A4F">
        <w:t>A</w:t>
      </w:r>
      <w:r w:rsidR="00022FAD" w:rsidRPr="00867A4F">
        <w:t>dd new Resected Stage IIIB, IIIC or IIID malignant melanoma listing as follows:</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1418"/>
        <w:gridCol w:w="992"/>
        <w:gridCol w:w="709"/>
        <w:gridCol w:w="2977"/>
      </w:tblGrid>
      <w:tr w:rsidR="00453B64" w:rsidRPr="00B66840" w:rsidTr="00453B64">
        <w:trPr>
          <w:cantSplit/>
          <w:trHeight w:val="471"/>
        </w:trPr>
        <w:tc>
          <w:tcPr>
            <w:tcW w:w="2830" w:type="dxa"/>
          </w:tcPr>
          <w:p w:rsidR="00453B64" w:rsidRPr="00B66840" w:rsidRDefault="00453B64" w:rsidP="00453B64">
            <w:pPr>
              <w:keepNext/>
              <w:ind w:left="-108"/>
              <w:jc w:val="both"/>
              <w:rPr>
                <w:rFonts w:ascii="Arial Narrow" w:eastAsia="Calibri" w:hAnsi="Arial Narrow" w:cs="Arial"/>
                <w:b/>
                <w:sz w:val="18"/>
                <w:szCs w:val="18"/>
                <w:lang w:eastAsia="en-US"/>
              </w:rPr>
            </w:pPr>
            <w:r w:rsidRPr="00B66840">
              <w:rPr>
                <w:rFonts w:ascii="Arial Narrow" w:eastAsia="Calibri" w:hAnsi="Arial Narrow" w:cs="Arial"/>
                <w:b/>
                <w:sz w:val="18"/>
                <w:szCs w:val="18"/>
                <w:lang w:eastAsia="en-US"/>
              </w:rPr>
              <w:t>Name, Restriction,</w:t>
            </w:r>
          </w:p>
          <w:p w:rsidR="00453B64" w:rsidRPr="00B66840" w:rsidRDefault="00453B64" w:rsidP="00453B64">
            <w:pPr>
              <w:keepNext/>
              <w:ind w:left="-108"/>
              <w:jc w:val="both"/>
              <w:rPr>
                <w:rFonts w:ascii="Arial Narrow" w:eastAsia="Calibri" w:hAnsi="Arial Narrow" w:cs="Arial"/>
                <w:b/>
                <w:sz w:val="18"/>
                <w:szCs w:val="18"/>
                <w:lang w:eastAsia="en-US"/>
              </w:rPr>
            </w:pPr>
            <w:r w:rsidRPr="00B66840">
              <w:rPr>
                <w:rFonts w:ascii="Arial Narrow" w:eastAsia="Calibri" w:hAnsi="Arial Narrow" w:cs="Arial"/>
                <w:b/>
                <w:sz w:val="18"/>
                <w:szCs w:val="18"/>
                <w:lang w:eastAsia="en-US"/>
              </w:rPr>
              <w:t xml:space="preserve"> Manner of administration and form</w:t>
            </w:r>
          </w:p>
        </w:tc>
        <w:tc>
          <w:tcPr>
            <w:tcW w:w="1418" w:type="dxa"/>
          </w:tcPr>
          <w:p w:rsidR="00453B64" w:rsidRPr="00B66840" w:rsidRDefault="00453B64" w:rsidP="00453B64">
            <w:pPr>
              <w:keepNext/>
              <w:ind w:left="-108"/>
              <w:jc w:val="center"/>
              <w:rPr>
                <w:rFonts w:ascii="Arial Narrow" w:eastAsia="Calibri" w:hAnsi="Arial Narrow" w:cs="Arial"/>
                <w:b/>
                <w:sz w:val="18"/>
                <w:szCs w:val="18"/>
                <w:lang w:eastAsia="en-US"/>
              </w:rPr>
            </w:pPr>
            <w:r w:rsidRPr="00B66840">
              <w:rPr>
                <w:rFonts w:ascii="Arial Narrow" w:eastAsia="Calibri" w:hAnsi="Arial Narrow" w:cs="Arial"/>
                <w:b/>
                <w:sz w:val="18"/>
                <w:szCs w:val="18"/>
                <w:lang w:eastAsia="en-US"/>
              </w:rPr>
              <w:t>PBS item code</w:t>
            </w:r>
          </w:p>
        </w:tc>
        <w:tc>
          <w:tcPr>
            <w:tcW w:w="992" w:type="dxa"/>
          </w:tcPr>
          <w:p w:rsidR="00453B64" w:rsidRPr="00B66840" w:rsidRDefault="00453B64" w:rsidP="00453B64">
            <w:pPr>
              <w:keepNext/>
              <w:ind w:left="-108"/>
              <w:jc w:val="center"/>
              <w:rPr>
                <w:rFonts w:ascii="Arial Narrow" w:eastAsia="Calibri" w:hAnsi="Arial Narrow" w:cs="Arial"/>
                <w:b/>
                <w:sz w:val="18"/>
                <w:szCs w:val="18"/>
                <w:lang w:eastAsia="en-US"/>
              </w:rPr>
            </w:pPr>
            <w:r w:rsidRPr="00B66840">
              <w:rPr>
                <w:rFonts w:ascii="Arial Narrow" w:eastAsia="Calibri" w:hAnsi="Arial Narrow" w:cs="Arial"/>
                <w:b/>
                <w:sz w:val="18"/>
                <w:szCs w:val="18"/>
                <w:lang w:eastAsia="en-US"/>
              </w:rPr>
              <w:t>Max.</w:t>
            </w:r>
          </w:p>
          <w:p w:rsidR="00453B64" w:rsidRPr="00B66840" w:rsidRDefault="00453B64" w:rsidP="00453B64">
            <w:pPr>
              <w:keepNext/>
              <w:ind w:left="-108"/>
              <w:jc w:val="center"/>
              <w:rPr>
                <w:rFonts w:ascii="Arial Narrow" w:eastAsia="Calibri" w:hAnsi="Arial Narrow" w:cs="Arial"/>
                <w:b/>
                <w:sz w:val="18"/>
                <w:szCs w:val="18"/>
                <w:lang w:eastAsia="en-US"/>
              </w:rPr>
            </w:pPr>
            <w:r w:rsidRPr="00B66840">
              <w:rPr>
                <w:rFonts w:ascii="Arial Narrow" w:eastAsia="Calibri" w:hAnsi="Arial Narrow" w:cs="Arial"/>
                <w:b/>
                <w:sz w:val="18"/>
                <w:szCs w:val="18"/>
                <w:lang w:eastAsia="en-US"/>
              </w:rPr>
              <w:t>Amount</w:t>
            </w:r>
          </w:p>
        </w:tc>
        <w:tc>
          <w:tcPr>
            <w:tcW w:w="709" w:type="dxa"/>
          </w:tcPr>
          <w:p w:rsidR="00453B64" w:rsidRPr="00B66840" w:rsidRDefault="00453B64" w:rsidP="00453B64">
            <w:pPr>
              <w:keepNext/>
              <w:ind w:left="-108"/>
              <w:jc w:val="center"/>
              <w:rPr>
                <w:rFonts w:ascii="Arial Narrow" w:eastAsia="Calibri" w:hAnsi="Arial Narrow" w:cs="Arial"/>
                <w:b/>
                <w:sz w:val="18"/>
                <w:szCs w:val="18"/>
                <w:lang w:eastAsia="en-US"/>
              </w:rPr>
            </w:pPr>
            <w:r w:rsidRPr="00B66840">
              <w:rPr>
                <w:rFonts w:ascii="Arial Narrow" w:eastAsia="Calibri" w:hAnsi="Arial Narrow" w:cs="Arial"/>
                <w:b/>
                <w:sz w:val="18"/>
                <w:szCs w:val="18"/>
                <w:lang w:eastAsia="en-US"/>
              </w:rPr>
              <w:t>№.of</w:t>
            </w:r>
          </w:p>
          <w:p w:rsidR="00453B64" w:rsidRPr="00B66840" w:rsidRDefault="00453B64" w:rsidP="00453B64">
            <w:pPr>
              <w:keepNext/>
              <w:ind w:left="-108"/>
              <w:jc w:val="center"/>
              <w:rPr>
                <w:rFonts w:ascii="Arial Narrow" w:eastAsia="Calibri" w:hAnsi="Arial Narrow" w:cs="Arial"/>
                <w:b/>
                <w:sz w:val="18"/>
                <w:szCs w:val="18"/>
                <w:lang w:eastAsia="en-US"/>
              </w:rPr>
            </w:pPr>
            <w:r w:rsidRPr="00B66840">
              <w:rPr>
                <w:rFonts w:ascii="Arial Narrow" w:eastAsia="Calibri" w:hAnsi="Arial Narrow" w:cs="Arial"/>
                <w:b/>
                <w:sz w:val="18"/>
                <w:szCs w:val="18"/>
                <w:lang w:eastAsia="en-US"/>
              </w:rPr>
              <w:t>Rpts</w:t>
            </w:r>
          </w:p>
        </w:tc>
        <w:tc>
          <w:tcPr>
            <w:tcW w:w="2977" w:type="dxa"/>
          </w:tcPr>
          <w:p w:rsidR="00453B64" w:rsidRPr="005D74E5" w:rsidRDefault="00453B64" w:rsidP="00453B64">
            <w:pPr>
              <w:keepNext/>
              <w:jc w:val="both"/>
              <w:rPr>
                <w:rFonts w:ascii="Arial Narrow" w:eastAsia="Calibri" w:hAnsi="Arial Narrow" w:cs="Arial"/>
                <w:b/>
                <w:sz w:val="18"/>
                <w:szCs w:val="18"/>
                <w:lang w:eastAsia="en-US"/>
              </w:rPr>
            </w:pPr>
            <w:r w:rsidRPr="00B66840">
              <w:rPr>
                <w:rFonts w:ascii="Arial Narrow" w:eastAsia="Calibri" w:hAnsi="Arial Narrow" w:cs="Arial"/>
                <w:b/>
                <w:sz w:val="18"/>
                <w:szCs w:val="18"/>
                <w:lang w:eastAsia="en-US"/>
              </w:rPr>
              <w:t>Manufacturer</w:t>
            </w:r>
          </w:p>
        </w:tc>
      </w:tr>
      <w:tr w:rsidR="00453B64" w:rsidRPr="00B66840" w:rsidTr="00453B64">
        <w:trPr>
          <w:cantSplit/>
          <w:trHeight w:val="577"/>
        </w:trPr>
        <w:tc>
          <w:tcPr>
            <w:tcW w:w="2830" w:type="dxa"/>
          </w:tcPr>
          <w:p w:rsidR="00453B64" w:rsidRPr="00B66840" w:rsidRDefault="00453B64" w:rsidP="00453B64">
            <w:pPr>
              <w:keepNext/>
              <w:ind w:left="-108"/>
              <w:jc w:val="both"/>
              <w:rPr>
                <w:rFonts w:ascii="Arial Narrow" w:eastAsia="Calibri" w:hAnsi="Arial Narrow" w:cs="Arial"/>
                <w:sz w:val="18"/>
                <w:szCs w:val="18"/>
                <w:lang w:eastAsia="en-US"/>
              </w:rPr>
            </w:pPr>
            <w:r w:rsidRPr="00B66840">
              <w:rPr>
                <w:rFonts w:ascii="Arial Narrow" w:eastAsia="Calibri" w:hAnsi="Arial Narrow" w:cs="Arial"/>
                <w:sz w:val="18"/>
                <w:szCs w:val="18"/>
                <w:lang w:eastAsia="en-US"/>
              </w:rPr>
              <w:t xml:space="preserve"> PEMBROLIZUMAB </w:t>
            </w:r>
          </w:p>
          <w:p w:rsidR="00453B64" w:rsidRPr="00B66840" w:rsidRDefault="00453B64" w:rsidP="00453B64">
            <w:pPr>
              <w:keepNext/>
              <w:ind w:left="-108"/>
              <w:jc w:val="both"/>
              <w:rPr>
                <w:rFonts w:ascii="Arial Narrow" w:eastAsia="Calibri" w:hAnsi="Arial Narrow" w:cs="Arial"/>
                <w:sz w:val="18"/>
                <w:szCs w:val="18"/>
                <w:lang w:eastAsia="en-US"/>
              </w:rPr>
            </w:pPr>
            <w:r w:rsidRPr="00B66840">
              <w:rPr>
                <w:rFonts w:ascii="Arial Narrow" w:eastAsia="Calibri" w:hAnsi="Arial Narrow" w:cs="Arial Narrow"/>
                <w:sz w:val="20"/>
                <w:szCs w:val="20"/>
                <w:lang w:eastAsia="en-US"/>
              </w:rPr>
              <w:t xml:space="preserve"> </w:t>
            </w:r>
            <w:r w:rsidRPr="00B66840">
              <w:rPr>
                <w:rFonts w:ascii="Arial Narrow" w:eastAsia="Calibri" w:hAnsi="Arial Narrow" w:cs="Arial Narrow"/>
                <w:sz w:val="18"/>
                <w:szCs w:val="18"/>
                <w:lang w:eastAsia="en-US"/>
              </w:rPr>
              <w:t xml:space="preserve">Injection </w:t>
            </w:r>
          </w:p>
        </w:tc>
        <w:tc>
          <w:tcPr>
            <w:tcW w:w="1418" w:type="dxa"/>
          </w:tcPr>
          <w:p w:rsidR="00453B64" w:rsidRPr="00B66840" w:rsidRDefault="00453B64" w:rsidP="00453B64">
            <w:pPr>
              <w:keepNext/>
              <w:ind w:left="-108"/>
              <w:jc w:val="center"/>
              <w:rPr>
                <w:rFonts w:ascii="Arial Narrow" w:eastAsia="Calibri" w:hAnsi="Arial Narrow" w:cs="Arial"/>
                <w:sz w:val="18"/>
                <w:szCs w:val="18"/>
                <w:lang w:eastAsia="en-US"/>
              </w:rPr>
            </w:pPr>
          </w:p>
          <w:p w:rsidR="00453B64" w:rsidRPr="00B66840" w:rsidRDefault="00453B64" w:rsidP="00453B64">
            <w:pPr>
              <w:keepNext/>
              <w:ind w:left="-108"/>
              <w:jc w:val="center"/>
              <w:rPr>
                <w:rFonts w:ascii="Arial Narrow" w:eastAsia="Calibri" w:hAnsi="Arial Narrow" w:cs="Arial"/>
                <w:sz w:val="18"/>
                <w:szCs w:val="18"/>
                <w:lang w:eastAsia="en-US"/>
              </w:rPr>
            </w:pPr>
            <w:r w:rsidRPr="00B66840">
              <w:rPr>
                <w:rFonts w:ascii="Arial Narrow" w:eastAsia="Calibri" w:hAnsi="Arial Narrow" w:cs="Arial"/>
                <w:sz w:val="18"/>
                <w:szCs w:val="18"/>
                <w:lang w:eastAsia="en-US"/>
              </w:rPr>
              <w:t>NEW (Public)</w:t>
            </w:r>
          </w:p>
          <w:p w:rsidR="00453B64" w:rsidRPr="00B66840" w:rsidRDefault="00453B64" w:rsidP="00453B64">
            <w:pPr>
              <w:keepNext/>
              <w:ind w:left="-108"/>
              <w:jc w:val="center"/>
              <w:rPr>
                <w:rFonts w:ascii="Arial Narrow" w:eastAsia="Calibri" w:hAnsi="Arial Narrow" w:cs="Arial"/>
                <w:sz w:val="18"/>
                <w:szCs w:val="18"/>
                <w:lang w:eastAsia="en-US"/>
              </w:rPr>
            </w:pPr>
            <w:r w:rsidRPr="00B66840">
              <w:rPr>
                <w:rFonts w:ascii="Arial Narrow" w:eastAsia="Calibri" w:hAnsi="Arial Narrow" w:cs="Arial"/>
                <w:sz w:val="18"/>
                <w:szCs w:val="18"/>
                <w:lang w:eastAsia="en-US"/>
              </w:rPr>
              <w:t>NEW (Private)</w:t>
            </w:r>
          </w:p>
        </w:tc>
        <w:tc>
          <w:tcPr>
            <w:tcW w:w="992" w:type="dxa"/>
          </w:tcPr>
          <w:p w:rsidR="00453B64" w:rsidRPr="00B66840" w:rsidRDefault="00453B64" w:rsidP="00453B64">
            <w:pPr>
              <w:keepNext/>
              <w:ind w:left="-108"/>
              <w:jc w:val="center"/>
              <w:rPr>
                <w:rFonts w:ascii="Arial Narrow" w:eastAsia="Calibri" w:hAnsi="Arial Narrow" w:cs="Arial"/>
                <w:sz w:val="18"/>
                <w:szCs w:val="18"/>
                <w:lang w:eastAsia="en-US"/>
              </w:rPr>
            </w:pPr>
          </w:p>
          <w:p w:rsidR="00453B64" w:rsidRPr="00B66840" w:rsidRDefault="00453B64" w:rsidP="00453B64">
            <w:pPr>
              <w:keepNext/>
              <w:ind w:left="-108"/>
              <w:jc w:val="center"/>
              <w:rPr>
                <w:rFonts w:ascii="Arial Narrow" w:eastAsia="Calibri" w:hAnsi="Arial Narrow" w:cs="Arial"/>
                <w:sz w:val="18"/>
                <w:szCs w:val="18"/>
                <w:lang w:eastAsia="en-US"/>
              </w:rPr>
            </w:pPr>
            <w:r w:rsidRPr="00B66840">
              <w:rPr>
                <w:rFonts w:ascii="Arial Narrow" w:eastAsia="Calibri" w:hAnsi="Arial Narrow" w:cs="Arial"/>
                <w:sz w:val="18"/>
                <w:szCs w:val="18"/>
                <w:lang w:eastAsia="en-US"/>
              </w:rPr>
              <w:t>200 mg</w:t>
            </w:r>
          </w:p>
        </w:tc>
        <w:tc>
          <w:tcPr>
            <w:tcW w:w="709" w:type="dxa"/>
          </w:tcPr>
          <w:p w:rsidR="00453B64" w:rsidRPr="00B66840" w:rsidRDefault="00453B64" w:rsidP="00453B64">
            <w:pPr>
              <w:keepNext/>
              <w:ind w:left="-108"/>
              <w:jc w:val="center"/>
              <w:rPr>
                <w:rFonts w:ascii="Arial Narrow" w:eastAsia="Calibri" w:hAnsi="Arial Narrow" w:cs="Arial"/>
                <w:i/>
                <w:sz w:val="18"/>
                <w:szCs w:val="18"/>
                <w:lang w:eastAsia="en-US"/>
              </w:rPr>
            </w:pPr>
          </w:p>
          <w:p w:rsidR="00453B64" w:rsidRPr="00B66840" w:rsidRDefault="00453B64" w:rsidP="00453B64">
            <w:pPr>
              <w:keepNext/>
              <w:ind w:left="-108"/>
              <w:jc w:val="center"/>
              <w:rPr>
                <w:rFonts w:ascii="Arial Narrow" w:eastAsia="Calibri" w:hAnsi="Arial Narrow" w:cs="Arial"/>
                <w:sz w:val="18"/>
                <w:szCs w:val="18"/>
                <w:lang w:eastAsia="en-US"/>
              </w:rPr>
            </w:pPr>
            <w:r w:rsidRPr="00B66840">
              <w:rPr>
                <w:rFonts w:ascii="Arial Narrow" w:eastAsia="Calibri" w:hAnsi="Arial Narrow" w:cs="Arial"/>
                <w:sz w:val="18"/>
                <w:szCs w:val="18"/>
                <w:lang w:eastAsia="en-US"/>
              </w:rPr>
              <w:t>7</w:t>
            </w:r>
          </w:p>
        </w:tc>
        <w:tc>
          <w:tcPr>
            <w:tcW w:w="2977" w:type="dxa"/>
          </w:tcPr>
          <w:p w:rsidR="00453B64" w:rsidRPr="00B66840" w:rsidRDefault="00453B64" w:rsidP="00453B64">
            <w:pPr>
              <w:keepNext/>
              <w:rPr>
                <w:rFonts w:ascii="Arial Narrow" w:eastAsia="Calibri" w:hAnsi="Arial Narrow"/>
                <w:sz w:val="18"/>
                <w:szCs w:val="18"/>
                <w:lang w:eastAsia="en-US"/>
              </w:rPr>
            </w:pPr>
          </w:p>
          <w:p w:rsidR="00453B64" w:rsidRPr="00B66840" w:rsidRDefault="00453B64" w:rsidP="00453B64">
            <w:pPr>
              <w:keepNext/>
              <w:rPr>
                <w:rFonts w:ascii="Arial Narrow" w:eastAsia="Calibri" w:hAnsi="Arial Narrow" w:cs="Arial"/>
                <w:sz w:val="18"/>
                <w:szCs w:val="18"/>
                <w:lang w:eastAsia="en-US"/>
              </w:rPr>
            </w:pPr>
            <w:r w:rsidRPr="00B66840">
              <w:rPr>
                <w:rFonts w:ascii="Arial Narrow" w:hAnsi="Arial Narrow" w:cs="Arial"/>
                <w:sz w:val="18"/>
                <w:szCs w:val="18"/>
              </w:rPr>
              <w:t>Merck Sharp &amp; Dohme (Australia) Pty Ltd</w:t>
            </w:r>
          </w:p>
        </w:tc>
      </w:tr>
      <w:tr w:rsidR="00453B64" w:rsidRPr="00B66840" w:rsidTr="00453B64">
        <w:trPr>
          <w:cantSplit/>
          <w:trHeight w:val="225"/>
        </w:trPr>
        <w:tc>
          <w:tcPr>
            <w:tcW w:w="8926" w:type="dxa"/>
            <w:gridSpan w:val="5"/>
          </w:tcPr>
          <w:p w:rsidR="00453B64" w:rsidRPr="00B66840" w:rsidRDefault="00453B64" w:rsidP="00453B64">
            <w:pPr>
              <w:keepNext/>
              <w:rPr>
                <w:rFonts w:ascii="Arial Narrow" w:eastAsia="Calibri" w:hAnsi="Arial Narrow"/>
                <w:b/>
                <w:sz w:val="18"/>
                <w:szCs w:val="18"/>
                <w:lang w:eastAsia="en-US"/>
              </w:rPr>
            </w:pPr>
            <w:r w:rsidRPr="00B66840">
              <w:rPr>
                <w:rFonts w:ascii="Arial Narrow" w:eastAsia="Calibri" w:hAnsi="Arial Narrow"/>
                <w:b/>
                <w:sz w:val="18"/>
                <w:szCs w:val="18"/>
                <w:lang w:eastAsia="en-US"/>
              </w:rPr>
              <w:t>Available brands</w:t>
            </w:r>
          </w:p>
        </w:tc>
      </w:tr>
      <w:tr w:rsidR="00453B64" w:rsidRPr="00B66840" w:rsidTr="00453B64">
        <w:trPr>
          <w:cantSplit/>
          <w:trHeight w:val="360"/>
        </w:trPr>
        <w:tc>
          <w:tcPr>
            <w:tcW w:w="8926" w:type="dxa"/>
            <w:gridSpan w:val="5"/>
          </w:tcPr>
          <w:p w:rsidR="00453B64" w:rsidRPr="00B66840" w:rsidRDefault="00453B64" w:rsidP="00453B64">
            <w:pPr>
              <w:jc w:val="both"/>
              <w:rPr>
                <w:rFonts w:ascii="Arial Narrow" w:eastAsia="Calibri" w:hAnsi="Arial Narrow" w:cs="Arial"/>
                <w:sz w:val="18"/>
                <w:szCs w:val="18"/>
                <w:lang w:eastAsia="en-US"/>
              </w:rPr>
            </w:pPr>
            <w:r w:rsidRPr="00B66840">
              <w:rPr>
                <w:rFonts w:ascii="Arial Narrow" w:eastAsia="Calibri" w:hAnsi="Arial Narrow" w:cs="Arial"/>
                <w:sz w:val="18"/>
                <w:szCs w:val="18"/>
                <w:lang w:eastAsia="en-US"/>
              </w:rPr>
              <w:t>Keytruda</w:t>
            </w:r>
          </w:p>
          <w:p w:rsidR="00453B64" w:rsidRPr="00B66840" w:rsidRDefault="00453B64" w:rsidP="00453B64">
            <w:pPr>
              <w:jc w:val="both"/>
              <w:rPr>
                <w:rFonts w:ascii="Arial Narrow" w:eastAsia="Calibri" w:hAnsi="Arial Narrow" w:cs="Arial"/>
                <w:sz w:val="18"/>
                <w:szCs w:val="18"/>
                <w:lang w:eastAsia="en-US"/>
              </w:rPr>
            </w:pPr>
            <w:r w:rsidRPr="00B66840">
              <w:rPr>
                <w:rFonts w:ascii="Arial Narrow" w:eastAsia="Calibri" w:hAnsi="Arial Narrow" w:cs="Arial"/>
                <w:sz w:val="18"/>
                <w:szCs w:val="18"/>
                <w:lang w:eastAsia="en-US"/>
              </w:rPr>
              <w:t>(pembrolizumab 100 mg/4 mL injection, 4 mL vial)</w:t>
            </w:r>
          </w:p>
        </w:tc>
      </w:tr>
    </w:tbl>
    <w:p w:rsidR="00453B64" w:rsidRPr="00B66840" w:rsidRDefault="00453B64" w:rsidP="00453B64">
      <w:pPr>
        <w:pStyle w:val="Tabletitles"/>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926"/>
      </w:tblGrid>
      <w:tr w:rsidR="00022FAD" w:rsidRPr="00B66840" w:rsidTr="00022FAD">
        <w:tc>
          <w:tcPr>
            <w:tcW w:w="5000" w:type="pct"/>
            <w:tcBorders>
              <w:top w:val="single" w:sz="4" w:space="0" w:color="auto"/>
              <w:left w:val="single" w:sz="4" w:space="0" w:color="auto"/>
              <w:bottom w:val="single" w:sz="4" w:space="0" w:color="auto"/>
              <w:right w:val="single" w:sz="4" w:space="0" w:color="auto"/>
            </w:tcBorders>
          </w:tcPr>
          <w:p w:rsidR="00022FAD" w:rsidRPr="00B66840" w:rsidRDefault="00022FAD" w:rsidP="00453B64">
            <w:pPr>
              <w:pStyle w:val="NormalWeb"/>
              <w:spacing w:before="0" w:beforeAutospacing="0" w:after="0" w:afterAutospacing="0"/>
              <w:rPr>
                <w:rStyle w:val="Strong"/>
                <w:rFonts w:ascii="Arial Narrow" w:hAnsi="Arial Narrow"/>
                <w:color w:val="333333"/>
                <w:sz w:val="18"/>
                <w:szCs w:val="18"/>
              </w:rPr>
            </w:pPr>
            <w:r w:rsidRPr="00666004">
              <w:rPr>
                <w:rFonts w:ascii="Arial Narrow" w:eastAsia="Calibri" w:hAnsi="Arial Narrow"/>
                <w:b/>
                <w:sz w:val="18"/>
                <w:szCs w:val="18"/>
              </w:rPr>
              <w:t>Category/Program:</w:t>
            </w:r>
            <w:r w:rsidRPr="00B66840">
              <w:rPr>
                <w:rFonts w:ascii="Arial Narrow" w:eastAsia="Calibri" w:hAnsi="Arial Narrow"/>
                <w:sz w:val="18"/>
                <w:szCs w:val="18"/>
              </w:rPr>
              <w:t xml:space="preserve"> Section 100 Efficient Funding of Chemotherapy</w:t>
            </w:r>
          </w:p>
        </w:tc>
      </w:tr>
      <w:tr w:rsidR="00022FAD" w:rsidRPr="00B66840" w:rsidTr="00022FAD">
        <w:tc>
          <w:tcPr>
            <w:tcW w:w="5000" w:type="pct"/>
            <w:tcBorders>
              <w:top w:val="single" w:sz="4" w:space="0" w:color="auto"/>
              <w:left w:val="single" w:sz="4" w:space="0" w:color="auto"/>
              <w:bottom w:val="single" w:sz="4" w:space="0" w:color="auto"/>
              <w:right w:val="single" w:sz="4" w:space="0" w:color="auto"/>
            </w:tcBorders>
          </w:tcPr>
          <w:p w:rsidR="00022FAD" w:rsidRPr="00B66840" w:rsidRDefault="00022FAD" w:rsidP="00453B64">
            <w:pPr>
              <w:pStyle w:val="NormalWeb"/>
              <w:spacing w:before="0" w:beforeAutospacing="0" w:after="0" w:afterAutospacing="0"/>
              <w:rPr>
                <w:rStyle w:val="Strong"/>
                <w:rFonts w:ascii="Arial Narrow" w:hAnsi="Arial Narrow"/>
                <w:color w:val="333333"/>
                <w:sz w:val="18"/>
                <w:szCs w:val="18"/>
              </w:rPr>
            </w:pPr>
            <w:r w:rsidRPr="00B66840">
              <w:rPr>
                <w:rFonts w:ascii="Arial Narrow" w:eastAsia="Calibri" w:hAnsi="Arial Narrow"/>
                <w:b/>
                <w:sz w:val="18"/>
                <w:szCs w:val="18"/>
              </w:rPr>
              <w:t>Prescriber type:</w:t>
            </w:r>
            <w:r w:rsidRPr="00B66840">
              <w:rPr>
                <w:rFonts w:ascii="Arial Narrow" w:eastAsia="Calibri" w:hAnsi="Arial Narrow"/>
                <w:sz w:val="18"/>
                <w:szCs w:val="18"/>
              </w:rPr>
              <w:t xml:space="preserve">  </w:t>
            </w:r>
            <w:r w:rsidRPr="005D74E5">
              <w:rPr>
                <w:rFonts w:ascii="Arial Narrow" w:eastAsia="Calibri" w:hAnsi="Arial Narrow"/>
                <w:sz w:val="18"/>
                <w:szCs w:val="18"/>
              </w:rPr>
              <w:fldChar w:fldCharType="begin">
                <w:ffData>
                  <w:name w:val="Check1"/>
                  <w:enabled/>
                  <w:calcOnExit w:val="0"/>
                  <w:checkBox>
                    <w:sizeAuto/>
                    <w:default w:val="0"/>
                  </w:checkBox>
                </w:ffData>
              </w:fldChar>
            </w:r>
            <w:r w:rsidRPr="00B66840">
              <w:rPr>
                <w:rFonts w:ascii="Arial Narrow" w:eastAsia="Calibri" w:hAnsi="Arial Narrow"/>
                <w:sz w:val="18"/>
                <w:szCs w:val="18"/>
              </w:rPr>
              <w:instrText xml:space="preserve"> FORMCHECKBOX </w:instrText>
            </w:r>
            <w:r w:rsidR="009D06E4">
              <w:rPr>
                <w:rFonts w:ascii="Arial Narrow" w:eastAsia="Calibri" w:hAnsi="Arial Narrow"/>
                <w:sz w:val="18"/>
                <w:szCs w:val="18"/>
              </w:rPr>
            </w:r>
            <w:r w:rsidR="009D06E4">
              <w:rPr>
                <w:rFonts w:ascii="Arial Narrow" w:eastAsia="Calibri" w:hAnsi="Arial Narrow"/>
                <w:sz w:val="18"/>
                <w:szCs w:val="18"/>
              </w:rPr>
              <w:fldChar w:fldCharType="separate"/>
            </w:r>
            <w:r w:rsidRPr="005D74E5">
              <w:rPr>
                <w:rFonts w:ascii="Arial Narrow" w:eastAsia="Calibri" w:hAnsi="Arial Narrow"/>
                <w:sz w:val="18"/>
                <w:szCs w:val="18"/>
              </w:rPr>
              <w:fldChar w:fldCharType="end"/>
            </w:r>
            <w:r w:rsidRPr="00B66840">
              <w:rPr>
                <w:rFonts w:ascii="Arial Narrow" w:eastAsia="Calibri" w:hAnsi="Arial Narrow"/>
                <w:sz w:val="18"/>
                <w:szCs w:val="18"/>
              </w:rPr>
              <w:t xml:space="preserve">Dental </w:t>
            </w:r>
            <w:r w:rsidRPr="005D74E5">
              <w:rPr>
                <w:rFonts w:ascii="Arial Narrow" w:eastAsia="Calibri" w:hAnsi="Arial Narrow"/>
                <w:sz w:val="18"/>
                <w:szCs w:val="18"/>
              </w:rPr>
              <w:fldChar w:fldCharType="begin">
                <w:ffData>
                  <w:name w:val=""/>
                  <w:enabled/>
                  <w:calcOnExit w:val="0"/>
                  <w:checkBox>
                    <w:sizeAuto/>
                    <w:default w:val="1"/>
                  </w:checkBox>
                </w:ffData>
              </w:fldChar>
            </w:r>
            <w:r w:rsidRPr="00B66840">
              <w:rPr>
                <w:rFonts w:ascii="Arial Narrow" w:eastAsia="Calibri" w:hAnsi="Arial Narrow"/>
                <w:sz w:val="18"/>
                <w:szCs w:val="18"/>
              </w:rPr>
              <w:instrText xml:space="preserve"> FORMCHECKBOX </w:instrText>
            </w:r>
            <w:r w:rsidR="009D06E4">
              <w:rPr>
                <w:rFonts w:ascii="Arial Narrow" w:eastAsia="Calibri" w:hAnsi="Arial Narrow"/>
                <w:sz w:val="18"/>
                <w:szCs w:val="18"/>
              </w:rPr>
            </w:r>
            <w:r w:rsidR="009D06E4">
              <w:rPr>
                <w:rFonts w:ascii="Arial Narrow" w:eastAsia="Calibri" w:hAnsi="Arial Narrow"/>
                <w:sz w:val="18"/>
                <w:szCs w:val="18"/>
              </w:rPr>
              <w:fldChar w:fldCharType="separate"/>
            </w:r>
            <w:r w:rsidRPr="005D74E5">
              <w:rPr>
                <w:rFonts w:ascii="Arial Narrow" w:eastAsia="Calibri" w:hAnsi="Arial Narrow"/>
                <w:sz w:val="18"/>
                <w:szCs w:val="18"/>
              </w:rPr>
              <w:fldChar w:fldCharType="end"/>
            </w:r>
            <w:r w:rsidRPr="00B66840">
              <w:rPr>
                <w:rFonts w:ascii="Arial Narrow" w:eastAsia="Calibri" w:hAnsi="Arial Narrow"/>
                <w:sz w:val="18"/>
                <w:szCs w:val="18"/>
              </w:rPr>
              <w:t xml:space="preserve">Medical Practitioners </w:t>
            </w:r>
            <w:r w:rsidRPr="005D74E5">
              <w:rPr>
                <w:rFonts w:ascii="Arial Narrow" w:eastAsia="Calibri" w:hAnsi="Arial Narrow"/>
                <w:sz w:val="18"/>
                <w:szCs w:val="18"/>
              </w:rPr>
              <w:fldChar w:fldCharType="begin">
                <w:ffData>
                  <w:name w:val="Check3"/>
                  <w:enabled/>
                  <w:calcOnExit w:val="0"/>
                  <w:checkBox>
                    <w:sizeAuto/>
                    <w:default w:val="0"/>
                  </w:checkBox>
                </w:ffData>
              </w:fldChar>
            </w:r>
            <w:r w:rsidRPr="00B66840">
              <w:rPr>
                <w:rFonts w:ascii="Arial Narrow" w:eastAsia="Calibri" w:hAnsi="Arial Narrow"/>
                <w:sz w:val="18"/>
                <w:szCs w:val="18"/>
              </w:rPr>
              <w:instrText xml:space="preserve"> FORMCHECKBOX </w:instrText>
            </w:r>
            <w:r w:rsidR="009D06E4">
              <w:rPr>
                <w:rFonts w:ascii="Arial Narrow" w:eastAsia="Calibri" w:hAnsi="Arial Narrow"/>
                <w:sz w:val="18"/>
                <w:szCs w:val="18"/>
              </w:rPr>
            </w:r>
            <w:r w:rsidR="009D06E4">
              <w:rPr>
                <w:rFonts w:ascii="Arial Narrow" w:eastAsia="Calibri" w:hAnsi="Arial Narrow"/>
                <w:sz w:val="18"/>
                <w:szCs w:val="18"/>
              </w:rPr>
              <w:fldChar w:fldCharType="separate"/>
            </w:r>
            <w:r w:rsidRPr="005D74E5">
              <w:rPr>
                <w:rFonts w:ascii="Arial Narrow" w:eastAsia="Calibri" w:hAnsi="Arial Narrow"/>
                <w:sz w:val="18"/>
                <w:szCs w:val="18"/>
              </w:rPr>
              <w:fldChar w:fldCharType="end"/>
            </w:r>
            <w:r w:rsidRPr="00B66840">
              <w:rPr>
                <w:rFonts w:ascii="Arial Narrow" w:eastAsia="Calibri" w:hAnsi="Arial Narrow"/>
                <w:sz w:val="18"/>
                <w:szCs w:val="18"/>
              </w:rPr>
              <w:t xml:space="preserve">Nurse practitioners </w:t>
            </w:r>
            <w:r w:rsidRPr="005D74E5">
              <w:rPr>
                <w:rFonts w:ascii="Arial Narrow" w:eastAsia="Calibri" w:hAnsi="Arial Narrow"/>
                <w:sz w:val="18"/>
                <w:szCs w:val="18"/>
              </w:rPr>
              <w:fldChar w:fldCharType="begin">
                <w:ffData>
                  <w:name w:val=""/>
                  <w:enabled/>
                  <w:calcOnExit w:val="0"/>
                  <w:checkBox>
                    <w:sizeAuto/>
                    <w:default w:val="0"/>
                  </w:checkBox>
                </w:ffData>
              </w:fldChar>
            </w:r>
            <w:r w:rsidRPr="00B66840">
              <w:rPr>
                <w:rFonts w:ascii="Arial Narrow" w:eastAsia="Calibri" w:hAnsi="Arial Narrow"/>
                <w:sz w:val="18"/>
                <w:szCs w:val="18"/>
              </w:rPr>
              <w:instrText xml:space="preserve"> FORMCHECKBOX </w:instrText>
            </w:r>
            <w:r w:rsidR="009D06E4">
              <w:rPr>
                <w:rFonts w:ascii="Arial Narrow" w:eastAsia="Calibri" w:hAnsi="Arial Narrow"/>
                <w:sz w:val="18"/>
                <w:szCs w:val="18"/>
              </w:rPr>
            </w:r>
            <w:r w:rsidR="009D06E4">
              <w:rPr>
                <w:rFonts w:ascii="Arial Narrow" w:eastAsia="Calibri" w:hAnsi="Arial Narrow"/>
                <w:sz w:val="18"/>
                <w:szCs w:val="18"/>
              </w:rPr>
              <w:fldChar w:fldCharType="separate"/>
            </w:r>
            <w:r w:rsidRPr="005D74E5">
              <w:rPr>
                <w:rFonts w:ascii="Arial Narrow" w:eastAsia="Calibri" w:hAnsi="Arial Narrow"/>
                <w:sz w:val="18"/>
                <w:szCs w:val="18"/>
              </w:rPr>
              <w:fldChar w:fldCharType="end"/>
            </w:r>
            <w:r w:rsidRPr="00B66840">
              <w:rPr>
                <w:rFonts w:ascii="Arial Narrow" w:eastAsia="Calibri" w:hAnsi="Arial Narrow"/>
                <w:sz w:val="18"/>
                <w:szCs w:val="18"/>
              </w:rPr>
              <w:t xml:space="preserve">Optometrists </w:t>
            </w:r>
            <w:r w:rsidRPr="005D74E5">
              <w:rPr>
                <w:rFonts w:ascii="Arial Narrow" w:eastAsia="Calibri" w:hAnsi="Arial Narrow"/>
                <w:sz w:val="18"/>
                <w:szCs w:val="18"/>
              </w:rPr>
              <w:fldChar w:fldCharType="begin">
                <w:ffData>
                  <w:name w:val="Check5"/>
                  <w:enabled/>
                  <w:calcOnExit w:val="0"/>
                  <w:checkBox>
                    <w:sizeAuto/>
                    <w:default w:val="0"/>
                  </w:checkBox>
                </w:ffData>
              </w:fldChar>
            </w:r>
            <w:r w:rsidRPr="00B66840">
              <w:rPr>
                <w:rFonts w:ascii="Arial Narrow" w:eastAsia="Calibri" w:hAnsi="Arial Narrow"/>
                <w:sz w:val="18"/>
                <w:szCs w:val="18"/>
              </w:rPr>
              <w:instrText xml:space="preserve"> FORMCHECKBOX </w:instrText>
            </w:r>
            <w:r w:rsidR="009D06E4">
              <w:rPr>
                <w:rFonts w:ascii="Arial Narrow" w:eastAsia="Calibri" w:hAnsi="Arial Narrow"/>
                <w:sz w:val="18"/>
                <w:szCs w:val="18"/>
              </w:rPr>
            </w:r>
            <w:r w:rsidR="009D06E4">
              <w:rPr>
                <w:rFonts w:ascii="Arial Narrow" w:eastAsia="Calibri" w:hAnsi="Arial Narrow"/>
                <w:sz w:val="18"/>
                <w:szCs w:val="18"/>
              </w:rPr>
              <w:fldChar w:fldCharType="separate"/>
            </w:r>
            <w:r w:rsidRPr="005D74E5">
              <w:rPr>
                <w:rFonts w:ascii="Arial Narrow" w:eastAsia="Calibri" w:hAnsi="Arial Narrow"/>
                <w:sz w:val="18"/>
                <w:szCs w:val="18"/>
              </w:rPr>
              <w:fldChar w:fldCharType="end"/>
            </w:r>
            <w:r w:rsidRPr="00B66840">
              <w:rPr>
                <w:rFonts w:ascii="Arial Narrow" w:eastAsia="Calibri" w:hAnsi="Arial Narrow"/>
                <w:sz w:val="18"/>
                <w:szCs w:val="18"/>
              </w:rPr>
              <w:t>Midwives</w:t>
            </w:r>
          </w:p>
        </w:tc>
      </w:tr>
      <w:tr w:rsidR="00022FAD" w:rsidRPr="00B66840" w:rsidTr="00022FAD">
        <w:tc>
          <w:tcPr>
            <w:tcW w:w="5000" w:type="pct"/>
            <w:tcBorders>
              <w:top w:val="single" w:sz="4" w:space="0" w:color="auto"/>
              <w:left w:val="single" w:sz="4" w:space="0" w:color="auto"/>
              <w:bottom w:val="single" w:sz="4" w:space="0" w:color="auto"/>
              <w:right w:val="single" w:sz="4" w:space="0" w:color="auto"/>
            </w:tcBorders>
          </w:tcPr>
          <w:p w:rsidR="00022FAD" w:rsidRPr="00022FAD" w:rsidRDefault="00022FAD" w:rsidP="00022FAD">
            <w:pPr>
              <w:pStyle w:val="TableText0"/>
              <w:keepLines/>
              <w:rPr>
                <w:rStyle w:val="Strong"/>
                <w:b w:val="0"/>
                <w:bCs w:val="0"/>
                <w:sz w:val="18"/>
                <w:szCs w:val="18"/>
              </w:rPr>
            </w:pPr>
            <w:r w:rsidRPr="00B66840">
              <w:rPr>
                <w:b/>
                <w:sz w:val="18"/>
                <w:szCs w:val="18"/>
              </w:rPr>
              <w:t>Restriction Level / Method:</w:t>
            </w:r>
            <w:r>
              <w:rPr>
                <w:b/>
                <w:sz w:val="18"/>
                <w:szCs w:val="18"/>
              </w:rPr>
              <w:t xml:space="preserve">  </w:t>
            </w:r>
            <w:r w:rsidRPr="005D74E5">
              <w:rPr>
                <w:sz w:val="18"/>
                <w:szCs w:val="18"/>
              </w:rPr>
              <w:fldChar w:fldCharType="begin">
                <w:ffData>
                  <w:name w:val="Check3"/>
                  <w:enabled/>
                  <w:calcOnExit w:val="0"/>
                  <w:checkBox>
                    <w:sizeAuto/>
                    <w:default w:val="1"/>
                  </w:checkBox>
                </w:ffData>
              </w:fldChar>
            </w:r>
            <w:bookmarkStart w:id="1" w:name="Check3"/>
            <w:r w:rsidRPr="00B66840">
              <w:rPr>
                <w:sz w:val="18"/>
                <w:szCs w:val="18"/>
              </w:rPr>
              <w:instrText xml:space="preserve"> FORMCHECKBOX </w:instrText>
            </w:r>
            <w:r w:rsidR="009D06E4">
              <w:rPr>
                <w:sz w:val="18"/>
                <w:szCs w:val="18"/>
              </w:rPr>
            </w:r>
            <w:r w:rsidR="009D06E4">
              <w:rPr>
                <w:sz w:val="18"/>
                <w:szCs w:val="18"/>
              </w:rPr>
              <w:fldChar w:fldCharType="separate"/>
            </w:r>
            <w:r w:rsidRPr="005D74E5">
              <w:rPr>
                <w:sz w:val="18"/>
                <w:szCs w:val="18"/>
              </w:rPr>
              <w:fldChar w:fldCharType="end"/>
            </w:r>
            <w:bookmarkEnd w:id="1"/>
            <w:r w:rsidRPr="00022FAD">
              <w:rPr>
                <w:sz w:val="18"/>
                <w:szCs w:val="18"/>
              </w:rPr>
              <w:t>Authority Required</w:t>
            </w:r>
            <w:r w:rsidRPr="00B66840">
              <w:rPr>
                <w:b/>
                <w:sz w:val="18"/>
                <w:szCs w:val="18"/>
              </w:rPr>
              <w:t xml:space="preserve"> </w:t>
            </w:r>
            <w:r w:rsidRPr="00022FAD">
              <w:rPr>
                <w:sz w:val="18"/>
                <w:szCs w:val="18"/>
              </w:rPr>
              <w:t>– Telephone/Emergency/Electronic</w:t>
            </w:r>
          </w:p>
        </w:tc>
      </w:tr>
      <w:tr w:rsidR="00022FAD" w:rsidRPr="00B66840" w:rsidTr="00022FAD">
        <w:trPr>
          <w:trHeight w:val="1166"/>
        </w:trPr>
        <w:tc>
          <w:tcPr>
            <w:tcW w:w="5000" w:type="pct"/>
            <w:tcBorders>
              <w:bottom w:val="single" w:sz="4" w:space="0" w:color="auto"/>
            </w:tcBorders>
            <w:vAlign w:val="center"/>
            <w:hideMark/>
          </w:tcPr>
          <w:p w:rsidR="00022FAD" w:rsidRDefault="00022FAD" w:rsidP="00453B64">
            <w:pPr>
              <w:pStyle w:val="NormalWeb"/>
              <w:spacing w:before="0" w:beforeAutospacing="0" w:after="0" w:afterAutospacing="0"/>
              <w:rPr>
                <w:rFonts w:ascii="Arial Narrow" w:hAnsi="Arial Narrow"/>
                <w:color w:val="333333"/>
                <w:sz w:val="18"/>
                <w:szCs w:val="18"/>
              </w:rPr>
            </w:pPr>
            <w:r w:rsidRPr="00B66840">
              <w:rPr>
                <w:rStyle w:val="Strong"/>
                <w:rFonts w:ascii="Arial Narrow" w:hAnsi="Arial Narrow"/>
                <w:color w:val="333333"/>
                <w:sz w:val="18"/>
                <w:szCs w:val="18"/>
              </w:rPr>
              <w:t>Administrative Advice:</w:t>
            </w:r>
            <w:r w:rsidRPr="00B66840">
              <w:rPr>
                <w:rFonts w:ascii="Arial Narrow" w:hAnsi="Arial Narrow"/>
                <w:color w:val="333333"/>
                <w:sz w:val="18"/>
                <w:szCs w:val="18"/>
              </w:rPr>
              <w:t xml:space="preserve"> </w:t>
            </w:r>
          </w:p>
          <w:p w:rsidR="00022FAD" w:rsidRPr="00B66840" w:rsidRDefault="00022FAD" w:rsidP="00453B64">
            <w:pPr>
              <w:pStyle w:val="NormalWeb"/>
              <w:spacing w:before="0" w:beforeAutospacing="0" w:after="0" w:afterAutospacing="0"/>
              <w:rPr>
                <w:rFonts w:ascii="Arial Narrow" w:hAnsi="Arial Narrow"/>
                <w:color w:val="333333"/>
                <w:sz w:val="18"/>
                <w:szCs w:val="18"/>
              </w:rPr>
            </w:pPr>
            <w:r w:rsidRPr="00B66840">
              <w:rPr>
                <w:rFonts w:ascii="Arial Narrow" w:hAnsi="Arial Narrow"/>
                <w:color w:val="333333"/>
                <w:sz w:val="18"/>
                <w:szCs w:val="18"/>
              </w:rPr>
              <w:t>No increase in the maximum amount or number of units may be authorised.</w:t>
            </w:r>
          </w:p>
          <w:p w:rsidR="00022FAD" w:rsidRPr="00B66840" w:rsidRDefault="00022FAD" w:rsidP="00453B64">
            <w:pPr>
              <w:pStyle w:val="NormalWeb"/>
              <w:spacing w:before="0" w:beforeAutospacing="0" w:after="0" w:afterAutospacing="0"/>
              <w:rPr>
                <w:rFonts w:ascii="Arial Narrow" w:hAnsi="Arial Narrow"/>
                <w:color w:val="333333"/>
                <w:sz w:val="18"/>
                <w:szCs w:val="18"/>
              </w:rPr>
            </w:pPr>
            <w:r w:rsidRPr="00B66840">
              <w:rPr>
                <w:rFonts w:ascii="Arial Narrow" w:hAnsi="Arial Narrow"/>
                <w:color w:val="333333"/>
                <w:sz w:val="18"/>
                <w:szCs w:val="18"/>
              </w:rPr>
              <w:t>No increase in the maximum number of repeats may be authorised.</w:t>
            </w:r>
          </w:p>
          <w:p w:rsidR="00022FAD" w:rsidRDefault="00022FAD" w:rsidP="00453B64">
            <w:pPr>
              <w:pStyle w:val="NormalWeb"/>
              <w:spacing w:before="0" w:beforeAutospacing="0" w:after="0" w:afterAutospacing="0"/>
              <w:rPr>
                <w:rFonts w:ascii="Arial Narrow" w:hAnsi="Arial Narrow"/>
                <w:color w:val="333333"/>
                <w:sz w:val="18"/>
                <w:szCs w:val="18"/>
              </w:rPr>
            </w:pPr>
            <w:r w:rsidRPr="00B66840">
              <w:rPr>
                <w:rFonts w:ascii="Arial Narrow" w:hAnsi="Arial Narrow"/>
                <w:color w:val="333333"/>
                <w:sz w:val="18"/>
                <w:szCs w:val="18"/>
              </w:rPr>
              <w:t>Special Pricing Arrangements apply.</w:t>
            </w:r>
          </w:p>
          <w:p w:rsidR="00022FAD" w:rsidRPr="00B66840" w:rsidRDefault="00022FAD" w:rsidP="00453B64">
            <w:pPr>
              <w:pStyle w:val="NormalWeb"/>
              <w:spacing w:before="0" w:beforeAutospacing="0" w:after="0" w:afterAutospacing="0"/>
              <w:rPr>
                <w:rFonts w:ascii="Arial Narrow" w:hAnsi="Arial Narrow"/>
                <w:color w:val="333333"/>
                <w:sz w:val="18"/>
                <w:szCs w:val="18"/>
              </w:rPr>
            </w:pPr>
            <w:r w:rsidRPr="00B66840">
              <w:rPr>
                <w:rFonts w:ascii="Arial Narrow" w:hAnsi="Arial Narrow"/>
                <w:sz w:val="18"/>
                <w:szCs w:val="18"/>
              </w:rPr>
              <w:t>Patient should be treated with the recommended dose of pembrolizumab according to the TGA-approved Product Information.</w:t>
            </w:r>
          </w:p>
        </w:tc>
      </w:tr>
      <w:tr w:rsidR="00022FAD" w:rsidRPr="00B66840" w:rsidTr="00022FAD">
        <w:tc>
          <w:tcPr>
            <w:tcW w:w="5000" w:type="pct"/>
            <w:tcBorders>
              <w:bottom w:val="nil"/>
            </w:tcBorders>
            <w:vAlign w:val="center"/>
            <w:hideMark/>
          </w:tcPr>
          <w:p w:rsidR="00022FAD" w:rsidRPr="00B66840" w:rsidRDefault="00022FAD" w:rsidP="00453B64">
            <w:pPr>
              <w:pStyle w:val="NormalWeb"/>
              <w:spacing w:before="0" w:beforeAutospacing="0" w:after="0" w:afterAutospacing="0"/>
              <w:rPr>
                <w:rFonts w:ascii="Arial Narrow" w:hAnsi="Arial Narrow"/>
                <w:color w:val="333333"/>
                <w:sz w:val="18"/>
                <w:szCs w:val="18"/>
              </w:rPr>
            </w:pPr>
            <w:r w:rsidRPr="00B66840">
              <w:rPr>
                <w:rStyle w:val="Strong"/>
                <w:rFonts w:ascii="Arial Narrow" w:hAnsi="Arial Narrow"/>
                <w:color w:val="333333"/>
                <w:sz w:val="18"/>
                <w:szCs w:val="18"/>
              </w:rPr>
              <w:t>Indication:</w:t>
            </w:r>
            <w:r w:rsidRPr="00B66840">
              <w:rPr>
                <w:rFonts w:ascii="Arial Narrow" w:hAnsi="Arial Narrow"/>
                <w:color w:val="333333"/>
                <w:sz w:val="18"/>
                <w:szCs w:val="18"/>
              </w:rPr>
              <w:t xml:space="preserve"> Resected Stage IIIB, IIIC or IIID malignant melanoma</w:t>
            </w:r>
          </w:p>
        </w:tc>
      </w:tr>
      <w:tr w:rsidR="00022FAD" w:rsidRPr="00B66840" w:rsidTr="00022FAD">
        <w:tc>
          <w:tcPr>
            <w:tcW w:w="5000" w:type="pct"/>
            <w:tcBorders>
              <w:top w:val="nil"/>
              <w:bottom w:val="nil"/>
            </w:tcBorders>
            <w:vAlign w:val="center"/>
            <w:hideMark/>
          </w:tcPr>
          <w:p w:rsidR="00022FAD" w:rsidRPr="00B66840" w:rsidRDefault="00022FAD" w:rsidP="00453B64">
            <w:pPr>
              <w:pStyle w:val="NormalWeb"/>
              <w:spacing w:before="0" w:beforeAutospacing="0" w:after="0" w:afterAutospacing="0"/>
              <w:rPr>
                <w:rFonts w:ascii="Arial Narrow" w:hAnsi="Arial Narrow"/>
                <w:color w:val="333333"/>
                <w:sz w:val="18"/>
                <w:szCs w:val="18"/>
              </w:rPr>
            </w:pPr>
            <w:r w:rsidRPr="00B66840">
              <w:rPr>
                <w:rStyle w:val="Strong"/>
                <w:rFonts w:ascii="Arial Narrow" w:hAnsi="Arial Narrow"/>
                <w:color w:val="333333"/>
                <w:sz w:val="18"/>
                <w:szCs w:val="18"/>
              </w:rPr>
              <w:t xml:space="preserve">Treatment Phase:  </w:t>
            </w:r>
            <w:r w:rsidRPr="00B66840">
              <w:rPr>
                <w:rFonts w:ascii="Arial Narrow" w:hAnsi="Arial Narrow"/>
                <w:color w:val="333333"/>
                <w:sz w:val="18"/>
                <w:szCs w:val="18"/>
              </w:rPr>
              <w:t>Initial treatment – 3 weekly treatment regimen</w:t>
            </w:r>
          </w:p>
        </w:tc>
      </w:tr>
      <w:tr w:rsidR="00022FAD" w:rsidRPr="00B66840" w:rsidTr="00022FAD">
        <w:tc>
          <w:tcPr>
            <w:tcW w:w="5000" w:type="pct"/>
            <w:tcBorders>
              <w:top w:val="nil"/>
              <w:bottom w:val="nil"/>
            </w:tcBorders>
            <w:vAlign w:val="center"/>
            <w:hideMark/>
          </w:tcPr>
          <w:p w:rsidR="00022FAD" w:rsidRPr="00B66840" w:rsidRDefault="00022FAD" w:rsidP="00453B64">
            <w:pPr>
              <w:pStyle w:val="NormalWeb"/>
              <w:spacing w:before="0" w:beforeAutospacing="0" w:after="0" w:afterAutospacing="0"/>
              <w:rPr>
                <w:rFonts w:ascii="Arial Narrow" w:hAnsi="Arial Narrow"/>
                <w:color w:val="333333"/>
                <w:sz w:val="18"/>
                <w:szCs w:val="18"/>
              </w:rPr>
            </w:pPr>
            <w:r w:rsidRPr="00B66840">
              <w:rPr>
                <w:rStyle w:val="Strong"/>
                <w:rFonts w:ascii="Arial Narrow" w:hAnsi="Arial Narrow"/>
                <w:color w:val="333333"/>
                <w:sz w:val="18"/>
                <w:szCs w:val="18"/>
              </w:rPr>
              <w:t>Clinical criteria:</w:t>
            </w:r>
          </w:p>
        </w:tc>
      </w:tr>
      <w:tr w:rsidR="00022FAD" w:rsidRPr="00B66840" w:rsidTr="00022FAD">
        <w:tc>
          <w:tcPr>
            <w:tcW w:w="5000" w:type="pct"/>
            <w:tcBorders>
              <w:top w:val="nil"/>
              <w:bottom w:val="nil"/>
            </w:tcBorders>
            <w:vAlign w:val="center"/>
            <w:hideMark/>
          </w:tcPr>
          <w:p w:rsidR="00022FAD" w:rsidRPr="00022FAD" w:rsidRDefault="00022FAD" w:rsidP="00022FAD">
            <w:pPr>
              <w:pStyle w:val="ListParagraph"/>
              <w:numPr>
                <w:ilvl w:val="0"/>
                <w:numId w:val="37"/>
              </w:numPr>
              <w:rPr>
                <w:rFonts w:ascii="Arial Narrow" w:hAnsi="Arial Narrow"/>
                <w:color w:val="333333"/>
                <w:sz w:val="18"/>
                <w:szCs w:val="18"/>
              </w:rPr>
            </w:pPr>
            <w:r w:rsidRPr="00022FAD">
              <w:rPr>
                <w:rFonts w:ascii="Arial Narrow" w:hAnsi="Arial Narrow"/>
                <w:color w:val="333333"/>
                <w:sz w:val="18"/>
                <w:szCs w:val="18"/>
              </w:rPr>
              <w:t>The treatment must be adjuvant to complete surgical resection</w:t>
            </w:r>
          </w:p>
        </w:tc>
      </w:tr>
      <w:tr w:rsidR="00022FAD" w:rsidRPr="00B66840" w:rsidTr="00022FAD">
        <w:tc>
          <w:tcPr>
            <w:tcW w:w="5000" w:type="pct"/>
            <w:tcBorders>
              <w:top w:val="nil"/>
              <w:bottom w:val="nil"/>
            </w:tcBorders>
            <w:vAlign w:val="center"/>
            <w:hideMark/>
          </w:tcPr>
          <w:p w:rsidR="00022FAD" w:rsidRPr="00022FAD" w:rsidRDefault="00022FAD" w:rsidP="00022FAD">
            <w:pPr>
              <w:pStyle w:val="ListParagraph"/>
              <w:rPr>
                <w:rFonts w:ascii="Arial Narrow" w:hAnsi="Arial Narrow"/>
                <w:color w:val="333333"/>
                <w:sz w:val="18"/>
                <w:szCs w:val="18"/>
              </w:rPr>
            </w:pPr>
            <w:r w:rsidRPr="00022FAD">
              <w:rPr>
                <w:rStyle w:val="Strong"/>
                <w:rFonts w:ascii="Arial Narrow" w:hAnsi="Arial Narrow"/>
                <w:color w:val="333333"/>
                <w:sz w:val="18"/>
                <w:szCs w:val="18"/>
              </w:rPr>
              <w:t>AND</w:t>
            </w:r>
          </w:p>
        </w:tc>
      </w:tr>
      <w:tr w:rsidR="00022FAD" w:rsidRPr="00B66840" w:rsidTr="00022FAD">
        <w:tc>
          <w:tcPr>
            <w:tcW w:w="5000" w:type="pct"/>
            <w:tcBorders>
              <w:top w:val="nil"/>
              <w:bottom w:val="nil"/>
            </w:tcBorders>
            <w:vAlign w:val="center"/>
            <w:hideMark/>
          </w:tcPr>
          <w:p w:rsidR="00022FAD" w:rsidRPr="00022FAD" w:rsidRDefault="00022FAD" w:rsidP="00022FAD">
            <w:pPr>
              <w:pStyle w:val="ListParagraph"/>
              <w:numPr>
                <w:ilvl w:val="0"/>
                <w:numId w:val="37"/>
              </w:numPr>
              <w:rPr>
                <w:rFonts w:ascii="Arial Narrow" w:hAnsi="Arial Narrow"/>
                <w:color w:val="333333"/>
                <w:sz w:val="18"/>
                <w:szCs w:val="18"/>
              </w:rPr>
            </w:pPr>
            <w:r w:rsidRPr="00022FAD">
              <w:rPr>
                <w:rFonts w:ascii="Arial Narrow" w:hAnsi="Arial Narrow"/>
                <w:color w:val="333333"/>
                <w:sz w:val="18"/>
                <w:szCs w:val="18"/>
              </w:rPr>
              <w:t>Patient must have a WHO performance status of 1 or less</w:t>
            </w:r>
          </w:p>
        </w:tc>
      </w:tr>
      <w:tr w:rsidR="00022FAD" w:rsidRPr="00B66840" w:rsidTr="00022FAD">
        <w:tc>
          <w:tcPr>
            <w:tcW w:w="5000" w:type="pct"/>
            <w:tcBorders>
              <w:top w:val="nil"/>
              <w:bottom w:val="nil"/>
            </w:tcBorders>
            <w:vAlign w:val="center"/>
            <w:hideMark/>
          </w:tcPr>
          <w:p w:rsidR="00022FAD" w:rsidRPr="00022FAD" w:rsidRDefault="00022FAD" w:rsidP="00022FAD">
            <w:pPr>
              <w:pStyle w:val="ListParagraph"/>
              <w:rPr>
                <w:rFonts w:ascii="Arial Narrow" w:hAnsi="Arial Narrow"/>
                <w:color w:val="333333"/>
                <w:sz w:val="18"/>
                <w:szCs w:val="18"/>
              </w:rPr>
            </w:pPr>
            <w:r w:rsidRPr="00022FAD">
              <w:rPr>
                <w:rStyle w:val="Strong"/>
                <w:rFonts w:ascii="Arial Narrow" w:hAnsi="Arial Narrow"/>
                <w:color w:val="333333"/>
                <w:sz w:val="18"/>
                <w:szCs w:val="18"/>
              </w:rPr>
              <w:t>AND</w:t>
            </w:r>
          </w:p>
        </w:tc>
      </w:tr>
      <w:tr w:rsidR="00022FAD" w:rsidRPr="00B66840" w:rsidTr="00022FAD">
        <w:tc>
          <w:tcPr>
            <w:tcW w:w="5000" w:type="pct"/>
            <w:tcBorders>
              <w:top w:val="nil"/>
              <w:bottom w:val="nil"/>
            </w:tcBorders>
            <w:vAlign w:val="center"/>
            <w:hideMark/>
          </w:tcPr>
          <w:p w:rsidR="00022FAD" w:rsidRPr="00022FAD" w:rsidRDefault="00022FAD" w:rsidP="00022FAD">
            <w:pPr>
              <w:pStyle w:val="ListParagraph"/>
              <w:numPr>
                <w:ilvl w:val="0"/>
                <w:numId w:val="37"/>
              </w:numPr>
              <w:rPr>
                <w:rFonts w:ascii="Arial Narrow" w:hAnsi="Arial Narrow"/>
                <w:color w:val="333333"/>
                <w:sz w:val="18"/>
                <w:szCs w:val="18"/>
              </w:rPr>
            </w:pPr>
            <w:r w:rsidRPr="00022FAD">
              <w:rPr>
                <w:rFonts w:ascii="Arial Narrow" w:hAnsi="Arial Narrow"/>
                <w:color w:val="333333"/>
                <w:sz w:val="18"/>
                <w:szCs w:val="18"/>
              </w:rPr>
              <w:t>The treatment must be the sole PBS-subsidised therapy for this condition</w:t>
            </w:r>
          </w:p>
        </w:tc>
      </w:tr>
      <w:tr w:rsidR="00022FAD" w:rsidRPr="00B66840" w:rsidTr="00022FAD">
        <w:tc>
          <w:tcPr>
            <w:tcW w:w="5000" w:type="pct"/>
            <w:tcBorders>
              <w:top w:val="nil"/>
              <w:bottom w:val="nil"/>
            </w:tcBorders>
            <w:vAlign w:val="center"/>
            <w:hideMark/>
          </w:tcPr>
          <w:p w:rsidR="00022FAD" w:rsidRPr="00022FAD" w:rsidRDefault="00022FAD" w:rsidP="00022FAD">
            <w:pPr>
              <w:pStyle w:val="ListParagraph"/>
              <w:rPr>
                <w:rFonts w:ascii="Arial Narrow" w:hAnsi="Arial Narrow"/>
                <w:color w:val="333333"/>
                <w:sz w:val="18"/>
                <w:szCs w:val="18"/>
              </w:rPr>
            </w:pPr>
            <w:r w:rsidRPr="00022FAD">
              <w:rPr>
                <w:rStyle w:val="Strong"/>
                <w:rFonts w:ascii="Arial Narrow" w:hAnsi="Arial Narrow"/>
                <w:color w:val="333333"/>
                <w:sz w:val="18"/>
                <w:szCs w:val="18"/>
              </w:rPr>
              <w:t>AND</w:t>
            </w:r>
          </w:p>
        </w:tc>
      </w:tr>
      <w:tr w:rsidR="00022FAD" w:rsidRPr="00B66840" w:rsidTr="00022FAD">
        <w:tc>
          <w:tcPr>
            <w:tcW w:w="5000" w:type="pct"/>
            <w:tcBorders>
              <w:top w:val="nil"/>
              <w:bottom w:val="nil"/>
            </w:tcBorders>
            <w:vAlign w:val="center"/>
            <w:hideMark/>
          </w:tcPr>
          <w:p w:rsidR="00022FAD" w:rsidRPr="00022FAD" w:rsidRDefault="00022FAD" w:rsidP="00022FAD">
            <w:pPr>
              <w:pStyle w:val="ListParagraph"/>
              <w:numPr>
                <w:ilvl w:val="0"/>
                <w:numId w:val="37"/>
              </w:numPr>
              <w:rPr>
                <w:rFonts w:ascii="Arial Narrow" w:hAnsi="Arial Narrow"/>
                <w:color w:val="333333"/>
                <w:sz w:val="18"/>
                <w:szCs w:val="18"/>
              </w:rPr>
            </w:pPr>
            <w:r w:rsidRPr="00022FAD">
              <w:rPr>
                <w:rFonts w:ascii="Arial Narrow" w:hAnsi="Arial Narrow"/>
                <w:color w:val="333333"/>
                <w:sz w:val="18"/>
                <w:szCs w:val="18"/>
              </w:rPr>
              <w:t>Patient must not have received prior PBS-subsidised treatment for this condition</w:t>
            </w:r>
          </w:p>
        </w:tc>
      </w:tr>
      <w:tr w:rsidR="00022FAD" w:rsidRPr="00B66840" w:rsidTr="00022FAD">
        <w:tc>
          <w:tcPr>
            <w:tcW w:w="5000" w:type="pct"/>
            <w:tcBorders>
              <w:top w:val="nil"/>
              <w:bottom w:val="nil"/>
            </w:tcBorders>
            <w:vAlign w:val="center"/>
            <w:hideMark/>
          </w:tcPr>
          <w:p w:rsidR="00022FAD" w:rsidRPr="00022FAD" w:rsidRDefault="00022FAD" w:rsidP="00022FAD">
            <w:pPr>
              <w:pStyle w:val="ListParagraph"/>
              <w:rPr>
                <w:rFonts w:ascii="Arial Narrow" w:hAnsi="Arial Narrow"/>
                <w:color w:val="333333"/>
                <w:sz w:val="18"/>
                <w:szCs w:val="18"/>
              </w:rPr>
            </w:pPr>
            <w:r w:rsidRPr="00022FAD">
              <w:rPr>
                <w:rStyle w:val="Strong"/>
                <w:rFonts w:ascii="Arial Narrow" w:hAnsi="Arial Narrow"/>
                <w:color w:val="333333"/>
                <w:sz w:val="18"/>
                <w:szCs w:val="18"/>
              </w:rPr>
              <w:t>AND</w:t>
            </w:r>
          </w:p>
        </w:tc>
      </w:tr>
      <w:tr w:rsidR="00022FAD" w:rsidRPr="00B66840" w:rsidTr="00022FAD">
        <w:tc>
          <w:tcPr>
            <w:tcW w:w="5000" w:type="pct"/>
            <w:tcBorders>
              <w:top w:val="nil"/>
              <w:bottom w:val="nil"/>
            </w:tcBorders>
            <w:vAlign w:val="center"/>
            <w:hideMark/>
          </w:tcPr>
          <w:p w:rsidR="00022FAD" w:rsidRPr="00022FAD" w:rsidRDefault="00022FAD" w:rsidP="00022FAD">
            <w:pPr>
              <w:pStyle w:val="ListParagraph"/>
              <w:numPr>
                <w:ilvl w:val="0"/>
                <w:numId w:val="37"/>
              </w:numPr>
              <w:rPr>
                <w:rFonts w:ascii="Arial Narrow" w:hAnsi="Arial Narrow"/>
                <w:color w:val="333333"/>
                <w:sz w:val="18"/>
                <w:szCs w:val="18"/>
              </w:rPr>
            </w:pPr>
            <w:r w:rsidRPr="00022FAD">
              <w:rPr>
                <w:rFonts w:ascii="Arial Narrow" w:hAnsi="Arial Narrow"/>
                <w:color w:val="333333"/>
                <w:sz w:val="18"/>
                <w:szCs w:val="18"/>
              </w:rPr>
              <w:t>The treatment must commence within 12 weeks of complete resection</w:t>
            </w:r>
          </w:p>
        </w:tc>
      </w:tr>
      <w:tr w:rsidR="00022FAD" w:rsidRPr="00B66840" w:rsidTr="00022FAD">
        <w:tc>
          <w:tcPr>
            <w:tcW w:w="5000" w:type="pct"/>
            <w:tcBorders>
              <w:top w:val="nil"/>
              <w:bottom w:val="nil"/>
            </w:tcBorders>
            <w:vAlign w:val="center"/>
            <w:hideMark/>
          </w:tcPr>
          <w:p w:rsidR="00022FAD" w:rsidRPr="00022FAD" w:rsidRDefault="00022FAD" w:rsidP="00022FAD">
            <w:pPr>
              <w:pStyle w:val="ListParagraph"/>
              <w:rPr>
                <w:rFonts w:ascii="Arial Narrow" w:hAnsi="Arial Narrow"/>
                <w:color w:val="333333"/>
                <w:sz w:val="18"/>
                <w:szCs w:val="18"/>
              </w:rPr>
            </w:pPr>
            <w:r w:rsidRPr="00022FAD">
              <w:rPr>
                <w:rStyle w:val="Strong"/>
                <w:rFonts w:ascii="Arial Narrow" w:hAnsi="Arial Narrow"/>
                <w:color w:val="333333"/>
                <w:sz w:val="18"/>
                <w:szCs w:val="18"/>
              </w:rPr>
              <w:t>AND</w:t>
            </w:r>
          </w:p>
        </w:tc>
      </w:tr>
      <w:tr w:rsidR="00022FAD" w:rsidRPr="00B66840" w:rsidTr="00022FAD">
        <w:tc>
          <w:tcPr>
            <w:tcW w:w="5000" w:type="pct"/>
            <w:tcBorders>
              <w:top w:val="nil"/>
            </w:tcBorders>
            <w:vAlign w:val="center"/>
            <w:hideMark/>
          </w:tcPr>
          <w:p w:rsidR="00022FAD" w:rsidRPr="00022FAD" w:rsidRDefault="00022FAD" w:rsidP="00022FAD">
            <w:pPr>
              <w:pStyle w:val="ListParagraph"/>
              <w:numPr>
                <w:ilvl w:val="0"/>
                <w:numId w:val="37"/>
              </w:numPr>
              <w:rPr>
                <w:rFonts w:ascii="Arial Narrow" w:hAnsi="Arial Narrow"/>
                <w:color w:val="333333"/>
                <w:sz w:val="18"/>
                <w:szCs w:val="18"/>
              </w:rPr>
            </w:pPr>
            <w:r w:rsidRPr="00022FAD">
              <w:rPr>
                <w:rFonts w:ascii="Arial Narrow" w:hAnsi="Arial Narrow"/>
                <w:color w:val="333333"/>
                <w:sz w:val="18"/>
                <w:szCs w:val="18"/>
              </w:rPr>
              <w:t>Patient must not receive more than 12 months of combined PBS-subsidised and non-PBS-subsidised adjuvant therapy</w:t>
            </w:r>
          </w:p>
        </w:tc>
      </w:tr>
      <w:tr w:rsidR="00022FAD" w:rsidRPr="00B66840" w:rsidTr="00022FAD">
        <w:tc>
          <w:tcPr>
            <w:tcW w:w="5000" w:type="pct"/>
            <w:vAlign w:val="center"/>
            <w:hideMark/>
          </w:tcPr>
          <w:p w:rsidR="00022FAD" w:rsidRPr="00B66840" w:rsidRDefault="00022FAD" w:rsidP="00453B64">
            <w:pPr>
              <w:pStyle w:val="NormalWeb"/>
              <w:spacing w:before="0" w:beforeAutospacing="0" w:after="0" w:afterAutospacing="0"/>
              <w:rPr>
                <w:rFonts w:ascii="Arial Narrow" w:hAnsi="Arial Narrow"/>
                <w:color w:val="333333"/>
                <w:sz w:val="18"/>
                <w:szCs w:val="18"/>
              </w:rPr>
            </w:pPr>
            <w:r w:rsidRPr="00B66840">
              <w:rPr>
                <w:rStyle w:val="Strong"/>
                <w:rFonts w:ascii="Arial Narrow" w:hAnsi="Arial Narrow"/>
                <w:color w:val="333333"/>
                <w:sz w:val="18"/>
                <w:szCs w:val="18"/>
              </w:rPr>
              <w:t>Administrative Advice:</w:t>
            </w:r>
          </w:p>
          <w:p w:rsidR="00022FAD" w:rsidRPr="00B66840" w:rsidRDefault="00022FAD" w:rsidP="00453B64">
            <w:pPr>
              <w:pStyle w:val="NormalWeb"/>
              <w:spacing w:before="0" w:beforeAutospacing="0" w:after="0" w:afterAutospacing="0"/>
              <w:rPr>
                <w:rFonts w:ascii="Arial Narrow" w:hAnsi="Arial Narrow"/>
                <w:color w:val="333333"/>
                <w:sz w:val="18"/>
                <w:szCs w:val="18"/>
              </w:rPr>
            </w:pPr>
            <w:r w:rsidRPr="00B66840">
              <w:rPr>
                <w:rFonts w:ascii="Arial Narrow" w:hAnsi="Arial Narrow"/>
                <w:color w:val="333333"/>
                <w:sz w:val="18"/>
                <w:szCs w:val="18"/>
              </w:rPr>
              <w:t>In the first few months after start of immunotherapy, some patients can have a transient tumour flare with subsequent disease response. When progression is suspected, this should be confirmed through a confirmatory scan, taken at least 4 weeks later.</w:t>
            </w:r>
          </w:p>
        </w:tc>
      </w:tr>
    </w:tbl>
    <w:p w:rsidR="00453B64" w:rsidRDefault="00453B64" w:rsidP="00453B64">
      <w:pPr>
        <w:pStyle w:val="Tabletitles"/>
      </w:pPr>
    </w:p>
    <w:p w:rsidR="00CC408F" w:rsidRPr="00B66840" w:rsidRDefault="00CC408F" w:rsidP="00453B64">
      <w:pPr>
        <w:pStyle w:val="Tabletitles"/>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926"/>
      </w:tblGrid>
      <w:tr w:rsidR="00022FAD" w:rsidRPr="00B66840" w:rsidTr="00022FAD">
        <w:tc>
          <w:tcPr>
            <w:tcW w:w="5000" w:type="pct"/>
            <w:tcBorders>
              <w:top w:val="single" w:sz="4" w:space="0" w:color="auto"/>
              <w:left w:val="single" w:sz="4" w:space="0" w:color="auto"/>
              <w:bottom w:val="single" w:sz="4" w:space="0" w:color="auto"/>
              <w:right w:val="single" w:sz="4" w:space="0" w:color="auto"/>
            </w:tcBorders>
          </w:tcPr>
          <w:p w:rsidR="00022FAD" w:rsidRPr="00B66840" w:rsidRDefault="00022FAD" w:rsidP="00453B64">
            <w:pPr>
              <w:pStyle w:val="NormalWeb"/>
              <w:spacing w:before="0" w:beforeAutospacing="0" w:after="0" w:afterAutospacing="0"/>
              <w:rPr>
                <w:rStyle w:val="Strong"/>
                <w:rFonts w:ascii="Arial Narrow" w:hAnsi="Arial Narrow"/>
                <w:color w:val="333333"/>
                <w:sz w:val="18"/>
                <w:szCs w:val="18"/>
              </w:rPr>
            </w:pPr>
            <w:r w:rsidRPr="00666004">
              <w:rPr>
                <w:rFonts w:ascii="Arial Narrow" w:eastAsia="Calibri" w:hAnsi="Arial Narrow"/>
                <w:b/>
                <w:sz w:val="18"/>
                <w:szCs w:val="18"/>
              </w:rPr>
              <w:t>Category/Program:</w:t>
            </w:r>
            <w:r w:rsidRPr="00B66840">
              <w:rPr>
                <w:rFonts w:ascii="Arial Narrow" w:eastAsia="Calibri" w:hAnsi="Arial Narrow"/>
                <w:sz w:val="18"/>
                <w:szCs w:val="18"/>
              </w:rPr>
              <w:t xml:space="preserve"> Section 100 Efficient Funding of Chemotherapy</w:t>
            </w:r>
          </w:p>
        </w:tc>
      </w:tr>
      <w:tr w:rsidR="00022FAD" w:rsidRPr="00B66840" w:rsidTr="00022FAD">
        <w:tc>
          <w:tcPr>
            <w:tcW w:w="5000" w:type="pct"/>
            <w:tcBorders>
              <w:top w:val="single" w:sz="4" w:space="0" w:color="auto"/>
              <w:left w:val="single" w:sz="4" w:space="0" w:color="auto"/>
              <w:bottom w:val="single" w:sz="4" w:space="0" w:color="auto"/>
              <w:right w:val="single" w:sz="4" w:space="0" w:color="auto"/>
            </w:tcBorders>
          </w:tcPr>
          <w:p w:rsidR="00022FAD" w:rsidRPr="00B66840" w:rsidRDefault="00022FAD" w:rsidP="00453B64">
            <w:pPr>
              <w:pStyle w:val="NormalWeb"/>
              <w:spacing w:before="0" w:beforeAutospacing="0" w:after="0" w:afterAutospacing="0"/>
              <w:rPr>
                <w:rStyle w:val="Strong"/>
                <w:rFonts w:ascii="Arial Narrow" w:hAnsi="Arial Narrow"/>
                <w:color w:val="333333"/>
                <w:sz w:val="18"/>
                <w:szCs w:val="18"/>
              </w:rPr>
            </w:pPr>
            <w:r w:rsidRPr="00B66840">
              <w:rPr>
                <w:rFonts w:ascii="Arial Narrow" w:eastAsia="Calibri" w:hAnsi="Arial Narrow"/>
                <w:b/>
                <w:sz w:val="18"/>
                <w:szCs w:val="18"/>
              </w:rPr>
              <w:t>Prescriber type:</w:t>
            </w:r>
            <w:r w:rsidRPr="00B66840">
              <w:rPr>
                <w:rFonts w:ascii="Arial Narrow" w:eastAsia="Calibri" w:hAnsi="Arial Narrow"/>
                <w:sz w:val="18"/>
                <w:szCs w:val="18"/>
              </w:rPr>
              <w:t xml:space="preserve">  </w:t>
            </w:r>
            <w:r w:rsidRPr="005D74E5">
              <w:rPr>
                <w:rFonts w:ascii="Arial Narrow" w:eastAsia="Calibri" w:hAnsi="Arial Narrow"/>
                <w:sz w:val="18"/>
                <w:szCs w:val="18"/>
              </w:rPr>
              <w:fldChar w:fldCharType="begin">
                <w:ffData>
                  <w:name w:val="Check1"/>
                  <w:enabled/>
                  <w:calcOnExit w:val="0"/>
                  <w:checkBox>
                    <w:sizeAuto/>
                    <w:default w:val="0"/>
                  </w:checkBox>
                </w:ffData>
              </w:fldChar>
            </w:r>
            <w:r w:rsidRPr="00B66840">
              <w:rPr>
                <w:rFonts w:ascii="Arial Narrow" w:eastAsia="Calibri" w:hAnsi="Arial Narrow"/>
                <w:sz w:val="18"/>
                <w:szCs w:val="18"/>
              </w:rPr>
              <w:instrText xml:space="preserve"> FORMCHECKBOX </w:instrText>
            </w:r>
            <w:r w:rsidR="009D06E4">
              <w:rPr>
                <w:rFonts w:ascii="Arial Narrow" w:eastAsia="Calibri" w:hAnsi="Arial Narrow"/>
                <w:sz w:val="18"/>
                <w:szCs w:val="18"/>
              </w:rPr>
            </w:r>
            <w:r w:rsidR="009D06E4">
              <w:rPr>
                <w:rFonts w:ascii="Arial Narrow" w:eastAsia="Calibri" w:hAnsi="Arial Narrow"/>
                <w:sz w:val="18"/>
                <w:szCs w:val="18"/>
              </w:rPr>
              <w:fldChar w:fldCharType="separate"/>
            </w:r>
            <w:r w:rsidRPr="005D74E5">
              <w:rPr>
                <w:rFonts w:ascii="Arial Narrow" w:eastAsia="Calibri" w:hAnsi="Arial Narrow"/>
                <w:sz w:val="18"/>
                <w:szCs w:val="18"/>
              </w:rPr>
              <w:fldChar w:fldCharType="end"/>
            </w:r>
            <w:r w:rsidRPr="00B66840">
              <w:rPr>
                <w:rFonts w:ascii="Arial Narrow" w:eastAsia="Calibri" w:hAnsi="Arial Narrow"/>
                <w:sz w:val="18"/>
                <w:szCs w:val="18"/>
              </w:rPr>
              <w:t xml:space="preserve">Dental </w:t>
            </w:r>
            <w:r w:rsidRPr="005D74E5">
              <w:rPr>
                <w:rFonts w:ascii="Arial Narrow" w:eastAsia="Calibri" w:hAnsi="Arial Narrow"/>
                <w:sz w:val="18"/>
                <w:szCs w:val="18"/>
              </w:rPr>
              <w:fldChar w:fldCharType="begin">
                <w:ffData>
                  <w:name w:val=""/>
                  <w:enabled/>
                  <w:calcOnExit w:val="0"/>
                  <w:checkBox>
                    <w:sizeAuto/>
                    <w:default w:val="1"/>
                  </w:checkBox>
                </w:ffData>
              </w:fldChar>
            </w:r>
            <w:r w:rsidRPr="00B66840">
              <w:rPr>
                <w:rFonts w:ascii="Arial Narrow" w:eastAsia="Calibri" w:hAnsi="Arial Narrow"/>
                <w:sz w:val="18"/>
                <w:szCs w:val="18"/>
              </w:rPr>
              <w:instrText xml:space="preserve"> FORMCHECKBOX </w:instrText>
            </w:r>
            <w:r w:rsidR="009D06E4">
              <w:rPr>
                <w:rFonts w:ascii="Arial Narrow" w:eastAsia="Calibri" w:hAnsi="Arial Narrow"/>
                <w:sz w:val="18"/>
                <w:szCs w:val="18"/>
              </w:rPr>
            </w:r>
            <w:r w:rsidR="009D06E4">
              <w:rPr>
                <w:rFonts w:ascii="Arial Narrow" w:eastAsia="Calibri" w:hAnsi="Arial Narrow"/>
                <w:sz w:val="18"/>
                <w:szCs w:val="18"/>
              </w:rPr>
              <w:fldChar w:fldCharType="separate"/>
            </w:r>
            <w:r w:rsidRPr="005D74E5">
              <w:rPr>
                <w:rFonts w:ascii="Arial Narrow" w:eastAsia="Calibri" w:hAnsi="Arial Narrow"/>
                <w:sz w:val="18"/>
                <w:szCs w:val="18"/>
              </w:rPr>
              <w:fldChar w:fldCharType="end"/>
            </w:r>
            <w:r w:rsidRPr="00B66840">
              <w:rPr>
                <w:rFonts w:ascii="Arial Narrow" w:eastAsia="Calibri" w:hAnsi="Arial Narrow"/>
                <w:sz w:val="18"/>
                <w:szCs w:val="18"/>
              </w:rPr>
              <w:t xml:space="preserve">Medical Practitioners </w:t>
            </w:r>
            <w:r w:rsidRPr="005D74E5">
              <w:rPr>
                <w:rFonts w:ascii="Arial Narrow" w:eastAsia="Calibri" w:hAnsi="Arial Narrow"/>
                <w:sz w:val="18"/>
                <w:szCs w:val="18"/>
              </w:rPr>
              <w:fldChar w:fldCharType="begin">
                <w:ffData>
                  <w:name w:val="Check3"/>
                  <w:enabled/>
                  <w:calcOnExit w:val="0"/>
                  <w:checkBox>
                    <w:sizeAuto/>
                    <w:default w:val="0"/>
                  </w:checkBox>
                </w:ffData>
              </w:fldChar>
            </w:r>
            <w:r w:rsidRPr="00B66840">
              <w:rPr>
                <w:rFonts w:ascii="Arial Narrow" w:eastAsia="Calibri" w:hAnsi="Arial Narrow"/>
                <w:sz w:val="18"/>
                <w:szCs w:val="18"/>
              </w:rPr>
              <w:instrText xml:space="preserve"> FORMCHECKBOX </w:instrText>
            </w:r>
            <w:r w:rsidR="009D06E4">
              <w:rPr>
                <w:rFonts w:ascii="Arial Narrow" w:eastAsia="Calibri" w:hAnsi="Arial Narrow"/>
                <w:sz w:val="18"/>
                <w:szCs w:val="18"/>
              </w:rPr>
            </w:r>
            <w:r w:rsidR="009D06E4">
              <w:rPr>
                <w:rFonts w:ascii="Arial Narrow" w:eastAsia="Calibri" w:hAnsi="Arial Narrow"/>
                <w:sz w:val="18"/>
                <w:szCs w:val="18"/>
              </w:rPr>
              <w:fldChar w:fldCharType="separate"/>
            </w:r>
            <w:r w:rsidRPr="005D74E5">
              <w:rPr>
                <w:rFonts w:ascii="Arial Narrow" w:eastAsia="Calibri" w:hAnsi="Arial Narrow"/>
                <w:sz w:val="18"/>
                <w:szCs w:val="18"/>
              </w:rPr>
              <w:fldChar w:fldCharType="end"/>
            </w:r>
            <w:r w:rsidRPr="00B66840">
              <w:rPr>
                <w:rFonts w:ascii="Arial Narrow" w:eastAsia="Calibri" w:hAnsi="Arial Narrow"/>
                <w:sz w:val="18"/>
                <w:szCs w:val="18"/>
              </w:rPr>
              <w:t xml:space="preserve">Nurse practitioners </w:t>
            </w:r>
            <w:r w:rsidRPr="005D74E5">
              <w:rPr>
                <w:rFonts w:ascii="Arial Narrow" w:eastAsia="Calibri" w:hAnsi="Arial Narrow"/>
                <w:sz w:val="18"/>
                <w:szCs w:val="18"/>
              </w:rPr>
              <w:fldChar w:fldCharType="begin">
                <w:ffData>
                  <w:name w:val=""/>
                  <w:enabled/>
                  <w:calcOnExit w:val="0"/>
                  <w:checkBox>
                    <w:sizeAuto/>
                    <w:default w:val="0"/>
                  </w:checkBox>
                </w:ffData>
              </w:fldChar>
            </w:r>
            <w:r w:rsidRPr="00B66840">
              <w:rPr>
                <w:rFonts w:ascii="Arial Narrow" w:eastAsia="Calibri" w:hAnsi="Arial Narrow"/>
                <w:sz w:val="18"/>
                <w:szCs w:val="18"/>
              </w:rPr>
              <w:instrText xml:space="preserve"> FORMCHECKBOX </w:instrText>
            </w:r>
            <w:r w:rsidR="009D06E4">
              <w:rPr>
                <w:rFonts w:ascii="Arial Narrow" w:eastAsia="Calibri" w:hAnsi="Arial Narrow"/>
                <w:sz w:val="18"/>
                <w:szCs w:val="18"/>
              </w:rPr>
            </w:r>
            <w:r w:rsidR="009D06E4">
              <w:rPr>
                <w:rFonts w:ascii="Arial Narrow" w:eastAsia="Calibri" w:hAnsi="Arial Narrow"/>
                <w:sz w:val="18"/>
                <w:szCs w:val="18"/>
              </w:rPr>
              <w:fldChar w:fldCharType="separate"/>
            </w:r>
            <w:r w:rsidRPr="005D74E5">
              <w:rPr>
                <w:rFonts w:ascii="Arial Narrow" w:eastAsia="Calibri" w:hAnsi="Arial Narrow"/>
                <w:sz w:val="18"/>
                <w:szCs w:val="18"/>
              </w:rPr>
              <w:fldChar w:fldCharType="end"/>
            </w:r>
            <w:r w:rsidRPr="00B66840">
              <w:rPr>
                <w:rFonts w:ascii="Arial Narrow" w:eastAsia="Calibri" w:hAnsi="Arial Narrow"/>
                <w:sz w:val="18"/>
                <w:szCs w:val="18"/>
              </w:rPr>
              <w:t xml:space="preserve">Optometrists </w:t>
            </w:r>
            <w:r w:rsidRPr="005D74E5">
              <w:rPr>
                <w:rFonts w:ascii="Arial Narrow" w:eastAsia="Calibri" w:hAnsi="Arial Narrow"/>
                <w:sz w:val="18"/>
                <w:szCs w:val="18"/>
              </w:rPr>
              <w:fldChar w:fldCharType="begin">
                <w:ffData>
                  <w:name w:val="Check5"/>
                  <w:enabled/>
                  <w:calcOnExit w:val="0"/>
                  <w:checkBox>
                    <w:sizeAuto/>
                    <w:default w:val="0"/>
                  </w:checkBox>
                </w:ffData>
              </w:fldChar>
            </w:r>
            <w:r w:rsidRPr="00B66840">
              <w:rPr>
                <w:rFonts w:ascii="Arial Narrow" w:eastAsia="Calibri" w:hAnsi="Arial Narrow"/>
                <w:sz w:val="18"/>
                <w:szCs w:val="18"/>
              </w:rPr>
              <w:instrText xml:space="preserve"> FORMCHECKBOX </w:instrText>
            </w:r>
            <w:r w:rsidR="009D06E4">
              <w:rPr>
                <w:rFonts w:ascii="Arial Narrow" w:eastAsia="Calibri" w:hAnsi="Arial Narrow"/>
                <w:sz w:val="18"/>
                <w:szCs w:val="18"/>
              </w:rPr>
            </w:r>
            <w:r w:rsidR="009D06E4">
              <w:rPr>
                <w:rFonts w:ascii="Arial Narrow" w:eastAsia="Calibri" w:hAnsi="Arial Narrow"/>
                <w:sz w:val="18"/>
                <w:szCs w:val="18"/>
              </w:rPr>
              <w:fldChar w:fldCharType="separate"/>
            </w:r>
            <w:r w:rsidRPr="005D74E5">
              <w:rPr>
                <w:rFonts w:ascii="Arial Narrow" w:eastAsia="Calibri" w:hAnsi="Arial Narrow"/>
                <w:sz w:val="18"/>
                <w:szCs w:val="18"/>
              </w:rPr>
              <w:fldChar w:fldCharType="end"/>
            </w:r>
            <w:r w:rsidRPr="00B66840">
              <w:rPr>
                <w:rFonts w:ascii="Arial Narrow" w:eastAsia="Calibri" w:hAnsi="Arial Narrow"/>
                <w:sz w:val="18"/>
                <w:szCs w:val="18"/>
              </w:rPr>
              <w:t>Midwives</w:t>
            </w:r>
          </w:p>
        </w:tc>
      </w:tr>
      <w:tr w:rsidR="00022FAD" w:rsidRPr="00B66840" w:rsidTr="00022FAD">
        <w:tc>
          <w:tcPr>
            <w:tcW w:w="5000" w:type="pct"/>
            <w:tcBorders>
              <w:top w:val="single" w:sz="4" w:space="0" w:color="auto"/>
              <w:left w:val="single" w:sz="4" w:space="0" w:color="auto"/>
              <w:bottom w:val="single" w:sz="4" w:space="0" w:color="auto"/>
              <w:right w:val="single" w:sz="4" w:space="0" w:color="auto"/>
            </w:tcBorders>
          </w:tcPr>
          <w:p w:rsidR="00022FAD" w:rsidRPr="00022FAD" w:rsidRDefault="00022FAD" w:rsidP="00022FAD">
            <w:pPr>
              <w:pStyle w:val="TableText0"/>
              <w:keepLines/>
              <w:rPr>
                <w:rStyle w:val="Strong"/>
                <w:b w:val="0"/>
                <w:bCs w:val="0"/>
                <w:sz w:val="18"/>
                <w:szCs w:val="18"/>
              </w:rPr>
            </w:pPr>
            <w:r w:rsidRPr="00B66840">
              <w:rPr>
                <w:b/>
                <w:sz w:val="18"/>
                <w:szCs w:val="18"/>
              </w:rPr>
              <w:t>Restriction Level / Method:</w:t>
            </w:r>
            <w:r>
              <w:rPr>
                <w:b/>
                <w:sz w:val="18"/>
                <w:szCs w:val="18"/>
              </w:rPr>
              <w:t xml:space="preserve">  </w:t>
            </w:r>
            <w:r w:rsidRPr="005D74E5">
              <w:rPr>
                <w:sz w:val="18"/>
                <w:szCs w:val="18"/>
              </w:rPr>
              <w:fldChar w:fldCharType="begin">
                <w:ffData>
                  <w:name w:val=""/>
                  <w:enabled/>
                  <w:calcOnExit w:val="0"/>
                  <w:checkBox>
                    <w:sizeAuto/>
                    <w:default w:val="1"/>
                  </w:checkBox>
                </w:ffData>
              </w:fldChar>
            </w:r>
            <w:r w:rsidRPr="00B66840">
              <w:rPr>
                <w:sz w:val="18"/>
                <w:szCs w:val="18"/>
              </w:rPr>
              <w:instrText xml:space="preserve"> FORMCHECKBOX </w:instrText>
            </w:r>
            <w:r w:rsidR="009D06E4">
              <w:rPr>
                <w:sz w:val="18"/>
                <w:szCs w:val="18"/>
              </w:rPr>
            </w:r>
            <w:r w:rsidR="009D06E4">
              <w:rPr>
                <w:sz w:val="18"/>
                <w:szCs w:val="18"/>
              </w:rPr>
              <w:fldChar w:fldCharType="separate"/>
            </w:r>
            <w:r w:rsidRPr="005D74E5">
              <w:rPr>
                <w:sz w:val="18"/>
                <w:szCs w:val="18"/>
              </w:rPr>
              <w:fldChar w:fldCharType="end"/>
            </w:r>
            <w:r w:rsidRPr="00022FAD">
              <w:rPr>
                <w:sz w:val="18"/>
                <w:szCs w:val="18"/>
              </w:rPr>
              <w:t>Authority Required – Telephone/Emergency/Electronic</w:t>
            </w:r>
          </w:p>
        </w:tc>
      </w:tr>
      <w:tr w:rsidR="00022FAD" w:rsidRPr="00B66840" w:rsidTr="00022FAD">
        <w:trPr>
          <w:trHeight w:val="1153"/>
        </w:trPr>
        <w:tc>
          <w:tcPr>
            <w:tcW w:w="5000" w:type="pct"/>
            <w:tcBorders>
              <w:bottom w:val="single" w:sz="4" w:space="0" w:color="auto"/>
            </w:tcBorders>
            <w:vAlign w:val="center"/>
          </w:tcPr>
          <w:p w:rsidR="00022FAD" w:rsidRDefault="00022FAD" w:rsidP="00453B64">
            <w:pPr>
              <w:pStyle w:val="NormalWeb"/>
              <w:spacing w:before="0" w:beforeAutospacing="0" w:after="0" w:afterAutospacing="0"/>
              <w:rPr>
                <w:rFonts w:ascii="Arial Narrow" w:hAnsi="Arial Narrow"/>
                <w:color w:val="333333"/>
                <w:sz w:val="18"/>
                <w:szCs w:val="18"/>
              </w:rPr>
            </w:pPr>
            <w:r w:rsidRPr="00B66840">
              <w:rPr>
                <w:rStyle w:val="Strong"/>
                <w:rFonts w:ascii="Arial Narrow" w:hAnsi="Arial Narrow"/>
                <w:color w:val="333333"/>
                <w:sz w:val="18"/>
                <w:szCs w:val="18"/>
              </w:rPr>
              <w:t>Administrative Advice:</w:t>
            </w:r>
            <w:r w:rsidRPr="00B66840">
              <w:rPr>
                <w:rFonts w:ascii="Arial Narrow" w:hAnsi="Arial Narrow"/>
                <w:color w:val="333333"/>
                <w:sz w:val="18"/>
                <w:szCs w:val="18"/>
              </w:rPr>
              <w:t xml:space="preserve"> </w:t>
            </w:r>
          </w:p>
          <w:p w:rsidR="00022FAD" w:rsidRPr="00B66840" w:rsidRDefault="00022FAD" w:rsidP="00453B64">
            <w:pPr>
              <w:pStyle w:val="NormalWeb"/>
              <w:spacing w:before="0" w:beforeAutospacing="0" w:after="0" w:afterAutospacing="0"/>
              <w:rPr>
                <w:rStyle w:val="Strong"/>
                <w:rFonts w:ascii="Arial Narrow" w:hAnsi="Arial Narrow"/>
                <w:color w:val="333333"/>
                <w:sz w:val="18"/>
                <w:szCs w:val="18"/>
              </w:rPr>
            </w:pPr>
            <w:r w:rsidRPr="00B66840">
              <w:rPr>
                <w:rFonts w:ascii="Arial Narrow" w:hAnsi="Arial Narrow"/>
                <w:color w:val="333333"/>
                <w:sz w:val="18"/>
                <w:szCs w:val="18"/>
              </w:rPr>
              <w:t>No increase in the maximum amount or number of units may be authorised.</w:t>
            </w:r>
          </w:p>
          <w:p w:rsidR="00022FAD" w:rsidRPr="00B66840" w:rsidRDefault="00022FAD" w:rsidP="00453B64">
            <w:pPr>
              <w:pStyle w:val="NormalWeb"/>
              <w:spacing w:before="0" w:beforeAutospacing="0" w:after="0" w:afterAutospacing="0"/>
              <w:rPr>
                <w:rStyle w:val="Strong"/>
                <w:rFonts w:ascii="Arial Narrow" w:hAnsi="Arial Narrow"/>
                <w:color w:val="333333"/>
                <w:sz w:val="18"/>
                <w:szCs w:val="18"/>
              </w:rPr>
            </w:pPr>
            <w:r w:rsidRPr="00B66840">
              <w:rPr>
                <w:rFonts w:ascii="Arial Narrow" w:hAnsi="Arial Narrow"/>
                <w:color w:val="333333"/>
                <w:sz w:val="18"/>
                <w:szCs w:val="18"/>
              </w:rPr>
              <w:t>No increase in the maximum number of repeats may be authorised.</w:t>
            </w:r>
          </w:p>
          <w:p w:rsidR="00022FAD" w:rsidRDefault="00022FAD" w:rsidP="00453B64">
            <w:pPr>
              <w:pStyle w:val="NormalWeb"/>
              <w:spacing w:before="0" w:beforeAutospacing="0" w:after="0" w:afterAutospacing="0"/>
              <w:rPr>
                <w:rStyle w:val="Strong"/>
                <w:rFonts w:ascii="Arial Narrow" w:hAnsi="Arial Narrow"/>
                <w:color w:val="333333"/>
                <w:sz w:val="18"/>
                <w:szCs w:val="18"/>
              </w:rPr>
            </w:pPr>
            <w:r w:rsidRPr="00B66840">
              <w:rPr>
                <w:rFonts w:ascii="Arial Narrow" w:hAnsi="Arial Narrow"/>
                <w:color w:val="333333"/>
                <w:sz w:val="18"/>
                <w:szCs w:val="18"/>
              </w:rPr>
              <w:t>Special Pricing Arrangements apply.</w:t>
            </w:r>
          </w:p>
          <w:p w:rsidR="00022FAD" w:rsidRPr="00B66840" w:rsidRDefault="00022FAD" w:rsidP="00453B64">
            <w:pPr>
              <w:pStyle w:val="NormalWeb"/>
              <w:spacing w:before="0" w:beforeAutospacing="0" w:after="0" w:afterAutospacing="0"/>
              <w:rPr>
                <w:rStyle w:val="Strong"/>
                <w:rFonts w:ascii="Arial Narrow" w:hAnsi="Arial Narrow"/>
                <w:color w:val="333333"/>
                <w:sz w:val="18"/>
                <w:szCs w:val="18"/>
              </w:rPr>
            </w:pPr>
            <w:r w:rsidRPr="00B66840">
              <w:rPr>
                <w:rFonts w:ascii="Arial Narrow" w:hAnsi="Arial Narrow"/>
                <w:sz w:val="18"/>
                <w:szCs w:val="18"/>
              </w:rPr>
              <w:t>Patient should be treated with the recommended dose of pembrolizumab according to the TGA-approved Product Information.</w:t>
            </w:r>
          </w:p>
        </w:tc>
      </w:tr>
      <w:tr w:rsidR="00022FAD" w:rsidRPr="00B66840" w:rsidTr="00022FAD">
        <w:tc>
          <w:tcPr>
            <w:tcW w:w="5000" w:type="pct"/>
            <w:tcBorders>
              <w:bottom w:val="nil"/>
            </w:tcBorders>
            <w:vAlign w:val="center"/>
            <w:hideMark/>
          </w:tcPr>
          <w:p w:rsidR="00022FAD" w:rsidRPr="00B66840" w:rsidRDefault="00022FAD" w:rsidP="00453B64">
            <w:pPr>
              <w:pStyle w:val="NormalWeb"/>
              <w:spacing w:before="0" w:beforeAutospacing="0" w:after="0" w:afterAutospacing="0"/>
              <w:rPr>
                <w:rFonts w:ascii="Arial Narrow" w:hAnsi="Arial Narrow"/>
                <w:color w:val="333333"/>
                <w:sz w:val="18"/>
                <w:szCs w:val="18"/>
              </w:rPr>
            </w:pPr>
            <w:r w:rsidRPr="00B66840">
              <w:rPr>
                <w:rStyle w:val="Strong"/>
                <w:rFonts w:ascii="Arial Narrow" w:hAnsi="Arial Narrow"/>
                <w:color w:val="333333"/>
                <w:sz w:val="18"/>
                <w:szCs w:val="18"/>
              </w:rPr>
              <w:t>Indication:</w:t>
            </w:r>
            <w:r w:rsidRPr="00B66840">
              <w:rPr>
                <w:rFonts w:ascii="Arial Narrow" w:hAnsi="Arial Narrow"/>
                <w:color w:val="333333"/>
                <w:sz w:val="18"/>
                <w:szCs w:val="18"/>
              </w:rPr>
              <w:t xml:space="preserve"> Resected Stage IIIB, IIIC or IIID malignant melanoma</w:t>
            </w:r>
          </w:p>
        </w:tc>
      </w:tr>
      <w:tr w:rsidR="00022FAD" w:rsidRPr="00B66840" w:rsidTr="00022FAD">
        <w:trPr>
          <w:trHeight w:val="49"/>
        </w:trPr>
        <w:tc>
          <w:tcPr>
            <w:tcW w:w="5000" w:type="pct"/>
            <w:tcBorders>
              <w:top w:val="nil"/>
              <w:bottom w:val="nil"/>
            </w:tcBorders>
            <w:vAlign w:val="center"/>
            <w:hideMark/>
          </w:tcPr>
          <w:p w:rsidR="00022FAD" w:rsidRPr="00B66840" w:rsidRDefault="00022FAD" w:rsidP="00453B64">
            <w:pPr>
              <w:pStyle w:val="NormalWeb"/>
              <w:spacing w:before="0" w:beforeAutospacing="0" w:after="0" w:afterAutospacing="0"/>
              <w:rPr>
                <w:rFonts w:ascii="Arial Narrow" w:hAnsi="Arial Narrow"/>
                <w:color w:val="333333"/>
                <w:sz w:val="18"/>
                <w:szCs w:val="18"/>
              </w:rPr>
            </w:pPr>
            <w:r w:rsidRPr="00B66840">
              <w:rPr>
                <w:rStyle w:val="Strong"/>
                <w:rFonts w:ascii="Arial Narrow" w:hAnsi="Arial Narrow"/>
                <w:color w:val="333333"/>
                <w:sz w:val="18"/>
                <w:szCs w:val="18"/>
              </w:rPr>
              <w:t xml:space="preserve">Treatment Phase: </w:t>
            </w:r>
            <w:r w:rsidRPr="00B66840">
              <w:rPr>
                <w:rFonts w:ascii="Arial Narrow" w:hAnsi="Arial Narrow"/>
                <w:color w:val="333333"/>
                <w:sz w:val="18"/>
                <w:szCs w:val="18"/>
              </w:rPr>
              <w:t>Continuing treatment – 3 weekly treatment regimen</w:t>
            </w:r>
          </w:p>
        </w:tc>
      </w:tr>
      <w:tr w:rsidR="00022FAD" w:rsidRPr="00B66840" w:rsidTr="00022FAD">
        <w:tc>
          <w:tcPr>
            <w:tcW w:w="5000" w:type="pct"/>
            <w:tcBorders>
              <w:top w:val="nil"/>
              <w:bottom w:val="nil"/>
            </w:tcBorders>
            <w:vAlign w:val="center"/>
            <w:hideMark/>
          </w:tcPr>
          <w:p w:rsidR="00022FAD" w:rsidRPr="00B66840" w:rsidRDefault="00022FAD" w:rsidP="00453B64">
            <w:pPr>
              <w:pStyle w:val="NormalWeb"/>
              <w:spacing w:before="0" w:beforeAutospacing="0" w:after="0" w:afterAutospacing="0"/>
              <w:rPr>
                <w:rFonts w:ascii="Arial Narrow" w:hAnsi="Arial Narrow"/>
                <w:color w:val="333333"/>
                <w:sz w:val="18"/>
                <w:szCs w:val="18"/>
              </w:rPr>
            </w:pPr>
            <w:r w:rsidRPr="00B66840">
              <w:rPr>
                <w:rStyle w:val="Strong"/>
                <w:rFonts w:ascii="Arial Narrow" w:hAnsi="Arial Narrow"/>
                <w:color w:val="333333"/>
                <w:sz w:val="18"/>
                <w:szCs w:val="18"/>
              </w:rPr>
              <w:t>Clinical criteria:</w:t>
            </w:r>
          </w:p>
        </w:tc>
      </w:tr>
      <w:tr w:rsidR="00022FAD" w:rsidRPr="00B66840" w:rsidTr="00022FAD">
        <w:trPr>
          <w:trHeight w:val="156"/>
        </w:trPr>
        <w:tc>
          <w:tcPr>
            <w:tcW w:w="5000" w:type="pct"/>
            <w:tcBorders>
              <w:top w:val="nil"/>
              <w:bottom w:val="nil"/>
            </w:tcBorders>
            <w:vAlign w:val="center"/>
            <w:hideMark/>
          </w:tcPr>
          <w:p w:rsidR="00022FAD" w:rsidRPr="00022FAD" w:rsidRDefault="00022FAD" w:rsidP="00022FAD">
            <w:pPr>
              <w:pStyle w:val="ListParagraph"/>
              <w:numPr>
                <w:ilvl w:val="0"/>
                <w:numId w:val="38"/>
              </w:numPr>
              <w:rPr>
                <w:rFonts w:ascii="Arial Narrow" w:hAnsi="Arial Narrow"/>
                <w:color w:val="333333"/>
                <w:sz w:val="18"/>
                <w:szCs w:val="18"/>
              </w:rPr>
            </w:pPr>
            <w:r w:rsidRPr="00022FAD">
              <w:rPr>
                <w:rFonts w:ascii="Arial Narrow" w:hAnsi="Arial Narrow"/>
                <w:color w:val="333333"/>
                <w:sz w:val="18"/>
                <w:szCs w:val="18"/>
              </w:rPr>
              <w:t>Patient must have previously been issued with an authority prescription for this drug for adjuvant treatment following complete surgical resection</w:t>
            </w:r>
          </w:p>
        </w:tc>
      </w:tr>
      <w:tr w:rsidR="00022FAD" w:rsidRPr="00B66840" w:rsidTr="00022FAD">
        <w:tc>
          <w:tcPr>
            <w:tcW w:w="5000" w:type="pct"/>
            <w:tcBorders>
              <w:top w:val="nil"/>
              <w:bottom w:val="nil"/>
            </w:tcBorders>
            <w:vAlign w:val="center"/>
            <w:hideMark/>
          </w:tcPr>
          <w:p w:rsidR="00022FAD" w:rsidRPr="00022FAD" w:rsidRDefault="00022FAD" w:rsidP="00022FAD">
            <w:pPr>
              <w:pStyle w:val="ListParagraph"/>
              <w:rPr>
                <w:rFonts w:ascii="Arial Narrow" w:hAnsi="Arial Narrow"/>
                <w:color w:val="333333"/>
                <w:sz w:val="18"/>
                <w:szCs w:val="18"/>
              </w:rPr>
            </w:pPr>
            <w:r w:rsidRPr="00022FAD">
              <w:rPr>
                <w:rStyle w:val="Strong"/>
                <w:rFonts w:ascii="Arial Narrow" w:hAnsi="Arial Narrow"/>
                <w:color w:val="333333"/>
                <w:sz w:val="18"/>
                <w:szCs w:val="18"/>
              </w:rPr>
              <w:t>AND</w:t>
            </w:r>
          </w:p>
        </w:tc>
      </w:tr>
      <w:tr w:rsidR="00022FAD" w:rsidRPr="00B66840" w:rsidTr="00022FAD">
        <w:tc>
          <w:tcPr>
            <w:tcW w:w="5000" w:type="pct"/>
            <w:tcBorders>
              <w:top w:val="nil"/>
              <w:bottom w:val="nil"/>
            </w:tcBorders>
            <w:vAlign w:val="center"/>
            <w:hideMark/>
          </w:tcPr>
          <w:p w:rsidR="00022FAD" w:rsidRPr="00022FAD" w:rsidRDefault="00022FAD" w:rsidP="00022FAD">
            <w:pPr>
              <w:pStyle w:val="ListParagraph"/>
              <w:numPr>
                <w:ilvl w:val="0"/>
                <w:numId w:val="38"/>
              </w:numPr>
              <w:rPr>
                <w:rFonts w:ascii="Arial Narrow" w:hAnsi="Arial Narrow"/>
                <w:color w:val="333333"/>
                <w:sz w:val="18"/>
                <w:szCs w:val="18"/>
              </w:rPr>
            </w:pPr>
            <w:r w:rsidRPr="00022FAD">
              <w:rPr>
                <w:rFonts w:ascii="Arial Narrow" w:hAnsi="Arial Narrow"/>
                <w:color w:val="333333"/>
                <w:sz w:val="18"/>
                <w:szCs w:val="18"/>
              </w:rPr>
              <w:t>Patient must not have experienced disease recurrence</w:t>
            </w:r>
          </w:p>
        </w:tc>
      </w:tr>
      <w:tr w:rsidR="00022FAD" w:rsidRPr="00B66840" w:rsidTr="00022FAD">
        <w:tc>
          <w:tcPr>
            <w:tcW w:w="5000" w:type="pct"/>
            <w:tcBorders>
              <w:top w:val="nil"/>
              <w:bottom w:val="nil"/>
            </w:tcBorders>
            <w:vAlign w:val="center"/>
            <w:hideMark/>
          </w:tcPr>
          <w:p w:rsidR="00022FAD" w:rsidRPr="00022FAD" w:rsidRDefault="00022FAD" w:rsidP="00022FAD">
            <w:pPr>
              <w:pStyle w:val="ListParagraph"/>
              <w:rPr>
                <w:rFonts w:ascii="Arial Narrow" w:hAnsi="Arial Narrow"/>
                <w:color w:val="333333"/>
                <w:sz w:val="18"/>
                <w:szCs w:val="18"/>
              </w:rPr>
            </w:pPr>
            <w:r w:rsidRPr="00022FAD">
              <w:rPr>
                <w:rStyle w:val="Strong"/>
                <w:rFonts w:ascii="Arial Narrow" w:hAnsi="Arial Narrow"/>
                <w:color w:val="333333"/>
                <w:sz w:val="18"/>
                <w:szCs w:val="18"/>
              </w:rPr>
              <w:t>AND</w:t>
            </w:r>
          </w:p>
        </w:tc>
      </w:tr>
      <w:tr w:rsidR="00022FAD" w:rsidRPr="00B66840" w:rsidTr="00022FAD">
        <w:tc>
          <w:tcPr>
            <w:tcW w:w="5000" w:type="pct"/>
            <w:tcBorders>
              <w:top w:val="nil"/>
              <w:bottom w:val="nil"/>
            </w:tcBorders>
            <w:vAlign w:val="center"/>
            <w:hideMark/>
          </w:tcPr>
          <w:p w:rsidR="00022FAD" w:rsidRPr="00022FAD" w:rsidRDefault="00022FAD" w:rsidP="00022FAD">
            <w:pPr>
              <w:pStyle w:val="ListParagraph"/>
              <w:numPr>
                <w:ilvl w:val="0"/>
                <w:numId w:val="38"/>
              </w:numPr>
              <w:rPr>
                <w:rFonts w:ascii="Arial Narrow" w:hAnsi="Arial Narrow"/>
                <w:color w:val="333333"/>
                <w:sz w:val="18"/>
                <w:szCs w:val="18"/>
              </w:rPr>
            </w:pPr>
            <w:r w:rsidRPr="00022FAD">
              <w:rPr>
                <w:rFonts w:ascii="Arial Narrow" w:hAnsi="Arial Narrow"/>
                <w:color w:val="333333"/>
                <w:sz w:val="18"/>
                <w:szCs w:val="18"/>
              </w:rPr>
              <w:t>The treatment must be the sole PBS-subsidised therapy for this condition</w:t>
            </w:r>
          </w:p>
        </w:tc>
      </w:tr>
      <w:tr w:rsidR="00022FAD" w:rsidRPr="00B66840" w:rsidTr="00022FAD">
        <w:tc>
          <w:tcPr>
            <w:tcW w:w="5000" w:type="pct"/>
            <w:tcBorders>
              <w:top w:val="nil"/>
              <w:bottom w:val="nil"/>
            </w:tcBorders>
            <w:vAlign w:val="center"/>
            <w:hideMark/>
          </w:tcPr>
          <w:p w:rsidR="00022FAD" w:rsidRPr="00022FAD" w:rsidRDefault="00022FAD" w:rsidP="00022FAD">
            <w:pPr>
              <w:pStyle w:val="ListParagraph"/>
              <w:rPr>
                <w:rFonts w:ascii="Arial Narrow" w:hAnsi="Arial Narrow"/>
                <w:color w:val="333333"/>
                <w:sz w:val="18"/>
                <w:szCs w:val="18"/>
              </w:rPr>
            </w:pPr>
            <w:r w:rsidRPr="00022FAD">
              <w:rPr>
                <w:rStyle w:val="Strong"/>
                <w:rFonts w:ascii="Arial Narrow" w:hAnsi="Arial Narrow"/>
                <w:color w:val="333333"/>
                <w:sz w:val="18"/>
                <w:szCs w:val="18"/>
              </w:rPr>
              <w:t>AND</w:t>
            </w:r>
          </w:p>
        </w:tc>
      </w:tr>
      <w:tr w:rsidR="00022FAD" w:rsidRPr="00B66840" w:rsidTr="00022FAD">
        <w:tc>
          <w:tcPr>
            <w:tcW w:w="5000" w:type="pct"/>
            <w:tcBorders>
              <w:top w:val="nil"/>
            </w:tcBorders>
            <w:vAlign w:val="center"/>
            <w:hideMark/>
          </w:tcPr>
          <w:p w:rsidR="00022FAD" w:rsidRPr="00022FAD" w:rsidRDefault="00022FAD" w:rsidP="00022FAD">
            <w:pPr>
              <w:pStyle w:val="ListParagraph"/>
              <w:numPr>
                <w:ilvl w:val="0"/>
                <w:numId w:val="38"/>
              </w:numPr>
              <w:rPr>
                <w:rFonts w:ascii="Arial Narrow" w:hAnsi="Arial Narrow"/>
                <w:color w:val="333333"/>
                <w:sz w:val="18"/>
                <w:szCs w:val="18"/>
              </w:rPr>
            </w:pPr>
            <w:r w:rsidRPr="00022FAD">
              <w:rPr>
                <w:rFonts w:ascii="Arial Narrow" w:hAnsi="Arial Narrow"/>
                <w:color w:val="333333"/>
                <w:sz w:val="18"/>
                <w:szCs w:val="18"/>
              </w:rPr>
              <w:t>Patient must not receive more than 12 months of combined PBS-subsidised and non-PBS-subsidised adjuvant therapy</w:t>
            </w:r>
          </w:p>
        </w:tc>
      </w:tr>
    </w:tbl>
    <w:p w:rsidR="00022FAD" w:rsidRDefault="00022FAD" w:rsidP="00453B64">
      <w:pPr>
        <w:pStyle w:val="Tabletitles"/>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926"/>
      </w:tblGrid>
      <w:tr w:rsidR="00022FAD" w:rsidRPr="00B66840" w:rsidTr="00022FAD">
        <w:tc>
          <w:tcPr>
            <w:tcW w:w="5000" w:type="pct"/>
            <w:tcBorders>
              <w:top w:val="single" w:sz="4" w:space="0" w:color="auto"/>
              <w:left w:val="single" w:sz="4" w:space="0" w:color="auto"/>
              <w:bottom w:val="single" w:sz="4" w:space="0" w:color="auto"/>
              <w:right w:val="single" w:sz="4" w:space="0" w:color="auto"/>
            </w:tcBorders>
          </w:tcPr>
          <w:p w:rsidR="00022FAD" w:rsidRPr="00B66840" w:rsidRDefault="00022FAD" w:rsidP="00453B64">
            <w:pPr>
              <w:pStyle w:val="NormalWeb"/>
              <w:spacing w:before="0" w:beforeAutospacing="0" w:after="0" w:afterAutospacing="0"/>
              <w:rPr>
                <w:rStyle w:val="Strong"/>
                <w:rFonts w:ascii="Arial Narrow" w:hAnsi="Arial Narrow"/>
                <w:color w:val="333333"/>
                <w:sz w:val="18"/>
                <w:szCs w:val="18"/>
              </w:rPr>
            </w:pPr>
            <w:r w:rsidRPr="00666004">
              <w:rPr>
                <w:rFonts w:ascii="Arial Narrow" w:eastAsia="Calibri" w:hAnsi="Arial Narrow"/>
                <w:b/>
                <w:sz w:val="18"/>
                <w:szCs w:val="18"/>
              </w:rPr>
              <w:t>Category/Program:</w:t>
            </w:r>
            <w:r w:rsidRPr="00B66840">
              <w:rPr>
                <w:rFonts w:ascii="Arial Narrow" w:eastAsia="Calibri" w:hAnsi="Arial Narrow"/>
                <w:sz w:val="18"/>
                <w:szCs w:val="18"/>
              </w:rPr>
              <w:t xml:space="preserve"> Section 100 Efficient Funding of Chemotherapy</w:t>
            </w:r>
          </w:p>
        </w:tc>
      </w:tr>
      <w:tr w:rsidR="00022FAD" w:rsidRPr="00B66840" w:rsidTr="00022FAD">
        <w:tc>
          <w:tcPr>
            <w:tcW w:w="5000" w:type="pct"/>
            <w:tcBorders>
              <w:top w:val="single" w:sz="4" w:space="0" w:color="auto"/>
              <w:left w:val="single" w:sz="4" w:space="0" w:color="auto"/>
              <w:bottom w:val="single" w:sz="4" w:space="0" w:color="auto"/>
              <w:right w:val="single" w:sz="4" w:space="0" w:color="auto"/>
            </w:tcBorders>
          </w:tcPr>
          <w:p w:rsidR="00022FAD" w:rsidRPr="00B66840" w:rsidRDefault="00022FAD" w:rsidP="00453B64">
            <w:pPr>
              <w:pStyle w:val="NormalWeb"/>
              <w:spacing w:before="0" w:beforeAutospacing="0" w:after="0" w:afterAutospacing="0"/>
              <w:rPr>
                <w:rStyle w:val="Strong"/>
                <w:rFonts w:ascii="Arial Narrow" w:hAnsi="Arial Narrow"/>
                <w:color w:val="333333"/>
                <w:sz w:val="18"/>
                <w:szCs w:val="18"/>
              </w:rPr>
            </w:pPr>
            <w:r w:rsidRPr="00B66840">
              <w:rPr>
                <w:rFonts w:ascii="Arial Narrow" w:eastAsia="Calibri" w:hAnsi="Arial Narrow"/>
                <w:b/>
                <w:sz w:val="18"/>
                <w:szCs w:val="18"/>
              </w:rPr>
              <w:t>Prescriber type:</w:t>
            </w:r>
            <w:r w:rsidRPr="00B66840">
              <w:rPr>
                <w:rFonts w:ascii="Arial Narrow" w:eastAsia="Calibri" w:hAnsi="Arial Narrow"/>
                <w:sz w:val="18"/>
                <w:szCs w:val="18"/>
              </w:rPr>
              <w:t xml:space="preserve">  </w:t>
            </w:r>
            <w:r w:rsidRPr="005D74E5">
              <w:rPr>
                <w:rFonts w:ascii="Arial Narrow" w:eastAsia="Calibri" w:hAnsi="Arial Narrow"/>
                <w:sz w:val="18"/>
                <w:szCs w:val="18"/>
              </w:rPr>
              <w:fldChar w:fldCharType="begin">
                <w:ffData>
                  <w:name w:val="Check1"/>
                  <w:enabled/>
                  <w:calcOnExit w:val="0"/>
                  <w:checkBox>
                    <w:sizeAuto/>
                    <w:default w:val="0"/>
                  </w:checkBox>
                </w:ffData>
              </w:fldChar>
            </w:r>
            <w:r w:rsidRPr="00B66840">
              <w:rPr>
                <w:rFonts w:ascii="Arial Narrow" w:eastAsia="Calibri" w:hAnsi="Arial Narrow"/>
                <w:sz w:val="18"/>
                <w:szCs w:val="18"/>
              </w:rPr>
              <w:instrText xml:space="preserve"> FORMCHECKBOX </w:instrText>
            </w:r>
            <w:r w:rsidR="009D06E4">
              <w:rPr>
                <w:rFonts w:ascii="Arial Narrow" w:eastAsia="Calibri" w:hAnsi="Arial Narrow"/>
                <w:sz w:val="18"/>
                <w:szCs w:val="18"/>
              </w:rPr>
            </w:r>
            <w:r w:rsidR="009D06E4">
              <w:rPr>
                <w:rFonts w:ascii="Arial Narrow" w:eastAsia="Calibri" w:hAnsi="Arial Narrow"/>
                <w:sz w:val="18"/>
                <w:szCs w:val="18"/>
              </w:rPr>
              <w:fldChar w:fldCharType="separate"/>
            </w:r>
            <w:r w:rsidRPr="005D74E5">
              <w:rPr>
                <w:rFonts w:ascii="Arial Narrow" w:eastAsia="Calibri" w:hAnsi="Arial Narrow"/>
                <w:sz w:val="18"/>
                <w:szCs w:val="18"/>
              </w:rPr>
              <w:fldChar w:fldCharType="end"/>
            </w:r>
            <w:r w:rsidRPr="00B66840">
              <w:rPr>
                <w:rFonts w:ascii="Arial Narrow" w:eastAsia="Calibri" w:hAnsi="Arial Narrow"/>
                <w:sz w:val="18"/>
                <w:szCs w:val="18"/>
              </w:rPr>
              <w:t xml:space="preserve">Dental </w:t>
            </w:r>
            <w:r w:rsidRPr="005D74E5">
              <w:rPr>
                <w:rFonts w:ascii="Arial Narrow" w:eastAsia="Calibri" w:hAnsi="Arial Narrow"/>
                <w:sz w:val="18"/>
                <w:szCs w:val="18"/>
              </w:rPr>
              <w:fldChar w:fldCharType="begin">
                <w:ffData>
                  <w:name w:val=""/>
                  <w:enabled/>
                  <w:calcOnExit w:val="0"/>
                  <w:checkBox>
                    <w:sizeAuto/>
                    <w:default w:val="1"/>
                  </w:checkBox>
                </w:ffData>
              </w:fldChar>
            </w:r>
            <w:r w:rsidRPr="00B66840">
              <w:rPr>
                <w:rFonts w:ascii="Arial Narrow" w:eastAsia="Calibri" w:hAnsi="Arial Narrow"/>
                <w:sz w:val="18"/>
                <w:szCs w:val="18"/>
              </w:rPr>
              <w:instrText xml:space="preserve"> FORMCHECKBOX </w:instrText>
            </w:r>
            <w:r w:rsidR="009D06E4">
              <w:rPr>
                <w:rFonts w:ascii="Arial Narrow" w:eastAsia="Calibri" w:hAnsi="Arial Narrow"/>
                <w:sz w:val="18"/>
                <w:szCs w:val="18"/>
              </w:rPr>
            </w:r>
            <w:r w:rsidR="009D06E4">
              <w:rPr>
                <w:rFonts w:ascii="Arial Narrow" w:eastAsia="Calibri" w:hAnsi="Arial Narrow"/>
                <w:sz w:val="18"/>
                <w:szCs w:val="18"/>
              </w:rPr>
              <w:fldChar w:fldCharType="separate"/>
            </w:r>
            <w:r w:rsidRPr="005D74E5">
              <w:rPr>
                <w:rFonts w:ascii="Arial Narrow" w:eastAsia="Calibri" w:hAnsi="Arial Narrow"/>
                <w:sz w:val="18"/>
                <w:szCs w:val="18"/>
              </w:rPr>
              <w:fldChar w:fldCharType="end"/>
            </w:r>
            <w:r w:rsidRPr="00B66840">
              <w:rPr>
                <w:rFonts w:ascii="Arial Narrow" w:eastAsia="Calibri" w:hAnsi="Arial Narrow"/>
                <w:sz w:val="18"/>
                <w:szCs w:val="18"/>
              </w:rPr>
              <w:t xml:space="preserve">Medical Practitioners </w:t>
            </w:r>
            <w:r w:rsidRPr="005D74E5">
              <w:rPr>
                <w:rFonts w:ascii="Arial Narrow" w:eastAsia="Calibri" w:hAnsi="Arial Narrow"/>
                <w:sz w:val="18"/>
                <w:szCs w:val="18"/>
              </w:rPr>
              <w:fldChar w:fldCharType="begin">
                <w:ffData>
                  <w:name w:val="Check3"/>
                  <w:enabled/>
                  <w:calcOnExit w:val="0"/>
                  <w:checkBox>
                    <w:sizeAuto/>
                    <w:default w:val="0"/>
                  </w:checkBox>
                </w:ffData>
              </w:fldChar>
            </w:r>
            <w:r w:rsidRPr="00B66840">
              <w:rPr>
                <w:rFonts w:ascii="Arial Narrow" w:eastAsia="Calibri" w:hAnsi="Arial Narrow"/>
                <w:sz w:val="18"/>
                <w:szCs w:val="18"/>
              </w:rPr>
              <w:instrText xml:space="preserve"> FORMCHECKBOX </w:instrText>
            </w:r>
            <w:r w:rsidR="009D06E4">
              <w:rPr>
                <w:rFonts w:ascii="Arial Narrow" w:eastAsia="Calibri" w:hAnsi="Arial Narrow"/>
                <w:sz w:val="18"/>
                <w:szCs w:val="18"/>
              </w:rPr>
            </w:r>
            <w:r w:rsidR="009D06E4">
              <w:rPr>
                <w:rFonts w:ascii="Arial Narrow" w:eastAsia="Calibri" w:hAnsi="Arial Narrow"/>
                <w:sz w:val="18"/>
                <w:szCs w:val="18"/>
              </w:rPr>
              <w:fldChar w:fldCharType="separate"/>
            </w:r>
            <w:r w:rsidRPr="005D74E5">
              <w:rPr>
                <w:rFonts w:ascii="Arial Narrow" w:eastAsia="Calibri" w:hAnsi="Arial Narrow"/>
                <w:sz w:val="18"/>
                <w:szCs w:val="18"/>
              </w:rPr>
              <w:fldChar w:fldCharType="end"/>
            </w:r>
            <w:r w:rsidRPr="00B66840">
              <w:rPr>
                <w:rFonts w:ascii="Arial Narrow" w:eastAsia="Calibri" w:hAnsi="Arial Narrow"/>
                <w:sz w:val="18"/>
                <w:szCs w:val="18"/>
              </w:rPr>
              <w:t xml:space="preserve">Nurse practitioners </w:t>
            </w:r>
            <w:r w:rsidRPr="005D74E5">
              <w:rPr>
                <w:rFonts w:ascii="Arial Narrow" w:eastAsia="Calibri" w:hAnsi="Arial Narrow"/>
                <w:sz w:val="18"/>
                <w:szCs w:val="18"/>
              </w:rPr>
              <w:fldChar w:fldCharType="begin">
                <w:ffData>
                  <w:name w:val=""/>
                  <w:enabled/>
                  <w:calcOnExit w:val="0"/>
                  <w:checkBox>
                    <w:sizeAuto/>
                    <w:default w:val="0"/>
                  </w:checkBox>
                </w:ffData>
              </w:fldChar>
            </w:r>
            <w:r w:rsidRPr="00B66840">
              <w:rPr>
                <w:rFonts w:ascii="Arial Narrow" w:eastAsia="Calibri" w:hAnsi="Arial Narrow"/>
                <w:sz w:val="18"/>
                <w:szCs w:val="18"/>
              </w:rPr>
              <w:instrText xml:space="preserve"> FORMCHECKBOX </w:instrText>
            </w:r>
            <w:r w:rsidR="009D06E4">
              <w:rPr>
                <w:rFonts w:ascii="Arial Narrow" w:eastAsia="Calibri" w:hAnsi="Arial Narrow"/>
                <w:sz w:val="18"/>
                <w:szCs w:val="18"/>
              </w:rPr>
            </w:r>
            <w:r w:rsidR="009D06E4">
              <w:rPr>
                <w:rFonts w:ascii="Arial Narrow" w:eastAsia="Calibri" w:hAnsi="Arial Narrow"/>
                <w:sz w:val="18"/>
                <w:szCs w:val="18"/>
              </w:rPr>
              <w:fldChar w:fldCharType="separate"/>
            </w:r>
            <w:r w:rsidRPr="005D74E5">
              <w:rPr>
                <w:rFonts w:ascii="Arial Narrow" w:eastAsia="Calibri" w:hAnsi="Arial Narrow"/>
                <w:sz w:val="18"/>
                <w:szCs w:val="18"/>
              </w:rPr>
              <w:fldChar w:fldCharType="end"/>
            </w:r>
            <w:r w:rsidRPr="00B66840">
              <w:rPr>
                <w:rFonts w:ascii="Arial Narrow" w:eastAsia="Calibri" w:hAnsi="Arial Narrow"/>
                <w:sz w:val="18"/>
                <w:szCs w:val="18"/>
              </w:rPr>
              <w:t xml:space="preserve">Optometrists </w:t>
            </w:r>
            <w:r w:rsidRPr="005D74E5">
              <w:rPr>
                <w:rFonts w:ascii="Arial Narrow" w:eastAsia="Calibri" w:hAnsi="Arial Narrow"/>
                <w:sz w:val="18"/>
                <w:szCs w:val="18"/>
              </w:rPr>
              <w:fldChar w:fldCharType="begin">
                <w:ffData>
                  <w:name w:val="Check5"/>
                  <w:enabled/>
                  <w:calcOnExit w:val="0"/>
                  <w:checkBox>
                    <w:sizeAuto/>
                    <w:default w:val="0"/>
                  </w:checkBox>
                </w:ffData>
              </w:fldChar>
            </w:r>
            <w:r w:rsidRPr="00B66840">
              <w:rPr>
                <w:rFonts w:ascii="Arial Narrow" w:eastAsia="Calibri" w:hAnsi="Arial Narrow"/>
                <w:sz w:val="18"/>
                <w:szCs w:val="18"/>
              </w:rPr>
              <w:instrText xml:space="preserve"> FORMCHECKBOX </w:instrText>
            </w:r>
            <w:r w:rsidR="009D06E4">
              <w:rPr>
                <w:rFonts w:ascii="Arial Narrow" w:eastAsia="Calibri" w:hAnsi="Arial Narrow"/>
                <w:sz w:val="18"/>
                <w:szCs w:val="18"/>
              </w:rPr>
            </w:r>
            <w:r w:rsidR="009D06E4">
              <w:rPr>
                <w:rFonts w:ascii="Arial Narrow" w:eastAsia="Calibri" w:hAnsi="Arial Narrow"/>
                <w:sz w:val="18"/>
                <w:szCs w:val="18"/>
              </w:rPr>
              <w:fldChar w:fldCharType="separate"/>
            </w:r>
            <w:r w:rsidRPr="005D74E5">
              <w:rPr>
                <w:rFonts w:ascii="Arial Narrow" w:eastAsia="Calibri" w:hAnsi="Arial Narrow"/>
                <w:sz w:val="18"/>
                <w:szCs w:val="18"/>
              </w:rPr>
              <w:fldChar w:fldCharType="end"/>
            </w:r>
            <w:r w:rsidRPr="00B66840">
              <w:rPr>
                <w:rFonts w:ascii="Arial Narrow" w:eastAsia="Calibri" w:hAnsi="Arial Narrow"/>
                <w:sz w:val="18"/>
                <w:szCs w:val="18"/>
              </w:rPr>
              <w:t>Midwives</w:t>
            </w:r>
          </w:p>
        </w:tc>
      </w:tr>
      <w:tr w:rsidR="00022FAD" w:rsidRPr="00B66840" w:rsidTr="00022FAD">
        <w:tc>
          <w:tcPr>
            <w:tcW w:w="5000" w:type="pct"/>
            <w:tcBorders>
              <w:top w:val="single" w:sz="4" w:space="0" w:color="auto"/>
              <w:left w:val="single" w:sz="4" w:space="0" w:color="auto"/>
              <w:bottom w:val="single" w:sz="4" w:space="0" w:color="auto"/>
              <w:right w:val="single" w:sz="4" w:space="0" w:color="auto"/>
            </w:tcBorders>
          </w:tcPr>
          <w:p w:rsidR="00022FAD" w:rsidRPr="00022FAD" w:rsidRDefault="00022FAD" w:rsidP="00022FAD">
            <w:pPr>
              <w:pStyle w:val="TableText0"/>
              <w:keepLines/>
              <w:rPr>
                <w:rStyle w:val="Strong"/>
                <w:b w:val="0"/>
                <w:bCs w:val="0"/>
                <w:sz w:val="18"/>
                <w:szCs w:val="18"/>
              </w:rPr>
            </w:pPr>
            <w:r w:rsidRPr="00B66840">
              <w:rPr>
                <w:b/>
                <w:sz w:val="18"/>
                <w:szCs w:val="18"/>
              </w:rPr>
              <w:t>Restriction Level / Method:</w:t>
            </w:r>
            <w:r>
              <w:rPr>
                <w:sz w:val="18"/>
                <w:szCs w:val="18"/>
              </w:rPr>
              <w:t xml:space="preserve">  </w:t>
            </w:r>
            <w:r w:rsidRPr="005D74E5">
              <w:rPr>
                <w:sz w:val="18"/>
                <w:szCs w:val="18"/>
              </w:rPr>
              <w:fldChar w:fldCharType="begin">
                <w:ffData>
                  <w:name w:val=""/>
                  <w:enabled/>
                  <w:calcOnExit w:val="0"/>
                  <w:checkBox>
                    <w:sizeAuto/>
                    <w:default w:val="1"/>
                  </w:checkBox>
                </w:ffData>
              </w:fldChar>
            </w:r>
            <w:r w:rsidRPr="00B66840">
              <w:rPr>
                <w:sz w:val="18"/>
                <w:szCs w:val="18"/>
              </w:rPr>
              <w:instrText xml:space="preserve"> FORMCHECKBOX </w:instrText>
            </w:r>
            <w:r w:rsidR="009D06E4">
              <w:rPr>
                <w:sz w:val="18"/>
                <w:szCs w:val="18"/>
              </w:rPr>
            </w:r>
            <w:r w:rsidR="009D06E4">
              <w:rPr>
                <w:sz w:val="18"/>
                <w:szCs w:val="18"/>
              </w:rPr>
              <w:fldChar w:fldCharType="separate"/>
            </w:r>
            <w:r w:rsidRPr="005D74E5">
              <w:rPr>
                <w:sz w:val="18"/>
                <w:szCs w:val="18"/>
              </w:rPr>
              <w:fldChar w:fldCharType="end"/>
            </w:r>
            <w:r w:rsidRPr="00022FAD">
              <w:rPr>
                <w:sz w:val="18"/>
                <w:szCs w:val="18"/>
              </w:rPr>
              <w:t>Authority Required – Telephone/Emergency/Electronic</w:t>
            </w:r>
          </w:p>
        </w:tc>
      </w:tr>
      <w:tr w:rsidR="00022FAD" w:rsidRPr="00B66840" w:rsidTr="00CC7AB8">
        <w:trPr>
          <w:trHeight w:val="1153"/>
        </w:trPr>
        <w:tc>
          <w:tcPr>
            <w:tcW w:w="5000" w:type="pct"/>
            <w:tcBorders>
              <w:bottom w:val="single" w:sz="4" w:space="0" w:color="auto"/>
            </w:tcBorders>
            <w:vAlign w:val="center"/>
          </w:tcPr>
          <w:p w:rsidR="00022FAD" w:rsidRDefault="00022FAD" w:rsidP="00453B64">
            <w:pPr>
              <w:pStyle w:val="NormalWeb"/>
              <w:spacing w:before="0" w:beforeAutospacing="0" w:after="0" w:afterAutospacing="0"/>
              <w:rPr>
                <w:rFonts w:ascii="Arial Narrow" w:hAnsi="Arial Narrow"/>
                <w:color w:val="333333"/>
                <w:sz w:val="18"/>
                <w:szCs w:val="18"/>
              </w:rPr>
            </w:pPr>
            <w:r w:rsidRPr="00B66840">
              <w:rPr>
                <w:rStyle w:val="Strong"/>
                <w:rFonts w:ascii="Arial Narrow" w:hAnsi="Arial Narrow"/>
                <w:color w:val="333333"/>
                <w:sz w:val="18"/>
                <w:szCs w:val="18"/>
              </w:rPr>
              <w:t>Administrative Advice:</w:t>
            </w:r>
            <w:r w:rsidRPr="00B66840">
              <w:rPr>
                <w:rFonts w:ascii="Arial Narrow" w:hAnsi="Arial Narrow"/>
                <w:color w:val="333333"/>
                <w:sz w:val="18"/>
                <w:szCs w:val="18"/>
              </w:rPr>
              <w:t xml:space="preserve"> </w:t>
            </w:r>
          </w:p>
          <w:p w:rsidR="00022FAD" w:rsidRPr="00B66840" w:rsidRDefault="00022FAD" w:rsidP="00453B64">
            <w:pPr>
              <w:pStyle w:val="NormalWeb"/>
              <w:spacing w:before="0" w:beforeAutospacing="0" w:after="0" w:afterAutospacing="0"/>
              <w:rPr>
                <w:rStyle w:val="Strong"/>
                <w:rFonts w:ascii="Arial Narrow" w:hAnsi="Arial Narrow"/>
                <w:color w:val="333333"/>
                <w:sz w:val="18"/>
                <w:szCs w:val="18"/>
              </w:rPr>
            </w:pPr>
            <w:r w:rsidRPr="00B66840">
              <w:rPr>
                <w:rFonts w:ascii="Arial Narrow" w:hAnsi="Arial Narrow"/>
                <w:color w:val="333333"/>
                <w:sz w:val="18"/>
                <w:szCs w:val="18"/>
              </w:rPr>
              <w:t>No increase in the maximum amount or number of units may be authorised.</w:t>
            </w:r>
          </w:p>
          <w:p w:rsidR="00022FAD" w:rsidRPr="00B66840" w:rsidRDefault="00022FAD" w:rsidP="00453B64">
            <w:pPr>
              <w:pStyle w:val="NormalWeb"/>
              <w:spacing w:before="0" w:beforeAutospacing="0" w:after="0" w:afterAutospacing="0"/>
              <w:rPr>
                <w:rStyle w:val="Strong"/>
                <w:rFonts w:ascii="Arial Narrow" w:hAnsi="Arial Narrow"/>
                <w:color w:val="333333"/>
                <w:sz w:val="18"/>
                <w:szCs w:val="18"/>
              </w:rPr>
            </w:pPr>
            <w:r w:rsidRPr="00B66840">
              <w:rPr>
                <w:rFonts w:ascii="Arial Narrow" w:hAnsi="Arial Narrow"/>
                <w:color w:val="333333"/>
                <w:sz w:val="18"/>
                <w:szCs w:val="18"/>
              </w:rPr>
              <w:t>No increase in the maximum number of repeats may be authorised.</w:t>
            </w:r>
          </w:p>
          <w:p w:rsidR="00022FAD" w:rsidRDefault="00022FAD" w:rsidP="00453B64">
            <w:pPr>
              <w:pStyle w:val="NormalWeb"/>
              <w:spacing w:before="0" w:beforeAutospacing="0" w:after="0" w:afterAutospacing="0"/>
              <w:rPr>
                <w:rStyle w:val="Strong"/>
                <w:rFonts w:ascii="Arial Narrow" w:hAnsi="Arial Narrow"/>
                <w:color w:val="333333"/>
                <w:sz w:val="18"/>
                <w:szCs w:val="18"/>
              </w:rPr>
            </w:pPr>
            <w:r w:rsidRPr="00B66840">
              <w:rPr>
                <w:rFonts w:ascii="Arial Narrow" w:hAnsi="Arial Narrow"/>
                <w:color w:val="333333"/>
                <w:sz w:val="18"/>
                <w:szCs w:val="18"/>
              </w:rPr>
              <w:t>Special Pricing Arrangements apply.</w:t>
            </w:r>
          </w:p>
          <w:p w:rsidR="00022FAD" w:rsidRPr="00B66840" w:rsidRDefault="00022FAD" w:rsidP="00453B64">
            <w:pPr>
              <w:pStyle w:val="NormalWeb"/>
              <w:spacing w:before="0" w:beforeAutospacing="0" w:after="0" w:afterAutospacing="0"/>
              <w:rPr>
                <w:rStyle w:val="Strong"/>
                <w:rFonts w:ascii="Arial Narrow" w:hAnsi="Arial Narrow"/>
                <w:color w:val="333333"/>
                <w:sz w:val="18"/>
                <w:szCs w:val="18"/>
              </w:rPr>
            </w:pPr>
            <w:r w:rsidRPr="00B66840">
              <w:rPr>
                <w:rFonts w:ascii="Arial Narrow" w:hAnsi="Arial Narrow"/>
                <w:sz w:val="18"/>
                <w:szCs w:val="18"/>
              </w:rPr>
              <w:t>Patient should be treated with the recommended dose of pembrolizumab according to the TGA-approved Product Information.</w:t>
            </w:r>
          </w:p>
        </w:tc>
      </w:tr>
      <w:tr w:rsidR="00022FAD" w:rsidRPr="00B66840" w:rsidTr="00CC7AB8">
        <w:tc>
          <w:tcPr>
            <w:tcW w:w="5000" w:type="pct"/>
            <w:tcBorders>
              <w:bottom w:val="nil"/>
            </w:tcBorders>
            <w:vAlign w:val="center"/>
            <w:hideMark/>
          </w:tcPr>
          <w:p w:rsidR="00022FAD" w:rsidRPr="00B66840" w:rsidRDefault="00022FAD" w:rsidP="00453B64">
            <w:pPr>
              <w:pStyle w:val="NormalWeb"/>
              <w:spacing w:before="0" w:beforeAutospacing="0" w:after="0" w:afterAutospacing="0"/>
              <w:rPr>
                <w:rFonts w:ascii="Arial Narrow" w:hAnsi="Arial Narrow"/>
                <w:color w:val="333333"/>
                <w:sz w:val="18"/>
                <w:szCs w:val="18"/>
              </w:rPr>
            </w:pPr>
            <w:r w:rsidRPr="00B66840">
              <w:rPr>
                <w:rStyle w:val="Strong"/>
                <w:rFonts w:ascii="Arial Narrow" w:hAnsi="Arial Narrow"/>
                <w:color w:val="333333"/>
                <w:sz w:val="18"/>
                <w:szCs w:val="18"/>
              </w:rPr>
              <w:t>Indication:</w:t>
            </w:r>
            <w:r w:rsidRPr="00B66840">
              <w:rPr>
                <w:rFonts w:ascii="Arial Narrow" w:hAnsi="Arial Narrow"/>
                <w:color w:val="333333"/>
                <w:sz w:val="18"/>
                <w:szCs w:val="18"/>
              </w:rPr>
              <w:t xml:space="preserve"> Resected Stage IIIB, IIIC or IIID malignant melanoma</w:t>
            </w:r>
          </w:p>
        </w:tc>
      </w:tr>
      <w:tr w:rsidR="00022FAD" w:rsidRPr="00B66840" w:rsidTr="00CC7AB8">
        <w:tc>
          <w:tcPr>
            <w:tcW w:w="5000" w:type="pct"/>
            <w:tcBorders>
              <w:top w:val="nil"/>
              <w:bottom w:val="nil"/>
            </w:tcBorders>
            <w:vAlign w:val="center"/>
            <w:hideMark/>
          </w:tcPr>
          <w:p w:rsidR="00022FAD" w:rsidRPr="00B66840" w:rsidRDefault="00022FAD" w:rsidP="00453B64">
            <w:pPr>
              <w:pStyle w:val="NormalWeb"/>
              <w:spacing w:before="0" w:beforeAutospacing="0" w:after="0" w:afterAutospacing="0"/>
              <w:rPr>
                <w:rFonts w:ascii="Arial Narrow" w:hAnsi="Arial Narrow"/>
                <w:color w:val="333333"/>
                <w:sz w:val="18"/>
                <w:szCs w:val="18"/>
              </w:rPr>
            </w:pPr>
            <w:r w:rsidRPr="00B66840">
              <w:rPr>
                <w:rStyle w:val="Strong"/>
                <w:rFonts w:ascii="Arial Narrow" w:hAnsi="Arial Narrow"/>
                <w:color w:val="333333"/>
                <w:sz w:val="18"/>
                <w:szCs w:val="18"/>
              </w:rPr>
              <w:t xml:space="preserve">Treatment Phase: </w:t>
            </w:r>
            <w:r w:rsidRPr="00B66840">
              <w:rPr>
                <w:rFonts w:ascii="Arial Narrow" w:hAnsi="Arial Narrow"/>
                <w:color w:val="333333"/>
                <w:sz w:val="18"/>
                <w:szCs w:val="18"/>
              </w:rPr>
              <w:t>Grandfather treatment – 3 weekly treatment regimen</w:t>
            </w:r>
          </w:p>
        </w:tc>
      </w:tr>
      <w:tr w:rsidR="00022FAD" w:rsidRPr="00B66840" w:rsidTr="00CC7AB8">
        <w:tc>
          <w:tcPr>
            <w:tcW w:w="5000" w:type="pct"/>
            <w:tcBorders>
              <w:top w:val="nil"/>
              <w:bottom w:val="nil"/>
            </w:tcBorders>
            <w:vAlign w:val="center"/>
            <w:hideMark/>
          </w:tcPr>
          <w:p w:rsidR="00022FAD" w:rsidRPr="00B66840" w:rsidRDefault="00022FAD" w:rsidP="00453B64">
            <w:pPr>
              <w:pStyle w:val="NormalWeb"/>
              <w:spacing w:before="0" w:beforeAutospacing="0" w:after="0" w:afterAutospacing="0"/>
              <w:rPr>
                <w:rFonts w:ascii="Arial Narrow" w:hAnsi="Arial Narrow"/>
                <w:color w:val="333333"/>
                <w:sz w:val="18"/>
                <w:szCs w:val="18"/>
              </w:rPr>
            </w:pPr>
            <w:r w:rsidRPr="00B66840">
              <w:rPr>
                <w:rStyle w:val="Strong"/>
                <w:rFonts w:ascii="Arial Narrow" w:hAnsi="Arial Narrow"/>
                <w:color w:val="333333"/>
                <w:sz w:val="18"/>
                <w:szCs w:val="18"/>
              </w:rPr>
              <w:t>Clinical criteria:</w:t>
            </w:r>
          </w:p>
        </w:tc>
      </w:tr>
      <w:tr w:rsidR="00022FAD" w:rsidRPr="00B66840" w:rsidTr="00CC7AB8">
        <w:tc>
          <w:tcPr>
            <w:tcW w:w="5000" w:type="pct"/>
            <w:tcBorders>
              <w:top w:val="nil"/>
              <w:bottom w:val="nil"/>
            </w:tcBorders>
            <w:vAlign w:val="center"/>
            <w:hideMark/>
          </w:tcPr>
          <w:p w:rsidR="00022FAD" w:rsidRPr="00CC7AB8" w:rsidRDefault="00022FAD" w:rsidP="00C5188F">
            <w:pPr>
              <w:pStyle w:val="ListParagraph"/>
              <w:numPr>
                <w:ilvl w:val="0"/>
                <w:numId w:val="39"/>
              </w:numPr>
              <w:rPr>
                <w:rFonts w:ascii="Arial Narrow" w:hAnsi="Arial Narrow"/>
                <w:color w:val="333333"/>
                <w:sz w:val="18"/>
                <w:szCs w:val="18"/>
              </w:rPr>
            </w:pPr>
            <w:r w:rsidRPr="00CC7AB8">
              <w:rPr>
                <w:rFonts w:ascii="Arial Narrow" w:hAnsi="Arial Narrow"/>
                <w:color w:val="333333"/>
                <w:sz w:val="18"/>
                <w:szCs w:val="18"/>
              </w:rPr>
              <w:t>Patient must have previously received non-PBS-subsidised drug for adjuvant treatment following complete surgical resection prior to 1</w:t>
            </w:r>
            <w:r w:rsidR="00C5188F">
              <w:rPr>
                <w:rFonts w:ascii="Arial Narrow" w:hAnsi="Arial Narrow"/>
                <w:color w:val="333333"/>
                <w:sz w:val="18"/>
                <w:szCs w:val="18"/>
              </w:rPr>
              <w:t xml:space="preserve"> Month 20XX</w:t>
            </w:r>
            <w:r w:rsidRPr="00CC7AB8">
              <w:rPr>
                <w:rFonts w:ascii="Arial Narrow" w:hAnsi="Arial Narrow"/>
                <w:color w:val="333333"/>
                <w:sz w:val="18"/>
                <w:szCs w:val="18"/>
              </w:rPr>
              <w:t xml:space="preserve"> </w:t>
            </w:r>
          </w:p>
        </w:tc>
      </w:tr>
      <w:tr w:rsidR="00022FAD" w:rsidRPr="00B66840" w:rsidTr="00CC7AB8">
        <w:tc>
          <w:tcPr>
            <w:tcW w:w="5000" w:type="pct"/>
            <w:tcBorders>
              <w:top w:val="nil"/>
              <w:bottom w:val="nil"/>
            </w:tcBorders>
            <w:vAlign w:val="center"/>
            <w:hideMark/>
          </w:tcPr>
          <w:p w:rsidR="00022FAD" w:rsidRPr="00CC7AB8" w:rsidRDefault="00022FAD" w:rsidP="00CC7AB8">
            <w:pPr>
              <w:pStyle w:val="ListParagraph"/>
              <w:rPr>
                <w:rFonts w:ascii="Arial Narrow" w:hAnsi="Arial Narrow"/>
                <w:color w:val="333333"/>
                <w:sz w:val="18"/>
                <w:szCs w:val="18"/>
              </w:rPr>
            </w:pPr>
            <w:r w:rsidRPr="00CC7AB8">
              <w:rPr>
                <w:rStyle w:val="Strong"/>
                <w:rFonts w:ascii="Arial Narrow" w:hAnsi="Arial Narrow"/>
                <w:color w:val="333333"/>
                <w:sz w:val="18"/>
                <w:szCs w:val="18"/>
              </w:rPr>
              <w:t>AND</w:t>
            </w:r>
          </w:p>
        </w:tc>
      </w:tr>
      <w:tr w:rsidR="00022FAD" w:rsidRPr="00B66840" w:rsidTr="00CC7AB8">
        <w:tc>
          <w:tcPr>
            <w:tcW w:w="5000" w:type="pct"/>
            <w:tcBorders>
              <w:top w:val="nil"/>
              <w:bottom w:val="nil"/>
            </w:tcBorders>
            <w:vAlign w:val="center"/>
            <w:hideMark/>
          </w:tcPr>
          <w:p w:rsidR="00022FAD" w:rsidRPr="00CC7AB8" w:rsidRDefault="00022FAD" w:rsidP="00CC7AB8">
            <w:pPr>
              <w:pStyle w:val="ListParagraph"/>
              <w:numPr>
                <w:ilvl w:val="0"/>
                <w:numId w:val="39"/>
              </w:numPr>
              <w:rPr>
                <w:rFonts w:ascii="Arial Narrow" w:hAnsi="Arial Narrow"/>
                <w:color w:val="333333"/>
                <w:sz w:val="18"/>
                <w:szCs w:val="18"/>
              </w:rPr>
            </w:pPr>
            <w:r w:rsidRPr="00CC7AB8">
              <w:rPr>
                <w:rFonts w:ascii="Arial Narrow" w:hAnsi="Arial Narrow"/>
                <w:color w:val="333333"/>
                <w:sz w:val="18"/>
                <w:szCs w:val="18"/>
              </w:rPr>
              <w:t>Patient must have a WHO performance status of 1 or less prior to starting non-PBS treatment with this drug</w:t>
            </w:r>
          </w:p>
        </w:tc>
      </w:tr>
      <w:tr w:rsidR="00022FAD" w:rsidRPr="00B66840" w:rsidTr="00CC7AB8">
        <w:tc>
          <w:tcPr>
            <w:tcW w:w="5000" w:type="pct"/>
            <w:tcBorders>
              <w:top w:val="nil"/>
              <w:bottom w:val="nil"/>
            </w:tcBorders>
            <w:vAlign w:val="center"/>
            <w:hideMark/>
          </w:tcPr>
          <w:p w:rsidR="00022FAD" w:rsidRPr="00CC7AB8" w:rsidRDefault="00022FAD" w:rsidP="00CC7AB8">
            <w:pPr>
              <w:pStyle w:val="ListParagraph"/>
              <w:rPr>
                <w:rFonts w:ascii="Arial Narrow" w:hAnsi="Arial Narrow"/>
                <w:color w:val="333333"/>
                <w:sz w:val="18"/>
                <w:szCs w:val="18"/>
              </w:rPr>
            </w:pPr>
            <w:r w:rsidRPr="00CC7AB8">
              <w:rPr>
                <w:rStyle w:val="Strong"/>
                <w:rFonts w:ascii="Arial Narrow" w:hAnsi="Arial Narrow"/>
                <w:color w:val="333333"/>
                <w:sz w:val="18"/>
                <w:szCs w:val="18"/>
              </w:rPr>
              <w:t>AND</w:t>
            </w:r>
          </w:p>
        </w:tc>
      </w:tr>
      <w:tr w:rsidR="00022FAD" w:rsidRPr="00B66840" w:rsidTr="00CC7AB8">
        <w:tc>
          <w:tcPr>
            <w:tcW w:w="5000" w:type="pct"/>
            <w:tcBorders>
              <w:top w:val="nil"/>
              <w:bottom w:val="nil"/>
            </w:tcBorders>
            <w:vAlign w:val="center"/>
            <w:hideMark/>
          </w:tcPr>
          <w:p w:rsidR="00022FAD" w:rsidRPr="00CC7AB8" w:rsidRDefault="00022FAD" w:rsidP="00CC7AB8">
            <w:pPr>
              <w:pStyle w:val="ListParagraph"/>
              <w:numPr>
                <w:ilvl w:val="0"/>
                <w:numId w:val="39"/>
              </w:numPr>
              <w:rPr>
                <w:rFonts w:ascii="Arial Narrow" w:hAnsi="Arial Narrow"/>
                <w:color w:val="333333"/>
                <w:sz w:val="18"/>
                <w:szCs w:val="18"/>
              </w:rPr>
            </w:pPr>
            <w:r w:rsidRPr="00CC7AB8">
              <w:rPr>
                <w:rFonts w:ascii="Arial Narrow" w:hAnsi="Arial Narrow"/>
                <w:color w:val="333333"/>
                <w:sz w:val="18"/>
                <w:szCs w:val="18"/>
              </w:rPr>
              <w:t>Patient must not have evidence of recurrence</w:t>
            </w:r>
          </w:p>
        </w:tc>
      </w:tr>
      <w:tr w:rsidR="00022FAD" w:rsidRPr="00B66840" w:rsidTr="00CC7AB8">
        <w:tc>
          <w:tcPr>
            <w:tcW w:w="5000" w:type="pct"/>
            <w:tcBorders>
              <w:top w:val="nil"/>
              <w:bottom w:val="nil"/>
            </w:tcBorders>
            <w:vAlign w:val="center"/>
            <w:hideMark/>
          </w:tcPr>
          <w:p w:rsidR="00022FAD" w:rsidRPr="00CC7AB8" w:rsidRDefault="00022FAD" w:rsidP="00CC7AB8">
            <w:pPr>
              <w:pStyle w:val="ListParagraph"/>
              <w:rPr>
                <w:rFonts w:ascii="Arial Narrow" w:hAnsi="Arial Narrow"/>
                <w:color w:val="333333"/>
                <w:sz w:val="18"/>
                <w:szCs w:val="18"/>
              </w:rPr>
            </w:pPr>
            <w:r w:rsidRPr="00CC7AB8">
              <w:rPr>
                <w:rStyle w:val="Strong"/>
                <w:rFonts w:ascii="Arial Narrow" w:hAnsi="Arial Narrow"/>
                <w:color w:val="333333"/>
                <w:sz w:val="18"/>
                <w:szCs w:val="18"/>
              </w:rPr>
              <w:t>AND</w:t>
            </w:r>
          </w:p>
        </w:tc>
      </w:tr>
      <w:tr w:rsidR="00022FAD" w:rsidRPr="00B66840" w:rsidTr="00CC7AB8">
        <w:tc>
          <w:tcPr>
            <w:tcW w:w="5000" w:type="pct"/>
            <w:tcBorders>
              <w:top w:val="nil"/>
              <w:bottom w:val="nil"/>
            </w:tcBorders>
            <w:vAlign w:val="center"/>
            <w:hideMark/>
          </w:tcPr>
          <w:p w:rsidR="00022FAD" w:rsidRPr="00CC7AB8" w:rsidRDefault="00022FAD" w:rsidP="00CC7AB8">
            <w:pPr>
              <w:pStyle w:val="ListParagraph"/>
              <w:numPr>
                <w:ilvl w:val="0"/>
                <w:numId w:val="39"/>
              </w:numPr>
              <w:rPr>
                <w:rFonts w:ascii="Arial Narrow" w:hAnsi="Arial Narrow"/>
                <w:color w:val="333333"/>
                <w:sz w:val="18"/>
                <w:szCs w:val="18"/>
              </w:rPr>
            </w:pPr>
            <w:r w:rsidRPr="00CC7AB8">
              <w:rPr>
                <w:rFonts w:ascii="Arial Narrow" w:hAnsi="Arial Narrow"/>
                <w:color w:val="333333"/>
                <w:sz w:val="18"/>
                <w:szCs w:val="18"/>
              </w:rPr>
              <w:t>The treatment must be the sole PBS-subsidised therapy for this condition</w:t>
            </w:r>
          </w:p>
        </w:tc>
      </w:tr>
      <w:tr w:rsidR="00022FAD" w:rsidRPr="00B66840" w:rsidTr="00CC7AB8">
        <w:tc>
          <w:tcPr>
            <w:tcW w:w="5000" w:type="pct"/>
            <w:tcBorders>
              <w:top w:val="nil"/>
              <w:bottom w:val="nil"/>
            </w:tcBorders>
            <w:vAlign w:val="center"/>
            <w:hideMark/>
          </w:tcPr>
          <w:p w:rsidR="00022FAD" w:rsidRPr="00CC7AB8" w:rsidRDefault="00022FAD" w:rsidP="00CC7AB8">
            <w:pPr>
              <w:pStyle w:val="ListParagraph"/>
              <w:rPr>
                <w:rFonts w:ascii="Arial Narrow" w:hAnsi="Arial Narrow"/>
                <w:color w:val="333333"/>
                <w:sz w:val="18"/>
                <w:szCs w:val="18"/>
              </w:rPr>
            </w:pPr>
            <w:r w:rsidRPr="00CC7AB8">
              <w:rPr>
                <w:rStyle w:val="Strong"/>
                <w:rFonts w:ascii="Arial Narrow" w:hAnsi="Arial Narrow"/>
                <w:color w:val="333333"/>
                <w:sz w:val="18"/>
                <w:szCs w:val="18"/>
              </w:rPr>
              <w:t>AND</w:t>
            </w:r>
          </w:p>
        </w:tc>
      </w:tr>
      <w:tr w:rsidR="00022FAD" w:rsidRPr="00B66840" w:rsidTr="00CC7AB8">
        <w:tc>
          <w:tcPr>
            <w:tcW w:w="5000" w:type="pct"/>
            <w:tcBorders>
              <w:top w:val="nil"/>
              <w:bottom w:val="nil"/>
            </w:tcBorders>
            <w:vAlign w:val="center"/>
            <w:hideMark/>
          </w:tcPr>
          <w:p w:rsidR="00022FAD" w:rsidRPr="00CC7AB8" w:rsidRDefault="00022FAD" w:rsidP="00CC7AB8">
            <w:pPr>
              <w:pStyle w:val="ListParagraph"/>
              <w:numPr>
                <w:ilvl w:val="0"/>
                <w:numId w:val="39"/>
              </w:numPr>
              <w:rPr>
                <w:rFonts w:ascii="Arial Narrow" w:hAnsi="Arial Narrow"/>
                <w:color w:val="333333"/>
                <w:sz w:val="18"/>
                <w:szCs w:val="18"/>
              </w:rPr>
            </w:pPr>
            <w:r w:rsidRPr="00CC7AB8">
              <w:rPr>
                <w:rFonts w:ascii="Arial Narrow" w:hAnsi="Arial Narrow"/>
                <w:color w:val="333333"/>
                <w:sz w:val="18"/>
                <w:szCs w:val="18"/>
              </w:rPr>
              <w:t>Patient must not have received prior PBS-subsidised treatment for this condition</w:t>
            </w:r>
          </w:p>
        </w:tc>
      </w:tr>
      <w:tr w:rsidR="00022FAD" w:rsidRPr="00B66840" w:rsidTr="00CC7AB8">
        <w:tc>
          <w:tcPr>
            <w:tcW w:w="5000" w:type="pct"/>
            <w:tcBorders>
              <w:top w:val="nil"/>
              <w:bottom w:val="nil"/>
            </w:tcBorders>
            <w:vAlign w:val="center"/>
            <w:hideMark/>
          </w:tcPr>
          <w:p w:rsidR="00022FAD" w:rsidRPr="00CC7AB8" w:rsidRDefault="00022FAD" w:rsidP="00CC7AB8">
            <w:pPr>
              <w:pStyle w:val="ListParagraph"/>
              <w:rPr>
                <w:rFonts w:ascii="Arial Narrow" w:hAnsi="Arial Narrow"/>
                <w:color w:val="333333"/>
                <w:sz w:val="18"/>
                <w:szCs w:val="18"/>
              </w:rPr>
            </w:pPr>
            <w:r w:rsidRPr="00CC7AB8">
              <w:rPr>
                <w:rStyle w:val="Strong"/>
                <w:rFonts w:ascii="Arial Narrow" w:hAnsi="Arial Narrow"/>
                <w:color w:val="333333"/>
                <w:sz w:val="18"/>
                <w:szCs w:val="18"/>
              </w:rPr>
              <w:t>AND</w:t>
            </w:r>
          </w:p>
        </w:tc>
      </w:tr>
      <w:tr w:rsidR="00022FAD" w:rsidRPr="00B66840" w:rsidTr="00CC7AB8">
        <w:tc>
          <w:tcPr>
            <w:tcW w:w="5000" w:type="pct"/>
            <w:tcBorders>
              <w:top w:val="nil"/>
              <w:bottom w:val="nil"/>
            </w:tcBorders>
            <w:vAlign w:val="center"/>
            <w:hideMark/>
          </w:tcPr>
          <w:p w:rsidR="00022FAD" w:rsidRPr="00CC7AB8" w:rsidRDefault="00022FAD" w:rsidP="00CC7AB8">
            <w:pPr>
              <w:pStyle w:val="ListParagraph"/>
              <w:numPr>
                <w:ilvl w:val="0"/>
                <w:numId w:val="39"/>
              </w:numPr>
              <w:rPr>
                <w:rFonts w:ascii="Arial Narrow" w:hAnsi="Arial Narrow"/>
                <w:color w:val="333333"/>
                <w:sz w:val="18"/>
                <w:szCs w:val="18"/>
              </w:rPr>
            </w:pPr>
            <w:r w:rsidRPr="00CC7AB8">
              <w:rPr>
                <w:rFonts w:ascii="Arial Narrow" w:hAnsi="Arial Narrow"/>
                <w:color w:val="333333"/>
                <w:sz w:val="18"/>
                <w:szCs w:val="18"/>
              </w:rPr>
              <w:t>Patient must have commenced non-PBS-subsidised treatment within 12 weeks of complete surgical resection</w:t>
            </w:r>
          </w:p>
        </w:tc>
      </w:tr>
      <w:tr w:rsidR="00022FAD" w:rsidRPr="00B66840" w:rsidTr="00CC7AB8">
        <w:tc>
          <w:tcPr>
            <w:tcW w:w="5000" w:type="pct"/>
            <w:tcBorders>
              <w:top w:val="nil"/>
              <w:bottom w:val="nil"/>
            </w:tcBorders>
            <w:vAlign w:val="center"/>
            <w:hideMark/>
          </w:tcPr>
          <w:p w:rsidR="00022FAD" w:rsidRPr="00CC7AB8" w:rsidRDefault="00022FAD" w:rsidP="00CC7AB8">
            <w:pPr>
              <w:pStyle w:val="ListParagraph"/>
              <w:rPr>
                <w:rFonts w:ascii="Arial Narrow" w:hAnsi="Arial Narrow"/>
                <w:color w:val="333333"/>
                <w:sz w:val="18"/>
                <w:szCs w:val="18"/>
              </w:rPr>
            </w:pPr>
            <w:r w:rsidRPr="00CC7AB8">
              <w:rPr>
                <w:rStyle w:val="Strong"/>
                <w:rFonts w:ascii="Arial Narrow" w:hAnsi="Arial Narrow"/>
                <w:color w:val="333333"/>
                <w:sz w:val="18"/>
                <w:szCs w:val="18"/>
              </w:rPr>
              <w:t>AND</w:t>
            </w:r>
          </w:p>
        </w:tc>
      </w:tr>
      <w:tr w:rsidR="00022FAD" w:rsidRPr="00B66840" w:rsidTr="00CC7AB8">
        <w:tc>
          <w:tcPr>
            <w:tcW w:w="5000" w:type="pct"/>
            <w:tcBorders>
              <w:top w:val="nil"/>
            </w:tcBorders>
            <w:vAlign w:val="center"/>
            <w:hideMark/>
          </w:tcPr>
          <w:p w:rsidR="00022FAD" w:rsidRPr="00CC7AB8" w:rsidRDefault="00022FAD" w:rsidP="00CC7AB8">
            <w:pPr>
              <w:pStyle w:val="ListParagraph"/>
              <w:numPr>
                <w:ilvl w:val="0"/>
                <w:numId w:val="39"/>
              </w:numPr>
              <w:rPr>
                <w:rFonts w:ascii="Arial Narrow" w:hAnsi="Arial Narrow"/>
                <w:color w:val="333333"/>
                <w:sz w:val="18"/>
                <w:szCs w:val="18"/>
              </w:rPr>
            </w:pPr>
            <w:r w:rsidRPr="00CC7AB8">
              <w:rPr>
                <w:rFonts w:ascii="Arial Narrow" w:hAnsi="Arial Narrow"/>
                <w:color w:val="333333"/>
                <w:sz w:val="18"/>
                <w:szCs w:val="18"/>
              </w:rPr>
              <w:t>Patient must not receive more than 12 months of combined PBS-subsidised and non-PBS-subsidised adjuvant therapy</w:t>
            </w:r>
          </w:p>
        </w:tc>
      </w:tr>
      <w:tr w:rsidR="00CC7AB8" w:rsidRPr="00B66840" w:rsidTr="007C72B9">
        <w:trPr>
          <w:trHeight w:val="660"/>
        </w:trPr>
        <w:tc>
          <w:tcPr>
            <w:tcW w:w="5000" w:type="pct"/>
            <w:vAlign w:val="center"/>
            <w:hideMark/>
          </w:tcPr>
          <w:p w:rsidR="00CC7AB8" w:rsidRDefault="00CC7AB8" w:rsidP="00453B64">
            <w:pPr>
              <w:pStyle w:val="NormalWeb"/>
              <w:spacing w:before="0" w:beforeAutospacing="0" w:after="0" w:afterAutospacing="0"/>
              <w:rPr>
                <w:rFonts w:ascii="Arial Narrow" w:hAnsi="Arial Narrow"/>
                <w:color w:val="333333"/>
                <w:sz w:val="18"/>
                <w:szCs w:val="18"/>
              </w:rPr>
            </w:pPr>
            <w:r w:rsidRPr="00B66840">
              <w:rPr>
                <w:rStyle w:val="Strong"/>
                <w:rFonts w:ascii="Arial Narrow" w:hAnsi="Arial Narrow"/>
                <w:color w:val="333333"/>
                <w:sz w:val="18"/>
                <w:szCs w:val="18"/>
              </w:rPr>
              <w:t>Prescribing Instructions:</w:t>
            </w:r>
            <w:r w:rsidRPr="00B66840">
              <w:rPr>
                <w:rFonts w:ascii="Arial Narrow" w:hAnsi="Arial Narrow"/>
                <w:color w:val="333333"/>
                <w:sz w:val="18"/>
                <w:szCs w:val="18"/>
              </w:rPr>
              <w:t xml:space="preserve"> </w:t>
            </w:r>
          </w:p>
          <w:p w:rsidR="00CC7AB8" w:rsidRDefault="00CC7AB8" w:rsidP="00453B64">
            <w:pPr>
              <w:pStyle w:val="NormalWeb"/>
              <w:spacing w:before="0" w:beforeAutospacing="0" w:after="0" w:afterAutospacing="0"/>
              <w:rPr>
                <w:rFonts w:ascii="Arial Narrow" w:hAnsi="Arial Narrow"/>
                <w:color w:val="333333"/>
                <w:sz w:val="18"/>
                <w:szCs w:val="18"/>
              </w:rPr>
            </w:pPr>
            <w:r w:rsidRPr="00B66840">
              <w:rPr>
                <w:rFonts w:ascii="Arial Narrow" w:hAnsi="Arial Narrow"/>
                <w:color w:val="333333"/>
                <w:sz w:val="18"/>
                <w:szCs w:val="18"/>
              </w:rPr>
              <w:t>A Grandfathered patient may qualify for PBS-subsidised treatment under this restriction once only.</w:t>
            </w:r>
          </w:p>
          <w:p w:rsidR="00CC7AB8" w:rsidRPr="00B66840" w:rsidRDefault="00CC7AB8" w:rsidP="00453B64">
            <w:pPr>
              <w:pStyle w:val="NormalWeb"/>
              <w:spacing w:before="0" w:beforeAutospacing="0" w:after="0" w:afterAutospacing="0"/>
              <w:rPr>
                <w:rFonts w:ascii="Arial Narrow" w:hAnsi="Arial Narrow"/>
                <w:color w:val="333333"/>
                <w:sz w:val="18"/>
                <w:szCs w:val="18"/>
              </w:rPr>
            </w:pPr>
            <w:r w:rsidRPr="00B66840">
              <w:rPr>
                <w:rFonts w:ascii="Arial Narrow" w:hAnsi="Arial Narrow"/>
                <w:color w:val="333333"/>
                <w:sz w:val="18"/>
                <w:szCs w:val="18"/>
              </w:rPr>
              <w:t>For continuing PBS-subsidised treatment, a Grandfathered patient must qualify under the Continuing treatment criteria.</w:t>
            </w:r>
          </w:p>
        </w:tc>
      </w:tr>
      <w:tr w:rsidR="00022FAD" w:rsidRPr="00B66840" w:rsidTr="00022FAD">
        <w:trPr>
          <w:trHeight w:val="49"/>
        </w:trPr>
        <w:tc>
          <w:tcPr>
            <w:tcW w:w="5000" w:type="pct"/>
            <w:vAlign w:val="center"/>
          </w:tcPr>
          <w:p w:rsidR="00022FAD" w:rsidRPr="00B66840" w:rsidRDefault="00022FAD" w:rsidP="008F1C0D">
            <w:pPr>
              <w:pStyle w:val="NormalWeb"/>
              <w:spacing w:before="0" w:beforeAutospacing="0" w:after="0" w:afterAutospacing="0"/>
              <w:rPr>
                <w:rStyle w:val="Strong"/>
                <w:rFonts w:ascii="Arial Narrow" w:hAnsi="Arial Narrow"/>
                <w:color w:val="333333"/>
                <w:sz w:val="18"/>
                <w:szCs w:val="18"/>
              </w:rPr>
            </w:pPr>
            <w:r w:rsidRPr="00B66840">
              <w:rPr>
                <w:rStyle w:val="Strong"/>
                <w:rFonts w:ascii="Arial Narrow" w:hAnsi="Arial Narrow"/>
                <w:color w:val="333333"/>
                <w:sz w:val="18"/>
                <w:szCs w:val="18"/>
              </w:rPr>
              <w:t>Administrative Advice:</w:t>
            </w:r>
            <w:r w:rsidRPr="00B66840">
              <w:rPr>
                <w:rFonts w:ascii="Arial Narrow" w:hAnsi="Arial Narrow"/>
                <w:color w:val="333333"/>
                <w:sz w:val="18"/>
                <w:szCs w:val="18"/>
              </w:rPr>
              <w:t xml:space="preserve"> This grandfather restriction will cease to operate </w:t>
            </w:r>
            <w:r w:rsidR="008F1C0D">
              <w:rPr>
                <w:rFonts w:ascii="Arial Narrow" w:hAnsi="Arial Narrow"/>
                <w:color w:val="333333"/>
                <w:sz w:val="18"/>
                <w:szCs w:val="18"/>
              </w:rPr>
              <w:t>12 months</w:t>
            </w:r>
            <w:r w:rsidRPr="00B66840">
              <w:rPr>
                <w:rFonts w:ascii="Arial Narrow" w:hAnsi="Arial Narrow"/>
                <w:color w:val="333333"/>
                <w:sz w:val="18"/>
                <w:szCs w:val="18"/>
              </w:rPr>
              <w:t xml:space="preserve"> after the date specified in the clinical criteria.</w:t>
            </w:r>
          </w:p>
        </w:tc>
      </w:tr>
    </w:tbl>
    <w:p w:rsidR="00CC408F" w:rsidRDefault="00CC408F" w:rsidP="00CC408F">
      <w:pPr>
        <w:pStyle w:val="3Bodytext"/>
        <w:numPr>
          <w:ilvl w:val="0"/>
          <w:numId w:val="0"/>
        </w:numPr>
        <w:spacing w:before="120"/>
        <w:ind w:left="720"/>
      </w:pPr>
    </w:p>
    <w:p w:rsidR="00CC7AB8" w:rsidRPr="00867A4F" w:rsidRDefault="00CC7AB8" w:rsidP="00DA451C">
      <w:pPr>
        <w:pStyle w:val="3Bodytext"/>
        <w:spacing w:before="120"/>
      </w:pPr>
      <w:r w:rsidRPr="00867A4F">
        <w:t xml:space="preserve">Add 6-weekly dosing listing as per recommendation from </w:t>
      </w:r>
      <w:r w:rsidR="00C5188F" w:rsidRPr="00867A4F">
        <w:t>the minutes of</w:t>
      </w:r>
      <w:r w:rsidRPr="00867A4F">
        <w:t xml:space="preserve"> item 6.13 of this meeting as follows:</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1418"/>
        <w:gridCol w:w="992"/>
        <w:gridCol w:w="709"/>
        <w:gridCol w:w="2977"/>
      </w:tblGrid>
      <w:tr w:rsidR="00453B64" w:rsidRPr="00B66840" w:rsidTr="00453B64">
        <w:trPr>
          <w:cantSplit/>
          <w:trHeight w:val="471"/>
        </w:trPr>
        <w:tc>
          <w:tcPr>
            <w:tcW w:w="2830" w:type="dxa"/>
          </w:tcPr>
          <w:p w:rsidR="00453B64" w:rsidRPr="00B66840" w:rsidRDefault="00453B64" w:rsidP="00453B64">
            <w:pPr>
              <w:keepNext/>
              <w:ind w:left="-108"/>
              <w:jc w:val="both"/>
              <w:rPr>
                <w:rFonts w:ascii="Arial Narrow" w:eastAsia="Calibri" w:hAnsi="Arial Narrow" w:cs="Arial"/>
                <w:b/>
                <w:sz w:val="18"/>
                <w:szCs w:val="18"/>
                <w:lang w:eastAsia="en-US"/>
              </w:rPr>
            </w:pPr>
            <w:r w:rsidRPr="00B66840">
              <w:rPr>
                <w:rFonts w:ascii="Arial Narrow" w:eastAsia="Calibri" w:hAnsi="Arial Narrow" w:cs="Arial"/>
                <w:b/>
                <w:sz w:val="18"/>
                <w:szCs w:val="18"/>
                <w:lang w:eastAsia="en-US"/>
              </w:rPr>
              <w:t>Name, Restriction,</w:t>
            </w:r>
          </w:p>
          <w:p w:rsidR="00453B64" w:rsidRPr="00B66840" w:rsidRDefault="00453B64" w:rsidP="00453B64">
            <w:pPr>
              <w:keepNext/>
              <w:ind w:left="-108"/>
              <w:jc w:val="both"/>
              <w:rPr>
                <w:rFonts w:ascii="Arial Narrow" w:eastAsia="Calibri" w:hAnsi="Arial Narrow" w:cs="Arial"/>
                <w:b/>
                <w:sz w:val="18"/>
                <w:szCs w:val="18"/>
                <w:lang w:eastAsia="en-US"/>
              </w:rPr>
            </w:pPr>
            <w:r w:rsidRPr="00B66840">
              <w:rPr>
                <w:rFonts w:ascii="Arial Narrow" w:eastAsia="Calibri" w:hAnsi="Arial Narrow" w:cs="Arial"/>
                <w:b/>
                <w:sz w:val="18"/>
                <w:szCs w:val="18"/>
                <w:lang w:eastAsia="en-US"/>
              </w:rPr>
              <w:t xml:space="preserve"> Manner of administration and form</w:t>
            </w:r>
          </w:p>
        </w:tc>
        <w:tc>
          <w:tcPr>
            <w:tcW w:w="1418" w:type="dxa"/>
          </w:tcPr>
          <w:p w:rsidR="00453B64" w:rsidRPr="00B66840" w:rsidRDefault="00453B64" w:rsidP="00453B64">
            <w:pPr>
              <w:keepNext/>
              <w:ind w:left="-108"/>
              <w:jc w:val="center"/>
              <w:rPr>
                <w:rFonts w:ascii="Arial Narrow" w:eastAsia="Calibri" w:hAnsi="Arial Narrow" w:cs="Arial"/>
                <w:b/>
                <w:sz w:val="18"/>
                <w:szCs w:val="18"/>
                <w:lang w:eastAsia="en-US"/>
              </w:rPr>
            </w:pPr>
            <w:r w:rsidRPr="00B66840">
              <w:rPr>
                <w:rFonts w:ascii="Arial Narrow" w:eastAsia="Calibri" w:hAnsi="Arial Narrow" w:cs="Arial"/>
                <w:b/>
                <w:sz w:val="18"/>
                <w:szCs w:val="18"/>
                <w:lang w:eastAsia="en-US"/>
              </w:rPr>
              <w:t>PBS item code</w:t>
            </w:r>
          </w:p>
        </w:tc>
        <w:tc>
          <w:tcPr>
            <w:tcW w:w="992" w:type="dxa"/>
          </w:tcPr>
          <w:p w:rsidR="00453B64" w:rsidRPr="00B66840" w:rsidRDefault="00453B64" w:rsidP="00453B64">
            <w:pPr>
              <w:keepNext/>
              <w:ind w:left="-108"/>
              <w:jc w:val="center"/>
              <w:rPr>
                <w:rFonts w:ascii="Arial Narrow" w:eastAsia="Calibri" w:hAnsi="Arial Narrow" w:cs="Arial"/>
                <w:b/>
                <w:sz w:val="18"/>
                <w:szCs w:val="18"/>
                <w:lang w:eastAsia="en-US"/>
              </w:rPr>
            </w:pPr>
            <w:r w:rsidRPr="00B66840">
              <w:rPr>
                <w:rFonts w:ascii="Arial Narrow" w:eastAsia="Calibri" w:hAnsi="Arial Narrow" w:cs="Arial"/>
                <w:b/>
                <w:sz w:val="18"/>
                <w:szCs w:val="18"/>
                <w:lang w:eastAsia="en-US"/>
              </w:rPr>
              <w:t>Max.</w:t>
            </w:r>
          </w:p>
          <w:p w:rsidR="00453B64" w:rsidRPr="00B66840" w:rsidRDefault="00453B64" w:rsidP="00453B64">
            <w:pPr>
              <w:keepNext/>
              <w:ind w:left="-108"/>
              <w:jc w:val="center"/>
              <w:rPr>
                <w:rFonts w:ascii="Arial Narrow" w:eastAsia="Calibri" w:hAnsi="Arial Narrow" w:cs="Arial"/>
                <w:b/>
                <w:sz w:val="18"/>
                <w:szCs w:val="18"/>
                <w:lang w:eastAsia="en-US"/>
              </w:rPr>
            </w:pPr>
            <w:r w:rsidRPr="00B66840">
              <w:rPr>
                <w:rFonts w:ascii="Arial Narrow" w:eastAsia="Calibri" w:hAnsi="Arial Narrow" w:cs="Arial"/>
                <w:b/>
                <w:sz w:val="18"/>
                <w:szCs w:val="18"/>
                <w:lang w:eastAsia="en-US"/>
              </w:rPr>
              <w:t>Amount</w:t>
            </w:r>
          </w:p>
        </w:tc>
        <w:tc>
          <w:tcPr>
            <w:tcW w:w="709" w:type="dxa"/>
          </w:tcPr>
          <w:p w:rsidR="00453B64" w:rsidRPr="00B66840" w:rsidRDefault="00453B64" w:rsidP="00453B64">
            <w:pPr>
              <w:keepNext/>
              <w:ind w:left="-108"/>
              <w:jc w:val="center"/>
              <w:rPr>
                <w:rFonts w:ascii="Arial Narrow" w:eastAsia="Calibri" w:hAnsi="Arial Narrow" w:cs="Arial"/>
                <w:b/>
                <w:sz w:val="18"/>
                <w:szCs w:val="18"/>
                <w:lang w:eastAsia="en-US"/>
              </w:rPr>
            </w:pPr>
            <w:r w:rsidRPr="00B66840">
              <w:rPr>
                <w:rFonts w:ascii="Arial Narrow" w:eastAsia="Calibri" w:hAnsi="Arial Narrow" w:cs="Arial"/>
                <w:b/>
                <w:sz w:val="18"/>
                <w:szCs w:val="18"/>
                <w:lang w:eastAsia="en-US"/>
              </w:rPr>
              <w:t>№.of</w:t>
            </w:r>
          </w:p>
          <w:p w:rsidR="00453B64" w:rsidRPr="00B66840" w:rsidRDefault="00453B64" w:rsidP="00453B64">
            <w:pPr>
              <w:keepNext/>
              <w:ind w:left="-108"/>
              <w:jc w:val="center"/>
              <w:rPr>
                <w:rFonts w:ascii="Arial Narrow" w:eastAsia="Calibri" w:hAnsi="Arial Narrow" w:cs="Arial"/>
                <w:b/>
                <w:sz w:val="18"/>
                <w:szCs w:val="18"/>
                <w:lang w:eastAsia="en-US"/>
              </w:rPr>
            </w:pPr>
            <w:r w:rsidRPr="00B66840">
              <w:rPr>
                <w:rFonts w:ascii="Arial Narrow" w:eastAsia="Calibri" w:hAnsi="Arial Narrow" w:cs="Arial"/>
                <w:b/>
                <w:sz w:val="18"/>
                <w:szCs w:val="18"/>
                <w:lang w:eastAsia="en-US"/>
              </w:rPr>
              <w:t>Rpts</w:t>
            </w:r>
          </w:p>
        </w:tc>
        <w:tc>
          <w:tcPr>
            <w:tcW w:w="2977" w:type="dxa"/>
          </w:tcPr>
          <w:p w:rsidR="00453B64" w:rsidRPr="005D74E5" w:rsidRDefault="00453B64" w:rsidP="00453B64">
            <w:pPr>
              <w:keepNext/>
              <w:jc w:val="both"/>
              <w:rPr>
                <w:rFonts w:ascii="Arial Narrow" w:eastAsia="Calibri" w:hAnsi="Arial Narrow" w:cs="Arial"/>
                <w:b/>
                <w:sz w:val="18"/>
                <w:szCs w:val="18"/>
                <w:lang w:eastAsia="en-US"/>
              </w:rPr>
            </w:pPr>
            <w:r w:rsidRPr="00B66840">
              <w:rPr>
                <w:rFonts w:ascii="Arial Narrow" w:eastAsia="Calibri" w:hAnsi="Arial Narrow" w:cs="Arial"/>
                <w:b/>
                <w:sz w:val="18"/>
                <w:szCs w:val="18"/>
                <w:lang w:eastAsia="en-US"/>
              </w:rPr>
              <w:t>Manufacturer</w:t>
            </w:r>
          </w:p>
        </w:tc>
      </w:tr>
      <w:tr w:rsidR="00453B64" w:rsidRPr="00B66840" w:rsidTr="00453B64">
        <w:trPr>
          <w:cantSplit/>
          <w:trHeight w:val="577"/>
        </w:trPr>
        <w:tc>
          <w:tcPr>
            <w:tcW w:w="2830" w:type="dxa"/>
          </w:tcPr>
          <w:p w:rsidR="00453B64" w:rsidRPr="00B66840" w:rsidRDefault="00453B64" w:rsidP="00453B64">
            <w:pPr>
              <w:keepNext/>
              <w:ind w:left="-108"/>
              <w:jc w:val="both"/>
              <w:rPr>
                <w:rFonts w:ascii="Arial Narrow" w:eastAsia="Calibri" w:hAnsi="Arial Narrow" w:cs="Arial"/>
                <w:sz w:val="18"/>
                <w:szCs w:val="18"/>
                <w:lang w:eastAsia="en-US"/>
              </w:rPr>
            </w:pPr>
            <w:r w:rsidRPr="00B66840">
              <w:rPr>
                <w:rFonts w:ascii="Arial Narrow" w:eastAsia="Calibri" w:hAnsi="Arial Narrow" w:cs="Arial"/>
                <w:sz w:val="18"/>
                <w:szCs w:val="18"/>
                <w:lang w:eastAsia="en-US"/>
              </w:rPr>
              <w:t xml:space="preserve"> PEMBROLIZUMAB </w:t>
            </w:r>
          </w:p>
          <w:p w:rsidR="00453B64" w:rsidRPr="00B66840" w:rsidRDefault="00453B64" w:rsidP="00453B64">
            <w:pPr>
              <w:keepNext/>
              <w:ind w:left="-108"/>
              <w:jc w:val="both"/>
              <w:rPr>
                <w:rFonts w:ascii="Arial Narrow" w:eastAsia="Calibri" w:hAnsi="Arial Narrow" w:cs="Arial"/>
                <w:sz w:val="18"/>
                <w:szCs w:val="18"/>
                <w:lang w:eastAsia="en-US"/>
              </w:rPr>
            </w:pPr>
            <w:r w:rsidRPr="00B66840">
              <w:rPr>
                <w:rFonts w:ascii="Arial Narrow" w:eastAsia="Calibri" w:hAnsi="Arial Narrow" w:cs="Arial Narrow"/>
                <w:sz w:val="20"/>
                <w:szCs w:val="20"/>
                <w:lang w:eastAsia="en-US"/>
              </w:rPr>
              <w:t xml:space="preserve"> </w:t>
            </w:r>
            <w:r w:rsidRPr="00B66840">
              <w:rPr>
                <w:rFonts w:ascii="Arial Narrow" w:eastAsia="Calibri" w:hAnsi="Arial Narrow" w:cs="Arial Narrow"/>
                <w:sz w:val="18"/>
                <w:szCs w:val="18"/>
                <w:lang w:eastAsia="en-US"/>
              </w:rPr>
              <w:t xml:space="preserve">Injection </w:t>
            </w:r>
          </w:p>
        </w:tc>
        <w:tc>
          <w:tcPr>
            <w:tcW w:w="1418" w:type="dxa"/>
          </w:tcPr>
          <w:p w:rsidR="00453B64" w:rsidRPr="00B66840" w:rsidRDefault="00453B64" w:rsidP="00453B64">
            <w:pPr>
              <w:keepNext/>
              <w:ind w:left="-108"/>
              <w:jc w:val="center"/>
              <w:rPr>
                <w:rFonts w:ascii="Arial Narrow" w:eastAsia="Calibri" w:hAnsi="Arial Narrow" w:cs="Arial"/>
                <w:sz w:val="18"/>
                <w:szCs w:val="18"/>
                <w:lang w:eastAsia="en-US"/>
              </w:rPr>
            </w:pPr>
          </w:p>
          <w:p w:rsidR="00453B64" w:rsidRPr="00B66840" w:rsidRDefault="00453B64" w:rsidP="00453B64">
            <w:pPr>
              <w:keepNext/>
              <w:ind w:left="-108"/>
              <w:jc w:val="center"/>
              <w:rPr>
                <w:rFonts w:ascii="Arial Narrow" w:eastAsia="Calibri" w:hAnsi="Arial Narrow" w:cs="Arial"/>
                <w:sz w:val="18"/>
                <w:szCs w:val="18"/>
                <w:lang w:eastAsia="en-US"/>
              </w:rPr>
            </w:pPr>
            <w:r w:rsidRPr="00B66840">
              <w:rPr>
                <w:rFonts w:ascii="Arial Narrow" w:eastAsia="Calibri" w:hAnsi="Arial Narrow" w:cs="Arial"/>
                <w:sz w:val="18"/>
                <w:szCs w:val="18"/>
                <w:lang w:eastAsia="en-US"/>
              </w:rPr>
              <w:t>NEW (Public)</w:t>
            </w:r>
          </w:p>
          <w:p w:rsidR="00453B64" w:rsidRPr="00B66840" w:rsidRDefault="00453B64" w:rsidP="00453B64">
            <w:pPr>
              <w:keepNext/>
              <w:ind w:left="-108"/>
              <w:jc w:val="center"/>
              <w:rPr>
                <w:rFonts w:ascii="Arial Narrow" w:eastAsia="Calibri" w:hAnsi="Arial Narrow" w:cs="Arial"/>
                <w:sz w:val="18"/>
                <w:szCs w:val="18"/>
                <w:lang w:eastAsia="en-US"/>
              </w:rPr>
            </w:pPr>
            <w:r w:rsidRPr="00B66840">
              <w:rPr>
                <w:rFonts w:ascii="Arial Narrow" w:eastAsia="Calibri" w:hAnsi="Arial Narrow" w:cs="Arial"/>
                <w:sz w:val="18"/>
                <w:szCs w:val="18"/>
                <w:lang w:eastAsia="en-US"/>
              </w:rPr>
              <w:t>NEW (Private)</w:t>
            </w:r>
          </w:p>
        </w:tc>
        <w:tc>
          <w:tcPr>
            <w:tcW w:w="992" w:type="dxa"/>
          </w:tcPr>
          <w:p w:rsidR="00453B64" w:rsidRPr="00B66840" w:rsidRDefault="00453B64" w:rsidP="00453B64">
            <w:pPr>
              <w:keepNext/>
              <w:ind w:left="-108"/>
              <w:jc w:val="center"/>
              <w:rPr>
                <w:rFonts w:ascii="Arial Narrow" w:eastAsia="Calibri" w:hAnsi="Arial Narrow" w:cs="Arial"/>
                <w:sz w:val="18"/>
                <w:szCs w:val="18"/>
                <w:lang w:eastAsia="en-US"/>
              </w:rPr>
            </w:pPr>
          </w:p>
          <w:p w:rsidR="00453B64" w:rsidRPr="00B66840" w:rsidRDefault="00453B64" w:rsidP="00453B64">
            <w:pPr>
              <w:keepNext/>
              <w:ind w:left="-108"/>
              <w:jc w:val="center"/>
              <w:rPr>
                <w:rFonts w:ascii="Arial Narrow" w:eastAsia="Calibri" w:hAnsi="Arial Narrow" w:cs="Arial"/>
                <w:sz w:val="18"/>
                <w:szCs w:val="18"/>
                <w:lang w:eastAsia="en-US"/>
              </w:rPr>
            </w:pPr>
            <w:r w:rsidRPr="00B66840">
              <w:rPr>
                <w:rFonts w:ascii="Arial Narrow" w:eastAsia="Calibri" w:hAnsi="Arial Narrow" w:cs="Arial"/>
                <w:sz w:val="18"/>
                <w:szCs w:val="18"/>
                <w:lang w:eastAsia="en-US"/>
              </w:rPr>
              <w:t>400 mg</w:t>
            </w:r>
          </w:p>
        </w:tc>
        <w:tc>
          <w:tcPr>
            <w:tcW w:w="709" w:type="dxa"/>
          </w:tcPr>
          <w:p w:rsidR="00453B64" w:rsidRPr="00B66840" w:rsidRDefault="00453B64" w:rsidP="00453B64">
            <w:pPr>
              <w:keepNext/>
              <w:ind w:left="-108"/>
              <w:jc w:val="center"/>
              <w:rPr>
                <w:rFonts w:ascii="Arial Narrow" w:eastAsia="Calibri" w:hAnsi="Arial Narrow" w:cs="Arial"/>
                <w:i/>
                <w:sz w:val="18"/>
                <w:szCs w:val="18"/>
                <w:lang w:eastAsia="en-US"/>
              </w:rPr>
            </w:pPr>
          </w:p>
          <w:p w:rsidR="00453B64" w:rsidRPr="00B66840" w:rsidRDefault="00453B64" w:rsidP="00453B64">
            <w:pPr>
              <w:keepNext/>
              <w:ind w:left="-108"/>
              <w:jc w:val="center"/>
              <w:rPr>
                <w:rFonts w:ascii="Arial Narrow" w:eastAsia="Calibri" w:hAnsi="Arial Narrow" w:cs="Arial"/>
                <w:sz w:val="18"/>
                <w:szCs w:val="18"/>
                <w:lang w:eastAsia="en-US"/>
              </w:rPr>
            </w:pPr>
            <w:r w:rsidRPr="00B66840">
              <w:rPr>
                <w:rFonts w:ascii="Arial Narrow" w:eastAsia="Calibri" w:hAnsi="Arial Narrow" w:cs="Arial"/>
                <w:sz w:val="18"/>
                <w:szCs w:val="18"/>
                <w:lang w:eastAsia="en-US"/>
              </w:rPr>
              <w:t>3</w:t>
            </w:r>
          </w:p>
        </w:tc>
        <w:tc>
          <w:tcPr>
            <w:tcW w:w="2977" w:type="dxa"/>
          </w:tcPr>
          <w:p w:rsidR="00453B64" w:rsidRPr="00B66840" w:rsidRDefault="00453B64" w:rsidP="00453B64">
            <w:pPr>
              <w:keepNext/>
              <w:rPr>
                <w:rFonts w:ascii="Arial Narrow" w:eastAsia="Calibri" w:hAnsi="Arial Narrow"/>
                <w:sz w:val="18"/>
                <w:szCs w:val="18"/>
                <w:lang w:eastAsia="en-US"/>
              </w:rPr>
            </w:pPr>
          </w:p>
          <w:p w:rsidR="00453B64" w:rsidRPr="00B66840" w:rsidRDefault="00453B64" w:rsidP="00453B64">
            <w:pPr>
              <w:keepNext/>
              <w:rPr>
                <w:rFonts w:ascii="Arial Narrow" w:eastAsia="Calibri" w:hAnsi="Arial Narrow" w:cs="Arial"/>
                <w:sz w:val="18"/>
                <w:szCs w:val="18"/>
                <w:lang w:eastAsia="en-US"/>
              </w:rPr>
            </w:pPr>
            <w:r w:rsidRPr="00B66840">
              <w:rPr>
                <w:rFonts w:ascii="Arial Narrow" w:hAnsi="Arial Narrow" w:cs="Arial"/>
                <w:sz w:val="18"/>
                <w:szCs w:val="18"/>
              </w:rPr>
              <w:t>Merck Sharp &amp; Dohme (Australia) Pty Ltd</w:t>
            </w:r>
          </w:p>
        </w:tc>
      </w:tr>
      <w:tr w:rsidR="00453B64" w:rsidRPr="00B66840" w:rsidTr="00453B64">
        <w:trPr>
          <w:cantSplit/>
          <w:trHeight w:val="225"/>
        </w:trPr>
        <w:tc>
          <w:tcPr>
            <w:tcW w:w="8926" w:type="dxa"/>
            <w:gridSpan w:val="5"/>
          </w:tcPr>
          <w:p w:rsidR="00453B64" w:rsidRPr="00B66840" w:rsidRDefault="00453B64" w:rsidP="00453B64">
            <w:pPr>
              <w:keepNext/>
              <w:rPr>
                <w:rFonts w:ascii="Arial Narrow" w:eastAsia="Calibri" w:hAnsi="Arial Narrow"/>
                <w:b/>
                <w:sz w:val="18"/>
                <w:szCs w:val="18"/>
                <w:lang w:eastAsia="en-US"/>
              </w:rPr>
            </w:pPr>
            <w:r w:rsidRPr="00B66840">
              <w:rPr>
                <w:rFonts w:ascii="Arial Narrow" w:eastAsia="Calibri" w:hAnsi="Arial Narrow"/>
                <w:b/>
                <w:sz w:val="18"/>
                <w:szCs w:val="18"/>
                <w:lang w:eastAsia="en-US"/>
              </w:rPr>
              <w:t>Available brands</w:t>
            </w:r>
          </w:p>
        </w:tc>
      </w:tr>
      <w:tr w:rsidR="00453B64" w:rsidRPr="00B66840" w:rsidTr="00453B64">
        <w:trPr>
          <w:cantSplit/>
          <w:trHeight w:val="360"/>
        </w:trPr>
        <w:tc>
          <w:tcPr>
            <w:tcW w:w="8926" w:type="dxa"/>
            <w:gridSpan w:val="5"/>
          </w:tcPr>
          <w:p w:rsidR="00453B64" w:rsidRPr="00B66840" w:rsidRDefault="00453B64" w:rsidP="00453B64">
            <w:pPr>
              <w:jc w:val="both"/>
              <w:rPr>
                <w:rFonts w:ascii="Arial Narrow" w:eastAsia="Calibri" w:hAnsi="Arial Narrow" w:cs="Arial"/>
                <w:sz w:val="18"/>
                <w:szCs w:val="18"/>
                <w:lang w:eastAsia="en-US"/>
              </w:rPr>
            </w:pPr>
            <w:r w:rsidRPr="00B66840">
              <w:rPr>
                <w:rFonts w:ascii="Arial Narrow" w:eastAsia="Calibri" w:hAnsi="Arial Narrow" w:cs="Arial"/>
                <w:sz w:val="18"/>
                <w:szCs w:val="18"/>
                <w:lang w:eastAsia="en-US"/>
              </w:rPr>
              <w:t>Keytruda</w:t>
            </w:r>
          </w:p>
          <w:p w:rsidR="00453B64" w:rsidRPr="00B66840" w:rsidRDefault="00453B64" w:rsidP="00453B64">
            <w:pPr>
              <w:jc w:val="both"/>
              <w:rPr>
                <w:rFonts w:ascii="Arial Narrow" w:eastAsia="Calibri" w:hAnsi="Arial Narrow" w:cs="Arial"/>
                <w:sz w:val="18"/>
                <w:szCs w:val="18"/>
                <w:lang w:eastAsia="en-US"/>
              </w:rPr>
            </w:pPr>
            <w:r w:rsidRPr="00B66840">
              <w:rPr>
                <w:rFonts w:ascii="Arial Narrow" w:eastAsia="Calibri" w:hAnsi="Arial Narrow" w:cs="Arial"/>
                <w:sz w:val="18"/>
                <w:szCs w:val="18"/>
                <w:lang w:eastAsia="en-US"/>
              </w:rPr>
              <w:t>(pembrolizumab 100 mg/4 mL injection, 4 mL vial)</w:t>
            </w:r>
          </w:p>
        </w:tc>
      </w:tr>
    </w:tbl>
    <w:p w:rsidR="00453B64" w:rsidRPr="00B66840" w:rsidRDefault="00453B64" w:rsidP="00453B64">
      <w:pPr>
        <w:pStyle w:val="Tabletitles"/>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926"/>
      </w:tblGrid>
      <w:tr w:rsidR="00CE6461" w:rsidRPr="00B66840" w:rsidTr="00CE6461">
        <w:tc>
          <w:tcPr>
            <w:tcW w:w="5000" w:type="pct"/>
            <w:tcBorders>
              <w:top w:val="single" w:sz="4" w:space="0" w:color="auto"/>
              <w:left w:val="single" w:sz="4" w:space="0" w:color="auto"/>
              <w:bottom w:val="single" w:sz="4" w:space="0" w:color="auto"/>
              <w:right w:val="single" w:sz="4" w:space="0" w:color="auto"/>
            </w:tcBorders>
          </w:tcPr>
          <w:p w:rsidR="00CE6461" w:rsidRPr="00B66840" w:rsidRDefault="00CE6461" w:rsidP="00453B64">
            <w:pPr>
              <w:pStyle w:val="NormalWeb"/>
              <w:spacing w:before="0" w:beforeAutospacing="0" w:after="0" w:afterAutospacing="0"/>
              <w:rPr>
                <w:rStyle w:val="Strong"/>
                <w:rFonts w:ascii="Arial Narrow" w:hAnsi="Arial Narrow"/>
                <w:color w:val="333333"/>
                <w:sz w:val="18"/>
                <w:szCs w:val="18"/>
              </w:rPr>
            </w:pPr>
            <w:r w:rsidRPr="00666004">
              <w:rPr>
                <w:rFonts w:ascii="Arial Narrow" w:eastAsia="Calibri" w:hAnsi="Arial Narrow"/>
                <w:b/>
                <w:sz w:val="18"/>
                <w:szCs w:val="18"/>
              </w:rPr>
              <w:t>Category/Program:</w:t>
            </w:r>
            <w:r w:rsidRPr="00B66840">
              <w:rPr>
                <w:rFonts w:ascii="Arial Narrow" w:eastAsia="Calibri" w:hAnsi="Arial Narrow"/>
                <w:sz w:val="18"/>
                <w:szCs w:val="18"/>
              </w:rPr>
              <w:t xml:space="preserve"> Section 100 Efficient Funding of Chemotherapy</w:t>
            </w:r>
          </w:p>
        </w:tc>
      </w:tr>
      <w:tr w:rsidR="00CE6461" w:rsidRPr="00B66840" w:rsidTr="00CE6461">
        <w:tc>
          <w:tcPr>
            <w:tcW w:w="5000" w:type="pct"/>
            <w:tcBorders>
              <w:top w:val="single" w:sz="4" w:space="0" w:color="auto"/>
              <w:left w:val="single" w:sz="4" w:space="0" w:color="auto"/>
              <w:bottom w:val="single" w:sz="4" w:space="0" w:color="auto"/>
              <w:right w:val="single" w:sz="4" w:space="0" w:color="auto"/>
            </w:tcBorders>
          </w:tcPr>
          <w:p w:rsidR="00CE6461" w:rsidRPr="00B66840" w:rsidRDefault="00CE6461" w:rsidP="00453B64">
            <w:pPr>
              <w:pStyle w:val="NormalWeb"/>
              <w:spacing w:before="0" w:beforeAutospacing="0" w:after="0" w:afterAutospacing="0"/>
              <w:rPr>
                <w:rStyle w:val="Strong"/>
                <w:rFonts w:ascii="Arial Narrow" w:hAnsi="Arial Narrow"/>
                <w:color w:val="333333"/>
                <w:sz w:val="18"/>
                <w:szCs w:val="18"/>
              </w:rPr>
            </w:pPr>
            <w:r w:rsidRPr="00B66840">
              <w:rPr>
                <w:rFonts w:ascii="Arial Narrow" w:eastAsia="Calibri" w:hAnsi="Arial Narrow"/>
                <w:b/>
                <w:sz w:val="18"/>
                <w:szCs w:val="18"/>
              </w:rPr>
              <w:t>Prescriber type:</w:t>
            </w:r>
            <w:r w:rsidRPr="00B66840">
              <w:rPr>
                <w:rFonts w:ascii="Arial Narrow" w:eastAsia="Calibri" w:hAnsi="Arial Narrow"/>
                <w:sz w:val="18"/>
                <w:szCs w:val="18"/>
              </w:rPr>
              <w:t xml:space="preserve">  </w:t>
            </w:r>
            <w:r w:rsidRPr="005D74E5">
              <w:rPr>
                <w:rFonts w:ascii="Arial Narrow" w:eastAsia="Calibri" w:hAnsi="Arial Narrow"/>
                <w:sz w:val="18"/>
                <w:szCs w:val="18"/>
              </w:rPr>
              <w:fldChar w:fldCharType="begin">
                <w:ffData>
                  <w:name w:val="Check1"/>
                  <w:enabled/>
                  <w:calcOnExit w:val="0"/>
                  <w:checkBox>
                    <w:sizeAuto/>
                    <w:default w:val="0"/>
                  </w:checkBox>
                </w:ffData>
              </w:fldChar>
            </w:r>
            <w:r w:rsidRPr="00B66840">
              <w:rPr>
                <w:rFonts w:ascii="Arial Narrow" w:eastAsia="Calibri" w:hAnsi="Arial Narrow"/>
                <w:sz w:val="18"/>
                <w:szCs w:val="18"/>
              </w:rPr>
              <w:instrText xml:space="preserve"> FORMCHECKBOX </w:instrText>
            </w:r>
            <w:r w:rsidR="009D06E4">
              <w:rPr>
                <w:rFonts w:ascii="Arial Narrow" w:eastAsia="Calibri" w:hAnsi="Arial Narrow"/>
                <w:sz w:val="18"/>
                <w:szCs w:val="18"/>
              </w:rPr>
            </w:r>
            <w:r w:rsidR="009D06E4">
              <w:rPr>
                <w:rFonts w:ascii="Arial Narrow" w:eastAsia="Calibri" w:hAnsi="Arial Narrow"/>
                <w:sz w:val="18"/>
                <w:szCs w:val="18"/>
              </w:rPr>
              <w:fldChar w:fldCharType="separate"/>
            </w:r>
            <w:r w:rsidRPr="005D74E5">
              <w:rPr>
                <w:rFonts w:ascii="Arial Narrow" w:eastAsia="Calibri" w:hAnsi="Arial Narrow"/>
                <w:sz w:val="18"/>
                <w:szCs w:val="18"/>
              </w:rPr>
              <w:fldChar w:fldCharType="end"/>
            </w:r>
            <w:r w:rsidRPr="00B66840">
              <w:rPr>
                <w:rFonts w:ascii="Arial Narrow" w:eastAsia="Calibri" w:hAnsi="Arial Narrow"/>
                <w:sz w:val="18"/>
                <w:szCs w:val="18"/>
              </w:rPr>
              <w:t xml:space="preserve">Dental </w:t>
            </w:r>
            <w:r w:rsidRPr="005D74E5">
              <w:rPr>
                <w:rFonts w:ascii="Arial Narrow" w:eastAsia="Calibri" w:hAnsi="Arial Narrow"/>
                <w:sz w:val="18"/>
                <w:szCs w:val="18"/>
              </w:rPr>
              <w:fldChar w:fldCharType="begin">
                <w:ffData>
                  <w:name w:val=""/>
                  <w:enabled/>
                  <w:calcOnExit w:val="0"/>
                  <w:checkBox>
                    <w:sizeAuto/>
                    <w:default w:val="1"/>
                  </w:checkBox>
                </w:ffData>
              </w:fldChar>
            </w:r>
            <w:r w:rsidRPr="00B66840">
              <w:rPr>
                <w:rFonts w:ascii="Arial Narrow" w:eastAsia="Calibri" w:hAnsi="Arial Narrow"/>
                <w:sz w:val="18"/>
                <w:szCs w:val="18"/>
              </w:rPr>
              <w:instrText xml:space="preserve"> FORMCHECKBOX </w:instrText>
            </w:r>
            <w:r w:rsidR="009D06E4">
              <w:rPr>
                <w:rFonts w:ascii="Arial Narrow" w:eastAsia="Calibri" w:hAnsi="Arial Narrow"/>
                <w:sz w:val="18"/>
                <w:szCs w:val="18"/>
              </w:rPr>
            </w:r>
            <w:r w:rsidR="009D06E4">
              <w:rPr>
                <w:rFonts w:ascii="Arial Narrow" w:eastAsia="Calibri" w:hAnsi="Arial Narrow"/>
                <w:sz w:val="18"/>
                <w:szCs w:val="18"/>
              </w:rPr>
              <w:fldChar w:fldCharType="separate"/>
            </w:r>
            <w:r w:rsidRPr="005D74E5">
              <w:rPr>
                <w:rFonts w:ascii="Arial Narrow" w:eastAsia="Calibri" w:hAnsi="Arial Narrow"/>
                <w:sz w:val="18"/>
                <w:szCs w:val="18"/>
              </w:rPr>
              <w:fldChar w:fldCharType="end"/>
            </w:r>
            <w:r w:rsidRPr="00B66840">
              <w:rPr>
                <w:rFonts w:ascii="Arial Narrow" w:eastAsia="Calibri" w:hAnsi="Arial Narrow"/>
                <w:sz w:val="18"/>
                <w:szCs w:val="18"/>
              </w:rPr>
              <w:t xml:space="preserve">Medical Practitioners </w:t>
            </w:r>
            <w:r w:rsidRPr="005D74E5">
              <w:rPr>
                <w:rFonts w:ascii="Arial Narrow" w:eastAsia="Calibri" w:hAnsi="Arial Narrow"/>
                <w:sz w:val="18"/>
                <w:szCs w:val="18"/>
              </w:rPr>
              <w:fldChar w:fldCharType="begin">
                <w:ffData>
                  <w:name w:val="Check3"/>
                  <w:enabled/>
                  <w:calcOnExit w:val="0"/>
                  <w:checkBox>
                    <w:sizeAuto/>
                    <w:default w:val="0"/>
                  </w:checkBox>
                </w:ffData>
              </w:fldChar>
            </w:r>
            <w:r w:rsidRPr="00B66840">
              <w:rPr>
                <w:rFonts w:ascii="Arial Narrow" w:eastAsia="Calibri" w:hAnsi="Arial Narrow"/>
                <w:sz w:val="18"/>
                <w:szCs w:val="18"/>
              </w:rPr>
              <w:instrText xml:space="preserve"> FORMCHECKBOX </w:instrText>
            </w:r>
            <w:r w:rsidR="009D06E4">
              <w:rPr>
                <w:rFonts w:ascii="Arial Narrow" w:eastAsia="Calibri" w:hAnsi="Arial Narrow"/>
                <w:sz w:val="18"/>
                <w:szCs w:val="18"/>
              </w:rPr>
            </w:r>
            <w:r w:rsidR="009D06E4">
              <w:rPr>
                <w:rFonts w:ascii="Arial Narrow" w:eastAsia="Calibri" w:hAnsi="Arial Narrow"/>
                <w:sz w:val="18"/>
                <w:szCs w:val="18"/>
              </w:rPr>
              <w:fldChar w:fldCharType="separate"/>
            </w:r>
            <w:r w:rsidRPr="005D74E5">
              <w:rPr>
                <w:rFonts w:ascii="Arial Narrow" w:eastAsia="Calibri" w:hAnsi="Arial Narrow"/>
                <w:sz w:val="18"/>
                <w:szCs w:val="18"/>
              </w:rPr>
              <w:fldChar w:fldCharType="end"/>
            </w:r>
            <w:r w:rsidRPr="00B66840">
              <w:rPr>
                <w:rFonts w:ascii="Arial Narrow" w:eastAsia="Calibri" w:hAnsi="Arial Narrow"/>
                <w:sz w:val="18"/>
                <w:szCs w:val="18"/>
              </w:rPr>
              <w:t xml:space="preserve">Nurse practitioners </w:t>
            </w:r>
            <w:r w:rsidRPr="005D74E5">
              <w:rPr>
                <w:rFonts w:ascii="Arial Narrow" w:eastAsia="Calibri" w:hAnsi="Arial Narrow"/>
                <w:sz w:val="18"/>
                <w:szCs w:val="18"/>
              </w:rPr>
              <w:fldChar w:fldCharType="begin">
                <w:ffData>
                  <w:name w:val=""/>
                  <w:enabled/>
                  <w:calcOnExit w:val="0"/>
                  <w:checkBox>
                    <w:sizeAuto/>
                    <w:default w:val="0"/>
                  </w:checkBox>
                </w:ffData>
              </w:fldChar>
            </w:r>
            <w:r w:rsidRPr="00B66840">
              <w:rPr>
                <w:rFonts w:ascii="Arial Narrow" w:eastAsia="Calibri" w:hAnsi="Arial Narrow"/>
                <w:sz w:val="18"/>
                <w:szCs w:val="18"/>
              </w:rPr>
              <w:instrText xml:space="preserve"> FORMCHECKBOX </w:instrText>
            </w:r>
            <w:r w:rsidR="009D06E4">
              <w:rPr>
                <w:rFonts w:ascii="Arial Narrow" w:eastAsia="Calibri" w:hAnsi="Arial Narrow"/>
                <w:sz w:val="18"/>
                <w:szCs w:val="18"/>
              </w:rPr>
            </w:r>
            <w:r w:rsidR="009D06E4">
              <w:rPr>
                <w:rFonts w:ascii="Arial Narrow" w:eastAsia="Calibri" w:hAnsi="Arial Narrow"/>
                <w:sz w:val="18"/>
                <w:szCs w:val="18"/>
              </w:rPr>
              <w:fldChar w:fldCharType="separate"/>
            </w:r>
            <w:r w:rsidRPr="005D74E5">
              <w:rPr>
                <w:rFonts w:ascii="Arial Narrow" w:eastAsia="Calibri" w:hAnsi="Arial Narrow"/>
                <w:sz w:val="18"/>
                <w:szCs w:val="18"/>
              </w:rPr>
              <w:fldChar w:fldCharType="end"/>
            </w:r>
            <w:r w:rsidRPr="00B66840">
              <w:rPr>
                <w:rFonts w:ascii="Arial Narrow" w:eastAsia="Calibri" w:hAnsi="Arial Narrow"/>
                <w:sz w:val="18"/>
                <w:szCs w:val="18"/>
              </w:rPr>
              <w:t xml:space="preserve">Optometrists </w:t>
            </w:r>
            <w:r w:rsidRPr="005D74E5">
              <w:rPr>
                <w:rFonts w:ascii="Arial Narrow" w:eastAsia="Calibri" w:hAnsi="Arial Narrow"/>
                <w:sz w:val="18"/>
                <w:szCs w:val="18"/>
              </w:rPr>
              <w:fldChar w:fldCharType="begin">
                <w:ffData>
                  <w:name w:val="Check5"/>
                  <w:enabled/>
                  <w:calcOnExit w:val="0"/>
                  <w:checkBox>
                    <w:sizeAuto/>
                    <w:default w:val="0"/>
                  </w:checkBox>
                </w:ffData>
              </w:fldChar>
            </w:r>
            <w:r w:rsidRPr="00B66840">
              <w:rPr>
                <w:rFonts w:ascii="Arial Narrow" w:eastAsia="Calibri" w:hAnsi="Arial Narrow"/>
                <w:sz w:val="18"/>
                <w:szCs w:val="18"/>
              </w:rPr>
              <w:instrText xml:space="preserve"> FORMCHECKBOX </w:instrText>
            </w:r>
            <w:r w:rsidR="009D06E4">
              <w:rPr>
                <w:rFonts w:ascii="Arial Narrow" w:eastAsia="Calibri" w:hAnsi="Arial Narrow"/>
                <w:sz w:val="18"/>
                <w:szCs w:val="18"/>
              </w:rPr>
            </w:r>
            <w:r w:rsidR="009D06E4">
              <w:rPr>
                <w:rFonts w:ascii="Arial Narrow" w:eastAsia="Calibri" w:hAnsi="Arial Narrow"/>
                <w:sz w:val="18"/>
                <w:szCs w:val="18"/>
              </w:rPr>
              <w:fldChar w:fldCharType="separate"/>
            </w:r>
            <w:r w:rsidRPr="005D74E5">
              <w:rPr>
                <w:rFonts w:ascii="Arial Narrow" w:eastAsia="Calibri" w:hAnsi="Arial Narrow"/>
                <w:sz w:val="18"/>
                <w:szCs w:val="18"/>
              </w:rPr>
              <w:fldChar w:fldCharType="end"/>
            </w:r>
            <w:r w:rsidRPr="00B66840">
              <w:rPr>
                <w:rFonts w:ascii="Arial Narrow" w:eastAsia="Calibri" w:hAnsi="Arial Narrow"/>
                <w:sz w:val="18"/>
                <w:szCs w:val="18"/>
              </w:rPr>
              <w:t>Midwives</w:t>
            </w:r>
          </w:p>
        </w:tc>
      </w:tr>
      <w:tr w:rsidR="00CE6461" w:rsidRPr="00B66840" w:rsidTr="00CE6461">
        <w:tc>
          <w:tcPr>
            <w:tcW w:w="5000" w:type="pct"/>
            <w:tcBorders>
              <w:top w:val="single" w:sz="4" w:space="0" w:color="auto"/>
              <w:left w:val="single" w:sz="4" w:space="0" w:color="auto"/>
              <w:bottom w:val="single" w:sz="4" w:space="0" w:color="auto"/>
              <w:right w:val="single" w:sz="4" w:space="0" w:color="auto"/>
            </w:tcBorders>
          </w:tcPr>
          <w:p w:rsidR="00CE6461" w:rsidRPr="00CE6461" w:rsidRDefault="00CE6461" w:rsidP="00CE6461">
            <w:pPr>
              <w:pStyle w:val="TableText0"/>
              <w:keepLines/>
              <w:rPr>
                <w:rStyle w:val="Strong"/>
                <w:b w:val="0"/>
                <w:bCs w:val="0"/>
                <w:sz w:val="18"/>
                <w:szCs w:val="18"/>
              </w:rPr>
            </w:pPr>
            <w:r w:rsidRPr="00B66840">
              <w:rPr>
                <w:b/>
                <w:sz w:val="18"/>
                <w:szCs w:val="18"/>
              </w:rPr>
              <w:t>Restriction Level / Method:</w:t>
            </w:r>
            <w:r>
              <w:rPr>
                <w:sz w:val="18"/>
                <w:szCs w:val="18"/>
              </w:rPr>
              <w:t xml:space="preserve">  </w:t>
            </w:r>
            <w:r w:rsidRPr="005D74E5">
              <w:rPr>
                <w:sz w:val="18"/>
                <w:szCs w:val="18"/>
              </w:rPr>
              <w:fldChar w:fldCharType="begin">
                <w:ffData>
                  <w:name w:val="Check3"/>
                  <w:enabled/>
                  <w:calcOnExit w:val="0"/>
                  <w:checkBox>
                    <w:sizeAuto/>
                    <w:default w:val="1"/>
                  </w:checkBox>
                </w:ffData>
              </w:fldChar>
            </w:r>
            <w:r w:rsidRPr="00B66840">
              <w:rPr>
                <w:sz w:val="18"/>
                <w:szCs w:val="18"/>
              </w:rPr>
              <w:instrText xml:space="preserve"> FORMCHECKBOX </w:instrText>
            </w:r>
            <w:r w:rsidR="009D06E4">
              <w:rPr>
                <w:sz w:val="18"/>
                <w:szCs w:val="18"/>
              </w:rPr>
            </w:r>
            <w:r w:rsidR="009D06E4">
              <w:rPr>
                <w:sz w:val="18"/>
                <w:szCs w:val="18"/>
              </w:rPr>
              <w:fldChar w:fldCharType="separate"/>
            </w:r>
            <w:r w:rsidRPr="005D74E5">
              <w:rPr>
                <w:sz w:val="18"/>
                <w:szCs w:val="18"/>
              </w:rPr>
              <w:fldChar w:fldCharType="end"/>
            </w:r>
            <w:r>
              <w:rPr>
                <w:sz w:val="18"/>
                <w:szCs w:val="18"/>
              </w:rPr>
              <w:t xml:space="preserve"> </w:t>
            </w:r>
            <w:r w:rsidRPr="00CE6461">
              <w:rPr>
                <w:sz w:val="18"/>
                <w:szCs w:val="18"/>
              </w:rPr>
              <w:t>Authority Required – Telephone/Emergency/Electronic</w:t>
            </w:r>
          </w:p>
        </w:tc>
      </w:tr>
      <w:tr w:rsidR="00CE6461" w:rsidRPr="00B66840" w:rsidTr="00CE6461">
        <w:trPr>
          <w:trHeight w:val="1153"/>
        </w:trPr>
        <w:tc>
          <w:tcPr>
            <w:tcW w:w="5000" w:type="pct"/>
            <w:tcBorders>
              <w:bottom w:val="single" w:sz="4" w:space="0" w:color="auto"/>
            </w:tcBorders>
            <w:vAlign w:val="center"/>
            <w:hideMark/>
          </w:tcPr>
          <w:p w:rsidR="00CE6461" w:rsidRDefault="00CE6461" w:rsidP="00453B64">
            <w:pPr>
              <w:pStyle w:val="NormalWeb"/>
              <w:spacing w:before="0" w:beforeAutospacing="0" w:after="0" w:afterAutospacing="0"/>
              <w:rPr>
                <w:rFonts w:ascii="Arial Narrow" w:hAnsi="Arial Narrow"/>
                <w:color w:val="333333"/>
                <w:sz w:val="18"/>
                <w:szCs w:val="18"/>
              </w:rPr>
            </w:pPr>
            <w:r w:rsidRPr="00B66840">
              <w:rPr>
                <w:rStyle w:val="Strong"/>
                <w:rFonts w:ascii="Arial Narrow" w:hAnsi="Arial Narrow"/>
                <w:color w:val="333333"/>
                <w:sz w:val="18"/>
                <w:szCs w:val="18"/>
              </w:rPr>
              <w:t>Administrative Advice:</w:t>
            </w:r>
            <w:r w:rsidRPr="00B66840">
              <w:rPr>
                <w:rFonts w:ascii="Arial Narrow" w:hAnsi="Arial Narrow"/>
                <w:color w:val="333333"/>
                <w:sz w:val="18"/>
                <w:szCs w:val="18"/>
              </w:rPr>
              <w:t xml:space="preserve"> </w:t>
            </w:r>
          </w:p>
          <w:p w:rsidR="00CE6461" w:rsidRPr="00B66840" w:rsidRDefault="00CE6461" w:rsidP="00453B64">
            <w:pPr>
              <w:pStyle w:val="NormalWeb"/>
              <w:spacing w:before="0" w:beforeAutospacing="0" w:after="0" w:afterAutospacing="0"/>
              <w:rPr>
                <w:rFonts w:ascii="Arial Narrow" w:hAnsi="Arial Narrow"/>
                <w:color w:val="333333"/>
                <w:sz w:val="18"/>
                <w:szCs w:val="18"/>
              </w:rPr>
            </w:pPr>
            <w:r w:rsidRPr="00B66840">
              <w:rPr>
                <w:rFonts w:ascii="Arial Narrow" w:hAnsi="Arial Narrow"/>
                <w:color w:val="333333"/>
                <w:sz w:val="18"/>
                <w:szCs w:val="18"/>
              </w:rPr>
              <w:t>No increase in the maximum amount or number of units may be authorised.</w:t>
            </w:r>
          </w:p>
          <w:p w:rsidR="00CE6461" w:rsidRPr="00B66840" w:rsidRDefault="00CE6461" w:rsidP="00453B64">
            <w:pPr>
              <w:pStyle w:val="NormalWeb"/>
              <w:spacing w:before="0" w:beforeAutospacing="0" w:after="0" w:afterAutospacing="0"/>
              <w:rPr>
                <w:rFonts w:ascii="Arial Narrow" w:hAnsi="Arial Narrow"/>
                <w:color w:val="333333"/>
                <w:sz w:val="18"/>
                <w:szCs w:val="18"/>
              </w:rPr>
            </w:pPr>
            <w:r w:rsidRPr="00B66840">
              <w:rPr>
                <w:rFonts w:ascii="Arial Narrow" w:hAnsi="Arial Narrow"/>
                <w:color w:val="333333"/>
                <w:sz w:val="18"/>
                <w:szCs w:val="18"/>
              </w:rPr>
              <w:t>No increase in the maximum number of repeats may be authorised.</w:t>
            </w:r>
          </w:p>
          <w:p w:rsidR="00CE6461" w:rsidRDefault="00CE6461" w:rsidP="00453B64">
            <w:pPr>
              <w:pStyle w:val="NormalWeb"/>
              <w:spacing w:before="0" w:beforeAutospacing="0" w:after="0" w:afterAutospacing="0"/>
              <w:rPr>
                <w:rFonts w:ascii="Arial Narrow" w:hAnsi="Arial Narrow"/>
                <w:color w:val="333333"/>
                <w:sz w:val="18"/>
                <w:szCs w:val="18"/>
              </w:rPr>
            </w:pPr>
            <w:r w:rsidRPr="00B66840">
              <w:rPr>
                <w:rFonts w:ascii="Arial Narrow" w:hAnsi="Arial Narrow"/>
                <w:color w:val="333333"/>
                <w:sz w:val="18"/>
                <w:szCs w:val="18"/>
              </w:rPr>
              <w:t>Special Pricing Arrangements apply.</w:t>
            </w:r>
          </w:p>
          <w:p w:rsidR="00CE6461" w:rsidRPr="00B66840" w:rsidRDefault="00CE6461" w:rsidP="00453B64">
            <w:pPr>
              <w:pStyle w:val="NormalWeb"/>
              <w:spacing w:before="0" w:beforeAutospacing="0" w:after="0" w:afterAutospacing="0"/>
              <w:rPr>
                <w:rFonts w:ascii="Arial Narrow" w:hAnsi="Arial Narrow"/>
                <w:color w:val="333333"/>
                <w:sz w:val="18"/>
                <w:szCs w:val="18"/>
              </w:rPr>
            </w:pPr>
            <w:r w:rsidRPr="00B66840">
              <w:rPr>
                <w:rFonts w:ascii="Arial Narrow" w:hAnsi="Arial Narrow"/>
                <w:sz w:val="18"/>
                <w:szCs w:val="18"/>
              </w:rPr>
              <w:t>Patient should be treated with the recommended dose of pembrolizumab according to the TGA-approved Product Information.</w:t>
            </w:r>
          </w:p>
        </w:tc>
      </w:tr>
      <w:tr w:rsidR="00CE6461" w:rsidRPr="00B66840" w:rsidTr="00CE6461">
        <w:tc>
          <w:tcPr>
            <w:tcW w:w="5000" w:type="pct"/>
            <w:tcBorders>
              <w:bottom w:val="nil"/>
            </w:tcBorders>
            <w:vAlign w:val="center"/>
            <w:hideMark/>
          </w:tcPr>
          <w:p w:rsidR="00CE6461" w:rsidRPr="00B66840" w:rsidRDefault="00CE6461" w:rsidP="00453B64">
            <w:pPr>
              <w:pStyle w:val="NormalWeb"/>
              <w:spacing w:before="0" w:beforeAutospacing="0" w:after="0" w:afterAutospacing="0"/>
              <w:rPr>
                <w:rFonts w:ascii="Arial Narrow" w:hAnsi="Arial Narrow"/>
                <w:color w:val="333333"/>
                <w:sz w:val="18"/>
                <w:szCs w:val="18"/>
              </w:rPr>
            </w:pPr>
            <w:r w:rsidRPr="00B66840">
              <w:rPr>
                <w:rStyle w:val="Strong"/>
                <w:rFonts w:ascii="Arial Narrow" w:hAnsi="Arial Narrow"/>
                <w:color w:val="333333"/>
                <w:sz w:val="18"/>
                <w:szCs w:val="18"/>
              </w:rPr>
              <w:t>Indication:</w:t>
            </w:r>
            <w:r w:rsidRPr="00B66840">
              <w:rPr>
                <w:rFonts w:ascii="Arial Narrow" w:hAnsi="Arial Narrow"/>
                <w:color w:val="333333"/>
                <w:sz w:val="18"/>
                <w:szCs w:val="18"/>
              </w:rPr>
              <w:t xml:space="preserve"> Resected Stage IIIB, IIIC or IIID malignant melanoma</w:t>
            </w:r>
          </w:p>
        </w:tc>
      </w:tr>
      <w:tr w:rsidR="00CE6461" w:rsidRPr="00B66840" w:rsidTr="00CE6461">
        <w:tc>
          <w:tcPr>
            <w:tcW w:w="5000" w:type="pct"/>
            <w:tcBorders>
              <w:top w:val="nil"/>
              <w:bottom w:val="nil"/>
            </w:tcBorders>
            <w:vAlign w:val="center"/>
            <w:hideMark/>
          </w:tcPr>
          <w:p w:rsidR="00CE6461" w:rsidRPr="00B66840" w:rsidRDefault="00CE6461" w:rsidP="00453B64">
            <w:pPr>
              <w:pStyle w:val="NormalWeb"/>
              <w:spacing w:before="0" w:beforeAutospacing="0" w:after="0" w:afterAutospacing="0"/>
              <w:rPr>
                <w:rFonts w:ascii="Arial Narrow" w:hAnsi="Arial Narrow"/>
                <w:color w:val="333333"/>
                <w:sz w:val="18"/>
                <w:szCs w:val="18"/>
              </w:rPr>
            </w:pPr>
            <w:r w:rsidRPr="00B66840">
              <w:rPr>
                <w:rStyle w:val="Strong"/>
                <w:rFonts w:ascii="Arial Narrow" w:hAnsi="Arial Narrow"/>
                <w:color w:val="333333"/>
                <w:sz w:val="18"/>
                <w:szCs w:val="18"/>
              </w:rPr>
              <w:t xml:space="preserve">Treatment Phase:  </w:t>
            </w:r>
            <w:r w:rsidRPr="00B66840">
              <w:rPr>
                <w:rFonts w:ascii="Arial Narrow" w:hAnsi="Arial Narrow"/>
                <w:color w:val="333333"/>
                <w:sz w:val="18"/>
                <w:szCs w:val="18"/>
              </w:rPr>
              <w:t>Initial treatment – 6 weekly treatment regimen</w:t>
            </w:r>
          </w:p>
        </w:tc>
      </w:tr>
      <w:tr w:rsidR="00CE6461" w:rsidRPr="00B66840" w:rsidTr="00CE6461">
        <w:tc>
          <w:tcPr>
            <w:tcW w:w="5000" w:type="pct"/>
            <w:tcBorders>
              <w:top w:val="nil"/>
              <w:bottom w:val="nil"/>
            </w:tcBorders>
            <w:vAlign w:val="center"/>
            <w:hideMark/>
          </w:tcPr>
          <w:p w:rsidR="00CE6461" w:rsidRPr="00B66840" w:rsidRDefault="00CE6461" w:rsidP="00453B64">
            <w:pPr>
              <w:pStyle w:val="NormalWeb"/>
              <w:spacing w:before="0" w:beforeAutospacing="0" w:after="0" w:afterAutospacing="0"/>
              <w:rPr>
                <w:rFonts w:ascii="Arial Narrow" w:hAnsi="Arial Narrow"/>
                <w:color w:val="333333"/>
                <w:sz w:val="18"/>
                <w:szCs w:val="18"/>
              </w:rPr>
            </w:pPr>
            <w:r w:rsidRPr="00B66840">
              <w:rPr>
                <w:rStyle w:val="Strong"/>
                <w:rFonts w:ascii="Arial Narrow" w:hAnsi="Arial Narrow"/>
                <w:color w:val="333333"/>
                <w:sz w:val="18"/>
                <w:szCs w:val="18"/>
              </w:rPr>
              <w:t>Clinical criteria:</w:t>
            </w:r>
          </w:p>
        </w:tc>
      </w:tr>
      <w:tr w:rsidR="00CE6461" w:rsidRPr="00B66840" w:rsidTr="00CE6461">
        <w:tc>
          <w:tcPr>
            <w:tcW w:w="5000" w:type="pct"/>
            <w:tcBorders>
              <w:top w:val="nil"/>
              <w:bottom w:val="nil"/>
            </w:tcBorders>
            <w:vAlign w:val="center"/>
            <w:hideMark/>
          </w:tcPr>
          <w:p w:rsidR="00CE6461" w:rsidRPr="00CE6461" w:rsidRDefault="00CE6461" w:rsidP="00CE6461">
            <w:pPr>
              <w:pStyle w:val="ListParagraph"/>
              <w:numPr>
                <w:ilvl w:val="0"/>
                <w:numId w:val="40"/>
              </w:numPr>
              <w:rPr>
                <w:rFonts w:ascii="Arial Narrow" w:hAnsi="Arial Narrow"/>
                <w:color w:val="333333"/>
                <w:sz w:val="18"/>
                <w:szCs w:val="18"/>
              </w:rPr>
            </w:pPr>
            <w:r w:rsidRPr="00CE6461">
              <w:rPr>
                <w:rFonts w:ascii="Arial Narrow" w:hAnsi="Arial Narrow"/>
                <w:color w:val="333333"/>
                <w:sz w:val="18"/>
                <w:szCs w:val="18"/>
              </w:rPr>
              <w:t>The treatment must be adjuvant to complete surgical resection</w:t>
            </w:r>
          </w:p>
        </w:tc>
      </w:tr>
      <w:tr w:rsidR="00CE6461" w:rsidRPr="00B66840" w:rsidTr="00CE6461">
        <w:tc>
          <w:tcPr>
            <w:tcW w:w="5000" w:type="pct"/>
            <w:tcBorders>
              <w:top w:val="nil"/>
              <w:bottom w:val="nil"/>
            </w:tcBorders>
            <w:vAlign w:val="center"/>
            <w:hideMark/>
          </w:tcPr>
          <w:p w:rsidR="00CE6461" w:rsidRPr="00CE6461" w:rsidRDefault="00CE6461" w:rsidP="00CE6461">
            <w:pPr>
              <w:pStyle w:val="ListParagraph"/>
              <w:rPr>
                <w:rFonts w:ascii="Arial Narrow" w:hAnsi="Arial Narrow"/>
                <w:color w:val="333333"/>
                <w:sz w:val="18"/>
                <w:szCs w:val="18"/>
              </w:rPr>
            </w:pPr>
            <w:r w:rsidRPr="00CE6461">
              <w:rPr>
                <w:rStyle w:val="Strong"/>
                <w:rFonts w:ascii="Arial Narrow" w:hAnsi="Arial Narrow"/>
                <w:color w:val="333333"/>
                <w:sz w:val="18"/>
                <w:szCs w:val="18"/>
              </w:rPr>
              <w:t>AND</w:t>
            </w:r>
          </w:p>
        </w:tc>
      </w:tr>
      <w:tr w:rsidR="00CE6461" w:rsidRPr="00B66840" w:rsidTr="00CE6461">
        <w:tc>
          <w:tcPr>
            <w:tcW w:w="5000" w:type="pct"/>
            <w:tcBorders>
              <w:top w:val="nil"/>
              <w:bottom w:val="nil"/>
            </w:tcBorders>
            <w:vAlign w:val="center"/>
            <w:hideMark/>
          </w:tcPr>
          <w:p w:rsidR="00CE6461" w:rsidRPr="00CE6461" w:rsidRDefault="00CE6461" w:rsidP="00CE6461">
            <w:pPr>
              <w:pStyle w:val="ListParagraph"/>
              <w:numPr>
                <w:ilvl w:val="0"/>
                <w:numId w:val="40"/>
              </w:numPr>
              <w:rPr>
                <w:rFonts w:ascii="Arial Narrow" w:hAnsi="Arial Narrow"/>
                <w:color w:val="333333"/>
                <w:sz w:val="18"/>
                <w:szCs w:val="18"/>
              </w:rPr>
            </w:pPr>
            <w:r w:rsidRPr="00CE6461">
              <w:rPr>
                <w:rFonts w:ascii="Arial Narrow" w:hAnsi="Arial Narrow"/>
                <w:color w:val="333333"/>
                <w:sz w:val="18"/>
                <w:szCs w:val="18"/>
              </w:rPr>
              <w:t>Patient must have a WHO performance status of 1 or less</w:t>
            </w:r>
          </w:p>
        </w:tc>
      </w:tr>
      <w:tr w:rsidR="00CE6461" w:rsidRPr="00B66840" w:rsidTr="00CE6461">
        <w:tc>
          <w:tcPr>
            <w:tcW w:w="5000" w:type="pct"/>
            <w:tcBorders>
              <w:top w:val="nil"/>
              <w:bottom w:val="nil"/>
            </w:tcBorders>
            <w:vAlign w:val="center"/>
            <w:hideMark/>
          </w:tcPr>
          <w:p w:rsidR="00CE6461" w:rsidRPr="00CE6461" w:rsidRDefault="00CE6461" w:rsidP="00CE6461">
            <w:pPr>
              <w:pStyle w:val="ListParagraph"/>
              <w:rPr>
                <w:rFonts w:ascii="Arial Narrow" w:hAnsi="Arial Narrow"/>
                <w:color w:val="333333"/>
                <w:sz w:val="18"/>
                <w:szCs w:val="18"/>
              </w:rPr>
            </w:pPr>
            <w:r w:rsidRPr="00CE6461">
              <w:rPr>
                <w:rStyle w:val="Strong"/>
                <w:rFonts w:ascii="Arial Narrow" w:hAnsi="Arial Narrow"/>
                <w:color w:val="333333"/>
                <w:sz w:val="18"/>
                <w:szCs w:val="18"/>
              </w:rPr>
              <w:t>AND</w:t>
            </w:r>
          </w:p>
        </w:tc>
      </w:tr>
      <w:tr w:rsidR="00CE6461" w:rsidRPr="00B66840" w:rsidTr="00CE6461">
        <w:tc>
          <w:tcPr>
            <w:tcW w:w="5000" w:type="pct"/>
            <w:tcBorders>
              <w:top w:val="nil"/>
              <w:bottom w:val="nil"/>
            </w:tcBorders>
            <w:vAlign w:val="center"/>
            <w:hideMark/>
          </w:tcPr>
          <w:p w:rsidR="00CE6461" w:rsidRPr="00CE6461" w:rsidRDefault="00CE6461" w:rsidP="00CE6461">
            <w:pPr>
              <w:pStyle w:val="ListParagraph"/>
              <w:numPr>
                <w:ilvl w:val="0"/>
                <w:numId w:val="40"/>
              </w:numPr>
              <w:rPr>
                <w:rFonts w:ascii="Arial Narrow" w:hAnsi="Arial Narrow"/>
                <w:color w:val="333333"/>
                <w:sz w:val="18"/>
                <w:szCs w:val="18"/>
              </w:rPr>
            </w:pPr>
            <w:r w:rsidRPr="00CE6461">
              <w:rPr>
                <w:rFonts w:ascii="Arial Narrow" w:hAnsi="Arial Narrow"/>
                <w:color w:val="333333"/>
                <w:sz w:val="18"/>
                <w:szCs w:val="18"/>
              </w:rPr>
              <w:t>The treatment must be the sole PBS-subsidised therapy for this condition</w:t>
            </w:r>
          </w:p>
        </w:tc>
      </w:tr>
      <w:tr w:rsidR="00CE6461" w:rsidRPr="00B66840" w:rsidTr="00CE6461">
        <w:tc>
          <w:tcPr>
            <w:tcW w:w="5000" w:type="pct"/>
            <w:tcBorders>
              <w:top w:val="nil"/>
              <w:bottom w:val="nil"/>
            </w:tcBorders>
            <w:vAlign w:val="center"/>
            <w:hideMark/>
          </w:tcPr>
          <w:p w:rsidR="00CE6461" w:rsidRPr="00CE6461" w:rsidRDefault="00CE6461" w:rsidP="00CE6461">
            <w:pPr>
              <w:pStyle w:val="ListParagraph"/>
              <w:rPr>
                <w:rFonts w:ascii="Arial Narrow" w:hAnsi="Arial Narrow"/>
                <w:color w:val="333333"/>
                <w:sz w:val="18"/>
                <w:szCs w:val="18"/>
              </w:rPr>
            </w:pPr>
            <w:r w:rsidRPr="00CE6461">
              <w:rPr>
                <w:rStyle w:val="Strong"/>
                <w:rFonts w:ascii="Arial Narrow" w:hAnsi="Arial Narrow"/>
                <w:color w:val="333333"/>
                <w:sz w:val="18"/>
                <w:szCs w:val="18"/>
              </w:rPr>
              <w:t>AND</w:t>
            </w:r>
          </w:p>
        </w:tc>
      </w:tr>
      <w:tr w:rsidR="00CE6461" w:rsidRPr="00B66840" w:rsidTr="00CE6461">
        <w:tc>
          <w:tcPr>
            <w:tcW w:w="5000" w:type="pct"/>
            <w:tcBorders>
              <w:top w:val="nil"/>
              <w:bottom w:val="nil"/>
            </w:tcBorders>
            <w:vAlign w:val="center"/>
            <w:hideMark/>
          </w:tcPr>
          <w:p w:rsidR="00CE6461" w:rsidRPr="00CE6461" w:rsidRDefault="00CE6461" w:rsidP="00CE6461">
            <w:pPr>
              <w:pStyle w:val="ListParagraph"/>
              <w:numPr>
                <w:ilvl w:val="0"/>
                <w:numId w:val="40"/>
              </w:numPr>
              <w:rPr>
                <w:rFonts w:ascii="Arial Narrow" w:hAnsi="Arial Narrow"/>
                <w:color w:val="333333"/>
                <w:sz w:val="18"/>
                <w:szCs w:val="18"/>
              </w:rPr>
            </w:pPr>
            <w:r w:rsidRPr="00CE6461">
              <w:rPr>
                <w:rFonts w:ascii="Arial Narrow" w:hAnsi="Arial Narrow"/>
                <w:color w:val="333333"/>
                <w:sz w:val="18"/>
                <w:szCs w:val="18"/>
              </w:rPr>
              <w:t>Patient must not have received prior PBS-subsidised treatment for this condition</w:t>
            </w:r>
          </w:p>
        </w:tc>
      </w:tr>
      <w:tr w:rsidR="00CE6461" w:rsidRPr="00B66840" w:rsidTr="00CE6461">
        <w:tc>
          <w:tcPr>
            <w:tcW w:w="5000" w:type="pct"/>
            <w:tcBorders>
              <w:top w:val="nil"/>
              <w:bottom w:val="nil"/>
            </w:tcBorders>
            <w:vAlign w:val="center"/>
            <w:hideMark/>
          </w:tcPr>
          <w:p w:rsidR="00CE6461" w:rsidRPr="00CE6461" w:rsidRDefault="00CE6461" w:rsidP="00CE6461">
            <w:pPr>
              <w:pStyle w:val="ListParagraph"/>
              <w:rPr>
                <w:rFonts w:ascii="Arial Narrow" w:hAnsi="Arial Narrow"/>
                <w:color w:val="333333"/>
                <w:sz w:val="18"/>
                <w:szCs w:val="18"/>
              </w:rPr>
            </w:pPr>
            <w:r w:rsidRPr="00CE6461">
              <w:rPr>
                <w:rStyle w:val="Strong"/>
                <w:rFonts w:ascii="Arial Narrow" w:hAnsi="Arial Narrow"/>
                <w:color w:val="333333"/>
                <w:sz w:val="18"/>
                <w:szCs w:val="18"/>
              </w:rPr>
              <w:t>AND</w:t>
            </w:r>
          </w:p>
        </w:tc>
      </w:tr>
      <w:tr w:rsidR="00CE6461" w:rsidRPr="00B66840" w:rsidTr="00CE6461">
        <w:tc>
          <w:tcPr>
            <w:tcW w:w="5000" w:type="pct"/>
            <w:tcBorders>
              <w:top w:val="nil"/>
              <w:bottom w:val="nil"/>
            </w:tcBorders>
            <w:vAlign w:val="center"/>
            <w:hideMark/>
          </w:tcPr>
          <w:p w:rsidR="00CE6461" w:rsidRPr="00CE6461" w:rsidRDefault="00CE6461" w:rsidP="00CE6461">
            <w:pPr>
              <w:pStyle w:val="ListParagraph"/>
              <w:numPr>
                <w:ilvl w:val="0"/>
                <w:numId w:val="40"/>
              </w:numPr>
              <w:rPr>
                <w:rFonts w:ascii="Arial Narrow" w:hAnsi="Arial Narrow"/>
                <w:color w:val="333333"/>
                <w:sz w:val="18"/>
                <w:szCs w:val="18"/>
              </w:rPr>
            </w:pPr>
            <w:r w:rsidRPr="00CE6461">
              <w:rPr>
                <w:rFonts w:ascii="Arial Narrow" w:hAnsi="Arial Narrow"/>
                <w:color w:val="333333"/>
                <w:sz w:val="18"/>
                <w:szCs w:val="18"/>
              </w:rPr>
              <w:t>The treatment must commence within 12 weeks of complete resection</w:t>
            </w:r>
          </w:p>
        </w:tc>
      </w:tr>
      <w:tr w:rsidR="00CE6461" w:rsidRPr="00B66840" w:rsidTr="00CE6461">
        <w:tc>
          <w:tcPr>
            <w:tcW w:w="5000" w:type="pct"/>
            <w:tcBorders>
              <w:top w:val="nil"/>
              <w:bottom w:val="nil"/>
            </w:tcBorders>
            <w:vAlign w:val="center"/>
            <w:hideMark/>
          </w:tcPr>
          <w:p w:rsidR="00CE6461" w:rsidRPr="00CE6461" w:rsidRDefault="00CE6461" w:rsidP="00CE6461">
            <w:pPr>
              <w:pStyle w:val="ListParagraph"/>
              <w:rPr>
                <w:rFonts w:ascii="Arial Narrow" w:hAnsi="Arial Narrow"/>
                <w:color w:val="333333"/>
                <w:sz w:val="18"/>
                <w:szCs w:val="18"/>
              </w:rPr>
            </w:pPr>
            <w:r w:rsidRPr="00CE6461">
              <w:rPr>
                <w:rStyle w:val="Strong"/>
                <w:rFonts w:ascii="Arial Narrow" w:hAnsi="Arial Narrow"/>
                <w:color w:val="333333"/>
                <w:sz w:val="18"/>
                <w:szCs w:val="18"/>
              </w:rPr>
              <w:t>AND</w:t>
            </w:r>
          </w:p>
        </w:tc>
      </w:tr>
      <w:tr w:rsidR="00CE6461" w:rsidRPr="00B66840" w:rsidTr="00CE6461">
        <w:tc>
          <w:tcPr>
            <w:tcW w:w="5000" w:type="pct"/>
            <w:tcBorders>
              <w:top w:val="nil"/>
            </w:tcBorders>
            <w:vAlign w:val="center"/>
            <w:hideMark/>
          </w:tcPr>
          <w:p w:rsidR="00CE6461" w:rsidRPr="00CE6461" w:rsidRDefault="00CE6461" w:rsidP="00CE6461">
            <w:pPr>
              <w:pStyle w:val="ListParagraph"/>
              <w:numPr>
                <w:ilvl w:val="0"/>
                <w:numId w:val="40"/>
              </w:numPr>
              <w:rPr>
                <w:rFonts w:ascii="Arial Narrow" w:hAnsi="Arial Narrow"/>
                <w:color w:val="333333"/>
                <w:sz w:val="18"/>
                <w:szCs w:val="18"/>
              </w:rPr>
            </w:pPr>
            <w:r w:rsidRPr="00CE6461">
              <w:rPr>
                <w:rFonts w:ascii="Arial Narrow" w:hAnsi="Arial Narrow"/>
                <w:color w:val="333333"/>
                <w:sz w:val="18"/>
                <w:szCs w:val="18"/>
              </w:rPr>
              <w:t>Patient must not receive more than 12 months of combined PBS-subsidised and non-PBS-subsidised adjuvant therapy</w:t>
            </w:r>
          </w:p>
        </w:tc>
      </w:tr>
      <w:tr w:rsidR="00CE6461" w:rsidRPr="00B66840" w:rsidTr="00CE6461">
        <w:tc>
          <w:tcPr>
            <w:tcW w:w="5000" w:type="pct"/>
            <w:vAlign w:val="center"/>
            <w:hideMark/>
          </w:tcPr>
          <w:p w:rsidR="00CE6461" w:rsidRPr="00B66840" w:rsidRDefault="00CE6461" w:rsidP="00453B64">
            <w:pPr>
              <w:pStyle w:val="NormalWeb"/>
              <w:spacing w:before="0" w:beforeAutospacing="0" w:after="0" w:afterAutospacing="0"/>
              <w:rPr>
                <w:rFonts w:ascii="Arial Narrow" w:hAnsi="Arial Narrow"/>
                <w:color w:val="333333"/>
                <w:sz w:val="18"/>
                <w:szCs w:val="18"/>
              </w:rPr>
            </w:pPr>
            <w:r w:rsidRPr="00B66840">
              <w:rPr>
                <w:rStyle w:val="Strong"/>
                <w:rFonts w:ascii="Arial Narrow" w:hAnsi="Arial Narrow"/>
                <w:color w:val="333333"/>
                <w:sz w:val="18"/>
                <w:szCs w:val="18"/>
              </w:rPr>
              <w:t>Administrative Advice:</w:t>
            </w:r>
          </w:p>
          <w:p w:rsidR="00CE6461" w:rsidRPr="00B66840" w:rsidRDefault="00CE6461" w:rsidP="00453B64">
            <w:pPr>
              <w:pStyle w:val="NormalWeb"/>
              <w:spacing w:before="0" w:beforeAutospacing="0" w:after="0" w:afterAutospacing="0"/>
              <w:rPr>
                <w:rFonts w:ascii="Arial Narrow" w:hAnsi="Arial Narrow"/>
                <w:color w:val="333333"/>
                <w:sz w:val="18"/>
                <w:szCs w:val="18"/>
              </w:rPr>
            </w:pPr>
            <w:r w:rsidRPr="00B66840">
              <w:rPr>
                <w:rFonts w:ascii="Arial Narrow" w:hAnsi="Arial Narrow"/>
                <w:color w:val="333333"/>
                <w:sz w:val="18"/>
                <w:szCs w:val="18"/>
              </w:rPr>
              <w:t>In the first few months after start of immunotherapy, some patients can have a transient tumour flare with subsequent disease response. When progression is suspected, this should be confirmed through a confirmatory scan, taken at least 4 weeks later.</w:t>
            </w:r>
          </w:p>
        </w:tc>
      </w:tr>
    </w:tbl>
    <w:p w:rsidR="00453B64" w:rsidRPr="00B66840" w:rsidRDefault="00453B64" w:rsidP="00453B64">
      <w:pPr>
        <w:pStyle w:val="Tabletitles"/>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926"/>
      </w:tblGrid>
      <w:tr w:rsidR="00CE6461" w:rsidRPr="00B66840" w:rsidTr="00CE6461">
        <w:tc>
          <w:tcPr>
            <w:tcW w:w="5000" w:type="pct"/>
            <w:tcBorders>
              <w:top w:val="single" w:sz="4" w:space="0" w:color="auto"/>
              <w:left w:val="single" w:sz="4" w:space="0" w:color="auto"/>
              <w:bottom w:val="single" w:sz="4" w:space="0" w:color="auto"/>
              <w:right w:val="single" w:sz="4" w:space="0" w:color="auto"/>
            </w:tcBorders>
          </w:tcPr>
          <w:p w:rsidR="00CE6461" w:rsidRPr="00B66840" w:rsidRDefault="00CE6461" w:rsidP="00453B64">
            <w:pPr>
              <w:pStyle w:val="NormalWeb"/>
              <w:spacing w:before="0" w:beforeAutospacing="0" w:after="0" w:afterAutospacing="0"/>
              <w:rPr>
                <w:rStyle w:val="Strong"/>
                <w:rFonts w:ascii="Arial Narrow" w:hAnsi="Arial Narrow"/>
                <w:color w:val="333333"/>
                <w:sz w:val="18"/>
                <w:szCs w:val="18"/>
              </w:rPr>
            </w:pPr>
            <w:r w:rsidRPr="00666004">
              <w:rPr>
                <w:rFonts w:ascii="Arial Narrow" w:eastAsia="Calibri" w:hAnsi="Arial Narrow"/>
                <w:b/>
                <w:sz w:val="18"/>
                <w:szCs w:val="18"/>
              </w:rPr>
              <w:t>Category/Program:</w:t>
            </w:r>
            <w:r w:rsidRPr="00B66840">
              <w:rPr>
                <w:rFonts w:ascii="Arial Narrow" w:eastAsia="Calibri" w:hAnsi="Arial Narrow"/>
                <w:sz w:val="18"/>
                <w:szCs w:val="18"/>
              </w:rPr>
              <w:t xml:space="preserve"> Section 100 Efficient Funding of Chemotherapy</w:t>
            </w:r>
          </w:p>
        </w:tc>
      </w:tr>
      <w:tr w:rsidR="00CE6461" w:rsidRPr="00B66840" w:rsidTr="00CE6461">
        <w:tc>
          <w:tcPr>
            <w:tcW w:w="5000" w:type="pct"/>
            <w:tcBorders>
              <w:top w:val="single" w:sz="4" w:space="0" w:color="auto"/>
              <w:left w:val="single" w:sz="4" w:space="0" w:color="auto"/>
              <w:bottom w:val="single" w:sz="4" w:space="0" w:color="auto"/>
              <w:right w:val="single" w:sz="4" w:space="0" w:color="auto"/>
            </w:tcBorders>
          </w:tcPr>
          <w:p w:rsidR="00CE6461" w:rsidRPr="00B66840" w:rsidRDefault="00CE6461" w:rsidP="00453B64">
            <w:pPr>
              <w:pStyle w:val="NormalWeb"/>
              <w:spacing w:before="0" w:beforeAutospacing="0" w:after="0" w:afterAutospacing="0"/>
              <w:rPr>
                <w:rStyle w:val="Strong"/>
                <w:rFonts w:ascii="Arial Narrow" w:hAnsi="Arial Narrow"/>
                <w:color w:val="333333"/>
                <w:sz w:val="18"/>
                <w:szCs w:val="18"/>
              </w:rPr>
            </w:pPr>
            <w:r w:rsidRPr="00B66840">
              <w:rPr>
                <w:rFonts w:ascii="Arial Narrow" w:eastAsia="Calibri" w:hAnsi="Arial Narrow"/>
                <w:b/>
                <w:sz w:val="18"/>
                <w:szCs w:val="18"/>
              </w:rPr>
              <w:t>Prescriber type:</w:t>
            </w:r>
            <w:r w:rsidRPr="00B66840">
              <w:rPr>
                <w:rFonts w:ascii="Arial Narrow" w:eastAsia="Calibri" w:hAnsi="Arial Narrow"/>
                <w:sz w:val="18"/>
                <w:szCs w:val="18"/>
              </w:rPr>
              <w:t xml:space="preserve">  </w:t>
            </w:r>
            <w:r w:rsidRPr="005D74E5">
              <w:rPr>
                <w:rFonts w:ascii="Arial Narrow" w:eastAsia="Calibri" w:hAnsi="Arial Narrow"/>
                <w:sz w:val="18"/>
                <w:szCs w:val="18"/>
              </w:rPr>
              <w:fldChar w:fldCharType="begin">
                <w:ffData>
                  <w:name w:val="Check1"/>
                  <w:enabled/>
                  <w:calcOnExit w:val="0"/>
                  <w:checkBox>
                    <w:sizeAuto/>
                    <w:default w:val="0"/>
                  </w:checkBox>
                </w:ffData>
              </w:fldChar>
            </w:r>
            <w:r w:rsidRPr="00B66840">
              <w:rPr>
                <w:rFonts w:ascii="Arial Narrow" w:eastAsia="Calibri" w:hAnsi="Arial Narrow"/>
                <w:sz w:val="18"/>
                <w:szCs w:val="18"/>
              </w:rPr>
              <w:instrText xml:space="preserve"> FORMCHECKBOX </w:instrText>
            </w:r>
            <w:r w:rsidR="009D06E4">
              <w:rPr>
                <w:rFonts w:ascii="Arial Narrow" w:eastAsia="Calibri" w:hAnsi="Arial Narrow"/>
                <w:sz w:val="18"/>
                <w:szCs w:val="18"/>
              </w:rPr>
            </w:r>
            <w:r w:rsidR="009D06E4">
              <w:rPr>
                <w:rFonts w:ascii="Arial Narrow" w:eastAsia="Calibri" w:hAnsi="Arial Narrow"/>
                <w:sz w:val="18"/>
                <w:szCs w:val="18"/>
              </w:rPr>
              <w:fldChar w:fldCharType="separate"/>
            </w:r>
            <w:r w:rsidRPr="005D74E5">
              <w:rPr>
                <w:rFonts w:ascii="Arial Narrow" w:eastAsia="Calibri" w:hAnsi="Arial Narrow"/>
                <w:sz w:val="18"/>
                <w:szCs w:val="18"/>
              </w:rPr>
              <w:fldChar w:fldCharType="end"/>
            </w:r>
            <w:r w:rsidRPr="00B66840">
              <w:rPr>
                <w:rFonts w:ascii="Arial Narrow" w:eastAsia="Calibri" w:hAnsi="Arial Narrow"/>
                <w:sz w:val="18"/>
                <w:szCs w:val="18"/>
              </w:rPr>
              <w:t xml:space="preserve">Dental </w:t>
            </w:r>
            <w:r w:rsidRPr="005D74E5">
              <w:rPr>
                <w:rFonts w:ascii="Arial Narrow" w:eastAsia="Calibri" w:hAnsi="Arial Narrow"/>
                <w:sz w:val="18"/>
                <w:szCs w:val="18"/>
              </w:rPr>
              <w:fldChar w:fldCharType="begin">
                <w:ffData>
                  <w:name w:val=""/>
                  <w:enabled/>
                  <w:calcOnExit w:val="0"/>
                  <w:checkBox>
                    <w:sizeAuto/>
                    <w:default w:val="1"/>
                  </w:checkBox>
                </w:ffData>
              </w:fldChar>
            </w:r>
            <w:r w:rsidRPr="00B66840">
              <w:rPr>
                <w:rFonts w:ascii="Arial Narrow" w:eastAsia="Calibri" w:hAnsi="Arial Narrow"/>
                <w:sz w:val="18"/>
                <w:szCs w:val="18"/>
              </w:rPr>
              <w:instrText xml:space="preserve"> FORMCHECKBOX </w:instrText>
            </w:r>
            <w:r w:rsidR="009D06E4">
              <w:rPr>
                <w:rFonts w:ascii="Arial Narrow" w:eastAsia="Calibri" w:hAnsi="Arial Narrow"/>
                <w:sz w:val="18"/>
                <w:szCs w:val="18"/>
              </w:rPr>
            </w:r>
            <w:r w:rsidR="009D06E4">
              <w:rPr>
                <w:rFonts w:ascii="Arial Narrow" w:eastAsia="Calibri" w:hAnsi="Arial Narrow"/>
                <w:sz w:val="18"/>
                <w:szCs w:val="18"/>
              </w:rPr>
              <w:fldChar w:fldCharType="separate"/>
            </w:r>
            <w:r w:rsidRPr="005D74E5">
              <w:rPr>
                <w:rFonts w:ascii="Arial Narrow" w:eastAsia="Calibri" w:hAnsi="Arial Narrow"/>
                <w:sz w:val="18"/>
                <w:szCs w:val="18"/>
              </w:rPr>
              <w:fldChar w:fldCharType="end"/>
            </w:r>
            <w:r w:rsidRPr="00B66840">
              <w:rPr>
                <w:rFonts w:ascii="Arial Narrow" w:eastAsia="Calibri" w:hAnsi="Arial Narrow"/>
                <w:sz w:val="18"/>
                <w:szCs w:val="18"/>
              </w:rPr>
              <w:t xml:space="preserve">Medical Practitioners </w:t>
            </w:r>
            <w:r w:rsidRPr="005D74E5">
              <w:rPr>
                <w:rFonts w:ascii="Arial Narrow" w:eastAsia="Calibri" w:hAnsi="Arial Narrow"/>
                <w:sz w:val="18"/>
                <w:szCs w:val="18"/>
              </w:rPr>
              <w:fldChar w:fldCharType="begin">
                <w:ffData>
                  <w:name w:val="Check3"/>
                  <w:enabled/>
                  <w:calcOnExit w:val="0"/>
                  <w:checkBox>
                    <w:sizeAuto/>
                    <w:default w:val="0"/>
                  </w:checkBox>
                </w:ffData>
              </w:fldChar>
            </w:r>
            <w:r w:rsidRPr="00B66840">
              <w:rPr>
                <w:rFonts w:ascii="Arial Narrow" w:eastAsia="Calibri" w:hAnsi="Arial Narrow"/>
                <w:sz w:val="18"/>
                <w:szCs w:val="18"/>
              </w:rPr>
              <w:instrText xml:space="preserve"> FORMCHECKBOX </w:instrText>
            </w:r>
            <w:r w:rsidR="009D06E4">
              <w:rPr>
                <w:rFonts w:ascii="Arial Narrow" w:eastAsia="Calibri" w:hAnsi="Arial Narrow"/>
                <w:sz w:val="18"/>
                <w:szCs w:val="18"/>
              </w:rPr>
            </w:r>
            <w:r w:rsidR="009D06E4">
              <w:rPr>
                <w:rFonts w:ascii="Arial Narrow" w:eastAsia="Calibri" w:hAnsi="Arial Narrow"/>
                <w:sz w:val="18"/>
                <w:szCs w:val="18"/>
              </w:rPr>
              <w:fldChar w:fldCharType="separate"/>
            </w:r>
            <w:r w:rsidRPr="005D74E5">
              <w:rPr>
                <w:rFonts w:ascii="Arial Narrow" w:eastAsia="Calibri" w:hAnsi="Arial Narrow"/>
                <w:sz w:val="18"/>
                <w:szCs w:val="18"/>
              </w:rPr>
              <w:fldChar w:fldCharType="end"/>
            </w:r>
            <w:r w:rsidRPr="00B66840">
              <w:rPr>
                <w:rFonts w:ascii="Arial Narrow" w:eastAsia="Calibri" w:hAnsi="Arial Narrow"/>
                <w:sz w:val="18"/>
                <w:szCs w:val="18"/>
              </w:rPr>
              <w:t xml:space="preserve">Nurse practitioners </w:t>
            </w:r>
            <w:r w:rsidRPr="005D74E5">
              <w:rPr>
                <w:rFonts w:ascii="Arial Narrow" w:eastAsia="Calibri" w:hAnsi="Arial Narrow"/>
                <w:sz w:val="18"/>
                <w:szCs w:val="18"/>
              </w:rPr>
              <w:fldChar w:fldCharType="begin">
                <w:ffData>
                  <w:name w:val=""/>
                  <w:enabled/>
                  <w:calcOnExit w:val="0"/>
                  <w:checkBox>
                    <w:sizeAuto/>
                    <w:default w:val="0"/>
                  </w:checkBox>
                </w:ffData>
              </w:fldChar>
            </w:r>
            <w:r w:rsidRPr="00B66840">
              <w:rPr>
                <w:rFonts w:ascii="Arial Narrow" w:eastAsia="Calibri" w:hAnsi="Arial Narrow"/>
                <w:sz w:val="18"/>
                <w:szCs w:val="18"/>
              </w:rPr>
              <w:instrText xml:space="preserve"> FORMCHECKBOX </w:instrText>
            </w:r>
            <w:r w:rsidR="009D06E4">
              <w:rPr>
                <w:rFonts w:ascii="Arial Narrow" w:eastAsia="Calibri" w:hAnsi="Arial Narrow"/>
                <w:sz w:val="18"/>
                <w:szCs w:val="18"/>
              </w:rPr>
            </w:r>
            <w:r w:rsidR="009D06E4">
              <w:rPr>
                <w:rFonts w:ascii="Arial Narrow" w:eastAsia="Calibri" w:hAnsi="Arial Narrow"/>
                <w:sz w:val="18"/>
                <w:szCs w:val="18"/>
              </w:rPr>
              <w:fldChar w:fldCharType="separate"/>
            </w:r>
            <w:r w:rsidRPr="005D74E5">
              <w:rPr>
                <w:rFonts w:ascii="Arial Narrow" w:eastAsia="Calibri" w:hAnsi="Arial Narrow"/>
                <w:sz w:val="18"/>
                <w:szCs w:val="18"/>
              </w:rPr>
              <w:fldChar w:fldCharType="end"/>
            </w:r>
            <w:r w:rsidRPr="00B66840">
              <w:rPr>
                <w:rFonts w:ascii="Arial Narrow" w:eastAsia="Calibri" w:hAnsi="Arial Narrow"/>
                <w:sz w:val="18"/>
                <w:szCs w:val="18"/>
              </w:rPr>
              <w:t xml:space="preserve">Optometrists </w:t>
            </w:r>
            <w:r w:rsidRPr="005D74E5">
              <w:rPr>
                <w:rFonts w:ascii="Arial Narrow" w:eastAsia="Calibri" w:hAnsi="Arial Narrow"/>
                <w:sz w:val="18"/>
                <w:szCs w:val="18"/>
              </w:rPr>
              <w:fldChar w:fldCharType="begin">
                <w:ffData>
                  <w:name w:val="Check5"/>
                  <w:enabled/>
                  <w:calcOnExit w:val="0"/>
                  <w:checkBox>
                    <w:sizeAuto/>
                    <w:default w:val="0"/>
                  </w:checkBox>
                </w:ffData>
              </w:fldChar>
            </w:r>
            <w:r w:rsidRPr="00B66840">
              <w:rPr>
                <w:rFonts w:ascii="Arial Narrow" w:eastAsia="Calibri" w:hAnsi="Arial Narrow"/>
                <w:sz w:val="18"/>
                <w:szCs w:val="18"/>
              </w:rPr>
              <w:instrText xml:space="preserve"> FORMCHECKBOX </w:instrText>
            </w:r>
            <w:r w:rsidR="009D06E4">
              <w:rPr>
                <w:rFonts w:ascii="Arial Narrow" w:eastAsia="Calibri" w:hAnsi="Arial Narrow"/>
                <w:sz w:val="18"/>
                <w:szCs w:val="18"/>
              </w:rPr>
            </w:r>
            <w:r w:rsidR="009D06E4">
              <w:rPr>
                <w:rFonts w:ascii="Arial Narrow" w:eastAsia="Calibri" w:hAnsi="Arial Narrow"/>
                <w:sz w:val="18"/>
                <w:szCs w:val="18"/>
              </w:rPr>
              <w:fldChar w:fldCharType="separate"/>
            </w:r>
            <w:r w:rsidRPr="005D74E5">
              <w:rPr>
                <w:rFonts w:ascii="Arial Narrow" w:eastAsia="Calibri" w:hAnsi="Arial Narrow"/>
                <w:sz w:val="18"/>
                <w:szCs w:val="18"/>
              </w:rPr>
              <w:fldChar w:fldCharType="end"/>
            </w:r>
            <w:r w:rsidRPr="00B66840">
              <w:rPr>
                <w:rFonts w:ascii="Arial Narrow" w:eastAsia="Calibri" w:hAnsi="Arial Narrow"/>
                <w:sz w:val="18"/>
                <w:szCs w:val="18"/>
              </w:rPr>
              <w:t>Midwives</w:t>
            </w:r>
          </w:p>
        </w:tc>
      </w:tr>
      <w:tr w:rsidR="00CE6461" w:rsidRPr="00B66840" w:rsidTr="00CE6461">
        <w:tc>
          <w:tcPr>
            <w:tcW w:w="5000" w:type="pct"/>
            <w:tcBorders>
              <w:top w:val="single" w:sz="4" w:space="0" w:color="auto"/>
              <w:left w:val="single" w:sz="4" w:space="0" w:color="auto"/>
              <w:bottom w:val="single" w:sz="4" w:space="0" w:color="auto"/>
              <w:right w:val="single" w:sz="4" w:space="0" w:color="auto"/>
            </w:tcBorders>
          </w:tcPr>
          <w:p w:rsidR="00CE6461" w:rsidRPr="00CE6461" w:rsidRDefault="00CE6461" w:rsidP="00CE6461">
            <w:pPr>
              <w:pStyle w:val="TableText0"/>
              <w:keepLines/>
              <w:rPr>
                <w:rStyle w:val="Strong"/>
                <w:b w:val="0"/>
                <w:bCs w:val="0"/>
                <w:sz w:val="18"/>
                <w:szCs w:val="18"/>
              </w:rPr>
            </w:pPr>
            <w:r w:rsidRPr="00B66840">
              <w:rPr>
                <w:b/>
                <w:sz w:val="18"/>
                <w:szCs w:val="18"/>
              </w:rPr>
              <w:t>Restriction Level / Method:</w:t>
            </w:r>
            <w:r>
              <w:rPr>
                <w:b/>
                <w:sz w:val="18"/>
                <w:szCs w:val="18"/>
              </w:rPr>
              <w:t xml:space="preserve"> </w:t>
            </w:r>
            <w:r w:rsidRPr="005D74E5">
              <w:rPr>
                <w:sz w:val="18"/>
                <w:szCs w:val="18"/>
              </w:rPr>
              <w:fldChar w:fldCharType="begin">
                <w:ffData>
                  <w:name w:val=""/>
                  <w:enabled/>
                  <w:calcOnExit w:val="0"/>
                  <w:checkBox>
                    <w:sizeAuto/>
                    <w:default w:val="1"/>
                  </w:checkBox>
                </w:ffData>
              </w:fldChar>
            </w:r>
            <w:r w:rsidRPr="00B66840">
              <w:rPr>
                <w:sz w:val="18"/>
                <w:szCs w:val="18"/>
              </w:rPr>
              <w:instrText xml:space="preserve"> FORMCHECKBOX </w:instrText>
            </w:r>
            <w:r w:rsidR="009D06E4">
              <w:rPr>
                <w:sz w:val="18"/>
                <w:szCs w:val="18"/>
              </w:rPr>
            </w:r>
            <w:r w:rsidR="009D06E4">
              <w:rPr>
                <w:sz w:val="18"/>
                <w:szCs w:val="18"/>
              </w:rPr>
              <w:fldChar w:fldCharType="separate"/>
            </w:r>
            <w:r w:rsidRPr="005D74E5">
              <w:rPr>
                <w:sz w:val="18"/>
                <w:szCs w:val="18"/>
              </w:rPr>
              <w:fldChar w:fldCharType="end"/>
            </w:r>
            <w:r w:rsidRPr="00CE6461">
              <w:rPr>
                <w:sz w:val="18"/>
                <w:szCs w:val="18"/>
              </w:rPr>
              <w:t>Authority Required – Telephone/Emergency/Electronic</w:t>
            </w:r>
          </w:p>
        </w:tc>
      </w:tr>
      <w:tr w:rsidR="00CE6461" w:rsidRPr="00B66840" w:rsidTr="00CE6461">
        <w:trPr>
          <w:trHeight w:val="1153"/>
        </w:trPr>
        <w:tc>
          <w:tcPr>
            <w:tcW w:w="5000" w:type="pct"/>
            <w:tcBorders>
              <w:bottom w:val="single" w:sz="4" w:space="0" w:color="auto"/>
            </w:tcBorders>
            <w:vAlign w:val="center"/>
          </w:tcPr>
          <w:p w:rsidR="00CE6461" w:rsidRDefault="00CE6461" w:rsidP="00453B64">
            <w:pPr>
              <w:pStyle w:val="NormalWeb"/>
              <w:spacing w:before="0" w:beforeAutospacing="0" w:after="0" w:afterAutospacing="0"/>
              <w:rPr>
                <w:rFonts w:ascii="Arial Narrow" w:hAnsi="Arial Narrow"/>
                <w:color w:val="333333"/>
                <w:sz w:val="18"/>
                <w:szCs w:val="18"/>
              </w:rPr>
            </w:pPr>
            <w:r w:rsidRPr="00B66840">
              <w:rPr>
                <w:rStyle w:val="Strong"/>
                <w:rFonts w:ascii="Arial Narrow" w:hAnsi="Arial Narrow"/>
                <w:color w:val="333333"/>
                <w:sz w:val="18"/>
                <w:szCs w:val="18"/>
              </w:rPr>
              <w:t>Administrative Advice:</w:t>
            </w:r>
            <w:r w:rsidRPr="00B66840">
              <w:rPr>
                <w:rFonts w:ascii="Arial Narrow" w:hAnsi="Arial Narrow"/>
                <w:color w:val="333333"/>
                <w:sz w:val="18"/>
                <w:szCs w:val="18"/>
              </w:rPr>
              <w:t xml:space="preserve"> </w:t>
            </w:r>
          </w:p>
          <w:p w:rsidR="00CE6461" w:rsidRPr="00B66840" w:rsidRDefault="00CE6461" w:rsidP="00453B64">
            <w:pPr>
              <w:pStyle w:val="NormalWeb"/>
              <w:spacing w:before="0" w:beforeAutospacing="0" w:after="0" w:afterAutospacing="0"/>
              <w:rPr>
                <w:rStyle w:val="Strong"/>
                <w:rFonts w:ascii="Arial Narrow" w:hAnsi="Arial Narrow"/>
                <w:color w:val="333333"/>
                <w:sz w:val="18"/>
                <w:szCs w:val="18"/>
              </w:rPr>
            </w:pPr>
            <w:r w:rsidRPr="00B66840">
              <w:rPr>
                <w:rFonts w:ascii="Arial Narrow" w:hAnsi="Arial Narrow"/>
                <w:color w:val="333333"/>
                <w:sz w:val="18"/>
                <w:szCs w:val="18"/>
              </w:rPr>
              <w:t>No increase in the maximum amount or number of units may be authorised.</w:t>
            </w:r>
          </w:p>
          <w:p w:rsidR="00CE6461" w:rsidRPr="00B66840" w:rsidRDefault="00CE6461" w:rsidP="00453B64">
            <w:pPr>
              <w:pStyle w:val="NormalWeb"/>
              <w:spacing w:before="0" w:beforeAutospacing="0" w:after="0" w:afterAutospacing="0"/>
              <w:rPr>
                <w:rStyle w:val="Strong"/>
                <w:rFonts w:ascii="Arial Narrow" w:hAnsi="Arial Narrow"/>
                <w:color w:val="333333"/>
                <w:sz w:val="18"/>
                <w:szCs w:val="18"/>
              </w:rPr>
            </w:pPr>
            <w:r w:rsidRPr="00B66840">
              <w:rPr>
                <w:rFonts w:ascii="Arial Narrow" w:hAnsi="Arial Narrow"/>
                <w:color w:val="333333"/>
                <w:sz w:val="18"/>
                <w:szCs w:val="18"/>
              </w:rPr>
              <w:t>No increase in the maximum number of repeats may be authorised.</w:t>
            </w:r>
          </w:p>
          <w:p w:rsidR="00CE6461" w:rsidRDefault="00CE6461" w:rsidP="00453B64">
            <w:pPr>
              <w:pStyle w:val="NormalWeb"/>
              <w:spacing w:before="0" w:beforeAutospacing="0" w:after="0" w:afterAutospacing="0"/>
              <w:rPr>
                <w:rStyle w:val="Strong"/>
                <w:rFonts w:ascii="Arial Narrow" w:hAnsi="Arial Narrow"/>
                <w:color w:val="333333"/>
                <w:sz w:val="18"/>
                <w:szCs w:val="18"/>
              </w:rPr>
            </w:pPr>
            <w:r w:rsidRPr="00B66840">
              <w:rPr>
                <w:rFonts w:ascii="Arial Narrow" w:hAnsi="Arial Narrow"/>
                <w:color w:val="333333"/>
                <w:sz w:val="18"/>
                <w:szCs w:val="18"/>
              </w:rPr>
              <w:t>Special Pricing Arrangements apply.</w:t>
            </w:r>
          </w:p>
          <w:p w:rsidR="00CE6461" w:rsidRPr="00B66840" w:rsidRDefault="00CE6461" w:rsidP="00453B64">
            <w:pPr>
              <w:pStyle w:val="NormalWeb"/>
              <w:spacing w:before="0" w:beforeAutospacing="0" w:after="0" w:afterAutospacing="0"/>
              <w:rPr>
                <w:rStyle w:val="Strong"/>
                <w:rFonts w:ascii="Arial Narrow" w:hAnsi="Arial Narrow"/>
                <w:color w:val="333333"/>
                <w:sz w:val="18"/>
                <w:szCs w:val="18"/>
              </w:rPr>
            </w:pPr>
            <w:r w:rsidRPr="00B66840">
              <w:rPr>
                <w:rFonts w:ascii="Arial Narrow" w:hAnsi="Arial Narrow"/>
                <w:sz w:val="18"/>
                <w:szCs w:val="18"/>
              </w:rPr>
              <w:t>Patient should be treated with the recommended dose of pembrolizumab according to the TGA-approved Product Information.</w:t>
            </w:r>
          </w:p>
        </w:tc>
      </w:tr>
      <w:tr w:rsidR="00CE6461" w:rsidRPr="00B66840" w:rsidTr="00CE6461">
        <w:tc>
          <w:tcPr>
            <w:tcW w:w="5000" w:type="pct"/>
            <w:tcBorders>
              <w:bottom w:val="nil"/>
            </w:tcBorders>
            <w:vAlign w:val="center"/>
            <w:hideMark/>
          </w:tcPr>
          <w:p w:rsidR="00CE6461" w:rsidRPr="00B66840" w:rsidRDefault="00CE6461" w:rsidP="00453B64">
            <w:pPr>
              <w:pStyle w:val="NormalWeb"/>
              <w:spacing w:before="0" w:beforeAutospacing="0" w:after="0" w:afterAutospacing="0"/>
              <w:rPr>
                <w:rFonts w:ascii="Arial Narrow" w:hAnsi="Arial Narrow"/>
                <w:color w:val="333333"/>
                <w:sz w:val="18"/>
                <w:szCs w:val="18"/>
              </w:rPr>
            </w:pPr>
            <w:r w:rsidRPr="00B66840">
              <w:rPr>
                <w:rStyle w:val="Strong"/>
                <w:rFonts w:ascii="Arial Narrow" w:hAnsi="Arial Narrow"/>
                <w:color w:val="333333"/>
                <w:sz w:val="18"/>
                <w:szCs w:val="18"/>
              </w:rPr>
              <w:t>Indication:</w:t>
            </w:r>
            <w:r w:rsidRPr="00B66840">
              <w:rPr>
                <w:rFonts w:ascii="Arial Narrow" w:hAnsi="Arial Narrow"/>
                <w:color w:val="333333"/>
                <w:sz w:val="18"/>
                <w:szCs w:val="18"/>
              </w:rPr>
              <w:t xml:space="preserve"> Resected Stage IIIB, IIIC or IIID malignant melanoma</w:t>
            </w:r>
          </w:p>
        </w:tc>
      </w:tr>
      <w:tr w:rsidR="00CE6461" w:rsidRPr="00B66840" w:rsidTr="00CE6461">
        <w:trPr>
          <w:trHeight w:val="49"/>
        </w:trPr>
        <w:tc>
          <w:tcPr>
            <w:tcW w:w="5000" w:type="pct"/>
            <w:tcBorders>
              <w:top w:val="nil"/>
              <w:bottom w:val="nil"/>
            </w:tcBorders>
            <w:vAlign w:val="center"/>
            <w:hideMark/>
          </w:tcPr>
          <w:p w:rsidR="00CE6461" w:rsidRPr="00B66840" w:rsidRDefault="00CE6461" w:rsidP="00453B64">
            <w:pPr>
              <w:pStyle w:val="NormalWeb"/>
              <w:spacing w:before="0" w:beforeAutospacing="0" w:after="0" w:afterAutospacing="0"/>
              <w:rPr>
                <w:rFonts w:ascii="Arial Narrow" w:hAnsi="Arial Narrow"/>
                <w:color w:val="333333"/>
                <w:sz w:val="18"/>
                <w:szCs w:val="18"/>
              </w:rPr>
            </w:pPr>
            <w:r w:rsidRPr="00B66840">
              <w:rPr>
                <w:rStyle w:val="Strong"/>
                <w:rFonts w:ascii="Arial Narrow" w:hAnsi="Arial Narrow"/>
                <w:color w:val="333333"/>
                <w:sz w:val="18"/>
                <w:szCs w:val="18"/>
              </w:rPr>
              <w:t xml:space="preserve">Treatment Phase: </w:t>
            </w:r>
            <w:r w:rsidRPr="00B66840">
              <w:rPr>
                <w:rFonts w:ascii="Arial Narrow" w:hAnsi="Arial Narrow"/>
                <w:color w:val="333333"/>
                <w:sz w:val="18"/>
                <w:szCs w:val="18"/>
              </w:rPr>
              <w:t>Continuing treatment – 6 weekly treatment regimen</w:t>
            </w:r>
          </w:p>
        </w:tc>
      </w:tr>
      <w:tr w:rsidR="00CE6461" w:rsidRPr="00B66840" w:rsidTr="00CE6461">
        <w:tc>
          <w:tcPr>
            <w:tcW w:w="5000" w:type="pct"/>
            <w:tcBorders>
              <w:top w:val="nil"/>
              <w:bottom w:val="nil"/>
            </w:tcBorders>
            <w:vAlign w:val="center"/>
            <w:hideMark/>
          </w:tcPr>
          <w:p w:rsidR="00CE6461" w:rsidRPr="00B66840" w:rsidRDefault="00CE6461" w:rsidP="00453B64">
            <w:pPr>
              <w:pStyle w:val="NormalWeb"/>
              <w:spacing w:before="0" w:beforeAutospacing="0" w:after="0" w:afterAutospacing="0"/>
              <w:rPr>
                <w:rFonts w:ascii="Arial Narrow" w:hAnsi="Arial Narrow"/>
                <w:color w:val="333333"/>
                <w:sz w:val="18"/>
                <w:szCs w:val="18"/>
              </w:rPr>
            </w:pPr>
            <w:r w:rsidRPr="00B66840">
              <w:rPr>
                <w:rStyle w:val="Strong"/>
                <w:rFonts w:ascii="Arial Narrow" w:hAnsi="Arial Narrow"/>
                <w:color w:val="333333"/>
                <w:sz w:val="18"/>
                <w:szCs w:val="18"/>
              </w:rPr>
              <w:t>Clinical criteria:</w:t>
            </w:r>
          </w:p>
        </w:tc>
      </w:tr>
      <w:tr w:rsidR="00CE6461" w:rsidRPr="00B66840" w:rsidTr="00CE6461">
        <w:trPr>
          <w:trHeight w:val="49"/>
        </w:trPr>
        <w:tc>
          <w:tcPr>
            <w:tcW w:w="5000" w:type="pct"/>
            <w:tcBorders>
              <w:top w:val="nil"/>
              <w:bottom w:val="nil"/>
            </w:tcBorders>
            <w:vAlign w:val="center"/>
            <w:hideMark/>
          </w:tcPr>
          <w:p w:rsidR="00CE6461" w:rsidRPr="00B66840" w:rsidRDefault="00CE6461" w:rsidP="00453B64">
            <w:pPr>
              <w:rPr>
                <w:rFonts w:ascii="Arial Narrow" w:hAnsi="Arial Narrow"/>
                <w:color w:val="333333"/>
                <w:sz w:val="18"/>
                <w:szCs w:val="18"/>
              </w:rPr>
            </w:pPr>
            <w:r w:rsidRPr="00B66840">
              <w:rPr>
                <w:rFonts w:ascii="Arial Narrow" w:hAnsi="Arial Narrow"/>
                <w:color w:val="333333"/>
                <w:sz w:val="18"/>
                <w:szCs w:val="18"/>
              </w:rPr>
              <w:t>Patient must have previously been issued with an authority prescription for this drug for adjuvant treatment following complete surgical resection</w:t>
            </w:r>
          </w:p>
        </w:tc>
      </w:tr>
      <w:tr w:rsidR="00CE6461" w:rsidRPr="00B66840" w:rsidTr="00CE6461">
        <w:tc>
          <w:tcPr>
            <w:tcW w:w="5000" w:type="pct"/>
            <w:tcBorders>
              <w:top w:val="nil"/>
              <w:bottom w:val="nil"/>
            </w:tcBorders>
            <w:vAlign w:val="center"/>
            <w:hideMark/>
          </w:tcPr>
          <w:p w:rsidR="00CE6461" w:rsidRPr="00B66840" w:rsidRDefault="00CE6461" w:rsidP="00453B64">
            <w:pPr>
              <w:rPr>
                <w:rFonts w:ascii="Arial Narrow" w:hAnsi="Arial Narrow"/>
                <w:color w:val="333333"/>
                <w:sz w:val="18"/>
                <w:szCs w:val="18"/>
              </w:rPr>
            </w:pPr>
            <w:r w:rsidRPr="00B66840">
              <w:rPr>
                <w:rStyle w:val="Strong"/>
                <w:rFonts w:ascii="Arial Narrow" w:hAnsi="Arial Narrow"/>
                <w:color w:val="333333"/>
                <w:sz w:val="18"/>
                <w:szCs w:val="18"/>
              </w:rPr>
              <w:t>AND</w:t>
            </w:r>
          </w:p>
        </w:tc>
      </w:tr>
      <w:tr w:rsidR="00CE6461" w:rsidRPr="00B66840" w:rsidTr="00CE6461">
        <w:tc>
          <w:tcPr>
            <w:tcW w:w="5000" w:type="pct"/>
            <w:tcBorders>
              <w:top w:val="nil"/>
              <w:bottom w:val="nil"/>
            </w:tcBorders>
            <w:vAlign w:val="center"/>
            <w:hideMark/>
          </w:tcPr>
          <w:p w:rsidR="00CE6461" w:rsidRPr="00B66840" w:rsidRDefault="00CE6461" w:rsidP="00453B64">
            <w:pPr>
              <w:rPr>
                <w:rFonts w:ascii="Arial Narrow" w:hAnsi="Arial Narrow"/>
                <w:color w:val="333333"/>
                <w:sz w:val="18"/>
                <w:szCs w:val="18"/>
              </w:rPr>
            </w:pPr>
            <w:r w:rsidRPr="00B66840">
              <w:rPr>
                <w:rFonts w:ascii="Arial Narrow" w:hAnsi="Arial Narrow"/>
                <w:color w:val="333333"/>
                <w:sz w:val="18"/>
                <w:szCs w:val="18"/>
              </w:rPr>
              <w:t>Patient must not have experienced disease recurrence</w:t>
            </w:r>
          </w:p>
        </w:tc>
      </w:tr>
      <w:tr w:rsidR="00CE6461" w:rsidRPr="00B66840" w:rsidTr="00CE6461">
        <w:tc>
          <w:tcPr>
            <w:tcW w:w="5000" w:type="pct"/>
            <w:tcBorders>
              <w:top w:val="nil"/>
              <w:bottom w:val="nil"/>
            </w:tcBorders>
            <w:vAlign w:val="center"/>
            <w:hideMark/>
          </w:tcPr>
          <w:p w:rsidR="00CE6461" w:rsidRPr="00B66840" w:rsidRDefault="00CE6461" w:rsidP="00453B64">
            <w:pPr>
              <w:rPr>
                <w:rFonts w:ascii="Arial Narrow" w:hAnsi="Arial Narrow"/>
                <w:color w:val="333333"/>
                <w:sz w:val="18"/>
                <w:szCs w:val="18"/>
              </w:rPr>
            </w:pPr>
            <w:r w:rsidRPr="00B66840">
              <w:rPr>
                <w:rStyle w:val="Strong"/>
                <w:rFonts w:ascii="Arial Narrow" w:hAnsi="Arial Narrow"/>
                <w:color w:val="333333"/>
                <w:sz w:val="18"/>
                <w:szCs w:val="18"/>
              </w:rPr>
              <w:t>AND</w:t>
            </w:r>
          </w:p>
        </w:tc>
      </w:tr>
      <w:tr w:rsidR="00CE6461" w:rsidRPr="00B66840" w:rsidTr="00CE6461">
        <w:tc>
          <w:tcPr>
            <w:tcW w:w="5000" w:type="pct"/>
            <w:tcBorders>
              <w:top w:val="nil"/>
              <w:bottom w:val="nil"/>
            </w:tcBorders>
            <w:vAlign w:val="center"/>
            <w:hideMark/>
          </w:tcPr>
          <w:p w:rsidR="00CE6461" w:rsidRPr="00B66840" w:rsidRDefault="00CE6461" w:rsidP="00453B64">
            <w:pPr>
              <w:rPr>
                <w:rFonts w:ascii="Arial Narrow" w:hAnsi="Arial Narrow"/>
                <w:color w:val="333333"/>
                <w:sz w:val="18"/>
                <w:szCs w:val="18"/>
              </w:rPr>
            </w:pPr>
            <w:r w:rsidRPr="00B66840">
              <w:rPr>
                <w:rFonts w:ascii="Arial Narrow" w:hAnsi="Arial Narrow"/>
                <w:color w:val="333333"/>
                <w:sz w:val="18"/>
                <w:szCs w:val="18"/>
              </w:rPr>
              <w:t>The treatment must be the sole PBS-subsidised therapy for this condition</w:t>
            </w:r>
          </w:p>
        </w:tc>
      </w:tr>
      <w:tr w:rsidR="00CE6461" w:rsidRPr="00B66840" w:rsidTr="00CE6461">
        <w:tc>
          <w:tcPr>
            <w:tcW w:w="5000" w:type="pct"/>
            <w:tcBorders>
              <w:top w:val="nil"/>
              <w:bottom w:val="nil"/>
            </w:tcBorders>
            <w:vAlign w:val="center"/>
            <w:hideMark/>
          </w:tcPr>
          <w:p w:rsidR="00CE6461" w:rsidRPr="00B66840" w:rsidRDefault="00CE6461" w:rsidP="00453B64">
            <w:pPr>
              <w:rPr>
                <w:rFonts w:ascii="Arial Narrow" w:hAnsi="Arial Narrow"/>
                <w:color w:val="333333"/>
                <w:sz w:val="18"/>
                <w:szCs w:val="18"/>
              </w:rPr>
            </w:pPr>
            <w:r w:rsidRPr="00B66840">
              <w:rPr>
                <w:rStyle w:val="Strong"/>
                <w:rFonts w:ascii="Arial Narrow" w:hAnsi="Arial Narrow"/>
                <w:color w:val="333333"/>
                <w:sz w:val="18"/>
                <w:szCs w:val="18"/>
              </w:rPr>
              <w:t>AND</w:t>
            </w:r>
          </w:p>
        </w:tc>
      </w:tr>
      <w:tr w:rsidR="00CE6461" w:rsidRPr="00B66840" w:rsidTr="00CE6461">
        <w:tc>
          <w:tcPr>
            <w:tcW w:w="5000" w:type="pct"/>
            <w:tcBorders>
              <w:top w:val="nil"/>
            </w:tcBorders>
            <w:vAlign w:val="center"/>
            <w:hideMark/>
          </w:tcPr>
          <w:p w:rsidR="00CE6461" w:rsidRPr="00B66840" w:rsidRDefault="00CE6461" w:rsidP="00453B64">
            <w:pPr>
              <w:rPr>
                <w:rFonts w:ascii="Arial Narrow" w:hAnsi="Arial Narrow"/>
                <w:color w:val="333333"/>
                <w:sz w:val="18"/>
                <w:szCs w:val="18"/>
              </w:rPr>
            </w:pPr>
            <w:r w:rsidRPr="00B66840">
              <w:rPr>
                <w:rFonts w:ascii="Arial Narrow" w:hAnsi="Arial Narrow"/>
                <w:color w:val="333333"/>
                <w:sz w:val="18"/>
                <w:szCs w:val="18"/>
              </w:rPr>
              <w:t>Patient must not receive more than 12 months of combined PBS-subsidised and non-PBS-subsidised adjuvant therapy</w:t>
            </w:r>
          </w:p>
        </w:tc>
      </w:tr>
    </w:tbl>
    <w:p w:rsidR="00453B64" w:rsidRPr="00B66840" w:rsidRDefault="00453B64" w:rsidP="00453B64">
      <w:pPr>
        <w:pStyle w:val="Tabletitles"/>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926"/>
      </w:tblGrid>
      <w:tr w:rsidR="00CE6461" w:rsidRPr="00B66840" w:rsidTr="00CE6461">
        <w:trPr>
          <w:trHeight w:val="272"/>
        </w:trPr>
        <w:tc>
          <w:tcPr>
            <w:tcW w:w="5000" w:type="pct"/>
            <w:tcBorders>
              <w:top w:val="single" w:sz="4" w:space="0" w:color="auto"/>
              <w:left w:val="single" w:sz="4" w:space="0" w:color="auto"/>
              <w:bottom w:val="single" w:sz="4" w:space="0" w:color="auto"/>
              <w:right w:val="single" w:sz="4" w:space="0" w:color="auto"/>
            </w:tcBorders>
          </w:tcPr>
          <w:p w:rsidR="00CE6461" w:rsidRPr="00B66840" w:rsidRDefault="00CE6461" w:rsidP="00453B64">
            <w:pPr>
              <w:pStyle w:val="NormalWeb"/>
              <w:spacing w:before="0" w:beforeAutospacing="0" w:after="0" w:afterAutospacing="0"/>
              <w:rPr>
                <w:rStyle w:val="Strong"/>
                <w:rFonts w:ascii="Arial Narrow" w:hAnsi="Arial Narrow"/>
                <w:color w:val="333333"/>
                <w:sz w:val="18"/>
                <w:szCs w:val="18"/>
              </w:rPr>
            </w:pPr>
            <w:r w:rsidRPr="00666004">
              <w:rPr>
                <w:rFonts w:ascii="Arial Narrow" w:eastAsia="Calibri" w:hAnsi="Arial Narrow"/>
                <w:b/>
                <w:sz w:val="18"/>
                <w:szCs w:val="18"/>
              </w:rPr>
              <w:t>Category/Program:</w:t>
            </w:r>
            <w:r w:rsidRPr="00B66840">
              <w:rPr>
                <w:rFonts w:ascii="Arial Narrow" w:eastAsia="Calibri" w:hAnsi="Arial Narrow"/>
                <w:sz w:val="18"/>
                <w:szCs w:val="18"/>
              </w:rPr>
              <w:t xml:space="preserve"> Section 100 Efficient Funding of Chemotherapy</w:t>
            </w:r>
          </w:p>
        </w:tc>
      </w:tr>
      <w:tr w:rsidR="00CE6461" w:rsidRPr="00B66840" w:rsidTr="00CE6461">
        <w:tc>
          <w:tcPr>
            <w:tcW w:w="5000" w:type="pct"/>
            <w:tcBorders>
              <w:top w:val="single" w:sz="4" w:space="0" w:color="auto"/>
              <w:left w:val="single" w:sz="4" w:space="0" w:color="auto"/>
              <w:bottom w:val="single" w:sz="4" w:space="0" w:color="auto"/>
              <w:right w:val="single" w:sz="4" w:space="0" w:color="auto"/>
            </w:tcBorders>
          </w:tcPr>
          <w:p w:rsidR="00CE6461" w:rsidRPr="00B66840" w:rsidRDefault="00CE6461" w:rsidP="00453B64">
            <w:pPr>
              <w:pStyle w:val="NormalWeb"/>
              <w:spacing w:before="0" w:beforeAutospacing="0" w:after="0" w:afterAutospacing="0"/>
              <w:rPr>
                <w:rStyle w:val="Strong"/>
                <w:rFonts w:ascii="Arial Narrow" w:hAnsi="Arial Narrow"/>
                <w:color w:val="333333"/>
                <w:sz w:val="18"/>
                <w:szCs w:val="18"/>
              </w:rPr>
            </w:pPr>
            <w:r w:rsidRPr="00B66840">
              <w:rPr>
                <w:rFonts w:ascii="Arial Narrow" w:eastAsia="Calibri" w:hAnsi="Arial Narrow"/>
                <w:b/>
                <w:sz w:val="18"/>
                <w:szCs w:val="18"/>
              </w:rPr>
              <w:t>Prescriber type:</w:t>
            </w:r>
            <w:r w:rsidRPr="00B66840">
              <w:rPr>
                <w:rFonts w:ascii="Arial Narrow" w:eastAsia="Calibri" w:hAnsi="Arial Narrow"/>
                <w:sz w:val="18"/>
                <w:szCs w:val="18"/>
              </w:rPr>
              <w:t xml:space="preserve">  </w:t>
            </w:r>
            <w:r w:rsidRPr="005D74E5">
              <w:rPr>
                <w:rFonts w:ascii="Arial Narrow" w:eastAsia="Calibri" w:hAnsi="Arial Narrow"/>
                <w:sz w:val="18"/>
                <w:szCs w:val="18"/>
              </w:rPr>
              <w:fldChar w:fldCharType="begin">
                <w:ffData>
                  <w:name w:val="Check1"/>
                  <w:enabled/>
                  <w:calcOnExit w:val="0"/>
                  <w:checkBox>
                    <w:sizeAuto/>
                    <w:default w:val="0"/>
                  </w:checkBox>
                </w:ffData>
              </w:fldChar>
            </w:r>
            <w:r w:rsidRPr="00B66840">
              <w:rPr>
                <w:rFonts w:ascii="Arial Narrow" w:eastAsia="Calibri" w:hAnsi="Arial Narrow"/>
                <w:sz w:val="18"/>
                <w:szCs w:val="18"/>
              </w:rPr>
              <w:instrText xml:space="preserve"> FORMCHECKBOX </w:instrText>
            </w:r>
            <w:r w:rsidR="009D06E4">
              <w:rPr>
                <w:rFonts w:ascii="Arial Narrow" w:eastAsia="Calibri" w:hAnsi="Arial Narrow"/>
                <w:sz w:val="18"/>
                <w:szCs w:val="18"/>
              </w:rPr>
            </w:r>
            <w:r w:rsidR="009D06E4">
              <w:rPr>
                <w:rFonts w:ascii="Arial Narrow" w:eastAsia="Calibri" w:hAnsi="Arial Narrow"/>
                <w:sz w:val="18"/>
                <w:szCs w:val="18"/>
              </w:rPr>
              <w:fldChar w:fldCharType="separate"/>
            </w:r>
            <w:r w:rsidRPr="005D74E5">
              <w:rPr>
                <w:rFonts w:ascii="Arial Narrow" w:eastAsia="Calibri" w:hAnsi="Arial Narrow"/>
                <w:sz w:val="18"/>
                <w:szCs w:val="18"/>
              </w:rPr>
              <w:fldChar w:fldCharType="end"/>
            </w:r>
            <w:r w:rsidRPr="00B66840">
              <w:rPr>
                <w:rFonts w:ascii="Arial Narrow" w:eastAsia="Calibri" w:hAnsi="Arial Narrow"/>
                <w:sz w:val="18"/>
                <w:szCs w:val="18"/>
              </w:rPr>
              <w:t xml:space="preserve">Dental </w:t>
            </w:r>
            <w:r w:rsidRPr="005D74E5">
              <w:rPr>
                <w:rFonts w:ascii="Arial Narrow" w:eastAsia="Calibri" w:hAnsi="Arial Narrow"/>
                <w:sz w:val="18"/>
                <w:szCs w:val="18"/>
              </w:rPr>
              <w:fldChar w:fldCharType="begin">
                <w:ffData>
                  <w:name w:val=""/>
                  <w:enabled/>
                  <w:calcOnExit w:val="0"/>
                  <w:checkBox>
                    <w:sizeAuto/>
                    <w:default w:val="1"/>
                  </w:checkBox>
                </w:ffData>
              </w:fldChar>
            </w:r>
            <w:r w:rsidRPr="00B66840">
              <w:rPr>
                <w:rFonts w:ascii="Arial Narrow" w:eastAsia="Calibri" w:hAnsi="Arial Narrow"/>
                <w:sz w:val="18"/>
                <w:szCs w:val="18"/>
              </w:rPr>
              <w:instrText xml:space="preserve"> FORMCHECKBOX </w:instrText>
            </w:r>
            <w:r w:rsidR="009D06E4">
              <w:rPr>
                <w:rFonts w:ascii="Arial Narrow" w:eastAsia="Calibri" w:hAnsi="Arial Narrow"/>
                <w:sz w:val="18"/>
                <w:szCs w:val="18"/>
              </w:rPr>
            </w:r>
            <w:r w:rsidR="009D06E4">
              <w:rPr>
                <w:rFonts w:ascii="Arial Narrow" w:eastAsia="Calibri" w:hAnsi="Arial Narrow"/>
                <w:sz w:val="18"/>
                <w:szCs w:val="18"/>
              </w:rPr>
              <w:fldChar w:fldCharType="separate"/>
            </w:r>
            <w:r w:rsidRPr="005D74E5">
              <w:rPr>
                <w:rFonts w:ascii="Arial Narrow" w:eastAsia="Calibri" w:hAnsi="Arial Narrow"/>
                <w:sz w:val="18"/>
                <w:szCs w:val="18"/>
              </w:rPr>
              <w:fldChar w:fldCharType="end"/>
            </w:r>
            <w:r w:rsidRPr="00B66840">
              <w:rPr>
                <w:rFonts w:ascii="Arial Narrow" w:eastAsia="Calibri" w:hAnsi="Arial Narrow"/>
                <w:sz w:val="18"/>
                <w:szCs w:val="18"/>
              </w:rPr>
              <w:t xml:space="preserve">Medical Practitioners </w:t>
            </w:r>
            <w:r w:rsidRPr="005D74E5">
              <w:rPr>
                <w:rFonts w:ascii="Arial Narrow" w:eastAsia="Calibri" w:hAnsi="Arial Narrow"/>
                <w:sz w:val="18"/>
                <w:szCs w:val="18"/>
              </w:rPr>
              <w:fldChar w:fldCharType="begin">
                <w:ffData>
                  <w:name w:val="Check3"/>
                  <w:enabled/>
                  <w:calcOnExit w:val="0"/>
                  <w:checkBox>
                    <w:sizeAuto/>
                    <w:default w:val="0"/>
                  </w:checkBox>
                </w:ffData>
              </w:fldChar>
            </w:r>
            <w:r w:rsidRPr="00B66840">
              <w:rPr>
                <w:rFonts w:ascii="Arial Narrow" w:eastAsia="Calibri" w:hAnsi="Arial Narrow"/>
                <w:sz w:val="18"/>
                <w:szCs w:val="18"/>
              </w:rPr>
              <w:instrText xml:space="preserve"> FORMCHECKBOX </w:instrText>
            </w:r>
            <w:r w:rsidR="009D06E4">
              <w:rPr>
                <w:rFonts w:ascii="Arial Narrow" w:eastAsia="Calibri" w:hAnsi="Arial Narrow"/>
                <w:sz w:val="18"/>
                <w:szCs w:val="18"/>
              </w:rPr>
            </w:r>
            <w:r w:rsidR="009D06E4">
              <w:rPr>
                <w:rFonts w:ascii="Arial Narrow" w:eastAsia="Calibri" w:hAnsi="Arial Narrow"/>
                <w:sz w:val="18"/>
                <w:szCs w:val="18"/>
              </w:rPr>
              <w:fldChar w:fldCharType="separate"/>
            </w:r>
            <w:r w:rsidRPr="005D74E5">
              <w:rPr>
                <w:rFonts w:ascii="Arial Narrow" w:eastAsia="Calibri" w:hAnsi="Arial Narrow"/>
                <w:sz w:val="18"/>
                <w:szCs w:val="18"/>
              </w:rPr>
              <w:fldChar w:fldCharType="end"/>
            </w:r>
            <w:r w:rsidRPr="00B66840">
              <w:rPr>
                <w:rFonts w:ascii="Arial Narrow" w:eastAsia="Calibri" w:hAnsi="Arial Narrow"/>
                <w:sz w:val="18"/>
                <w:szCs w:val="18"/>
              </w:rPr>
              <w:t xml:space="preserve">Nurse practitioners </w:t>
            </w:r>
            <w:r w:rsidRPr="005D74E5">
              <w:rPr>
                <w:rFonts w:ascii="Arial Narrow" w:eastAsia="Calibri" w:hAnsi="Arial Narrow"/>
                <w:sz w:val="18"/>
                <w:szCs w:val="18"/>
              </w:rPr>
              <w:fldChar w:fldCharType="begin">
                <w:ffData>
                  <w:name w:val=""/>
                  <w:enabled/>
                  <w:calcOnExit w:val="0"/>
                  <w:checkBox>
                    <w:sizeAuto/>
                    <w:default w:val="0"/>
                  </w:checkBox>
                </w:ffData>
              </w:fldChar>
            </w:r>
            <w:r w:rsidRPr="00B66840">
              <w:rPr>
                <w:rFonts w:ascii="Arial Narrow" w:eastAsia="Calibri" w:hAnsi="Arial Narrow"/>
                <w:sz w:val="18"/>
                <w:szCs w:val="18"/>
              </w:rPr>
              <w:instrText xml:space="preserve"> FORMCHECKBOX </w:instrText>
            </w:r>
            <w:r w:rsidR="009D06E4">
              <w:rPr>
                <w:rFonts w:ascii="Arial Narrow" w:eastAsia="Calibri" w:hAnsi="Arial Narrow"/>
                <w:sz w:val="18"/>
                <w:szCs w:val="18"/>
              </w:rPr>
            </w:r>
            <w:r w:rsidR="009D06E4">
              <w:rPr>
                <w:rFonts w:ascii="Arial Narrow" w:eastAsia="Calibri" w:hAnsi="Arial Narrow"/>
                <w:sz w:val="18"/>
                <w:szCs w:val="18"/>
              </w:rPr>
              <w:fldChar w:fldCharType="separate"/>
            </w:r>
            <w:r w:rsidRPr="005D74E5">
              <w:rPr>
                <w:rFonts w:ascii="Arial Narrow" w:eastAsia="Calibri" w:hAnsi="Arial Narrow"/>
                <w:sz w:val="18"/>
                <w:szCs w:val="18"/>
              </w:rPr>
              <w:fldChar w:fldCharType="end"/>
            </w:r>
            <w:r w:rsidRPr="00B66840">
              <w:rPr>
                <w:rFonts w:ascii="Arial Narrow" w:eastAsia="Calibri" w:hAnsi="Arial Narrow"/>
                <w:sz w:val="18"/>
                <w:szCs w:val="18"/>
              </w:rPr>
              <w:t xml:space="preserve">Optometrists </w:t>
            </w:r>
            <w:r w:rsidRPr="005D74E5">
              <w:rPr>
                <w:rFonts w:ascii="Arial Narrow" w:eastAsia="Calibri" w:hAnsi="Arial Narrow"/>
                <w:sz w:val="18"/>
                <w:szCs w:val="18"/>
              </w:rPr>
              <w:fldChar w:fldCharType="begin">
                <w:ffData>
                  <w:name w:val="Check5"/>
                  <w:enabled/>
                  <w:calcOnExit w:val="0"/>
                  <w:checkBox>
                    <w:sizeAuto/>
                    <w:default w:val="0"/>
                  </w:checkBox>
                </w:ffData>
              </w:fldChar>
            </w:r>
            <w:r w:rsidRPr="00B66840">
              <w:rPr>
                <w:rFonts w:ascii="Arial Narrow" w:eastAsia="Calibri" w:hAnsi="Arial Narrow"/>
                <w:sz w:val="18"/>
                <w:szCs w:val="18"/>
              </w:rPr>
              <w:instrText xml:space="preserve"> FORMCHECKBOX </w:instrText>
            </w:r>
            <w:r w:rsidR="009D06E4">
              <w:rPr>
                <w:rFonts w:ascii="Arial Narrow" w:eastAsia="Calibri" w:hAnsi="Arial Narrow"/>
                <w:sz w:val="18"/>
                <w:szCs w:val="18"/>
              </w:rPr>
            </w:r>
            <w:r w:rsidR="009D06E4">
              <w:rPr>
                <w:rFonts w:ascii="Arial Narrow" w:eastAsia="Calibri" w:hAnsi="Arial Narrow"/>
                <w:sz w:val="18"/>
                <w:szCs w:val="18"/>
              </w:rPr>
              <w:fldChar w:fldCharType="separate"/>
            </w:r>
            <w:r w:rsidRPr="005D74E5">
              <w:rPr>
                <w:rFonts w:ascii="Arial Narrow" w:eastAsia="Calibri" w:hAnsi="Arial Narrow"/>
                <w:sz w:val="18"/>
                <w:szCs w:val="18"/>
              </w:rPr>
              <w:fldChar w:fldCharType="end"/>
            </w:r>
            <w:r w:rsidRPr="00B66840">
              <w:rPr>
                <w:rFonts w:ascii="Arial Narrow" w:eastAsia="Calibri" w:hAnsi="Arial Narrow"/>
                <w:sz w:val="18"/>
                <w:szCs w:val="18"/>
              </w:rPr>
              <w:t>Midwives</w:t>
            </w:r>
          </w:p>
        </w:tc>
      </w:tr>
      <w:tr w:rsidR="00CE6461" w:rsidRPr="00B66840" w:rsidTr="00CE6461">
        <w:tc>
          <w:tcPr>
            <w:tcW w:w="5000" w:type="pct"/>
            <w:tcBorders>
              <w:top w:val="single" w:sz="4" w:space="0" w:color="auto"/>
              <w:left w:val="single" w:sz="4" w:space="0" w:color="auto"/>
              <w:bottom w:val="single" w:sz="4" w:space="0" w:color="auto"/>
              <w:right w:val="single" w:sz="4" w:space="0" w:color="auto"/>
            </w:tcBorders>
          </w:tcPr>
          <w:p w:rsidR="00CE6461" w:rsidRPr="00CE6461" w:rsidRDefault="00CE6461" w:rsidP="00CE6461">
            <w:pPr>
              <w:pStyle w:val="TableText0"/>
              <w:keepLines/>
              <w:rPr>
                <w:rStyle w:val="Strong"/>
                <w:b w:val="0"/>
                <w:bCs w:val="0"/>
                <w:sz w:val="18"/>
                <w:szCs w:val="18"/>
              </w:rPr>
            </w:pPr>
            <w:r w:rsidRPr="00B66840">
              <w:rPr>
                <w:b/>
                <w:sz w:val="18"/>
                <w:szCs w:val="18"/>
              </w:rPr>
              <w:t>Restriction Level / Method:</w:t>
            </w:r>
            <w:r>
              <w:rPr>
                <w:sz w:val="18"/>
                <w:szCs w:val="18"/>
              </w:rPr>
              <w:t xml:space="preserve"> </w:t>
            </w:r>
            <w:r w:rsidRPr="005D74E5">
              <w:rPr>
                <w:sz w:val="18"/>
                <w:szCs w:val="18"/>
              </w:rPr>
              <w:fldChar w:fldCharType="begin">
                <w:ffData>
                  <w:name w:val=""/>
                  <w:enabled/>
                  <w:calcOnExit w:val="0"/>
                  <w:checkBox>
                    <w:sizeAuto/>
                    <w:default w:val="1"/>
                  </w:checkBox>
                </w:ffData>
              </w:fldChar>
            </w:r>
            <w:r w:rsidRPr="00B66840">
              <w:rPr>
                <w:sz w:val="18"/>
                <w:szCs w:val="18"/>
              </w:rPr>
              <w:instrText xml:space="preserve"> FORMCHECKBOX </w:instrText>
            </w:r>
            <w:r w:rsidR="009D06E4">
              <w:rPr>
                <w:sz w:val="18"/>
                <w:szCs w:val="18"/>
              </w:rPr>
            </w:r>
            <w:r w:rsidR="009D06E4">
              <w:rPr>
                <w:sz w:val="18"/>
                <w:szCs w:val="18"/>
              </w:rPr>
              <w:fldChar w:fldCharType="separate"/>
            </w:r>
            <w:r w:rsidRPr="005D74E5">
              <w:rPr>
                <w:sz w:val="18"/>
                <w:szCs w:val="18"/>
              </w:rPr>
              <w:fldChar w:fldCharType="end"/>
            </w:r>
            <w:r w:rsidRPr="00CE6461">
              <w:rPr>
                <w:sz w:val="18"/>
                <w:szCs w:val="18"/>
              </w:rPr>
              <w:t>Authority Required – Telephone/Emergency/Electronic</w:t>
            </w:r>
          </w:p>
        </w:tc>
      </w:tr>
      <w:tr w:rsidR="00CE6461" w:rsidRPr="00B66840" w:rsidTr="007C72B9">
        <w:trPr>
          <w:trHeight w:val="1153"/>
        </w:trPr>
        <w:tc>
          <w:tcPr>
            <w:tcW w:w="5000" w:type="pct"/>
            <w:vAlign w:val="center"/>
          </w:tcPr>
          <w:p w:rsidR="00CE6461" w:rsidRDefault="00CE6461" w:rsidP="00453B64">
            <w:pPr>
              <w:pStyle w:val="NormalWeb"/>
              <w:spacing w:before="0" w:beforeAutospacing="0" w:after="0" w:afterAutospacing="0"/>
              <w:rPr>
                <w:rFonts w:ascii="Arial Narrow" w:hAnsi="Arial Narrow"/>
                <w:color w:val="333333"/>
                <w:sz w:val="18"/>
                <w:szCs w:val="18"/>
              </w:rPr>
            </w:pPr>
            <w:r w:rsidRPr="00B66840">
              <w:rPr>
                <w:rStyle w:val="Strong"/>
                <w:rFonts w:ascii="Arial Narrow" w:hAnsi="Arial Narrow"/>
                <w:color w:val="333333"/>
                <w:sz w:val="18"/>
                <w:szCs w:val="18"/>
              </w:rPr>
              <w:t>Administrative Advice:</w:t>
            </w:r>
            <w:r w:rsidRPr="00B66840">
              <w:rPr>
                <w:rFonts w:ascii="Arial Narrow" w:hAnsi="Arial Narrow"/>
                <w:color w:val="333333"/>
                <w:sz w:val="18"/>
                <w:szCs w:val="18"/>
              </w:rPr>
              <w:t xml:space="preserve"> </w:t>
            </w:r>
          </w:p>
          <w:p w:rsidR="00CE6461" w:rsidRPr="00B66840" w:rsidRDefault="00CE6461" w:rsidP="00453B64">
            <w:pPr>
              <w:pStyle w:val="NormalWeb"/>
              <w:spacing w:before="0" w:beforeAutospacing="0" w:after="0" w:afterAutospacing="0"/>
              <w:rPr>
                <w:rStyle w:val="Strong"/>
                <w:rFonts w:ascii="Arial Narrow" w:hAnsi="Arial Narrow"/>
                <w:color w:val="333333"/>
                <w:sz w:val="18"/>
                <w:szCs w:val="18"/>
              </w:rPr>
            </w:pPr>
            <w:r w:rsidRPr="00B66840">
              <w:rPr>
                <w:rFonts w:ascii="Arial Narrow" w:hAnsi="Arial Narrow"/>
                <w:color w:val="333333"/>
                <w:sz w:val="18"/>
                <w:szCs w:val="18"/>
              </w:rPr>
              <w:t>No increase in the maximum amount or number of units may be authorised.</w:t>
            </w:r>
          </w:p>
          <w:p w:rsidR="00CE6461" w:rsidRPr="00B66840" w:rsidRDefault="00CE6461" w:rsidP="00453B64">
            <w:pPr>
              <w:pStyle w:val="NormalWeb"/>
              <w:spacing w:before="0" w:beforeAutospacing="0" w:after="0" w:afterAutospacing="0"/>
              <w:rPr>
                <w:rStyle w:val="Strong"/>
                <w:rFonts w:ascii="Arial Narrow" w:hAnsi="Arial Narrow"/>
                <w:color w:val="333333"/>
                <w:sz w:val="18"/>
                <w:szCs w:val="18"/>
              </w:rPr>
            </w:pPr>
            <w:r w:rsidRPr="00B66840">
              <w:rPr>
                <w:rFonts w:ascii="Arial Narrow" w:hAnsi="Arial Narrow"/>
                <w:color w:val="333333"/>
                <w:sz w:val="18"/>
                <w:szCs w:val="18"/>
              </w:rPr>
              <w:t>No increase in the maximum number of repeats may be authorised.</w:t>
            </w:r>
          </w:p>
          <w:p w:rsidR="00CE6461" w:rsidRDefault="00CE6461" w:rsidP="00453B64">
            <w:pPr>
              <w:pStyle w:val="NormalWeb"/>
              <w:spacing w:before="0" w:beforeAutospacing="0" w:after="0" w:afterAutospacing="0"/>
              <w:rPr>
                <w:rStyle w:val="Strong"/>
                <w:rFonts w:ascii="Arial Narrow" w:hAnsi="Arial Narrow"/>
                <w:color w:val="333333"/>
                <w:sz w:val="18"/>
                <w:szCs w:val="18"/>
              </w:rPr>
            </w:pPr>
            <w:r w:rsidRPr="00B66840">
              <w:rPr>
                <w:rFonts w:ascii="Arial Narrow" w:hAnsi="Arial Narrow"/>
                <w:color w:val="333333"/>
                <w:sz w:val="18"/>
                <w:szCs w:val="18"/>
              </w:rPr>
              <w:t>Special Pricing Arrangements apply.</w:t>
            </w:r>
          </w:p>
          <w:p w:rsidR="00CE6461" w:rsidRPr="00B66840" w:rsidRDefault="00CE6461" w:rsidP="00453B64">
            <w:pPr>
              <w:pStyle w:val="NormalWeb"/>
              <w:spacing w:before="0" w:beforeAutospacing="0" w:after="0" w:afterAutospacing="0"/>
              <w:rPr>
                <w:rStyle w:val="Strong"/>
                <w:rFonts w:ascii="Arial Narrow" w:hAnsi="Arial Narrow"/>
                <w:color w:val="333333"/>
                <w:sz w:val="18"/>
                <w:szCs w:val="18"/>
              </w:rPr>
            </w:pPr>
            <w:r w:rsidRPr="00B66840">
              <w:rPr>
                <w:rFonts w:ascii="Arial Narrow" w:hAnsi="Arial Narrow"/>
                <w:sz w:val="18"/>
                <w:szCs w:val="18"/>
              </w:rPr>
              <w:t>Patient should be treated with the recommended dose of pembrolizumab according to the TGA-approved Product Information.</w:t>
            </w:r>
          </w:p>
        </w:tc>
      </w:tr>
      <w:tr w:rsidR="00CE6461" w:rsidRPr="00B66840" w:rsidTr="00CE6461">
        <w:tc>
          <w:tcPr>
            <w:tcW w:w="5000" w:type="pct"/>
            <w:vAlign w:val="center"/>
            <w:hideMark/>
          </w:tcPr>
          <w:p w:rsidR="00CE6461" w:rsidRPr="00B66840" w:rsidRDefault="00CE6461" w:rsidP="00453B64">
            <w:pPr>
              <w:pStyle w:val="NormalWeb"/>
              <w:spacing w:before="0" w:beforeAutospacing="0" w:after="0" w:afterAutospacing="0"/>
              <w:rPr>
                <w:rFonts w:ascii="Arial Narrow" w:hAnsi="Arial Narrow"/>
                <w:color w:val="333333"/>
                <w:sz w:val="18"/>
                <w:szCs w:val="18"/>
              </w:rPr>
            </w:pPr>
            <w:r w:rsidRPr="00B66840">
              <w:rPr>
                <w:rStyle w:val="Strong"/>
                <w:rFonts w:ascii="Arial Narrow" w:hAnsi="Arial Narrow"/>
                <w:color w:val="333333"/>
                <w:sz w:val="18"/>
                <w:szCs w:val="18"/>
              </w:rPr>
              <w:t>Indication:</w:t>
            </w:r>
            <w:r w:rsidRPr="00B66840">
              <w:rPr>
                <w:rFonts w:ascii="Arial Narrow" w:hAnsi="Arial Narrow"/>
                <w:color w:val="333333"/>
                <w:sz w:val="18"/>
                <w:szCs w:val="18"/>
              </w:rPr>
              <w:t xml:space="preserve"> Resected Stage IIIB, IIIC or IIID malignant melanoma</w:t>
            </w:r>
          </w:p>
        </w:tc>
      </w:tr>
      <w:tr w:rsidR="00CE6461" w:rsidRPr="00B66840" w:rsidTr="00CE6461">
        <w:trPr>
          <w:trHeight w:val="264"/>
        </w:trPr>
        <w:tc>
          <w:tcPr>
            <w:tcW w:w="5000" w:type="pct"/>
            <w:vAlign w:val="center"/>
            <w:hideMark/>
          </w:tcPr>
          <w:p w:rsidR="00CE6461" w:rsidRPr="00B66840" w:rsidRDefault="00CE6461" w:rsidP="00453B64">
            <w:pPr>
              <w:pStyle w:val="NormalWeb"/>
              <w:spacing w:before="0" w:beforeAutospacing="0" w:after="0" w:afterAutospacing="0"/>
              <w:rPr>
                <w:rFonts w:ascii="Arial Narrow" w:hAnsi="Arial Narrow"/>
                <w:color w:val="333333"/>
                <w:sz w:val="18"/>
                <w:szCs w:val="18"/>
              </w:rPr>
            </w:pPr>
            <w:r w:rsidRPr="00B66840">
              <w:rPr>
                <w:rStyle w:val="Strong"/>
                <w:rFonts w:ascii="Arial Narrow" w:hAnsi="Arial Narrow"/>
                <w:color w:val="333333"/>
                <w:sz w:val="18"/>
                <w:szCs w:val="18"/>
              </w:rPr>
              <w:t xml:space="preserve">Treatment Phase: </w:t>
            </w:r>
            <w:r w:rsidRPr="00B66840">
              <w:rPr>
                <w:rFonts w:ascii="Arial Narrow" w:hAnsi="Arial Narrow"/>
                <w:color w:val="333333"/>
                <w:sz w:val="18"/>
                <w:szCs w:val="18"/>
              </w:rPr>
              <w:t>Grandfather treatment – 6 weekly treatment regimen</w:t>
            </w:r>
          </w:p>
        </w:tc>
      </w:tr>
      <w:tr w:rsidR="00CE6461" w:rsidRPr="00B66840" w:rsidTr="00CE6461">
        <w:tc>
          <w:tcPr>
            <w:tcW w:w="5000" w:type="pct"/>
            <w:vAlign w:val="center"/>
            <w:hideMark/>
          </w:tcPr>
          <w:p w:rsidR="00CE6461" w:rsidRPr="00B66840" w:rsidRDefault="00CE6461" w:rsidP="00453B64">
            <w:pPr>
              <w:pStyle w:val="NormalWeb"/>
              <w:spacing w:before="0" w:beforeAutospacing="0" w:after="0" w:afterAutospacing="0"/>
              <w:rPr>
                <w:rFonts w:ascii="Arial Narrow" w:hAnsi="Arial Narrow"/>
                <w:color w:val="333333"/>
                <w:sz w:val="18"/>
                <w:szCs w:val="18"/>
              </w:rPr>
            </w:pPr>
            <w:r w:rsidRPr="00B66840">
              <w:rPr>
                <w:rStyle w:val="Strong"/>
                <w:rFonts w:ascii="Arial Narrow" w:hAnsi="Arial Narrow"/>
                <w:color w:val="333333"/>
                <w:sz w:val="18"/>
                <w:szCs w:val="18"/>
              </w:rPr>
              <w:t>Clinical criteria:</w:t>
            </w:r>
          </w:p>
        </w:tc>
      </w:tr>
      <w:tr w:rsidR="00CE6461" w:rsidRPr="00B66840" w:rsidTr="00CE6461">
        <w:tc>
          <w:tcPr>
            <w:tcW w:w="5000" w:type="pct"/>
            <w:vAlign w:val="center"/>
            <w:hideMark/>
          </w:tcPr>
          <w:p w:rsidR="00CE6461" w:rsidRPr="00647D5D" w:rsidRDefault="00CE6461" w:rsidP="00647D5D">
            <w:pPr>
              <w:pStyle w:val="ListParagraph"/>
              <w:numPr>
                <w:ilvl w:val="0"/>
                <w:numId w:val="41"/>
              </w:numPr>
              <w:rPr>
                <w:rFonts w:ascii="Arial Narrow" w:hAnsi="Arial Narrow"/>
                <w:color w:val="333333"/>
                <w:sz w:val="18"/>
                <w:szCs w:val="18"/>
              </w:rPr>
            </w:pPr>
            <w:r w:rsidRPr="00647D5D">
              <w:rPr>
                <w:rFonts w:ascii="Arial Narrow" w:hAnsi="Arial Narrow"/>
                <w:color w:val="333333"/>
                <w:sz w:val="18"/>
                <w:szCs w:val="18"/>
              </w:rPr>
              <w:t>Patient must have previously received non-PBS-subsidised drug for adjuvant treatment following complete surgical resection prior to 1</w:t>
            </w:r>
            <w:r w:rsidR="00647D5D">
              <w:rPr>
                <w:rFonts w:ascii="Arial Narrow" w:hAnsi="Arial Narrow"/>
                <w:color w:val="333333"/>
                <w:sz w:val="18"/>
                <w:szCs w:val="18"/>
              </w:rPr>
              <w:t xml:space="preserve"> Month 20XX</w:t>
            </w:r>
            <w:r w:rsidRPr="00647D5D">
              <w:rPr>
                <w:rFonts w:ascii="Arial Narrow" w:hAnsi="Arial Narrow"/>
                <w:color w:val="333333"/>
                <w:sz w:val="18"/>
                <w:szCs w:val="18"/>
              </w:rPr>
              <w:t xml:space="preserve"> </w:t>
            </w:r>
          </w:p>
        </w:tc>
      </w:tr>
      <w:tr w:rsidR="00CE6461" w:rsidRPr="00B66840" w:rsidTr="00CE6461">
        <w:tc>
          <w:tcPr>
            <w:tcW w:w="5000" w:type="pct"/>
            <w:vAlign w:val="center"/>
            <w:hideMark/>
          </w:tcPr>
          <w:p w:rsidR="00CE6461" w:rsidRPr="00647D5D" w:rsidRDefault="00CE6461" w:rsidP="00647D5D">
            <w:pPr>
              <w:pStyle w:val="ListParagraph"/>
              <w:rPr>
                <w:rFonts w:ascii="Arial Narrow" w:hAnsi="Arial Narrow"/>
                <w:color w:val="333333"/>
                <w:sz w:val="18"/>
                <w:szCs w:val="18"/>
              </w:rPr>
            </w:pPr>
            <w:r w:rsidRPr="00647D5D">
              <w:rPr>
                <w:rStyle w:val="Strong"/>
                <w:rFonts w:ascii="Arial Narrow" w:hAnsi="Arial Narrow"/>
                <w:color w:val="333333"/>
                <w:sz w:val="18"/>
                <w:szCs w:val="18"/>
              </w:rPr>
              <w:t>AND</w:t>
            </w:r>
          </w:p>
        </w:tc>
      </w:tr>
      <w:tr w:rsidR="00CE6461" w:rsidRPr="00B66840" w:rsidTr="00CE6461">
        <w:tc>
          <w:tcPr>
            <w:tcW w:w="5000" w:type="pct"/>
            <w:vAlign w:val="center"/>
            <w:hideMark/>
          </w:tcPr>
          <w:p w:rsidR="00CE6461" w:rsidRPr="00647D5D" w:rsidRDefault="00CE6461" w:rsidP="00647D5D">
            <w:pPr>
              <w:pStyle w:val="ListParagraph"/>
              <w:numPr>
                <w:ilvl w:val="0"/>
                <w:numId w:val="41"/>
              </w:numPr>
              <w:rPr>
                <w:rFonts w:ascii="Arial Narrow" w:hAnsi="Arial Narrow"/>
                <w:color w:val="333333"/>
                <w:sz w:val="18"/>
                <w:szCs w:val="18"/>
              </w:rPr>
            </w:pPr>
            <w:r w:rsidRPr="00647D5D">
              <w:rPr>
                <w:rFonts w:ascii="Arial Narrow" w:hAnsi="Arial Narrow"/>
                <w:color w:val="333333"/>
                <w:sz w:val="18"/>
                <w:szCs w:val="18"/>
              </w:rPr>
              <w:t>Patient must have a WHO performance status of 1 or less prior to starting non-PBS treatment with this drug</w:t>
            </w:r>
          </w:p>
        </w:tc>
      </w:tr>
      <w:tr w:rsidR="00CE6461" w:rsidRPr="00B66840" w:rsidTr="00CE6461">
        <w:tc>
          <w:tcPr>
            <w:tcW w:w="5000" w:type="pct"/>
            <w:vAlign w:val="center"/>
            <w:hideMark/>
          </w:tcPr>
          <w:p w:rsidR="00CE6461" w:rsidRPr="00647D5D" w:rsidRDefault="00CE6461" w:rsidP="00647D5D">
            <w:pPr>
              <w:pStyle w:val="ListParagraph"/>
              <w:rPr>
                <w:rFonts w:ascii="Arial Narrow" w:hAnsi="Arial Narrow"/>
                <w:color w:val="333333"/>
                <w:sz w:val="18"/>
                <w:szCs w:val="18"/>
              </w:rPr>
            </w:pPr>
            <w:r w:rsidRPr="00647D5D">
              <w:rPr>
                <w:rStyle w:val="Strong"/>
                <w:rFonts w:ascii="Arial Narrow" w:hAnsi="Arial Narrow"/>
                <w:color w:val="333333"/>
                <w:sz w:val="18"/>
                <w:szCs w:val="18"/>
              </w:rPr>
              <w:t>AND</w:t>
            </w:r>
          </w:p>
        </w:tc>
      </w:tr>
      <w:tr w:rsidR="00CE6461" w:rsidRPr="00B66840" w:rsidTr="00CE6461">
        <w:tc>
          <w:tcPr>
            <w:tcW w:w="5000" w:type="pct"/>
            <w:vAlign w:val="center"/>
            <w:hideMark/>
          </w:tcPr>
          <w:p w:rsidR="00CE6461" w:rsidRPr="00647D5D" w:rsidRDefault="00CE6461" w:rsidP="00647D5D">
            <w:pPr>
              <w:pStyle w:val="ListParagraph"/>
              <w:numPr>
                <w:ilvl w:val="0"/>
                <w:numId w:val="41"/>
              </w:numPr>
              <w:rPr>
                <w:rFonts w:ascii="Arial Narrow" w:hAnsi="Arial Narrow"/>
                <w:color w:val="333333"/>
                <w:sz w:val="18"/>
                <w:szCs w:val="18"/>
              </w:rPr>
            </w:pPr>
            <w:r w:rsidRPr="00647D5D">
              <w:rPr>
                <w:rFonts w:ascii="Arial Narrow" w:hAnsi="Arial Narrow"/>
                <w:color w:val="333333"/>
                <w:sz w:val="18"/>
                <w:szCs w:val="18"/>
              </w:rPr>
              <w:t>Patient must not have evidence of recurrence</w:t>
            </w:r>
          </w:p>
        </w:tc>
      </w:tr>
      <w:tr w:rsidR="00CE6461" w:rsidRPr="00B66840" w:rsidTr="00CE6461">
        <w:tc>
          <w:tcPr>
            <w:tcW w:w="5000" w:type="pct"/>
            <w:vAlign w:val="center"/>
            <w:hideMark/>
          </w:tcPr>
          <w:p w:rsidR="00CE6461" w:rsidRPr="00647D5D" w:rsidRDefault="00CE6461" w:rsidP="00647D5D">
            <w:pPr>
              <w:pStyle w:val="ListParagraph"/>
              <w:rPr>
                <w:rFonts w:ascii="Arial Narrow" w:hAnsi="Arial Narrow"/>
                <w:color w:val="333333"/>
                <w:sz w:val="18"/>
                <w:szCs w:val="18"/>
              </w:rPr>
            </w:pPr>
            <w:r w:rsidRPr="00647D5D">
              <w:rPr>
                <w:rStyle w:val="Strong"/>
                <w:rFonts w:ascii="Arial Narrow" w:hAnsi="Arial Narrow"/>
                <w:color w:val="333333"/>
                <w:sz w:val="18"/>
                <w:szCs w:val="18"/>
              </w:rPr>
              <w:t>AND</w:t>
            </w:r>
          </w:p>
        </w:tc>
      </w:tr>
      <w:tr w:rsidR="00CE6461" w:rsidRPr="00B66840" w:rsidTr="00CE6461">
        <w:tc>
          <w:tcPr>
            <w:tcW w:w="5000" w:type="pct"/>
            <w:vAlign w:val="center"/>
            <w:hideMark/>
          </w:tcPr>
          <w:p w:rsidR="00CE6461" w:rsidRPr="00647D5D" w:rsidRDefault="00CE6461" w:rsidP="00647D5D">
            <w:pPr>
              <w:pStyle w:val="ListParagraph"/>
              <w:numPr>
                <w:ilvl w:val="0"/>
                <w:numId w:val="41"/>
              </w:numPr>
              <w:rPr>
                <w:rFonts w:ascii="Arial Narrow" w:hAnsi="Arial Narrow"/>
                <w:color w:val="333333"/>
                <w:sz w:val="18"/>
                <w:szCs w:val="18"/>
              </w:rPr>
            </w:pPr>
            <w:r w:rsidRPr="00647D5D">
              <w:rPr>
                <w:rFonts w:ascii="Arial Narrow" w:hAnsi="Arial Narrow"/>
                <w:color w:val="333333"/>
                <w:sz w:val="18"/>
                <w:szCs w:val="18"/>
              </w:rPr>
              <w:t>The treatment must be the sole PBS-subsidised therapy for this condition</w:t>
            </w:r>
          </w:p>
        </w:tc>
      </w:tr>
      <w:tr w:rsidR="00CE6461" w:rsidRPr="00B66840" w:rsidTr="00CE6461">
        <w:tc>
          <w:tcPr>
            <w:tcW w:w="5000" w:type="pct"/>
            <w:vAlign w:val="center"/>
            <w:hideMark/>
          </w:tcPr>
          <w:p w:rsidR="00CE6461" w:rsidRPr="00647D5D" w:rsidRDefault="00CE6461" w:rsidP="00647D5D">
            <w:pPr>
              <w:pStyle w:val="ListParagraph"/>
              <w:rPr>
                <w:rFonts w:ascii="Arial Narrow" w:hAnsi="Arial Narrow"/>
                <w:color w:val="333333"/>
                <w:sz w:val="18"/>
                <w:szCs w:val="18"/>
              </w:rPr>
            </w:pPr>
            <w:r w:rsidRPr="00647D5D">
              <w:rPr>
                <w:rStyle w:val="Strong"/>
                <w:rFonts w:ascii="Arial Narrow" w:hAnsi="Arial Narrow"/>
                <w:color w:val="333333"/>
                <w:sz w:val="18"/>
                <w:szCs w:val="18"/>
              </w:rPr>
              <w:t>AND</w:t>
            </w:r>
          </w:p>
        </w:tc>
      </w:tr>
      <w:tr w:rsidR="00CE6461" w:rsidRPr="00B66840" w:rsidTr="00CE6461">
        <w:tc>
          <w:tcPr>
            <w:tcW w:w="5000" w:type="pct"/>
            <w:vAlign w:val="center"/>
            <w:hideMark/>
          </w:tcPr>
          <w:p w:rsidR="00CE6461" w:rsidRPr="00647D5D" w:rsidRDefault="00CE6461" w:rsidP="00647D5D">
            <w:pPr>
              <w:pStyle w:val="ListParagraph"/>
              <w:numPr>
                <w:ilvl w:val="0"/>
                <w:numId w:val="41"/>
              </w:numPr>
              <w:rPr>
                <w:rFonts w:ascii="Arial Narrow" w:hAnsi="Arial Narrow"/>
                <w:color w:val="333333"/>
                <w:sz w:val="18"/>
                <w:szCs w:val="18"/>
              </w:rPr>
            </w:pPr>
            <w:r w:rsidRPr="00647D5D">
              <w:rPr>
                <w:rFonts w:ascii="Arial Narrow" w:hAnsi="Arial Narrow"/>
                <w:color w:val="333333"/>
                <w:sz w:val="18"/>
                <w:szCs w:val="18"/>
              </w:rPr>
              <w:t>Patient must not have received prior PBS-subsidised treatment for this condition</w:t>
            </w:r>
          </w:p>
        </w:tc>
      </w:tr>
      <w:tr w:rsidR="00CE6461" w:rsidRPr="00B66840" w:rsidTr="00CE6461">
        <w:tc>
          <w:tcPr>
            <w:tcW w:w="5000" w:type="pct"/>
            <w:vAlign w:val="center"/>
            <w:hideMark/>
          </w:tcPr>
          <w:p w:rsidR="00CE6461" w:rsidRPr="00647D5D" w:rsidRDefault="00CE6461" w:rsidP="00647D5D">
            <w:pPr>
              <w:pStyle w:val="ListParagraph"/>
              <w:rPr>
                <w:rFonts w:ascii="Arial Narrow" w:hAnsi="Arial Narrow"/>
                <w:color w:val="333333"/>
                <w:sz w:val="18"/>
                <w:szCs w:val="18"/>
              </w:rPr>
            </w:pPr>
            <w:r w:rsidRPr="00647D5D">
              <w:rPr>
                <w:rStyle w:val="Strong"/>
                <w:rFonts w:ascii="Arial Narrow" w:hAnsi="Arial Narrow"/>
                <w:color w:val="333333"/>
                <w:sz w:val="18"/>
                <w:szCs w:val="18"/>
              </w:rPr>
              <w:t>AND</w:t>
            </w:r>
          </w:p>
        </w:tc>
      </w:tr>
      <w:tr w:rsidR="00CE6461" w:rsidRPr="00B66840" w:rsidTr="00CE6461">
        <w:tc>
          <w:tcPr>
            <w:tcW w:w="5000" w:type="pct"/>
            <w:vAlign w:val="center"/>
            <w:hideMark/>
          </w:tcPr>
          <w:p w:rsidR="00CE6461" w:rsidRPr="00647D5D" w:rsidRDefault="00CE6461" w:rsidP="00647D5D">
            <w:pPr>
              <w:pStyle w:val="ListParagraph"/>
              <w:numPr>
                <w:ilvl w:val="0"/>
                <w:numId w:val="41"/>
              </w:numPr>
              <w:rPr>
                <w:rFonts w:ascii="Arial Narrow" w:hAnsi="Arial Narrow"/>
                <w:color w:val="333333"/>
                <w:sz w:val="18"/>
                <w:szCs w:val="18"/>
              </w:rPr>
            </w:pPr>
            <w:r w:rsidRPr="00647D5D">
              <w:rPr>
                <w:rFonts w:ascii="Arial Narrow" w:hAnsi="Arial Narrow"/>
                <w:color w:val="333333"/>
                <w:sz w:val="18"/>
                <w:szCs w:val="18"/>
              </w:rPr>
              <w:t>Patient must have commenced non-PBS-subsidised treatment within 12 weeks of complete surgical resection</w:t>
            </w:r>
          </w:p>
        </w:tc>
      </w:tr>
      <w:tr w:rsidR="00CE6461" w:rsidRPr="00B66840" w:rsidTr="00CE6461">
        <w:tc>
          <w:tcPr>
            <w:tcW w:w="5000" w:type="pct"/>
            <w:vAlign w:val="center"/>
            <w:hideMark/>
          </w:tcPr>
          <w:p w:rsidR="00CE6461" w:rsidRPr="00647D5D" w:rsidRDefault="00CE6461" w:rsidP="00647D5D">
            <w:pPr>
              <w:pStyle w:val="ListParagraph"/>
              <w:rPr>
                <w:rFonts w:ascii="Arial Narrow" w:hAnsi="Arial Narrow"/>
                <w:color w:val="333333"/>
                <w:sz w:val="18"/>
                <w:szCs w:val="18"/>
              </w:rPr>
            </w:pPr>
            <w:r w:rsidRPr="00647D5D">
              <w:rPr>
                <w:rStyle w:val="Strong"/>
                <w:rFonts w:ascii="Arial Narrow" w:hAnsi="Arial Narrow"/>
                <w:color w:val="333333"/>
                <w:sz w:val="18"/>
                <w:szCs w:val="18"/>
              </w:rPr>
              <w:t>AND</w:t>
            </w:r>
          </w:p>
        </w:tc>
      </w:tr>
      <w:tr w:rsidR="00CE6461" w:rsidRPr="00B66840" w:rsidTr="00CE6461">
        <w:tc>
          <w:tcPr>
            <w:tcW w:w="5000" w:type="pct"/>
            <w:vAlign w:val="center"/>
            <w:hideMark/>
          </w:tcPr>
          <w:p w:rsidR="00CE6461" w:rsidRPr="00647D5D" w:rsidRDefault="00CE6461" w:rsidP="00647D5D">
            <w:pPr>
              <w:pStyle w:val="ListParagraph"/>
              <w:numPr>
                <w:ilvl w:val="0"/>
                <w:numId w:val="41"/>
              </w:numPr>
              <w:rPr>
                <w:rFonts w:ascii="Arial Narrow" w:hAnsi="Arial Narrow"/>
                <w:color w:val="333333"/>
                <w:sz w:val="18"/>
                <w:szCs w:val="18"/>
              </w:rPr>
            </w:pPr>
            <w:r w:rsidRPr="00647D5D">
              <w:rPr>
                <w:rFonts w:ascii="Arial Narrow" w:hAnsi="Arial Narrow"/>
                <w:color w:val="333333"/>
                <w:sz w:val="18"/>
                <w:szCs w:val="18"/>
              </w:rPr>
              <w:t>Patient must not receive more than 12 months of combined PBS-subsidised and non-PBS-subsidised adjuvant therapy</w:t>
            </w:r>
          </w:p>
        </w:tc>
      </w:tr>
      <w:tr w:rsidR="00647D5D" w:rsidRPr="00B66840" w:rsidTr="007C72B9">
        <w:trPr>
          <w:trHeight w:val="660"/>
        </w:trPr>
        <w:tc>
          <w:tcPr>
            <w:tcW w:w="5000" w:type="pct"/>
            <w:vAlign w:val="center"/>
            <w:hideMark/>
          </w:tcPr>
          <w:p w:rsidR="00647D5D" w:rsidRDefault="00647D5D" w:rsidP="00453B64">
            <w:pPr>
              <w:pStyle w:val="NormalWeb"/>
              <w:spacing w:before="0" w:beforeAutospacing="0" w:after="0" w:afterAutospacing="0"/>
              <w:rPr>
                <w:rFonts w:ascii="Arial Narrow" w:hAnsi="Arial Narrow"/>
                <w:color w:val="333333"/>
                <w:sz w:val="18"/>
                <w:szCs w:val="18"/>
              </w:rPr>
            </w:pPr>
            <w:r w:rsidRPr="00B66840">
              <w:rPr>
                <w:rStyle w:val="Strong"/>
                <w:rFonts w:ascii="Arial Narrow" w:hAnsi="Arial Narrow"/>
                <w:color w:val="333333"/>
                <w:sz w:val="18"/>
                <w:szCs w:val="18"/>
              </w:rPr>
              <w:t>Prescribing Instructions:</w:t>
            </w:r>
            <w:r w:rsidRPr="00B66840">
              <w:rPr>
                <w:rFonts w:ascii="Arial Narrow" w:hAnsi="Arial Narrow"/>
                <w:color w:val="333333"/>
                <w:sz w:val="18"/>
                <w:szCs w:val="18"/>
              </w:rPr>
              <w:t xml:space="preserve"> </w:t>
            </w:r>
          </w:p>
          <w:p w:rsidR="00647D5D" w:rsidRDefault="00647D5D" w:rsidP="00453B64">
            <w:pPr>
              <w:pStyle w:val="NormalWeb"/>
              <w:spacing w:before="0" w:beforeAutospacing="0" w:after="0" w:afterAutospacing="0"/>
              <w:rPr>
                <w:rFonts w:ascii="Arial Narrow" w:hAnsi="Arial Narrow"/>
                <w:color w:val="333333"/>
                <w:sz w:val="18"/>
                <w:szCs w:val="18"/>
              </w:rPr>
            </w:pPr>
            <w:r w:rsidRPr="00B66840">
              <w:rPr>
                <w:rFonts w:ascii="Arial Narrow" w:hAnsi="Arial Narrow"/>
                <w:color w:val="333333"/>
                <w:sz w:val="18"/>
                <w:szCs w:val="18"/>
              </w:rPr>
              <w:t>A Grandfathered patient may qualify for PBS-subsidised treatment under this restriction once only.</w:t>
            </w:r>
          </w:p>
          <w:p w:rsidR="00647D5D" w:rsidRPr="00B66840" w:rsidRDefault="00647D5D" w:rsidP="00453B64">
            <w:pPr>
              <w:pStyle w:val="NormalWeb"/>
              <w:spacing w:before="0" w:beforeAutospacing="0" w:after="0" w:afterAutospacing="0"/>
              <w:rPr>
                <w:rFonts w:ascii="Arial Narrow" w:hAnsi="Arial Narrow"/>
                <w:color w:val="333333"/>
                <w:sz w:val="18"/>
                <w:szCs w:val="18"/>
              </w:rPr>
            </w:pPr>
            <w:r w:rsidRPr="00B66840">
              <w:rPr>
                <w:rFonts w:ascii="Arial Narrow" w:hAnsi="Arial Narrow"/>
                <w:color w:val="333333"/>
                <w:sz w:val="18"/>
                <w:szCs w:val="18"/>
              </w:rPr>
              <w:t>For continuing PBS-subsidised treatment, a Grandfathered patient must qualify under the Continuing treatment criteria.</w:t>
            </w:r>
          </w:p>
        </w:tc>
      </w:tr>
      <w:tr w:rsidR="00CE6461" w:rsidRPr="00B66840" w:rsidTr="00CE6461">
        <w:trPr>
          <w:trHeight w:val="49"/>
        </w:trPr>
        <w:tc>
          <w:tcPr>
            <w:tcW w:w="5000" w:type="pct"/>
            <w:vAlign w:val="center"/>
          </w:tcPr>
          <w:p w:rsidR="00CE6461" w:rsidRPr="00B66840" w:rsidRDefault="00CE6461" w:rsidP="00647D5D">
            <w:pPr>
              <w:pStyle w:val="NormalWeb"/>
              <w:spacing w:before="0" w:beforeAutospacing="0" w:after="0" w:afterAutospacing="0"/>
              <w:rPr>
                <w:rStyle w:val="Strong"/>
                <w:rFonts w:ascii="Arial Narrow" w:hAnsi="Arial Narrow"/>
                <w:color w:val="333333"/>
                <w:sz w:val="18"/>
                <w:szCs w:val="18"/>
              </w:rPr>
            </w:pPr>
            <w:r w:rsidRPr="00B66840">
              <w:rPr>
                <w:rStyle w:val="Strong"/>
                <w:rFonts w:ascii="Arial Narrow" w:hAnsi="Arial Narrow"/>
                <w:color w:val="333333"/>
                <w:sz w:val="18"/>
                <w:szCs w:val="18"/>
              </w:rPr>
              <w:t>Administrative Advice:</w:t>
            </w:r>
            <w:r w:rsidRPr="00B66840">
              <w:rPr>
                <w:rFonts w:ascii="Arial Narrow" w:hAnsi="Arial Narrow"/>
                <w:color w:val="333333"/>
                <w:sz w:val="18"/>
                <w:szCs w:val="18"/>
              </w:rPr>
              <w:t xml:space="preserve"> This grandfather restriction will cease to operate </w:t>
            </w:r>
            <w:r w:rsidR="00647D5D">
              <w:rPr>
                <w:rFonts w:ascii="Arial Narrow" w:hAnsi="Arial Narrow"/>
                <w:color w:val="333333"/>
                <w:sz w:val="18"/>
                <w:szCs w:val="18"/>
              </w:rPr>
              <w:t>12 months</w:t>
            </w:r>
            <w:r w:rsidRPr="00B66840">
              <w:rPr>
                <w:rFonts w:ascii="Arial Narrow" w:hAnsi="Arial Narrow"/>
                <w:color w:val="333333"/>
                <w:sz w:val="18"/>
                <w:szCs w:val="18"/>
              </w:rPr>
              <w:t xml:space="preserve"> after the date specified in the clinical criteria.</w:t>
            </w:r>
          </w:p>
        </w:tc>
      </w:tr>
    </w:tbl>
    <w:p w:rsidR="004C7252" w:rsidRPr="00647D5D" w:rsidRDefault="004C7252" w:rsidP="0066042C">
      <w:pPr>
        <w:pStyle w:val="3Bodytext"/>
        <w:spacing w:before="120"/>
      </w:pPr>
      <w:r w:rsidRPr="00647D5D">
        <w:t>For flow-on changes to pembrolizumab restrictions in unresectable Stage III or Stage IV disease</w:t>
      </w:r>
      <w:r w:rsidR="00647D5D">
        <w:t>,</w:t>
      </w:r>
      <w:r w:rsidRPr="00647D5D">
        <w:t xml:space="preserve"> see restrictions in </w:t>
      </w:r>
      <w:r w:rsidR="00647D5D">
        <w:t>the minutes of</w:t>
      </w:r>
      <w:r w:rsidRPr="00647D5D">
        <w:t xml:space="preserve"> item 6.03 of this meeting.</w:t>
      </w:r>
    </w:p>
    <w:p w:rsidR="00CA2283" w:rsidRDefault="00CA2283" w:rsidP="00867A4F">
      <w:pPr>
        <w:spacing w:before="120" w:after="120"/>
        <w:rPr>
          <w:rFonts w:asciiTheme="minorHAnsi" w:hAnsiTheme="minorHAnsi" w:cstheme="minorHAnsi"/>
          <w:b/>
          <w:bCs/>
          <w:i/>
          <w:iCs/>
        </w:rPr>
      </w:pPr>
    </w:p>
    <w:p w:rsidR="004C7252" w:rsidRDefault="00453B64" w:rsidP="00867A4F">
      <w:pPr>
        <w:spacing w:before="120" w:after="120"/>
        <w:rPr>
          <w:rFonts w:asciiTheme="minorHAnsi" w:hAnsiTheme="minorHAnsi" w:cstheme="minorHAnsi"/>
          <w:b/>
          <w:bCs/>
          <w:i/>
          <w:iCs/>
        </w:rPr>
      </w:pPr>
      <w:r w:rsidRPr="00C553D2">
        <w:rPr>
          <w:rFonts w:asciiTheme="minorHAnsi" w:hAnsiTheme="minorHAnsi" w:cstheme="minorHAnsi"/>
          <w:b/>
          <w:bCs/>
          <w:i/>
          <w:iCs/>
        </w:rPr>
        <w:t>These restrictions may be subject to further review. Should there be any changes made to the restriction the Sponsor will be informed.</w:t>
      </w:r>
    </w:p>
    <w:p w:rsidR="007552EE" w:rsidRPr="00E54E68" w:rsidRDefault="007552EE" w:rsidP="007552EE">
      <w:pPr>
        <w:pStyle w:val="2-SectionHeading"/>
        <w:numPr>
          <w:ilvl w:val="0"/>
          <w:numId w:val="5"/>
        </w:numPr>
        <w:rPr>
          <w:rFonts w:eastAsiaTheme="minorHAnsi"/>
          <w:szCs w:val="22"/>
          <w:lang w:eastAsia="en-US"/>
        </w:rPr>
      </w:pPr>
      <w:r w:rsidRPr="00E54E68">
        <w:rPr>
          <w:rFonts w:eastAsiaTheme="minorHAnsi"/>
          <w:szCs w:val="22"/>
          <w:lang w:eastAsia="en-US"/>
        </w:rPr>
        <w:t>Context for Decision</w:t>
      </w:r>
    </w:p>
    <w:p w:rsidR="007552EE" w:rsidRPr="00E54E68" w:rsidRDefault="007552EE" w:rsidP="007552EE">
      <w:pPr>
        <w:spacing w:line="276" w:lineRule="auto"/>
        <w:rPr>
          <w:rFonts w:asciiTheme="minorHAnsi" w:eastAsiaTheme="minorHAnsi" w:hAnsiTheme="minorHAnsi"/>
          <w:szCs w:val="22"/>
          <w:lang w:eastAsia="en-US"/>
        </w:rPr>
      </w:pPr>
      <w:r w:rsidRPr="002324FB">
        <w:rPr>
          <w:rFonts w:asciiTheme="minorHAnsi" w:eastAsiaTheme="minorHAnsi" w:hAnsiTheme="minorHAnsi"/>
          <w:szCs w:val="22"/>
          <w:lang w:eastAsia="en-US"/>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7552EE" w:rsidRPr="00E54E68" w:rsidRDefault="007552EE" w:rsidP="007552EE">
      <w:pPr>
        <w:pStyle w:val="2-SectionHeading"/>
        <w:numPr>
          <w:ilvl w:val="0"/>
          <w:numId w:val="5"/>
        </w:numPr>
        <w:rPr>
          <w:rFonts w:eastAsiaTheme="minorHAnsi"/>
          <w:szCs w:val="22"/>
          <w:lang w:eastAsia="en-US"/>
        </w:rPr>
      </w:pPr>
      <w:r w:rsidRPr="00E54E68">
        <w:rPr>
          <w:rFonts w:eastAsiaTheme="minorHAnsi"/>
          <w:szCs w:val="22"/>
          <w:lang w:eastAsia="en-US"/>
        </w:rPr>
        <w:t>Sponsor’s Comment</w:t>
      </w:r>
    </w:p>
    <w:p w:rsidR="007552EE" w:rsidRPr="00C553D2" w:rsidRDefault="00260476" w:rsidP="00867A4F">
      <w:pPr>
        <w:spacing w:before="120" w:after="120"/>
        <w:rPr>
          <w:rFonts w:asciiTheme="minorHAnsi" w:hAnsiTheme="minorHAnsi" w:cstheme="minorHAnsi"/>
          <w:b/>
          <w:i/>
          <w:color w:val="1F497D"/>
          <w:sz w:val="22"/>
          <w:szCs w:val="22"/>
          <w:lang w:eastAsia="en-US"/>
        </w:rPr>
      </w:pPr>
      <w:r w:rsidRPr="00260476">
        <w:rPr>
          <w:rFonts w:asciiTheme="minorHAnsi" w:eastAsiaTheme="minorHAnsi" w:hAnsiTheme="minorHAnsi"/>
          <w:bCs/>
          <w:szCs w:val="22"/>
          <w:lang w:val="en-GB" w:eastAsia="en-US"/>
        </w:rPr>
        <w:t>MSD is pleased with the positive recommendation by the PBAC for this indication, and is working with the Department to achieve a listing on the PBS as soon as possible</w:t>
      </w:r>
      <w:r>
        <w:rPr>
          <w:rFonts w:asciiTheme="minorHAnsi" w:eastAsiaTheme="minorHAnsi" w:hAnsiTheme="minorHAnsi"/>
          <w:bCs/>
          <w:szCs w:val="22"/>
          <w:lang w:val="en-GB" w:eastAsia="en-US"/>
        </w:rPr>
        <w:t>.</w:t>
      </w:r>
    </w:p>
    <w:sectPr w:rsidR="007552EE" w:rsidRPr="00C553D2" w:rsidSect="00C27B5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6E4" w:rsidRDefault="009D06E4">
      <w:r>
        <w:separator/>
      </w:r>
    </w:p>
    <w:p w:rsidR="009D06E4" w:rsidRDefault="009D06E4"/>
  </w:endnote>
  <w:endnote w:type="continuationSeparator" w:id="0">
    <w:p w:rsidR="009D06E4" w:rsidRDefault="009D06E4">
      <w:r>
        <w:continuationSeparator/>
      </w:r>
    </w:p>
    <w:p w:rsidR="009D06E4" w:rsidRDefault="009D06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ACFFCFA" w:usb2="00000016" w:usb3="00000000" w:csb0="00100001" w:csb1="00000000"/>
  </w:font>
  <w:font w:name="Arial Bold">
    <w:altName w:val="Arial"/>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197551" w:rsidTr="005A3173">
      <w:trPr>
        <w:trHeight w:val="151"/>
      </w:trPr>
      <w:tc>
        <w:tcPr>
          <w:tcW w:w="2250" w:type="pct"/>
          <w:tcBorders>
            <w:top w:val="nil"/>
            <w:left w:val="nil"/>
            <w:bottom w:val="single" w:sz="4" w:space="0" w:color="4F81BD"/>
            <w:right w:val="nil"/>
          </w:tcBorders>
        </w:tcPr>
        <w:p w:rsidR="00197551" w:rsidRPr="005A3173" w:rsidRDefault="00197551" w:rsidP="005A3173">
          <w:pPr>
            <w:pStyle w:val="Header"/>
            <w:spacing w:line="276" w:lineRule="auto"/>
            <w:rPr>
              <w:rFonts w:ascii="Calibri" w:eastAsia="MS Gothic" w:hAnsi="Calibri"/>
              <w:b/>
              <w:bCs/>
              <w:color w:val="4F81BD"/>
            </w:rPr>
          </w:pPr>
        </w:p>
      </w:tc>
      <w:tc>
        <w:tcPr>
          <w:tcW w:w="500" w:type="pct"/>
          <w:vMerge w:val="restart"/>
          <w:noWrap/>
          <w:vAlign w:val="center"/>
          <w:hideMark/>
        </w:tcPr>
        <w:p w:rsidR="00197551" w:rsidRPr="005A3173" w:rsidRDefault="00197551"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197551" w:rsidRPr="005A3173" w:rsidRDefault="00197551" w:rsidP="005A3173">
          <w:pPr>
            <w:pStyle w:val="Header"/>
            <w:spacing w:line="276" w:lineRule="auto"/>
            <w:rPr>
              <w:rFonts w:ascii="Calibri" w:eastAsia="MS Gothic" w:hAnsi="Calibri"/>
              <w:b/>
              <w:bCs/>
              <w:color w:val="4F81BD"/>
            </w:rPr>
          </w:pPr>
        </w:p>
      </w:tc>
    </w:tr>
    <w:tr w:rsidR="00197551" w:rsidTr="005A3173">
      <w:trPr>
        <w:trHeight w:val="150"/>
      </w:trPr>
      <w:tc>
        <w:tcPr>
          <w:tcW w:w="2250" w:type="pct"/>
          <w:tcBorders>
            <w:top w:val="single" w:sz="4" w:space="0" w:color="4F81BD"/>
            <w:left w:val="nil"/>
            <w:bottom w:val="nil"/>
            <w:right w:val="nil"/>
          </w:tcBorders>
        </w:tcPr>
        <w:p w:rsidR="00197551" w:rsidRPr="005A3173" w:rsidRDefault="00197551" w:rsidP="005A3173">
          <w:pPr>
            <w:pStyle w:val="Header"/>
            <w:spacing w:line="276" w:lineRule="auto"/>
            <w:rPr>
              <w:rFonts w:ascii="Calibri" w:eastAsia="MS Gothic" w:hAnsi="Calibri"/>
              <w:b/>
              <w:bCs/>
              <w:color w:val="4F81BD"/>
            </w:rPr>
          </w:pPr>
        </w:p>
      </w:tc>
      <w:tc>
        <w:tcPr>
          <w:tcW w:w="0" w:type="auto"/>
          <w:vMerge/>
          <w:vAlign w:val="center"/>
          <w:hideMark/>
        </w:tcPr>
        <w:p w:rsidR="00197551" w:rsidRPr="005A3173" w:rsidRDefault="00197551" w:rsidP="005A3173">
          <w:pPr>
            <w:rPr>
              <w:rFonts w:ascii="Calibri" w:hAnsi="Calibri"/>
              <w:color w:val="365F91"/>
              <w:sz w:val="22"/>
              <w:szCs w:val="22"/>
            </w:rPr>
          </w:pPr>
        </w:p>
      </w:tc>
      <w:tc>
        <w:tcPr>
          <w:tcW w:w="2250" w:type="pct"/>
          <w:tcBorders>
            <w:top w:val="single" w:sz="4" w:space="0" w:color="4F81BD"/>
            <w:left w:val="nil"/>
            <w:bottom w:val="nil"/>
            <w:right w:val="nil"/>
          </w:tcBorders>
        </w:tcPr>
        <w:p w:rsidR="00197551" w:rsidRPr="005A3173" w:rsidRDefault="00197551" w:rsidP="005A3173">
          <w:pPr>
            <w:pStyle w:val="Header"/>
            <w:spacing w:line="276" w:lineRule="auto"/>
            <w:rPr>
              <w:rFonts w:ascii="Calibri" w:eastAsia="MS Gothic" w:hAnsi="Calibri"/>
              <w:b/>
              <w:bCs/>
              <w:color w:val="4F81BD"/>
            </w:rPr>
          </w:pPr>
        </w:p>
      </w:tc>
    </w:tr>
  </w:tbl>
  <w:p w:rsidR="00197551" w:rsidRDefault="00197551"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97551" w:rsidRDefault="00197551">
    <w:pPr>
      <w:pStyle w:val="Footer"/>
    </w:pPr>
  </w:p>
  <w:p w:rsidR="00197551" w:rsidRDefault="0019755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551" w:rsidRPr="004B5C44" w:rsidRDefault="00197551">
    <w:pPr>
      <w:pStyle w:val="Footer"/>
      <w:jc w:val="center"/>
      <w:rPr>
        <w:rFonts w:asciiTheme="minorHAnsi" w:hAnsiTheme="minorHAnsi" w:cstheme="minorHAnsi"/>
      </w:rPr>
    </w:pPr>
  </w:p>
  <w:p w:rsidR="00197551" w:rsidRPr="004B5C44" w:rsidRDefault="009D06E4" w:rsidP="004B5C44">
    <w:pPr>
      <w:pStyle w:val="Footer"/>
      <w:jc w:val="center"/>
      <w:rPr>
        <w:rFonts w:asciiTheme="minorHAnsi" w:hAnsiTheme="minorHAnsi" w:cstheme="minorHAnsi"/>
        <w:b/>
      </w:rPr>
    </w:pPr>
    <w:sdt>
      <w:sdtPr>
        <w:id w:val="821315202"/>
        <w:docPartObj>
          <w:docPartGallery w:val="Page Numbers (Bottom of Page)"/>
          <w:docPartUnique/>
        </w:docPartObj>
      </w:sdtPr>
      <w:sdtEndPr>
        <w:rPr>
          <w:rFonts w:asciiTheme="minorHAnsi" w:hAnsiTheme="minorHAnsi" w:cstheme="minorHAnsi"/>
          <w:b/>
          <w:noProof/>
        </w:rPr>
      </w:sdtEndPr>
      <w:sdtContent>
        <w:r w:rsidR="00197551" w:rsidRPr="0039130A">
          <w:rPr>
            <w:rFonts w:asciiTheme="minorHAnsi" w:hAnsiTheme="minorHAnsi" w:cstheme="minorHAnsi"/>
            <w:b/>
          </w:rPr>
          <w:fldChar w:fldCharType="begin"/>
        </w:r>
        <w:r w:rsidR="00197551" w:rsidRPr="0039130A">
          <w:rPr>
            <w:rFonts w:asciiTheme="minorHAnsi" w:hAnsiTheme="minorHAnsi" w:cstheme="minorHAnsi"/>
            <w:b/>
          </w:rPr>
          <w:instrText xml:space="preserve"> PAGE   \* MERGEFORMAT </w:instrText>
        </w:r>
        <w:r w:rsidR="00197551" w:rsidRPr="0039130A">
          <w:rPr>
            <w:rFonts w:asciiTheme="minorHAnsi" w:hAnsiTheme="minorHAnsi" w:cstheme="minorHAnsi"/>
            <w:b/>
          </w:rPr>
          <w:fldChar w:fldCharType="separate"/>
        </w:r>
        <w:r>
          <w:rPr>
            <w:rFonts w:asciiTheme="minorHAnsi" w:hAnsiTheme="minorHAnsi" w:cstheme="minorHAnsi"/>
            <w:b/>
            <w:noProof/>
          </w:rPr>
          <w:t>1</w:t>
        </w:r>
        <w:r w:rsidR="00197551" w:rsidRPr="0039130A">
          <w:rPr>
            <w:rFonts w:asciiTheme="minorHAnsi" w:hAnsiTheme="minorHAnsi" w:cstheme="minorHAnsi"/>
            <w:b/>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995"/>
      <w:gridCol w:w="1252"/>
      <w:gridCol w:w="3995"/>
    </w:tblGrid>
    <w:tr w:rsidR="00197551" w:rsidTr="005A3173">
      <w:trPr>
        <w:trHeight w:val="151"/>
      </w:trPr>
      <w:tc>
        <w:tcPr>
          <w:tcW w:w="2250" w:type="pct"/>
          <w:tcBorders>
            <w:top w:val="nil"/>
            <w:left w:val="nil"/>
            <w:bottom w:val="single" w:sz="4" w:space="0" w:color="4F81BD"/>
            <w:right w:val="nil"/>
          </w:tcBorders>
        </w:tcPr>
        <w:p w:rsidR="00197551" w:rsidRPr="005A3173" w:rsidRDefault="00197551" w:rsidP="005A3173">
          <w:pPr>
            <w:pStyle w:val="Header"/>
            <w:spacing w:line="276" w:lineRule="auto"/>
            <w:rPr>
              <w:rFonts w:ascii="Calibri" w:eastAsia="MS Gothic" w:hAnsi="Calibri"/>
              <w:b/>
              <w:bCs/>
              <w:color w:val="4F81BD"/>
            </w:rPr>
          </w:pPr>
        </w:p>
      </w:tc>
      <w:tc>
        <w:tcPr>
          <w:tcW w:w="500" w:type="pct"/>
          <w:vMerge w:val="restart"/>
          <w:noWrap/>
          <w:vAlign w:val="center"/>
          <w:hideMark/>
        </w:tcPr>
        <w:p w:rsidR="00197551" w:rsidRPr="005A3173" w:rsidRDefault="00197551"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197551" w:rsidRPr="005A3173" w:rsidRDefault="00197551" w:rsidP="005A3173">
          <w:pPr>
            <w:pStyle w:val="Header"/>
            <w:spacing w:line="276" w:lineRule="auto"/>
            <w:rPr>
              <w:rFonts w:ascii="Calibri" w:eastAsia="MS Gothic" w:hAnsi="Calibri"/>
              <w:b/>
              <w:bCs/>
              <w:color w:val="4F81BD"/>
            </w:rPr>
          </w:pPr>
        </w:p>
      </w:tc>
    </w:tr>
    <w:tr w:rsidR="00197551" w:rsidTr="005A3173">
      <w:trPr>
        <w:trHeight w:val="150"/>
      </w:trPr>
      <w:tc>
        <w:tcPr>
          <w:tcW w:w="2250" w:type="pct"/>
          <w:tcBorders>
            <w:top w:val="single" w:sz="4" w:space="0" w:color="4F81BD"/>
            <w:left w:val="nil"/>
            <w:bottom w:val="nil"/>
            <w:right w:val="nil"/>
          </w:tcBorders>
        </w:tcPr>
        <w:p w:rsidR="00197551" w:rsidRPr="005A3173" w:rsidRDefault="00197551" w:rsidP="005A3173">
          <w:pPr>
            <w:pStyle w:val="Header"/>
            <w:spacing w:line="276" w:lineRule="auto"/>
            <w:rPr>
              <w:rFonts w:ascii="Calibri" w:eastAsia="MS Gothic" w:hAnsi="Calibri"/>
              <w:b/>
              <w:bCs/>
              <w:color w:val="4F81BD"/>
            </w:rPr>
          </w:pPr>
        </w:p>
      </w:tc>
      <w:tc>
        <w:tcPr>
          <w:tcW w:w="0" w:type="auto"/>
          <w:vMerge/>
          <w:vAlign w:val="center"/>
          <w:hideMark/>
        </w:tcPr>
        <w:p w:rsidR="00197551" w:rsidRPr="005A3173" w:rsidRDefault="00197551" w:rsidP="005A3173">
          <w:pPr>
            <w:rPr>
              <w:rFonts w:ascii="Calibri" w:hAnsi="Calibri"/>
              <w:color w:val="365F91"/>
              <w:sz w:val="22"/>
              <w:szCs w:val="22"/>
            </w:rPr>
          </w:pPr>
        </w:p>
      </w:tc>
      <w:tc>
        <w:tcPr>
          <w:tcW w:w="2250" w:type="pct"/>
          <w:tcBorders>
            <w:top w:val="single" w:sz="4" w:space="0" w:color="4F81BD"/>
            <w:left w:val="nil"/>
            <w:bottom w:val="nil"/>
            <w:right w:val="nil"/>
          </w:tcBorders>
        </w:tcPr>
        <w:p w:rsidR="00197551" w:rsidRPr="005A3173" w:rsidRDefault="00197551"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197551" w:rsidTr="005A3173">
      <w:trPr>
        <w:trHeight w:val="151"/>
      </w:trPr>
      <w:tc>
        <w:tcPr>
          <w:tcW w:w="2250" w:type="pct"/>
          <w:tcBorders>
            <w:top w:val="nil"/>
            <w:left w:val="nil"/>
            <w:bottom w:val="single" w:sz="4" w:space="0" w:color="4F81BD"/>
            <w:right w:val="nil"/>
          </w:tcBorders>
        </w:tcPr>
        <w:p w:rsidR="00197551" w:rsidRPr="005A3173" w:rsidRDefault="00197551" w:rsidP="005A3173">
          <w:pPr>
            <w:pStyle w:val="Header"/>
            <w:spacing w:line="276" w:lineRule="auto"/>
            <w:rPr>
              <w:rFonts w:ascii="Calibri" w:eastAsia="MS Gothic" w:hAnsi="Calibri"/>
              <w:b/>
              <w:bCs/>
              <w:color w:val="4F81BD"/>
            </w:rPr>
          </w:pPr>
        </w:p>
      </w:tc>
      <w:tc>
        <w:tcPr>
          <w:tcW w:w="500" w:type="pct"/>
          <w:vMerge w:val="restart"/>
          <w:noWrap/>
          <w:vAlign w:val="center"/>
          <w:hideMark/>
        </w:tcPr>
        <w:p w:rsidR="00197551" w:rsidRPr="005A3173" w:rsidRDefault="00197551"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197551" w:rsidRPr="005A3173" w:rsidRDefault="00197551" w:rsidP="005A3173">
          <w:pPr>
            <w:pStyle w:val="Header"/>
            <w:spacing w:line="276" w:lineRule="auto"/>
            <w:rPr>
              <w:rFonts w:ascii="Calibri" w:eastAsia="MS Gothic" w:hAnsi="Calibri"/>
              <w:b/>
              <w:bCs/>
              <w:color w:val="4F81BD"/>
            </w:rPr>
          </w:pPr>
        </w:p>
      </w:tc>
    </w:tr>
    <w:tr w:rsidR="00197551" w:rsidTr="005A3173">
      <w:trPr>
        <w:trHeight w:val="150"/>
      </w:trPr>
      <w:tc>
        <w:tcPr>
          <w:tcW w:w="2250" w:type="pct"/>
          <w:tcBorders>
            <w:top w:val="single" w:sz="4" w:space="0" w:color="4F81BD"/>
            <w:left w:val="nil"/>
            <w:bottom w:val="nil"/>
            <w:right w:val="nil"/>
          </w:tcBorders>
        </w:tcPr>
        <w:p w:rsidR="00197551" w:rsidRPr="005A3173" w:rsidRDefault="00197551" w:rsidP="005A3173">
          <w:pPr>
            <w:pStyle w:val="Header"/>
            <w:spacing w:line="276" w:lineRule="auto"/>
            <w:rPr>
              <w:rFonts w:ascii="Calibri" w:eastAsia="MS Gothic" w:hAnsi="Calibri"/>
              <w:b/>
              <w:bCs/>
              <w:color w:val="4F81BD"/>
            </w:rPr>
          </w:pPr>
        </w:p>
      </w:tc>
      <w:tc>
        <w:tcPr>
          <w:tcW w:w="0" w:type="auto"/>
          <w:vMerge/>
          <w:vAlign w:val="center"/>
          <w:hideMark/>
        </w:tcPr>
        <w:p w:rsidR="00197551" w:rsidRPr="005A3173" w:rsidRDefault="00197551" w:rsidP="005A3173">
          <w:pPr>
            <w:rPr>
              <w:rFonts w:ascii="Calibri" w:hAnsi="Calibri"/>
              <w:color w:val="365F91"/>
              <w:sz w:val="22"/>
              <w:szCs w:val="22"/>
            </w:rPr>
          </w:pPr>
        </w:p>
      </w:tc>
      <w:tc>
        <w:tcPr>
          <w:tcW w:w="2250" w:type="pct"/>
          <w:tcBorders>
            <w:top w:val="single" w:sz="4" w:space="0" w:color="4F81BD"/>
            <w:left w:val="nil"/>
            <w:bottom w:val="nil"/>
            <w:right w:val="nil"/>
          </w:tcBorders>
        </w:tcPr>
        <w:p w:rsidR="00197551" w:rsidRPr="005A3173" w:rsidRDefault="00197551" w:rsidP="005A3173">
          <w:pPr>
            <w:pStyle w:val="Header"/>
            <w:spacing w:line="276" w:lineRule="auto"/>
            <w:rPr>
              <w:rFonts w:ascii="Calibri" w:eastAsia="MS Gothic" w:hAnsi="Calibri"/>
              <w:b/>
              <w:bCs/>
              <w:color w:val="4F81BD"/>
            </w:rPr>
          </w:pPr>
        </w:p>
      </w:tc>
    </w:tr>
  </w:tbl>
  <w:p w:rsidR="00197551" w:rsidRPr="007C0F57" w:rsidRDefault="00197551"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197551" w:rsidRPr="007C0F57" w:rsidRDefault="00197551" w:rsidP="007C0F57">
    <w:pPr>
      <w:pStyle w:val="Footer"/>
      <w:jc w:val="center"/>
      <w:rPr>
        <w:b/>
        <w:i/>
        <w:sz w:val="20"/>
        <w:szCs w:val="20"/>
      </w:rPr>
    </w:pPr>
    <w:r w:rsidRPr="007C0F57">
      <w:rPr>
        <w:b/>
        <w:i/>
        <w:sz w:val="20"/>
        <w:szCs w:val="20"/>
      </w:rPr>
      <w:t>Commercial-in-Confidence</w:t>
    </w:r>
  </w:p>
  <w:p w:rsidR="00197551" w:rsidRDefault="0019755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6E4" w:rsidRDefault="009D06E4">
      <w:r>
        <w:separator/>
      </w:r>
    </w:p>
    <w:p w:rsidR="009D06E4" w:rsidRDefault="009D06E4"/>
  </w:footnote>
  <w:footnote w:type="continuationSeparator" w:id="0">
    <w:p w:rsidR="009D06E4" w:rsidRDefault="009D06E4">
      <w:r>
        <w:continuationSeparator/>
      </w:r>
    </w:p>
    <w:p w:rsidR="009D06E4" w:rsidRDefault="009D06E4"/>
  </w:footnote>
  <w:footnote w:id="1">
    <w:p w:rsidR="00197551" w:rsidRDefault="00197551" w:rsidP="00967868">
      <w:pPr>
        <w:pStyle w:val="FootnoteText"/>
      </w:pPr>
      <w:r>
        <w:rPr>
          <w:rStyle w:val="FootnoteReference"/>
        </w:rPr>
        <w:footnoteRef/>
      </w:r>
      <w:r>
        <w:t xml:space="preserve"> </w:t>
      </w:r>
      <w:r w:rsidRPr="002B02E0">
        <w:rPr>
          <w:rFonts w:asciiTheme="minorHAnsi" w:hAnsiTheme="minorHAnsi"/>
          <w:bCs/>
        </w:rPr>
        <w:t xml:space="preserve">Cherny N, Dafni U, Bogaerts J, et al. ESMO-magnitude of clinical benefits scale, version 1.1. </w:t>
      </w:r>
      <w:r w:rsidRPr="002B02E0">
        <w:rPr>
          <w:rFonts w:asciiTheme="minorHAnsi" w:hAnsiTheme="minorHAnsi"/>
          <w:bCs/>
          <w:i/>
        </w:rPr>
        <w:t>Annals of Oncology</w:t>
      </w:r>
      <w:r w:rsidRPr="002B02E0">
        <w:rPr>
          <w:rFonts w:asciiTheme="minorHAnsi" w:hAnsiTheme="minorHAnsi"/>
          <w:bCs/>
        </w:rPr>
        <w:t>. 2017; 28: 2340-2366.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197551" w:rsidRPr="008E0D90" w:rsidTr="00A06225">
      <w:trPr>
        <w:trHeight w:val="151"/>
      </w:trPr>
      <w:tc>
        <w:tcPr>
          <w:tcW w:w="2389" w:type="pct"/>
          <w:tcBorders>
            <w:top w:val="nil"/>
            <w:left w:val="nil"/>
            <w:bottom w:val="single" w:sz="4" w:space="0" w:color="4F81BD"/>
            <w:right w:val="nil"/>
          </w:tcBorders>
        </w:tcPr>
        <w:p w:rsidR="00197551" w:rsidRPr="00A06225" w:rsidRDefault="00197551">
          <w:pPr>
            <w:pStyle w:val="Header"/>
            <w:spacing w:line="276" w:lineRule="auto"/>
            <w:rPr>
              <w:rFonts w:ascii="Cambria" w:eastAsia="MS Gothic" w:hAnsi="Cambria"/>
              <w:b/>
              <w:bCs/>
              <w:color w:val="4F81BD"/>
            </w:rPr>
          </w:pPr>
        </w:p>
      </w:tc>
      <w:tc>
        <w:tcPr>
          <w:tcW w:w="333" w:type="pct"/>
          <w:vMerge w:val="restart"/>
          <w:noWrap/>
          <w:vAlign w:val="center"/>
          <w:hideMark/>
        </w:tcPr>
        <w:p w:rsidR="00197551" w:rsidRPr="00A06225" w:rsidRDefault="00197551"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197551" w:rsidRPr="00A06225" w:rsidRDefault="00197551">
          <w:pPr>
            <w:pStyle w:val="Header"/>
            <w:spacing w:line="276" w:lineRule="auto"/>
            <w:rPr>
              <w:rFonts w:ascii="Cambria" w:eastAsia="MS Gothic" w:hAnsi="Cambria"/>
              <w:b/>
              <w:bCs/>
              <w:color w:val="4F81BD"/>
            </w:rPr>
          </w:pPr>
        </w:p>
      </w:tc>
    </w:tr>
    <w:tr w:rsidR="00197551" w:rsidRPr="008E0D90" w:rsidTr="00A06225">
      <w:trPr>
        <w:trHeight w:val="150"/>
      </w:trPr>
      <w:tc>
        <w:tcPr>
          <w:tcW w:w="2389" w:type="pct"/>
          <w:tcBorders>
            <w:top w:val="single" w:sz="4" w:space="0" w:color="4F81BD"/>
            <w:left w:val="nil"/>
            <w:bottom w:val="nil"/>
            <w:right w:val="nil"/>
          </w:tcBorders>
        </w:tcPr>
        <w:p w:rsidR="00197551" w:rsidRPr="00A06225" w:rsidRDefault="00197551">
          <w:pPr>
            <w:pStyle w:val="Header"/>
            <w:spacing w:line="276" w:lineRule="auto"/>
            <w:rPr>
              <w:rFonts w:ascii="Cambria" w:eastAsia="MS Gothic" w:hAnsi="Cambria"/>
              <w:b/>
              <w:bCs/>
              <w:color w:val="4F81BD"/>
            </w:rPr>
          </w:pPr>
        </w:p>
      </w:tc>
      <w:tc>
        <w:tcPr>
          <w:tcW w:w="0" w:type="auto"/>
          <w:vMerge/>
          <w:vAlign w:val="center"/>
          <w:hideMark/>
        </w:tcPr>
        <w:p w:rsidR="00197551" w:rsidRPr="00A06225" w:rsidRDefault="00197551">
          <w:pPr>
            <w:rPr>
              <w:rFonts w:ascii="Cambria" w:hAnsi="Cambria"/>
              <w:color w:val="4F81BD"/>
              <w:sz w:val="22"/>
              <w:szCs w:val="22"/>
            </w:rPr>
          </w:pPr>
        </w:p>
      </w:tc>
      <w:tc>
        <w:tcPr>
          <w:tcW w:w="2278" w:type="pct"/>
          <w:tcBorders>
            <w:top w:val="single" w:sz="4" w:space="0" w:color="4F81BD"/>
            <w:left w:val="nil"/>
            <w:bottom w:val="nil"/>
            <w:right w:val="nil"/>
          </w:tcBorders>
        </w:tcPr>
        <w:p w:rsidR="00197551" w:rsidRPr="00A06225" w:rsidRDefault="00197551">
          <w:pPr>
            <w:pStyle w:val="Header"/>
            <w:spacing w:line="276" w:lineRule="auto"/>
            <w:rPr>
              <w:rFonts w:ascii="Cambria" w:eastAsia="MS Gothic" w:hAnsi="Cambria"/>
              <w:b/>
              <w:bCs/>
              <w:color w:val="4F81BD"/>
            </w:rPr>
          </w:pPr>
        </w:p>
      </w:tc>
    </w:tr>
  </w:tbl>
  <w:p w:rsidR="00197551" w:rsidRDefault="00197551">
    <w:pPr>
      <w:pStyle w:val="Header"/>
    </w:pPr>
  </w:p>
  <w:p w:rsidR="00197551" w:rsidRDefault="0019755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551" w:rsidRPr="0039130A" w:rsidRDefault="007552EE" w:rsidP="0039130A">
    <w:pPr>
      <w:pStyle w:val="MinorOVRHeader"/>
      <w:jc w:val="center"/>
      <w:rPr>
        <w:i/>
      </w:rPr>
    </w:pPr>
    <w:r>
      <w:rPr>
        <w:i/>
      </w:rPr>
      <w:t>Public Summary Document</w:t>
    </w:r>
    <w:r w:rsidR="00197551" w:rsidRPr="0039130A">
      <w:rPr>
        <w:i/>
      </w:rPr>
      <w:t xml:space="preserve"> – March 2020 PBAC meeting</w:t>
    </w:r>
  </w:p>
  <w:p w:rsidR="00197551" w:rsidRPr="004B5C44" w:rsidRDefault="00197551" w:rsidP="00A128E6">
    <w:pPr>
      <w:pStyle w:val="NoSpacing"/>
      <w:rPr>
        <w:rFonts w:asciiTheme="minorHAnsi" w:hAnsiTheme="minorHAnsi" w:cstheme="minorHAnsi"/>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6E4" w:rsidRDefault="009D06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15:restartNumberingAfterBreak="0">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7A15F27"/>
    <w:multiLevelType w:val="hybridMultilevel"/>
    <w:tmpl w:val="95D235A4"/>
    <w:lvl w:ilvl="0" w:tplc="51B63132">
      <w:start w:val="1"/>
      <w:numFmt w:val="bullet"/>
      <w:lvlText w:val=""/>
      <w:lvlJc w:val="left"/>
      <w:pPr>
        <w:ind w:left="1440" w:hanging="360"/>
      </w:pPr>
      <w:rPr>
        <w:rFonts w:ascii="Symbol" w:hAnsi="Symbol" w:hint="default"/>
        <w:color w:val="000000" w:themeColor="text1"/>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08BF304D"/>
    <w:multiLevelType w:val="multilevel"/>
    <w:tmpl w:val="8F6E1072"/>
    <w:lvl w:ilvl="0">
      <w:start w:val="1"/>
      <w:numFmt w:val="decimal"/>
      <w:lvlText w:val="%1."/>
      <w:lvlJc w:val="left"/>
      <w:pPr>
        <w:ind w:left="720" w:hanging="720"/>
      </w:pPr>
      <w:rPr>
        <w:rFonts w:asciiTheme="minorHAnsi" w:eastAsiaTheme="majorEastAsia" w:hAnsiTheme="minorHAnsi" w:cstheme="majorBidi"/>
        <w:b/>
      </w:rPr>
    </w:lvl>
    <w:lvl w:ilvl="1">
      <w:start w:val="1"/>
      <w:numFmt w:val="bullet"/>
      <w:lvlText w:val=""/>
      <w:lvlJc w:val="left"/>
      <w:pPr>
        <w:ind w:left="720" w:hanging="720"/>
      </w:pPr>
      <w:rPr>
        <w:rFonts w:ascii="Symbol" w:hAnsi="Symbol"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3C6F06"/>
    <w:multiLevelType w:val="hybridMultilevel"/>
    <w:tmpl w:val="3CBC5638"/>
    <w:lvl w:ilvl="0" w:tplc="42701A2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2C921A4F"/>
    <w:multiLevelType w:val="hybridMultilevel"/>
    <w:tmpl w:val="7690EF34"/>
    <w:lvl w:ilvl="0" w:tplc="952C4F4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5234A50"/>
    <w:multiLevelType w:val="hybridMultilevel"/>
    <w:tmpl w:val="59CC6AE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39332A"/>
    <w:multiLevelType w:val="hybridMultilevel"/>
    <w:tmpl w:val="219A6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18636E7"/>
    <w:multiLevelType w:val="hybridMultilevel"/>
    <w:tmpl w:val="2F568148"/>
    <w:lvl w:ilvl="0" w:tplc="4B1843C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7"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B632B8A"/>
    <w:multiLevelType w:val="multilevel"/>
    <w:tmpl w:val="0B647430"/>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B9525B3"/>
    <w:multiLevelType w:val="hybridMultilevel"/>
    <w:tmpl w:val="02943EC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63556D87"/>
    <w:multiLevelType w:val="multilevel"/>
    <w:tmpl w:val="3F5CFBE0"/>
    <w:lvl w:ilvl="0">
      <w:start w:val="1"/>
      <w:numFmt w:val="decimal"/>
      <w:lvlText w:val="%1."/>
      <w:lvlJc w:val="left"/>
      <w:pPr>
        <w:ind w:left="720" w:hanging="720"/>
      </w:pPr>
      <w:rPr>
        <w:rFonts w:asciiTheme="minorHAnsi" w:eastAsiaTheme="majorEastAsia" w:hAnsiTheme="minorHAnsi" w:cstheme="majorBidi"/>
        <w:b/>
      </w:rPr>
    </w:lvl>
    <w:lvl w:ilvl="1">
      <w:start w:val="1"/>
      <w:numFmt w:val="bullet"/>
      <w:lvlText w:val=""/>
      <w:lvlJc w:val="left"/>
      <w:pPr>
        <w:ind w:left="720" w:hanging="720"/>
      </w:pPr>
      <w:rPr>
        <w:rFonts w:ascii="Symbol" w:hAnsi="Symbol" w:hint="default"/>
        <w:i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6A1736B"/>
    <w:multiLevelType w:val="multilevel"/>
    <w:tmpl w:val="8F6E1072"/>
    <w:lvl w:ilvl="0">
      <w:start w:val="1"/>
      <w:numFmt w:val="decimal"/>
      <w:lvlText w:val="%1."/>
      <w:lvlJc w:val="left"/>
      <w:pPr>
        <w:ind w:left="720" w:hanging="720"/>
      </w:pPr>
      <w:rPr>
        <w:rFonts w:asciiTheme="minorHAnsi" w:eastAsiaTheme="majorEastAsia" w:hAnsiTheme="minorHAnsi" w:cstheme="majorBidi"/>
        <w:b/>
      </w:rPr>
    </w:lvl>
    <w:lvl w:ilvl="1">
      <w:start w:val="1"/>
      <w:numFmt w:val="bullet"/>
      <w:lvlText w:val=""/>
      <w:lvlJc w:val="left"/>
      <w:pPr>
        <w:ind w:left="720" w:hanging="720"/>
      </w:pPr>
      <w:rPr>
        <w:rFonts w:ascii="Symbol" w:hAnsi="Symbol"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C4561B8"/>
    <w:multiLevelType w:val="hybridMultilevel"/>
    <w:tmpl w:val="7A4C5236"/>
    <w:lvl w:ilvl="0" w:tplc="8462083E">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D3C6E66"/>
    <w:multiLevelType w:val="hybridMultilevel"/>
    <w:tmpl w:val="FC20E17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51E40C7"/>
    <w:multiLevelType w:val="hybridMultilevel"/>
    <w:tmpl w:val="840641B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84D033C"/>
    <w:multiLevelType w:val="multilevel"/>
    <w:tmpl w:val="1F462E2C"/>
    <w:lvl w:ilvl="0">
      <w:start w:val="1"/>
      <w:numFmt w:val="decimal"/>
      <w:lvlText w:val="%1"/>
      <w:lvlJc w:val="left"/>
      <w:pPr>
        <w:ind w:left="720" w:hanging="720"/>
      </w:pPr>
      <w:rPr>
        <w:rFonts w:hint="default"/>
        <w:b/>
        <w:i w:val="0"/>
      </w:rPr>
    </w:lvl>
    <w:lvl w:ilvl="1">
      <w:start w:val="1"/>
      <w:numFmt w:val="decimal"/>
      <w:pStyle w:val="3Bodytext"/>
      <w:lvlText w:val="%1.%2"/>
      <w:lvlJc w:val="left"/>
      <w:pPr>
        <w:ind w:left="720" w:hanging="720"/>
      </w:pPr>
      <w:rPr>
        <w:rFonts w:asciiTheme="minorHAnsi" w:hAnsiTheme="minorHAnsi" w:cstheme="minorHAnsi" w:hint="default"/>
        <w:i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9935C3B"/>
    <w:multiLevelType w:val="hybridMultilevel"/>
    <w:tmpl w:val="2446FC7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9"/>
  </w:num>
  <w:num w:numId="4">
    <w:abstractNumId w:val="23"/>
  </w:num>
  <w:num w:numId="5">
    <w:abstractNumId w:val="36"/>
  </w:num>
  <w:num w:numId="6">
    <w:abstractNumId w:val="11"/>
  </w:num>
  <w:num w:numId="7">
    <w:abstractNumId w:val="21"/>
  </w:num>
  <w:num w:numId="8">
    <w:abstractNumId w:val="4"/>
  </w:num>
  <w:num w:numId="9">
    <w:abstractNumId w:val="19"/>
  </w:num>
  <w:num w:numId="10">
    <w:abstractNumId w:val="18"/>
  </w:num>
  <w:num w:numId="11">
    <w:abstractNumId w:val="15"/>
  </w:num>
  <w:num w:numId="12">
    <w:abstractNumId w:val="1"/>
  </w:num>
  <w:num w:numId="13">
    <w:abstractNumId w:val="0"/>
  </w:num>
  <w:num w:numId="14">
    <w:abstractNumId w:val="36"/>
  </w:num>
  <w:num w:numId="15">
    <w:abstractNumId w:val="36"/>
  </w:num>
  <w:num w:numId="16">
    <w:abstractNumId w:val="36"/>
  </w:num>
  <w:num w:numId="17">
    <w:abstractNumId w:val="30"/>
  </w:num>
  <w:num w:numId="18">
    <w:abstractNumId w:val="24"/>
  </w:num>
  <w:num w:numId="19">
    <w:abstractNumId w:val="5"/>
  </w:num>
  <w:num w:numId="20">
    <w:abstractNumId w:val="28"/>
  </w:num>
  <w:num w:numId="21">
    <w:abstractNumId w:val="6"/>
  </w:num>
  <w:num w:numId="22">
    <w:abstractNumId w:val="32"/>
  </w:num>
  <w:num w:numId="23">
    <w:abstractNumId w:val="31"/>
  </w:num>
  <w:num w:numId="24">
    <w:abstractNumId w:val="7"/>
  </w:num>
  <w:num w:numId="25">
    <w:abstractNumId w:val="26"/>
  </w:num>
  <w:num w:numId="26">
    <w:abstractNumId w:val="27"/>
  </w:num>
  <w:num w:numId="27">
    <w:abstractNumId w:val="8"/>
  </w:num>
  <w:num w:numId="28">
    <w:abstractNumId w:val="2"/>
  </w:num>
  <w:num w:numId="29">
    <w:abstractNumId w:val="14"/>
  </w:num>
  <w:num w:numId="30">
    <w:abstractNumId w:val="17"/>
  </w:num>
  <w:num w:numId="31">
    <w:abstractNumId w:val="13"/>
  </w:num>
  <w:num w:numId="32">
    <w:abstractNumId w:val="22"/>
  </w:num>
  <w:num w:numId="33">
    <w:abstractNumId w:val="25"/>
  </w:num>
  <w:num w:numId="34">
    <w:abstractNumId w:val="33"/>
  </w:num>
  <w:num w:numId="35">
    <w:abstractNumId w:val="16"/>
  </w:num>
  <w:num w:numId="36">
    <w:abstractNumId w:val="10"/>
  </w:num>
  <w:num w:numId="37">
    <w:abstractNumId w:val="35"/>
  </w:num>
  <w:num w:numId="38">
    <w:abstractNumId w:val="29"/>
  </w:num>
  <w:num w:numId="39">
    <w:abstractNumId w:val="37"/>
  </w:num>
  <w:num w:numId="40">
    <w:abstractNumId w:val="20"/>
  </w:num>
  <w:num w:numId="41">
    <w:abstractNumId w:val="3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40E"/>
    <w:rsid w:val="000025AD"/>
    <w:rsid w:val="0000335D"/>
    <w:rsid w:val="00017CD4"/>
    <w:rsid w:val="00022FAD"/>
    <w:rsid w:val="0002464A"/>
    <w:rsid w:val="00024689"/>
    <w:rsid w:val="00026D02"/>
    <w:rsid w:val="0003106B"/>
    <w:rsid w:val="00034905"/>
    <w:rsid w:val="000421A1"/>
    <w:rsid w:val="0004240E"/>
    <w:rsid w:val="00044673"/>
    <w:rsid w:val="00045E26"/>
    <w:rsid w:val="000514B5"/>
    <w:rsid w:val="00055135"/>
    <w:rsid w:val="00060E64"/>
    <w:rsid w:val="00066755"/>
    <w:rsid w:val="000761D0"/>
    <w:rsid w:val="000763D5"/>
    <w:rsid w:val="00077143"/>
    <w:rsid w:val="00082169"/>
    <w:rsid w:val="000837BC"/>
    <w:rsid w:val="000969AD"/>
    <w:rsid w:val="000A44B2"/>
    <w:rsid w:val="000B238B"/>
    <w:rsid w:val="000B558D"/>
    <w:rsid w:val="000C53B4"/>
    <w:rsid w:val="000C6996"/>
    <w:rsid w:val="000D23BA"/>
    <w:rsid w:val="000E681E"/>
    <w:rsid w:val="000F0003"/>
    <w:rsid w:val="000F3384"/>
    <w:rsid w:val="000F4E6A"/>
    <w:rsid w:val="000F6DF2"/>
    <w:rsid w:val="000F7354"/>
    <w:rsid w:val="0010296F"/>
    <w:rsid w:val="00104227"/>
    <w:rsid w:val="001107BF"/>
    <w:rsid w:val="0012417C"/>
    <w:rsid w:val="001274EF"/>
    <w:rsid w:val="001403AC"/>
    <w:rsid w:val="00140574"/>
    <w:rsid w:val="00142395"/>
    <w:rsid w:val="00142714"/>
    <w:rsid w:val="00143187"/>
    <w:rsid w:val="001452ED"/>
    <w:rsid w:val="00145877"/>
    <w:rsid w:val="00162D4E"/>
    <w:rsid w:val="00163329"/>
    <w:rsid w:val="00164623"/>
    <w:rsid w:val="00165B64"/>
    <w:rsid w:val="00180713"/>
    <w:rsid w:val="001830CE"/>
    <w:rsid w:val="00185881"/>
    <w:rsid w:val="0018643B"/>
    <w:rsid w:val="00191DAB"/>
    <w:rsid w:val="00193A6A"/>
    <w:rsid w:val="00196307"/>
    <w:rsid w:val="00197551"/>
    <w:rsid w:val="001A33EA"/>
    <w:rsid w:val="001B017F"/>
    <w:rsid w:val="001B2BBC"/>
    <w:rsid w:val="001B4AAA"/>
    <w:rsid w:val="001B5129"/>
    <w:rsid w:val="001C0B4C"/>
    <w:rsid w:val="001C0DA8"/>
    <w:rsid w:val="001C1195"/>
    <w:rsid w:val="001E7185"/>
    <w:rsid w:val="001F1850"/>
    <w:rsid w:val="001F5A87"/>
    <w:rsid w:val="001F733D"/>
    <w:rsid w:val="00203FAC"/>
    <w:rsid w:val="00213CFB"/>
    <w:rsid w:val="0021553C"/>
    <w:rsid w:val="0021557B"/>
    <w:rsid w:val="0021610E"/>
    <w:rsid w:val="00217BE1"/>
    <w:rsid w:val="00253499"/>
    <w:rsid w:val="00260476"/>
    <w:rsid w:val="00262B6B"/>
    <w:rsid w:val="00271BA1"/>
    <w:rsid w:val="00271E44"/>
    <w:rsid w:val="002762FA"/>
    <w:rsid w:val="00277505"/>
    <w:rsid w:val="00281A79"/>
    <w:rsid w:val="00281C07"/>
    <w:rsid w:val="0029458F"/>
    <w:rsid w:val="002A0CFF"/>
    <w:rsid w:val="002A104C"/>
    <w:rsid w:val="002A4960"/>
    <w:rsid w:val="002B1AE6"/>
    <w:rsid w:val="002B1CFE"/>
    <w:rsid w:val="002B2DE8"/>
    <w:rsid w:val="002B30F8"/>
    <w:rsid w:val="002B5596"/>
    <w:rsid w:val="002C14DA"/>
    <w:rsid w:val="002C20FD"/>
    <w:rsid w:val="002C212F"/>
    <w:rsid w:val="002C3B6F"/>
    <w:rsid w:val="002D4543"/>
    <w:rsid w:val="002E3153"/>
    <w:rsid w:val="002E72CA"/>
    <w:rsid w:val="002F377F"/>
    <w:rsid w:val="002F52F6"/>
    <w:rsid w:val="002F600D"/>
    <w:rsid w:val="002F6A77"/>
    <w:rsid w:val="00300AD6"/>
    <w:rsid w:val="00312D64"/>
    <w:rsid w:val="003169CB"/>
    <w:rsid w:val="00317C6C"/>
    <w:rsid w:val="003213EC"/>
    <w:rsid w:val="00326E79"/>
    <w:rsid w:val="00327DCC"/>
    <w:rsid w:val="003301B1"/>
    <w:rsid w:val="0033263D"/>
    <w:rsid w:val="00334D8B"/>
    <w:rsid w:val="0033518A"/>
    <w:rsid w:val="003367EF"/>
    <w:rsid w:val="00341AE4"/>
    <w:rsid w:val="003434AA"/>
    <w:rsid w:val="00351B08"/>
    <w:rsid w:val="003534FD"/>
    <w:rsid w:val="0036746F"/>
    <w:rsid w:val="00384988"/>
    <w:rsid w:val="003868E8"/>
    <w:rsid w:val="003872CF"/>
    <w:rsid w:val="0039130A"/>
    <w:rsid w:val="0039608D"/>
    <w:rsid w:val="0039782C"/>
    <w:rsid w:val="003A5B4A"/>
    <w:rsid w:val="003A6F13"/>
    <w:rsid w:val="003B23C5"/>
    <w:rsid w:val="003B2A75"/>
    <w:rsid w:val="003B6124"/>
    <w:rsid w:val="003C1ECF"/>
    <w:rsid w:val="003C2FB5"/>
    <w:rsid w:val="003C7AD5"/>
    <w:rsid w:val="003D4AC4"/>
    <w:rsid w:val="003D63B7"/>
    <w:rsid w:val="003D7FDE"/>
    <w:rsid w:val="003E468B"/>
    <w:rsid w:val="003F3228"/>
    <w:rsid w:val="003F5C8C"/>
    <w:rsid w:val="004125B1"/>
    <w:rsid w:val="004169FA"/>
    <w:rsid w:val="00417495"/>
    <w:rsid w:val="004252EC"/>
    <w:rsid w:val="00430D39"/>
    <w:rsid w:val="00435611"/>
    <w:rsid w:val="004465BD"/>
    <w:rsid w:val="00453B64"/>
    <w:rsid w:val="00460BDF"/>
    <w:rsid w:val="00466ADA"/>
    <w:rsid w:val="0047494B"/>
    <w:rsid w:val="00476245"/>
    <w:rsid w:val="00483035"/>
    <w:rsid w:val="00485940"/>
    <w:rsid w:val="00493B96"/>
    <w:rsid w:val="004A2484"/>
    <w:rsid w:val="004A5A85"/>
    <w:rsid w:val="004A71D1"/>
    <w:rsid w:val="004B452F"/>
    <w:rsid w:val="004B45B4"/>
    <w:rsid w:val="004B5640"/>
    <w:rsid w:val="004B5C44"/>
    <w:rsid w:val="004C1BD7"/>
    <w:rsid w:val="004C31FE"/>
    <w:rsid w:val="004C418E"/>
    <w:rsid w:val="004C691D"/>
    <w:rsid w:val="004C6C07"/>
    <w:rsid w:val="004C7252"/>
    <w:rsid w:val="004E0FA6"/>
    <w:rsid w:val="004E1109"/>
    <w:rsid w:val="004E1324"/>
    <w:rsid w:val="004E3AE6"/>
    <w:rsid w:val="004E675C"/>
    <w:rsid w:val="004E692D"/>
    <w:rsid w:val="004F65BD"/>
    <w:rsid w:val="00501554"/>
    <w:rsid w:val="00504E0C"/>
    <w:rsid w:val="005125EC"/>
    <w:rsid w:val="00514CD7"/>
    <w:rsid w:val="00520330"/>
    <w:rsid w:val="00522DB6"/>
    <w:rsid w:val="005319B2"/>
    <w:rsid w:val="00532402"/>
    <w:rsid w:val="00532C74"/>
    <w:rsid w:val="00534E2E"/>
    <w:rsid w:val="00544552"/>
    <w:rsid w:val="00555111"/>
    <w:rsid w:val="00555F2D"/>
    <w:rsid w:val="0055700D"/>
    <w:rsid w:val="00577C4D"/>
    <w:rsid w:val="00581932"/>
    <w:rsid w:val="0058326C"/>
    <w:rsid w:val="005963BB"/>
    <w:rsid w:val="005A1430"/>
    <w:rsid w:val="005A3173"/>
    <w:rsid w:val="005A3223"/>
    <w:rsid w:val="005A3DA3"/>
    <w:rsid w:val="005A52C4"/>
    <w:rsid w:val="005B3602"/>
    <w:rsid w:val="005B3B8D"/>
    <w:rsid w:val="005B4FCD"/>
    <w:rsid w:val="005B54D1"/>
    <w:rsid w:val="005D03AB"/>
    <w:rsid w:val="005D5017"/>
    <w:rsid w:val="005D74E5"/>
    <w:rsid w:val="005E1333"/>
    <w:rsid w:val="005F293A"/>
    <w:rsid w:val="00600BC0"/>
    <w:rsid w:val="00601A91"/>
    <w:rsid w:val="00602BA3"/>
    <w:rsid w:val="00605413"/>
    <w:rsid w:val="00605B63"/>
    <w:rsid w:val="00606EED"/>
    <w:rsid w:val="00612E34"/>
    <w:rsid w:val="00614159"/>
    <w:rsid w:val="00617C00"/>
    <w:rsid w:val="006263BF"/>
    <w:rsid w:val="0062748A"/>
    <w:rsid w:val="00630A2C"/>
    <w:rsid w:val="0063682E"/>
    <w:rsid w:val="006436CD"/>
    <w:rsid w:val="00646C6C"/>
    <w:rsid w:val="00647D5D"/>
    <w:rsid w:val="00651169"/>
    <w:rsid w:val="00653D69"/>
    <w:rsid w:val="00653EE1"/>
    <w:rsid w:val="006552E6"/>
    <w:rsid w:val="0066042C"/>
    <w:rsid w:val="00666004"/>
    <w:rsid w:val="006670BE"/>
    <w:rsid w:val="00670A76"/>
    <w:rsid w:val="006711AA"/>
    <w:rsid w:val="00672B57"/>
    <w:rsid w:val="00675622"/>
    <w:rsid w:val="0067747D"/>
    <w:rsid w:val="0068666E"/>
    <w:rsid w:val="0069039D"/>
    <w:rsid w:val="006906DB"/>
    <w:rsid w:val="00691E6C"/>
    <w:rsid w:val="0069501D"/>
    <w:rsid w:val="00696129"/>
    <w:rsid w:val="00697CF2"/>
    <w:rsid w:val="006A12A5"/>
    <w:rsid w:val="006B0D94"/>
    <w:rsid w:val="006B485D"/>
    <w:rsid w:val="006B51F9"/>
    <w:rsid w:val="006C708E"/>
    <w:rsid w:val="006D14E7"/>
    <w:rsid w:val="006D3D08"/>
    <w:rsid w:val="006D6493"/>
    <w:rsid w:val="006D6D36"/>
    <w:rsid w:val="006D6EC7"/>
    <w:rsid w:val="006E0987"/>
    <w:rsid w:val="006E1BCD"/>
    <w:rsid w:val="006F5125"/>
    <w:rsid w:val="00702B6F"/>
    <w:rsid w:val="00704A48"/>
    <w:rsid w:val="00706A2F"/>
    <w:rsid w:val="0070718E"/>
    <w:rsid w:val="0071340B"/>
    <w:rsid w:val="00716B1E"/>
    <w:rsid w:val="007174BB"/>
    <w:rsid w:val="0072025D"/>
    <w:rsid w:val="007353D3"/>
    <w:rsid w:val="00740FC4"/>
    <w:rsid w:val="007552EE"/>
    <w:rsid w:val="0076420C"/>
    <w:rsid w:val="00774E2C"/>
    <w:rsid w:val="007753C2"/>
    <w:rsid w:val="00783737"/>
    <w:rsid w:val="007838B8"/>
    <w:rsid w:val="007963AF"/>
    <w:rsid w:val="007B0761"/>
    <w:rsid w:val="007B3C9F"/>
    <w:rsid w:val="007B4A6B"/>
    <w:rsid w:val="007C0F57"/>
    <w:rsid w:val="007C2869"/>
    <w:rsid w:val="007C40B6"/>
    <w:rsid w:val="007C729F"/>
    <w:rsid w:val="007C72B9"/>
    <w:rsid w:val="007E1D28"/>
    <w:rsid w:val="007E666D"/>
    <w:rsid w:val="007F2641"/>
    <w:rsid w:val="007F6BD3"/>
    <w:rsid w:val="007F7273"/>
    <w:rsid w:val="007F7C36"/>
    <w:rsid w:val="00806796"/>
    <w:rsid w:val="00813D50"/>
    <w:rsid w:val="008151D6"/>
    <w:rsid w:val="008268BB"/>
    <w:rsid w:val="00826F6D"/>
    <w:rsid w:val="00827BDA"/>
    <w:rsid w:val="008306F3"/>
    <w:rsid w:val="00830E40"/>
    <w:rsid w:val="008353D9"/>
    <w:rsid w:val="00840060"/>
    <w:rsid w:val="00843359"/>
    <w:rsid w:val="00856DDD"/>
    <w:rsid w:val="00863E68"/>
    <w:rsid w:val="00867A4F"/>
    <w:rsid w:val="00875970"/>
    <w:rsid w:val="008769E7"/>
    <w:rsid w:val="0088089E"/>
    <w:rsid w:val="00882085"/>
    <w:rsid w:val="00882E8D"/>
    <w:rsid w:val="00883188"/>
    <w:rsid w:val="00897D58"/>
    <w:rsid w:val="00897F22"/>
    <w:rsid w:val="008A1956"/>
    <w:rsid w:val="008A1B04"/>
    <w:rsid w:val="008A4937"/>
    <w:rsid w:val="008A50F1"/>
    <w:rsid w:val="008C5971"/>
    <w:rsid w:val="008D1B5C"/>
    <w:rsid w:val="008D3C82"/>
    <w:rsid w:val="008D447E"/>
    <w:rsid w:val="008D7A41"/>
    <w:rsid w:val="008E285D"/>
    <w:rsid w:val="008E2C72"/>
    <w:rsid w:val="008E3680"/>
    <w:rsid w:val="008E5870"/>
    <w:rsid w:val="008F1434"/>
    <w:rsid w:val="008F1C0D"/>
    <w:rsid w:val="008F5F95"/>
    <w:rsid w:val="008F7355"/>
    <w:rsid w:val="009067B7"/>
    <w:rsid w:val="00915231"/>
    <w:rsid w:val="00922CDB"/>
    <w:rsid w:val="00930937"/>
    <w:rsid w:val="00933E6C"/>
    <w:rsid w:val="00937958"/>
    <w:rsid w:val="00941602"/>
    <w:rsid w:val="00942160"/>
    <w:rsid w:val="00947395"/>
    <w:rsid w:val="0095146F"/>
    <w:rsid w:val="00953A76"/>
    <w:rsid w:val="00953E4C"/>
    <w:rsid w:val="009549D8"/>
    <w:rsid w:val="009602C5"/>
    <w:rsid w:val="00961784"/>
    <w:rsid w:val="00962223"/>
    <w:rsid w:val="00966D0D"/>
    <w:rsid w:val="00967868"/>
    <w:rsid w:val="00974C21"/>
    <w:rsid w:val="00996FF4"/>
    <w:rsid w:val="009A3302"/>
    <w:rsid w:val="009A44A9"/>
    <w:rsid w:val="009A61CA"/>
    <w:rsid w:val="009B0F67"/>
    <w:rsid w:val="009C703C"/>
    <w:rsid w:val="009D06E4"/>
    <w:rsid w:val="009D2EB3"/>
    <w:rsid w:val="009D3CAA"/>
    <w:rsid w:val="009D7C7F"/>
    <w:rsid w:val="009E40E1"/>
    <w:rsid w:val="009E7062"/>
    <w:rsid w:val="009F08B2"/>
    <w:rsid w:val="009F0EFA"/>
    <w:rsid w:val="009F4E46"/>
    <w:rsid w:val="009F5B65"/>
    <w:rsid w:val="009F5F2E"/>
    <w:rsid w:val="00A01E7F"/>
    <w:rsid w:val="00A02E65"/>
    <w:rsid w:val="00A06225"/>
    <w:rsid w:val="00A128E6"/>
    <w:rsid w:val="00A156F1"/>
    <w:rsid w:val="00A17AF9"/>
    <w:rsid w:val="00A26B49"/>
    <w:rsid w:val="00A34E6C"/>
    <w:rsid w:val="00A37C8D"/>
    <w:rsid w:val="00A43948"/>
    <w:rsid w:val="00A51603"/>
    <w:rsid w:val="00A5273B"/>
    <w:rsid w:val="00A53726"/>
    <w:rsid w:val="00A53A9D"/>
    <w:rsid w:val="00A55C8C"/>
    <w:rsid w:val="00A55FEE"/>
    <w:rsid w:val="00A62289"/>
    <w:rsid w:val="00A62C1A"/>
    <w:rsid w:val="00A6426D"/>
    <w:rsid w:val="00A665C1"/>
    <w:rsid w:val="00A66ADA"/>
    <w:rsid w:val="00A70622"/>
    <w:rsid w:val="00A70977"/>
    <w:rsid w:val="00A71D66"/>
    <w:rsid w:val="00A744F9"/>
    <w:rsid w:val="00A77613"/>
    <w:rsid w:val="00A81697"/>
    <w:rsid w:val="00A81E54"/>
    <w:rsid w:val="00A836D7"/>
    <w:rsid w:val="00A8390C"/>
    <w:rsid w:val="00A83D64"/>
    <w:rsid w:val="00A928BD"/>
    <w:rsid w:val="00A97BC8"/>
    <w:rsid w:val="00AA12CD"/>
    <w:rsid w:val="00AA4D1C"/>
    <w:rsid w:val="00AB238E"/>
    <w:rsid w:val="00AB4B01"/>
    <w:rsid w:val="00AB512A"/>
    <w:rsid w:val="00AC193C"/>
    <w:rsid w:val="00AC5131"/>
    <w:rsid w:val="00AC5206"/>
    <w:rsid w:val="00AC6718"/>
    <w:rsid w:val="00AD020C"/>
    <w:rsid w:val="00AD4322"/>
    <w:rsid w:val="00AD79B4"/>
    <w:rsid w:val="00AD7FF7"/>
    <w:rsid w:val="00AE11A5"/>
    <w:rsid w:val="00AE13E2"/>
    <w:rsid w:val="00AE22D3"/>
    <w:rsid w:val="00AF07CF"/>
    <w:rsid w:val="00AF474F"/>
    <w:rsid w:val="00AF62DF"/>
    <w:rsid w:val="00AF68CC"/>
    <w:rsid w:val="00B04B28"/>
    <w:rsid w:val="00B04BD0"/>
    <w:rsid w:val="00B1059E"/>
    <w:rsid w:val="00B176C8"/>
    <w:rsid w:val="00B205AA"/>
    <w:rsid w:val="00B21F08"/>
    <w:rsid w:val="00B22E84"/>
    <w:rsid w:val="00B233AD"/>
    <w:rsid w:val="00B25F75"/>
    <w:rsid w:val="00B26B3F"/>
    <w:rsid w:val="00B2778F"/>
    <w:rsid w:val="00B33635"/>
    <w:rsid w:val="00B418B0"/>
    <w:rsid w:val="00B43E90"/>
    <w:rsid w:val="00B467DC"/>
    <w:rsid w:val="00B56118"/>
    <w:rsid w:val="00B610B7"/>
    <w:rsid w:val="00B66840"/>
    <w:rsid w:val="00B6773F"/>
    <w:rsid w:val="00B75638"/>
    <w:rsid w:val="00B76C94"/>
    <w:rsid w:val="00B801BA"/>
    <w:rsid w:val="00B824ED"/>
    <w:rsid w:val="00B84D5C"/>
    <w:rsid w:val="00B871D9"/>
    <w:rsid w:val="00BB559D"/>
    <w:rsid w:val="00BB69F5"/>
    <w:rsid w:val="00BB7EC3"/>
    <w:rsid w:val="00BC404A"/>
    <w:rsid w:val="00BC4B9A"/>
    <w:rsid w:val="00BD1F9B"/>
    <w:rsid w:val="00BD4D42"/>
    <w:rsid w:val="00BD784C"/>
    <w:rsid w:val="00BE435C"/>
    <w:rsid w:val="00BF4CB6"/>
    <w:rsid w:val="00C00DA7"/>
    <w:rsid w:val="00C12768"/>
    <w:rsid w:val="00C27B58"/>
    <w:rsid w:val="00C35996"/>
    <w:rsid w:val="00C409A1"/>
    <w:rsid w:val="00C45229"/>
    <w:rsid w:val="00C4747E"/>
    <w:rsid w:val="00C5188F"/>
    <w:rsid w:val="00C5342C"/>
    <w:rsid w:val="00C55233"/>
    <w:rsid w:val="00C553D2"/>
    <w:rsid w:val="00C60272"/>
    <w:rsid w:val="00C603D4"/>
    <w:rsid w:val="00C6256A"/>
    <w:rsid w:val="00C62B93"/>
    <w:rsid w:val="00C668D7"/>
    <w:rsid w:val="00C6726E"/>
    <w:rsid w:val="00C71C3F"/>
    <w:rsid w:val="00C77891"/>
    <w:rsid w:val="00C803C9"/>
    <w:rsid w:val="00C85E07"/>
    <w:rsid w:val="00C91449"/>
    <w:rsid w:val="00C91A00"/>
    <w:rsid w:val="00C92D10"/>
    <w:rsid w:val="00CA0F39"/>
    <w:rsid w:val="00CA2283"/>
    <w:rsid w:val="00CB1193"/>
    <w:rsid w:val="00CB4511"/>
    <w:rsid w:val="00CB6C01"/>
    <w:rsid w:val="00CB7F58"/>
    <w:rsid w:val="00CC1404"/>
    <w:rsid w:val="00CC408F"/>
    <w:rsid w:val="00CC7AB8"/>
    <w:rsid w:val="00CE00CC"/>
    <w:rsid w:val="00CE0207"/>
    <w:rsid w:val="00CE10C4"/>
    <w:rsid w:val="00CE27B5"/>
    <w:rsid w:val="00CE3439"/>
    <w:rsid w:val="00CE6461"/>
    <w:rsid w:val="00D0321E"/>
    <w:rsid w:val="00D1455A"/>
    <w:rsid w:val="00D17E3A"/>
    <w:rsid w:val="00D24205"/>
    <w:rsid w:val="00D31150"/>
    <w:rsid w:val="00D3138B"/>
    <w:rsid w:val="00D3152E"/>
    <w:rsid w:val="00D3280C"/>
    <w:rsid w:val="00D3406A"/>
    <w:rsid w:val="00D4572C"/>
    <w:rsid w:val="00D469B2"/>
    <w:rsid w:val="00D5082F"/>
    <w:rsid w:val="00D6197D"/>
    <w:rsid w:val="00D6394E"/>
    <w:rsid w:val="00D741EB"/>
    <w:rsid w:val="00D820F3"/>
    <w:rsid w:val="00D83243"/>
    <w:rsid w:val="00D83605"/>
    <w:rsid w:val="00D84934"/>
    <w:rsid w:val="00D91271"/>
    <w:rsid w:val="00D919F5"/>
    <w:rsid w:val="00D94F03"/>
    <w:rsid w:val="00DA2CB5"/>
    <w:rsid w:val="00DA451C"/>
    <w:rsid w:val="00DA4BAC"/>
    <w:rsid w:val="00DB0151"/>
    <w:rsid w:val="00DD7B69"/>
    <w:rsid w:val="00DE6D27"/>
    <w:rsid w:val="00DE775E"/>
    <w:rsid w:val="00DF01B8"/>
    <w:rsid w:val="00DF08A8"/>
    <w:rsid w:val="00DF0C2A"/>
    <w:rsid w:val="00DF217D"/>
    <w:rsid w:val="00DF26A7"/>
    <w:rsid w:val="00E12FFE"/>
    <w:rsid w:val="00E15627"/>
    <w:rsid w:val="00E164B3"/>
    <w:rsid w:val="00E16910"/>
    <w:rsid w:val="00E23672"/>
    <w:rsid w:val="00E27234"/>
    <w:rsid w:val="00E42BDB"/>
    <w:rsid w:val="00E43BEE"/>
    <w:rsid w:val="00E57EEB"/>
    <w:rsid w:val="00E60D7F"/>
    <w:rsid w:val="00E62D94"/>
    <w:rsid w:val="00E63080"/>
    <w:rsid w:val="00E65E54"/>
    <w:rsid w:val="00E663E9"/>
    <w:rsid w:val="00E66B95"/>
    <w:rsid w:val="00E73C02"/>
    <w:rsid w:val="00E77491"/>
    <w:rsid w:val="00E80155"/>
    <w:rsid w:val="00E81F28"/>
    <w:rsid w:val="00E848C0"/>
    <w:rsid w:val="00E91B96"/>
    <w:rsid w:val="00E941A1"/>
    <w:rsid w:val="00E95CE3"/>
    <w:rsid w:val="00E96E1F"/>
    <w:rsid w:val="00EA2825"/>
    <w:rsid w:val="00EA7E2F"/>
    <w:rsid w:val="00EB0B63"/>
    <w:rsid w:val="00EB1936"/>
    <w:rsid w:val="00EB5088"/>
    <w:rsid w:val="00EC2E44"/>
    <w:rsid w:val="00EC5B5C"/>
    <w:rsid w:val="00ED1644"/>
    <w:rsid w:val="00ED2593"/>
    <w:rsid w:val="00ED7D9C"/>
    <w:rsid w:val="00EE0418"/>
    <w:rsid w:val="00EF0069"/>
    <w:rsid w:val="00EF03BA"/>
    <w:rsid w:val="00EF44A0"/>
    <w:rsid w:val="00EF4FED"/>
    <w:rsid w:val="00EF7924"/>
    <w:rsid w:val="00F0172E"/>
    <w:rsid w:val="00F050BD"/>
    <w:rsid w:val="00F052A5"/>
    <w:rsid w:val="00F05657"/>
    <w:rsid w:val="00F21D20"/>
    <w:rsid w:val="00F22A67"/>
    <w:rsid w:val="00F25578"/>
    <w:rsid w:val="00F258E5"/>
    <w:rsid w:val="00F26D71"/>
    <w:rsid w:val="00F300BC"/>
    <w:rsid w:val="00F3334E"/>
    <w:rsid w:val="00F36CCB"/>
    <w:rsid w:val="00F374E5"/>
    <w:rsid w:val="00F43AF2"/>
    <w:rsid w:val="00F5007E"/>
    <w:rsid w:val="00F50EC4"/>
    <w:rsid w:val="00F52232"/>
    <w:rsid w:val="00F550CF"/>
    <w:rsid w:val="00F57090"/>
    <w:rsid w:val="00F57A6D"/>
    <w:rsid w:val="00F638CC"/>
    <w:rsid w:val="00F64CC1"/>
    <w:rsid w:val="00F72317"/>
    <w:rsid w:val="00F74C57"/>
    <w:rsid w:val="00F80475"/>
    <w:rsid w:val="00F8247A"/>
    <w:rsid w:val="00F925F0"/>
    <w:rsid w:val="00F9629A"/>
    <w:rsid w:val="00F97EFC"/>
    <w:rsid w:val="00FA4DD5"/>
    <w:rsid w:val="00FA5883"/>
    <w:rsid w:val="00FA6055"/>
    <w:rsid w:val="00FB322F"/>
    <w:rsid w:val="00FB442F"/>
    <w:rsid w:val="00FB52C6"/>
    <w:rsid w:val="00FC1929"/>
    <w:rsid w:val="00FC3647"/>
    <w:rsid w:val="00FC5B46"/>
    <w:rsid w:val="00FD31F0"/>
    <w:rsid w:val="00FD6D8E"/>
    <w:rsid w:val="00FD7EFD"/>
    <w:rsid w:val="00FE0E94"/>
    <w:rsid w:val="00FF00BD"/>
    <w:rsid w:val="00FF1ED4"/>
    <w:rsid w:val="00FF2801"/>
    <w:rsid w:val="00FF2A28"/>
    <w:rsid w:val="00FF4D6D"/>
    <w:rsid w:val="00FF59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F739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2" w:uiPriority="1" w:qFormat="1"/>
    <w:lsdException w:name="heading 3" w:semiHidden="1" w:unhideWhenUsed="1" w:qFormat="1"/>
    <w:lsdException w:name="heading 4"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Summary box,Table Gridbeth,ASD Table"/>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qFormat/>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Footnote,Bullet point,List Paragraph1,List Paragraph11,Recommendation,ES Paragraph,PBAC ES Paragraph,PBAC normal points,Bullet List"/>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Footnote Char,Bullet point Char,List Paragraph1 Char,List Paragraph11 Char,Recommendation Char,ES Paragraph Char,PBAC ES Paragraph Char,PBAC normal points Char"/>
    <w:basedOn w:val="DefaultParagraphFont"/>
    <w:link w:val="ListParagraph"/>
    <w:uiPriority w:val="34"/>
    <w:qFormat/>
    <w:rsid w:val="00077143"/>
    <w:rPr>
      <w:rFonts w:ascii="Arial" w:hAnsi="Arial" w:cs="Arial"/>
      <w:snapToGrid w:val="0"/>
      <w:sz w:val="22"/>
      <w:lang w:eastAsia="en-US"/>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99"/>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33263D"/>
    <w:pPr>
      <w:widowControl/>
      <w:numPr>
        <w:ilvl w:val="1"/>
        <w:numId w:val="14"/>
      </w:numPr>
      <w:spacing w:after="120"/>
      <w:contextualSpacing w:val="0"/>
    </w:pPr>
    <w:rPr>
      <w:rFonts w:asciiTheme="minorHAnsi" w:eastAsiaTheme="minorHAnsi" w:hAnsiTheme="minorHAnsi" w:cstheme="minorBidi"/>
      <w:snapToGrid/>
      <w:sz w:val="24"/>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33263D"/>
    <w:rPr>
      <w:rFonts w:asciiTheme="minorHAnsi" w:eastAsiaTheme="minorHAnsi" w:hAnsiTheme="minorHAnsi" w:cstheme="minorBidi"/>
      <w:snapToGrid/>
      <w:sz w:val="24"/>
      <w:szCs w:val="22"/>
      <w:lang w:eastAsia="en-US"/>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qFormat/>
    <w:rsid w:val="00162D4E"/>
    <w:pPr>
      <w:ind w:left="720" w:hanging="720"/>
      <w:outlineLvl w:val="0"/>
    </w:pPr>
    <w:rPr>
      <w:rFonts w:ascii="Arial" w:hAnsi="Arial" w:cs="Arial"/>
      <w:b/>
      <w:snapToGrid w:val="0"/>
      <w:sz w:val="22"/>
      <w:szCs w:val="22"/>
      <w:lang w:eastAsia="en-US"/>
    </w:rPr>
  </w:style>
  <w:style w:type="paragraph" w:customStyle="1" w:styleId="TableText0">
    <w:name w:val="Table Text"/>
    <w:basedOn w:val="NoSpacing"/>
    <w:link w:val="TableTextChar0"/>
    <w:qFormat/>
    <w:rsid w:val="000A44B2"/>
    <w:rPr>
      <w:rFonts w:ascii="Arial Narrow" w:hAnsi="Arial Narrow"/>
      <w:sz w:val="20"/>
    </w:rPr>
  </w:style>
  <w:style w:type="paragraph" w:customStyle="1" w:styleId="Lists">
    <w:name w:val="Lists"/>
    <w:basedOn w:val="3Bodytext"/>
    <w:link w:val="ListsChar"/>
    <w:qFormat/>
    <w:rsid w:val="000A44B2"/>
    <w:pPr>
      <w:numPr>
        <w:ilvl w:val="0"/>
        <w:numId w:val="17"/>
      </w:numPr>
    </w:pPr>
  </w:style>
  <w:style w:type="character" w:customStyle="1" w:styleId="TableTextChar0">
    <w:name w:val="Table Text Char"/>
    <w:basedOn w:val="NoSpacingChar"/>
    <w:link w:val="TableText0"/>
    <w:rsid w:val="000A44B2"/>
    <w:rPr>
      <w:rFonts w:ascii="Arial Narrow" w:hAnsi="Arial Narrow"/>
      <w:sz w:val="22"/>
      <w:szCs w:val="22"/>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lang w:eastAsia="en-US"/>
    </w:rPr>
  </w:style>
  <w:style w:type="paragraph" w:customStyle="1" w:styleId="TableFooter">
    <w:name w:val="Table Footer"/>
    <w:basedOn w:val="Normal"/>
    <w:link w:val="TableFooterChar"/>
    <w:qFormat/>
    <w:rsid w:val="00FC3647"/>
    <w:pPr>
      <w:widowControl w:val="0"/>
      <w:jc w:val="both"/>
    </w:pPr>
    <w:rPr>
      <w:rFonts w:ascii="Arial Narrow" w:hAnsi="Arial Narrow" w:cs="Arial"/>
      <w:snapToGrid w:val="0"/>
      <w:sz w:val="18"/>
      <w:szCs w:val="22"/>
      <w:lang w:eastAsia="en-US"/>
    </w:rPr>
  </w:style>
  <w:style w:type="character" w:customStyle="1" w:styleId="TableFooterChar">
    <w:name w:val="Table Footer Char"/>
    <w:link w:val="TableFooter"/>
    <w:rsid w:val="00FC3647"/>
    <w:rPr>
      <w:rFonts w:ascii="Arial Narrow" w:hAnsi="Arial Narrow" w:cs="Arial"/>
      <w:snapToGrid w:val="0"/>
      <w:sz w:val="18"/>
      <w:szCs w:val="22"/>
      <w:lang w:eastAsia="en-US"/>
    </w:rPr>
  </w:style>
  <w:style w:type="character" w:customStyle="1" w:styleId="TabletextChar">
    <w:name w:val="Table text Char"/>
    <w:link w:val="Tabletext"/>
    <w:rsid w:val="00FC3647"/>
    <w:rPr>
      <w:rFonts w:ascii="Arial" w:hAnsi="Arial"/>
      <w:lang w:eastAsia="en-US"/>
    </w:rPr>
  </w:style>
  <w:style w:type="paragraph" w:customStyle="1" w:styleId="2-SectionHeading">
    <w:name w:val="2-Section Heading"/>
    <w:qFormat/>
    <w:rsid w:val="0068666E"/>
    <w:pPr>
      <w:keepNext/>
      <w:spacing w:before="240" w:after="120"/>
      <w:ind w:left="720" w:hanging="720"/>
      <w:outlineLvl w:val="0"/>
    </w:pPr>
    <w:rPr>
      <w:rFonts w:asciiTheme="minorHAnsi" w:hAnsiTheme="minorHAnsi" w:cs="Arial"/>
      <w:b/>
      <w:snapToGrid w:val="0"/>
      <w:sz w:val="32"/>
      <w:szCs w:val="32"/>
    </w:r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Normal"/>
    <w:next w:val="Normal"/>
    <w:link w:val="CaptionChar"/>
    <w:uiPriority w:val="35"/>
    <w:unhideWhenUsed/>
    <w:qFormat/>
    <w:rsid w:val="007B3C9F"/>
    <w:pPr>
      <w:spacing w:after="200"/>
    </w:pPr>
    <w:rPr>
      <w:rFonts w:ascii="Calibri" w:hAnsi="Calibri"/>
      <w:i/>
      <w:iCs/>
      <w:color w:val="000000" w:themeColor="text1"/>
      <w:sz w:val="18"/>
      <w:szCs w:val="18"/>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link w:val="Caption"/>
    <w:uiPriority w:val="35"/>
    <w:locked/>
    <w:rsid w:val="007B3C9F"/>
    <w:rPr>
      <w:rFonts w:ascii="Calibri" w:hAnsi="Calibri"/>
      <w:i/>
      <w:iCs/>
      <w:color w:val="000000" w:themeColor="text1"/>
      <w:sz w:val="18"/>
      <w:szCs w:val="18"/>
    </w:rPr>
  </w:style>
  <w:style w:type="table" w:customStyle="1" w:styleId="ASDTable2">
    <w:name w:val="ASD Table2"/>
    <w:basedOn w:val="TableNormal"/>
    <w:next w:val="TableGrid"/>
    <w:uiPriority w:val="59"/>
    <w:rsid w:val="007B3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talics">
    <w:name w:val="Body text italics"/>
    <w:basedOn w:val="BodyText"/>
    <w:qFormat/>
    <w:rsid w:val="00967868"/>
    <w:pPr>
      <w:tabs>
        <w:tab w:val="num" w:pos="1440"/>
      </w:tabs>
      <w:ind w:left="1440" w:hanging="360"/>
    </w:pPr>
    <w:rPr>
      <w:rFonts w:asciiTheme="minorHAnsi" w:eastAsiaTheme="minorHAnsi" w:hAnsiTheme="minorHAnsi" w:cstheme="minorBidi"/>
      <w:i/>
      <w:szCs w:val="22"/>
    </w:rPr>
  </w:style>
  <w:style w:type="paragraph" w:styleId="FootnoteText">
    <w:name w:val="footnote text"/>
    <w:aliases w:val="Footnote Text Char1,Footnote Text Char Char,Footnote Text Char2,Footnote Text Char Char1"/>
    <w:basedOn w:val="Normal"/>
    <w:link w:val="FootnoteTextChar"/>
    <w:unhideWhenUsed/>
    <w:rsid w:val="00967868"/>
    <w:pPr>
      <w:widowControl w:val="0"/>
      <w:jc w:val="both"/>
    </w:pPr>
    <w:rPr>
      <w:rFonts w:ascii="Calibri" w:hAnsi="Calibri" w:cs="Arial"/>
      <w:snapToGrid w:val="0"/>
      <w:sz w:val="20"/>
      <w:szCs w:val="20"/>
      <w:lang w:eastAsia="en-US"/>
    </w:rPr>
  </w:style>
  <w:style w:type="character" w:customStyle="1" w:styleId="FootnoteTextChar">
    <w:name w:val="Footnote Text Char"/>
    <w:aliases w:val="Footnote Text Char1 Char,Footnote Text Char Char Char,Footnote Text Char2 Char,Footnote Text Char Char1 Char"/>
    <w:basedOn w:val="DefaultParagraphFont"/>
    <w:link w:val="FootnoteText"/>
    <w:rsid w:val="00967868"/>
    <w:rPr>
      <w:rFonts w:ascii="Calibri" w:hAnsi="Calibri" w:cs="Arial"/>
      <w:snapToGrid w:val="0"/>
      <w:lang w:eastAsia="en-US"/>
    </w:rPr>
  </w:style>
  <w:style w:type="character" w:styleId="FootnoteReference">
    <w:name w:val="footnote reference"/>
    <w:basedOn w:val="DefaultParagraphFont"/>
    <w:unhideWhenUsed/>
    <w:rsid w:val="00967868"/>
    <w:rPr>
      <w:vertAlign w:val="superscript"/>
    </w:rPr>
  </w:style>
  <w:style w:type="paragraph" w:styleId="BodyText">
    <w:name w:val="Body Text"/>
    <w:basedOn w:val="Normal"/>
    <w:link w:val="BodyTextChar"/>
    <w:semiHidden/>
    <w:unhideWhenUsed/>
    <w:rsid w:val="00967868"/>
    <w:pPr>
      <w:spacing w:after="120"/>
    </w:pPr>
  </w:style>
  <w:style w:type="character" w:customStyle="1" w:styleId="BodyTextChar">
    <w:name w:val="Body Text Char"/>
    <w:basedOn w:val="DefaultParagraphFont"/>
    <w:link w:val="BodyText"/>
    <w:semiHidden/>
    <w:rsid w:val="00967868"/>
    <w:rPr>
      <w:sz w:val="24"/>
      <w:szCs w:val="24"/>
    </w:rPr>
  </w:style>
  <w:style w:type="paragraph" w:customStyle="1" w:styleId="Bulletpoints">
    <w:name w:val="Bullet points"/>
    <w:basedOn w:val="ListParagraph"/>
    <w:qFormat/>
    <w:rsid w:val="00DF01B8"/>
    <w:pPr>
      <w:numPr>
        <w:numId w:val="32"/>
      </w:numPr>
      <w:ind w:left="425" w:hanging="425"/>
      <w:contextualSpacing w:val="0"/>
    </w:pPr>
    <w:rPr>
      <w:rFonts w:ascii="Calibri" w:hAnsi="Calibri"/>
      <w:sz w:val="24"/>
      <w:szCs w:val="24"/>
    </w:rPr>
  </w:style>
  <w:style w:type="paragraph" w:styleId="NormalWeb">
    <w:name w:val="Normal (Web)"/>
    <w:basedOn w:val="Normal"/>
    <w:uiPriority w:val="99"/>
    <w:unhideWhenUsed/>
    <w:rsid w:val="0058326C"/>
    <w:pPr>
      <w:spacing w:before="100" w:beforeAutospacing="1" w:after="100" w:afterAutospacing="1"/>
    </w:pPr>
  </w:style>
  <w:style w:type="character" w:styleId="Strong">
    <w:name w:val="Strong"/>
    <w:basedOn w:val="DefaultParagraphFont"/>
    <w:uiPriority w:val="22"/>
    <w:qFormat/>
    <w:rsid w:val="0058326C"/>
    <w:rPr>
      <w:b/>
      <w:bCs/>
    </w:rPr>
  </w:style>
  <w:style w:type="paragraph" w:customStyle="1" w:styleId="3-BodyText">
    <w:name w:val="3-Body Text"/>
    <w:basedOn w:val="ListParagraph"/>
    <w:qFormat/>
    <w:rsid w:val="007552EE"/>
    <w:pPr>
      <w:widowControl/>
      <w:spacing w:after="120"/>
      <w:ind w:hanging="720"/>
      <w:contextualSpacing w:val="0"/>
    </w:pPr>
    <w:rPr>
      <w:rFonts w:asciiTheme="minorHAnsi" w:hAnsiTheme="minorHAnsi" w:cs="Calibri"/>
      <w:bCs/>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98A35-6296-4280-A172-4C548E869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3061</Words>
  <Characters>18198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2020-06-19T04:58:00Z</dcterms:created>
  <dcterms:modified xsi:type="dcterms:W3CDTF">2020-06-19T04:58:00Z</dcterms:modified>
</cp:coreProperties>
</file>