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2B4AB6" w:rsidRDefault="006601BE" w:rsidP="006601BE">
      <w:pPr>
        <w:pStyle w:val="1-MainHeading"/>
        <w:rPr>
          <w:snapToGrid w:val="0"/>
          <w:lang w:eastAsia="en-US"/>
        </w:rPr>
      </w:pPr>
      <w:bookmarkStart w:id="0" w:name="_Toc30503034"/>
      <w:r w:rsidRPr="002B4AB6">
        <w:rPr>
          <w:snapToGrid w:val="0"/>
          <w:lang w:eastAsia="en-US"/>
        </w:rPr>
        <w:t>7.05</w:t>
      </w:r>
      <w:r w:rsidR="00163F66" w:rsidRPr="002B4AB6">
        <w:rPr>
          <w:snapToGrid w:val="0"/>
          <w:lang w:eastAsia="en-US"/>
        </w:rPr>
        <w:tab/>
      </w:r>
      <w:r w:rsidR="00A91233" w:rsidRPr="002B4AB6">
        <w:rPr>
          <w:snapToGrid w:val="0"/>
          <w:lang w:eastAsia="en-US"/>
        </w:rPr>
        <w:t xml:space="preserve">PEMBROLIZUMAB, </w:t>
      </w:r>
      <w:r w:rsidR="00BC4895" w:rsidRPr="002B4AB6">
        <w:rPr>
          <w:snapToGrid w:val="0"/>
          <w:lang w:eastAsia="en-US"/>
        </w:rPr>
        <w:br/>
      </w:r>
      <w:r w:rsidR="007E225A" w:rsidRPr="002B4AB6">
        <w:rPr>
          <w:snapToGrid w:val="0"/>
          <w:lang w:eastAsia="en-US"/>
        </w:rPr>
        <w:t>S</w:t>
      </w:r>
      <w:r w:rsidR="00A91233" w:rsidRPr="002B4AB6">
        <w:rPr>
          <w:snapToGrid w:val="0"/>
          <w:lang w:eastAsia="en-US"/>
        </w:rPr>
        <w:t>olution concentrate for I.V. infusion 100</w:t>
      </w:r>
      <w:r w:rsidR="007E225A" w:rsidRPr="002B4AB6">
        <w:rPr>
          <w:snapToGrid w:val="0"/>
          <w:lang w:eastAsia="en-US"/>
        </w:rPr>
        <w:t xml:space="preserve"> </w:t>
      </w:r>
      <w:r w:rsidR="00A91233" w:rsidRPr="002B4AB6">
        <w:rPr>
          <w:snapToGrid w:val="0"/>
          <w:lang w:eastAsia="en-US"/>
        </w:rPr>
        <w:t>mg in 4</w:t>
      </w:r>
      <w:r w:rsidR="007E225A" w:rsidRPr="002B4AB6">
        <w:rPr>
          <w:snapToGrid w:val="0"/>
          <w:lang w:eastAsia="en-US"/>
        </w:rPr>
        <w:t xml:space="preserve"> </w:t>
      </w:r>
      <w:r w:rsidR="00A91233" w:rsidRPr="002B4AB6">
        <w:rPr>
          <w:snapToGrid w:val="0"/>
          <w:lang w:eastAsia="en-US"/>
        </w:rPr>
        <w:t xml:space="preserve">mL, Keytruda®, </w:t>
      </w:r>
      <w:r w:rsidR="00BC4895" w:rsidRPr="002B4AB6">
        <w:rPr>
          <w:snapToGrid w:val="0"/>
          <w:lang w:eastAsia="en-US"/>
        </w:rPr>
        <w:br/>
      </w:r>
      <w:r w:rsidR="007E225A" w:rsidRPr="002B4AB6">
        <w:rPr>
          <w:snapToGrid w:val="0"/>
          <w:lang w:eastAsia="en-US"/>
        </w:rPr>
        <w:t>Merck Sharpe &amp; Dohme (Australia) Pty Ltd</w:t>
      </w:r>
      <w:r w:rsidR="00B60939" w:rsidRPr="002B4AB6">
        <w:rPr>
          <w:snapToGrid w:val="0"/>
          <w:lang w:eastAsia="en-US"/>
        </w:rPr>
        <w:t>.</w:t>
      </w:r>
      <w:bookmarkEnd w:id="0"/>
    </w:p>
    <w:p w:rsidR="00B50DB8" w:rsidRPr="002B4AB6" w:rsidRDefault="00B50DB8" w:rsidP="00986241">
      <w:pPr>
        <w:pStyle w:val="2-SectionHeading"/>
      </w:pPr>
      <w:bookmarkStart w:id="1" w:name="_Toc30503036"/>
      <w:r w:rsidRPr="002B4AB6">
        <w:t xml:space="preserve">Purpose of </w:t>
      </w:r>
      <w:r w:rsidR="00DC3DFF" w:rsidRPr="002B4AB6">
        <w:t>re</w:t>
      </w:r>
      <w:r w:rsidR="00CD7193" w:rsidRPr="002B4AB6">
        <w:t>s</w:t>
      </w:r>
      <w:r w:rsidR="00BB3A45" w:rsidRPr="002B4AB6">
        <w:t>ubmission</w:t>
      </w:r>
      <w:bookmarkEnd w:id="1"/>
    </w:p>
    <w:p w:rsidR="00DC3DFF" w:rsidRPr="002B4AB6" w:rsidRDefault="00DC3DFF" w:rsidP="00DC3DFF">
      <w:pPr>
        <w:pStyle w:val="3-BodyText"/>
      </w:pPr>
      <w:r w:rsidRPr="002B4AB6">
        <w:t xml:space="preserve">The resubmission requested </w:t>
      </w:r>
      <w:r w:rsidR="004B699C" w:rsidRPr="002B4AB6">
        <w:t xml:space="preserve">a </w:t>
      </w:r>
      <w:r w:rsidRPr="002B4AB6">
        <w:t xml:space="preserve">Section 100 </w:t>
      </w:r>
      <w:r w:rsidR="00E04BC9" w:rsidRPr="002B4AB6">
        <w:t>(</w:t>
      </w:r>
      <w:r w:rsidRPr="002B4AB6">
        <w:t xml:space="preserve">Efficient </w:t>
      </w:r>
      <w:r w:rsidR="00E04BC9" w:rsidRPr="002B4AB6">
        <w:t>F</w:t>
      </w:r>
      <w:r w:rsidRPr="002B4AB6">
        <w:t xml:space="preserve">unding of </w:t>
      </w:r>
      <w:r w:rsidR="00E04BC9" w:rsidRPr="002B4AB6">
        <w:t>C</w:t>
      </w:r>
      <w:r w:rsidRPr="002B4AB6">
        <w:t>hemotherapy</w:t>
      </w:r>
      <w:r w:rsidR="00E04BC9" w:rsidRPr="002B4AB6">
        <w:t>)</w:t>
      </w:r>
      <w:r w:rsidRPr="002B4AB6">
        <w:t xml:space="preserve">, Authority Required listing for pembrolizumab for the treatment of relapsed </w:t>
      </w:r>
      <w:r w:rsidR="003E719D" w:rsidRPr="002B4AB6">
        <w:t xml:space="preserve">or refractory </w:t>
      </w:r>
      <w:r w:rsidRPr="002B4AB6">
        <w:t xml:space="preserve">primary mediastinal B-Cell lymphoma (R/R PMBCL). The </w:t>
      </w:r>
      <w:r w:rsidR="00860EF4" w:rsidRPr="002B4AB6">
        <w:t>requested listing wa</w:t>
      </w:r>
      <w:r w:rsidRPr="002B4AB6">
        <w:t>s unchanged from the previous submission.</w:t>
      </w:r>
    </w:p>
    <w:p w:rsidR="00DC3DFF" w:rsidRPr="002B4AB6" w:rsidRDefault="00DC3DFF" w:rsidP="00DC3DFF">
      <w:pPr>
        <w:pStyle w:val="3-BodyText"/>
      </w:pPr>
      <w:r w:rsidRPr="002B4AB6">
        <w:t xml:space="preserve">Listing was requested on the basis of a cost-effectiveness analysis versus standard of care (SOC). This </w:t>
      </w:r>
      <w:r w:rsidR="00860EF4" w:rsidRPr="002B4AB6">
        <w:t>wa</w:t>
      </w:r>
      <w:r w:rsidRPr="002B4AB6">
        <w:t>s the same as the previous submission.</w:t>
      </w:r>
    </w:p>
    <w:p w:rsidR="00DC3DFF" w:rsidRPr="002B4AB6" w:rsidRDefault="00DC3DFF" w:rsidP="00BF32C7">
      <w:pPr>
        <w:keepNext/>
        <w:keepLines/>
        <w:widowControl w:val="0"/>
        <w:jc w:val="left"/>
        <w:rPr>
          <w:rStyle w:val="CommentReference"/>
          <w:b w:val="0"/>
          <w:bCs/>
        </w:rPr>
      </w:pPr>
      <w:r w:rsidRPr="002B4AB6">
        <w:rPr>
          <w:rStyle w:val="CommentReference"/>
        </w:rPr>
        <w:t xml:space="preserve">Table </w:t>
      </w:r>
      <w:r w:rsidR="002B39A5" w:rsidRPr="000829C9">
        <w:rPr>
          <w:rStyle w:val="CommentReference"/>
        </w:rPr>
        <w:t>1</w:t>
      </w:r>
      <w:r w:rsidRPr="002B4AB6">
        <w:rPr>
          <w:rStyle w:val="CommentReference"/>
        </w:rPr>
        <w:t>: Key components of the clinical issue addressed by the resubmission (as stated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7385"/>
      </w:tblGrid>
      <w:tr w:rsidR="00DC3DFF" w:rsidRPr="002B4AB6" w:rsidTr="00B36BC0">
        <w:tc>
          <w:tcPr>
            <w:tcW w:w="905" w:type="pct"/>
            <w:vAlign w:val="center"/>
          </w:tcPr>
          <w:p w:rsidR="00DC3DFF" w:rsidRPr="002B4AB6" w:rsidRDefault="00DC3DFF" w:rsidP="00BF32C7">
            <w:pPr>
              <w:pStyle w:val="Tabletext"/>
              <w:keepNext/>
              <w:keepLines/>
              <w:widowControl w:val="0"/>
              <w:rPr>
                <w:b/>
              </w:rPr>
            </w:pPr>
            <w:r w:rsidRPr="002B4AB6">
              <w:rPr>
                <w:b/>
              </w:rPr>
              <w:t>Component</w:t>
            </w:r>
          </w:p>
        </w:tc>
        <w:tc>
          <w:tcPr>
            <w:tcW w:w="4095" w:type="pct"/>
            <w:vAlign w:val="center"/>
          </w:tcPr>
          <w:p w:rsidR="00DC3DFF" w:rsidRPr="00492CD9" w:rsidRDefault="00DC3DFF" w:rsidP="00BF32C7">
            <w:pPr>
              <w:pStyle w:val="Tabletext"/>
              <w:keepNext/>
              <w:keepLines/>
              <w:widowControl w:val="0"/>
              <w:rPr>
                <w:b/>
              </w:rPr>
            </w:pPr>
            <w:r w:rsidRPr="00492CD9">
              <w:rPr>
                <w:b/>
              </w:rPr>
              <w:t>Description</w:t>
            </w:r>
          </w:p>
        </w:tc>
      </w:tr>
      <w:tr w:rsidR="00DC3DFF" w:rsidRPr="002B4AB6" w:rsidTr="00B36BC0">
        <w:tc>
          <w:tcPr>
            <w:tcW w:w="905" w:type="pct"/>
            <w:vAlign w:val="center"/>
          </w:tcPr>
          <w:p w:rsidR="00DC3DFF" w:rsidRPr="002B4AB6" w:rsidRDefault="00DC3DFF" w:rsidP="00BF32C7">
            <w:pPr>
              <w:pStyle w:val="Tabletext"/>
              <w:keepNext/>
              <w:keepLines/>
              <w:widowControl w:val="0"/>
            </w:pPr>
            <w:r w:rsidRPr="002B4AB6">
              <w:t>Population</w:t>
            </w:r>
          </w:p>
        </w:tc>
        <w:tc>
          <w:tcPr>
            <w:tcW w:w="4095" w:type="pct"/>
          </w:tcPr>
          <w:p w:rsidR="00DC3DFF" w:rsidRPr="002B4AB6" w:rsidRDefault="00DC3DFF" w:rsidP="00BF32C7">
            <w:pPr>
              <w:pStyle w:val="Tabletext"/>
              <w:keepNext/>
              <w:keepLines/>
              <w:widowControl w:val="0"/>
            </w:pPr>
            <w:r w:rsidRPr="002B4AB6">
              <w:t>Relapsed or refractory primary mediastinal large B-cell lymphoma (R/R PMBCL)</w:t>
            </w:r>
          </w:p>
        </w:tc>
      </w:tr>
      <w:tr w:rsidR="00DC3DFF" w:rsidRPr="002B4AB6" w:rsidTr="00B36BC0">
        <w:tc>
          <w:tcPr>
            <w:tcW w:w="905" w:type="pct"/>
            <w:vAlign w:val="center"/>
          </w:tcPr>
          <w:p w:rsidR="00DC3DFF" w:rsidRPr="002B4AB6" w:rsidRDefault="00DC3DFF" w:rsidP="00BF32C7">
            <w:pPr>
              <w:pStyle w:val="Tabletext"/>
              <w:keepNext/>
              <w:keepLines/>
              <w:widowControl w:val="0"/>
            </w:pPr>
            <w:r w:rsidRPr="002B4AB6">
              <w:t>Intervention</w:t>
            </w:r>
          </w:p>
        </w:tc>
        <w:tc>
          <w:tcPr>
            <w:tcW w:w="4095" w:type="pct"/>
          </w:tcPr>
          <w:p w:rsidR="00DC3DFF" w:rsidRPr="002B4AB6" w:rsidRDefault="00DC3DFF" w:rsidP="00BF32C7">
            <w:pPr>
              <w:pStyle w:val="Tabletext"/>
              <w:keepNext/>
              <w:keepLines/>
              <w:widowControl w:val="0"/>
            </w:pPr>
            <w:r w:rsidRPr="002B4AB6">
              <w:t>Pembrolizumab 200 mg Q3W for up to 35 cycles</w:t>
            </w:r>
          </w:p>
        </w:tc>
      </w:tr>
      <w:tr w:rsidR="00DC3DFF" w:rsidRPr="002B4AB6" w:rsidTr="00B36BC0">
        <w:trPr>
          <w:trHeight w:val="290"/>
        </w:trPr>
        <w:tc>
          <w:tcPr>
            <w:tcW w:w="905" w:type="pct"/>
            <w:vAlign w:val="center"/>
          </w:tcPr>
          <w:p w:rsidR="00DC3DFF" w:rsidRPr="002B4AB6" w:rsidRDefault="00DC3DFF" w:rsidP="00BF32C7">
            <w:pPr>
              <w:pStyle w:val="Tabletext"/>
              <w:keepNext/>
              <w:keepLines/>
              <w:widowControl w:val="0"/>
            </w:pPr>
            <w:r w:rsidRPr="002B4AB6">
              <w:t>Comparator</w:t>
            </w:r>
          </w:p>
        </w:tc>
        <w:tc>
          <w:tcPr>
            <w:tcW w:w="4095" w:type="pct"/>
          </w:tcPr>
          <w:p w:rsidR="00DC3DFF" w:rsidRPr="002B4AB6" w:rsidRDefault="00DC3DFF" w:rsidP="00BF32C7">
            <w:pPr>
              <w:pStyle w:val="Tabletext"/>
              <w:keepNext/>
              <w:keepLines/>
              <w:widowControl w:val="0"/>
            </w:pPr>
            <w:r w:rsidRPr="002B4AB6">
              <w:t xml:space="preserve">Chemotherapy regimens such as ICE, GDP or DHAP </w:t>
            </w:r>
            <w:r w:rsidRPr="002B4AB6">
              <w:rPr>
                <w:u w:val="single"/>
              </w:rPr>
              <w:t>with or without rituximab</w:t>
            </w:r>
            <w:r w:rsidRPr="002B4AB6">
              <w:t>.</w:t>
            </w:r>
          </w:p>
        </w:tc>
      </w:tr>
      <w:tr w:rsidR="00DC3DFF" w:rsidRPr="002B4AB6" w:rsidTr="00B36BC0">
        <w:tc>
          <w:tcPr>
            <w:tcW w:w="905" w:type="pct"/>
            <w:vAlign w:val="center"/>
          </w:tcPr>
          <w:p w:rsidR="00DC3DFF" w:rsidRPr="002B4AB6" w:rsidRDefault="00DC3DFF" w:rsidP="00BF32C7">
            <w:pPr>
              <w:pStyle w:val="Tabletext"/>
              <w:keepNext/>
              <w:keepLines/>
              <w:widowControl w:val="0"/>
            </w:pPr>
            <w:r w:rsidRPr="002B4AB6">
              <w:t>Outcomes</w:t>
            </w:r>
          </w:p>
        </w:tc>
        <w:tc>
          <w:tcPr>
            <w:tcW w:w="4095" w:type="pct"/>
          </w:tcPr>
          <w:p w:rsidR="00DC3DFF" w:rsidRPr="002B4AB6" w:rsidRDefault="00DC3DFF" w:rsidP="00BF32C7">
            <w:pPr>
              <w:pStyle w:val="Tabletext"/>
              <w:keepNext/>
              <w:keepLines/>
              <w:widowControl w:val="0"/>
            </w:pPr>
            <w:r w:rsidRPr="002B4AB6">
              <w:t>PFS, OS, ORR</w:t>
            </w:r>
          </w:p>
        </w:tc>
      </w:tr>
      <w:tr w:rsidR="00DC3DFF" w:rsidRPr="002B4AB6" w:rsidTr="00B36BC0">
        <w:tc>
          <w:tcPr>
            <w:tcW w:w="905" w:type="pct"/>
            <w:vAlign w:val="center"/>
          </w:tcPr>
          <w:p w:rsidR="00DC3DFF" w:rsidRPr="002B4AB6" w:rsidRDefault="00DC3DFF" w:rsidP="00BF32C7">
            <w:pPr>
              <w:pStyle w:val="Tabletext"/>
              <w:keepNext/>
              <w:keepLines/>
              <w:widowControl w:val="0"/>
            </w:pPr>
            <w:r w:rsidRPr="002B4AB6">
              <w:t>Clinical claim</w:t>
            </w:r>
          </w:p>
        </w:tc>
        <w:tc>
          <w:tcPr>
            <w:tcW w:w="4095" w:type="pct"/>
          </w:tcPr>
          <w:p w:rsidR="00DC3DFF" w:rsidRPr="002B4AB6" w:rsidRDefault="00DC3DFF" w:rsidP="00BF32C7">
            <w:pPr>
              <w:pStyle w:val="Tabletext"/>
              <w:keepNext/>
              <w:keepLines/>
              <w:widowControl w:val="0"/>
              <w:rPr>
                <w:i/>
              </w:rPr>
            </w:pPr>
            <w:r w:rsidRPr="002B4AB6">
              <w:t xml:space="preserve">Pembrolizumab is superior to chemotherapy regimens in improving survival and has lower toxicity. Patients who achieve a complete response, and maintain it, can be considered cured, and therefore pembrolizumab offers an improved chance of curing this disease. Pembrolizumab also provides patients with a potential bridge to allogeneic stem cell transplant. </w:t>
            </w:r>
          </w:p>
        </w:tc>
      </w:tr>
    </w:tbl>
    <w:p w:rsidR="00DC3DFF" w:rsidRPr="002B4AB6" w:rsidRDefault="00DC3DFF" w:rsidP="00BF32C7">
      <w:pPr>
        <w:pStyle w:val="TableFigureFooter"/>
        <w:keepNext/>
        <w:keepLines/>
        <w:widowControl w:val="0"/>
      </w:pPr>
      <w:r w:rsidRPr="002B4AB6">
        <w:t>Source: Table 1.1-1, p 14 of the resubmission.</w:t>
      </w:r>
    </w:p>
    <w:p w:rsidR="00FB315D" w:rsidRPr="002B4AB6" w:rsidRDefault="00FB315D" w:rsidP="00BF32C7">
      <w:pPr>
        <w:pStyle w:val="TableFigureFooter"/>
        <w:keepNext/>
        <w:keepLines/>
        <w:widowControl w:val="0"/>
      </w:pPr>
      <w:r w:rsidRPr="002B4AB6">
        <w:rPr>
          <w:u w:val="single"/>
        </w:rPr>
        <w:t>Underlined:</w:t>
      </w:r>
      <w:r w:rsidRPr="002B4AB6">
        <w:t xml:space="preserve"> New addition compared to the previous submission.</w:t>
      </w:r>
    </w:p>
    <w:p w:rsidR="00DC3DFF" w:rsidRPr="002B4AB6" w:rsidRDefault="00DC3DFF" w:rsidP="00BF32C7">
      <w:pPr>
        <w:pStyle w:val="TableFigureFooter"/>
        <w:keepNext/>
        <w:keepLines/>
        <w:widowControl w:val="0"/>
      </w:pPr>
      <w:r w:rsidRPr="002B4AB6">
        <w:t xml:space="preserve">DHAP = dexamethasone, high-dose cytarabine, cisplatin; </w:t>
      </w:r>
      <w:r w:rsidR="00A445B6" w:rsidRPr="002B4AB6">
        <w:t xml:space="preserve">GDP = gemcitabine, dexamethasone, cisplatin; </w:t>
      </w:r>
      <w:r w:rsidRPr="002B4AB6">
        <w:t xml:space="preserve">ICE= ifosfamide, carboplatin, etoposide; ORR= objective response rate; OS= overall survival; </w:t>
      </w:r>
      <w:r w:rsidR="00E04BC9" w:rsidRPr="002B4AB6">
        <w:t xml:space="preserve">PFS = progression free survival; </w:t>
      </w:r>
      <w:r w:rsidRPr="002B4AB6">
        <w:t>Q3W = every three weeks.</w:t>
      </w:r>
    </w:p>
    <w:p w:rsidR="00DC3DFF" w:rsidRPr="002B4AB6" w:rsidDel="0011594E" w:rsidRDefault="00DC3DFF" w:rsidP="00DC3DFF">
      <w:pPr>
        <w:pStyle w:val="2-SectionHeading"/>
      </w:pPr>
      <w:bookmarkStart w:id="2" w:name="_Toc27481321"/>
      <w:bookmarkStart w:id="3" w:name="_Toc27731903"/>
      <w:bookmarkStart w:id="4" w:name="_Toc30503037"/>
      <w:r w:rsidRPr="002B4AB6" w:rsidDel="0011594E">
        <w:t>Background</w:t>
      </w:r>
      <w:bookmarkEnd w:id="2"/>
      <w:bookmarkEnd w:id="3"/>
      <w:bookmarkEnd w:id="4"/>
    </w:p>
    <w:p w:rsidR="00DC3DFF" w:rsidRPr="002B4AB6" w:rsidDel="0011594E" w:rsidRDefault="00DC3DFF" w:rsidP="00DC3DFF">
      <w:pPr>
        <w:pStyle w:val="4-SubsectionHeading"/>
      </w:pPr>
      <w:bookmarkStart w:id="5" w:name="_Toc22897638"/>
      <w:bookmarkStart w:id="6" w:name="_Toc30503038"/>
      <w:r w:rsidRPr="002B4AB6" w:rsidDel="0011594E">
        <w:t>Registration status</w:t>
      </w:r>
      <w:bookmarkEnd w:id="5"/>
      <w:bookmarkEnd w:id="6"/>
    </w:p>
    <w:p w:rsidR="00BF2B96" w:rsidRPr="002B4AB6" w:rsidRDefault="00DC3DFF" w:rsidP="00BF2B96">
      <w:pPr>
        <w:pStyle w:val="3-BodyText"/>
      </w:pPr>
      <w:r w:rsidRPr="002B4AB6" w:rsidDel="0011594E">
        <w:t xml:space="preserve">Pembrolizumab was TGA registered in October 2018 for the treatment of adult and paediatric patients with refractory primary mediastinal B-cell lymphoma, or who have relapsed after </w:t>
      </w:r>
      <w:r w:rsidR="00A163E3" w:rsidRPr="002B4AB6" w:rsidDel="0011594E">
        <w:t>two</w:t>
      </w:r>
      <w:r w:rsidRPr="002B4AB6" w:rsidDel="0011594E">
        <w:t xml:space="preserve"> or more prior lines of therapy. </w:t>
      </w:r>
    </w:p>
    <w:p w:rsidR="00320AF1" w:rsidRPr="002B4AB6" w:rsidDel="0011594E" w:rsidRDefault="006D5F8B" w:rsidP="006C4095">
      <w:pPr>
        <w:pStyle w:val="3-BodyText"/>
      </w:pPr>
      <w:r w:rsidRPr="002B4AB6">
        <w:t xml:space="preserve">The PBAC noted that the </w:t>
      </w:r>
      <w:r w:rsidR="00320AF1" w:rsidRPr="002B4AB6">
        <w:t xml:space="preserve">FDA approved pembrolizumab for use in </w:t>
      </w:r>
      <w:r w:rsidR="002C4DDA" w:rsidRPr="002B4AB6">
        <w:t>R/R PMBCL</w:t>
      </w:r>
      <w:r w:rsidR="00320AF1" w:rsidRPr="002B4AB6">
        <w:t xml:space="preserve"> based on the</w:t>
      </w:r>
      <w:r w:rsidR="002C4DDA" w:rsidRPr="002B4AB6">
        <w:t xml:space="preserve"> K</w:t>
      </w:r>
      <w:r w:rsidR="002F3978" w:rsidRPr="002B4AB6">
        <w:t xml:space="preserve">eynote </w:t>
      </w:r>
      <w:r w:rsidR="002C4DDA" w:rsidRPr="002B4AB6">
        <w:t>170</w:t>
      </w:r>
      <w:r w:rsidR="002F3978" w:rsidRPr="002B4AB6">
        <w:t xml:space="preserve"> trial (January 2018</w:t>
      </w:r>
      <w:r w:rsidR="00A3373B" w:rsidRPr="002B4AB6">
        <w:t xml:space="preserve"> data cut-off</w:t>
      </w:r>
      <w:r w:rsidR="002F3978" w:rsidRPr="002B4AB6">
        <w:t>)</w:t>
      </w:r>
      <w:r w:rsidR="002C4DDA" w:rsidRPr="002B4AB6">
        <w:t xml:space="preserve">. The FDA approved </w:t>
      </w:r>
      <w:r w:rsidR="002F3978" w:rsidRPr="002B4AB6">
        <w:t xml:space="preserve">pembrolizumab </w:t>
      </w:r>
      <w:r w:rsidR="002C4DDA" w:rsidRPr="002B4AB6">
        <w:t>for R/R PMBCL under accelerated approval based on tumo</w:t>
      </w:r>
      <w:r w:rsidRPr="002B4AB6">
        <w:t>u</w:t>
      </w:r>
      <w:r w:rsidR="002C4DDA" w:rsidRPr="002B4AB6">
        <w:t>r response rate and durability of response.</w:t>
      </w:r>
      <w:r w:rsidR="00320AF1" w:rsidRPr="002B4AB6">
        <w:rPr>
          <w:rStyle w:val="FootnoteReference"/>
        </w:rPr>
        <w:footnoteReference w:id="1"/>
      </w:r>
      <w:r w:rsidR="00320AF1" w:rsidRPr="002B4AB6">
        <w:t xml:space="preserve"> </w:t>
      </w:r>
    </w:p>
    <w:p w:rsidR="00DC3DFF" w:rsidRPr="002B4AB6" w:rsidDel="0011594E" w:rsidRDefault="00DC3DFF" w:rsidP="00DC3DFF">
      <w:pPr>
        <w:pStyle w:val="4-SubsectionHeading"/>
      </w:pPr>
      <w:bookmarkStart w:id="7" w:name="_Toc22897639"/>
      <w:bookmarkStart w:id="8" w:name="_Toc30503039"/>
      <w:r w:rsidRPr="002B4AB6" w:rsidDel="0011594E">
        <w:lastRenderedPageBreak/>
        <w:t>Previous PBAC consideration</w:t>
      </w:r>
      <w:bookmarkEnd w:id="7"/>
      <w:bookmarkEnd w:id="8"/>
    </w:p>
    <w:p w:rsidR="00DC3DFF" w:rsidRPr="002B4AB6" w:rsidDel="0011594E" w:rsidRDefault="00DC3DFF" w:rsidP="006F2F5E">
      <w:pPr>
        <w:pStyle w:val="3-BodyText"/>
      </w:pPr>
      <w:r w:rsidRPr="002B4AB6" w:rsidDel="0011594E">
        <w:t xml:space="preserve">This </w:t>
      </w:r>
      <w:r w:rsidR="00A163E3" w:rsidRPr="002B4AB6" w:rsidDel="0011594E">
        <w:t>i</w:t>
      </w:r>
      <w:r w:rsidRPr="002B4AB6" w:rsidDel="0011594E">
        <w:t xml:space="preserve">s </w:t>
      </w:r>
      <w:r w:rsidR="00A163E3" w:rsidRPr="00492CD9" w:rsidDel="0011594E">
        <w:t xml:space="preserve">the </w:t>
      </w:r>
      <w:r w:rsidRPr="002B4AB6" w:rsidDel="0011594E">
        <w:t>second PBAC consideration of pembrolizumab for R/R PMBCL. The first submission was considered by the PBAC in November 2018. The key matters of concern are summarised below.</w:t>
      </w:r>
      <w:r w:rsidR="006F2F5E" w:rsidRPr="002B4AB6" w:rsidDel="0011594E">
        <w:t xml:space="preserve"> </w:t>
      </w:r>
    </w:p>
    <w:p w:rsidR="00DC3DFF" w:rsidRPr="002B4AB6" w:rsidDel="0011594E" w:rsidRDefault="00DC3DFF" w:rsidP="00A3373B">
      <w:pPr>
        <w:pStyle w:val="TableFigureHeading"/>
        <w:keepNext w:val="0"/>
        <w:keepLines/>
        <w:widowControl w:val="0"/>
      </w:pPr>
      <w:r w:rsidRPr="002B4AB6" w:rsidDel="0011594E">
        <w:t xml:space="preserve">Table </w:t>
      </w:r>
      <w:r w:rsidR="002B39A5" w:rsidRPr="000829C9">
        <w:t>2</w:t>
      </w:r>
      <w:r w:rsidRPr="002B4AB6" w:rsidDel="0011594E">
        <w:t>: Summary of key matters of concern</w:t>
      </w:r>
    </w:p>
    <w:tbl>
      <w:tblPr>
        <w:tblStyle w:val="TableGrid"/>
        <w:tblW w:w="5000" w:type="pct"/>
        <w:tblLook w:val="04A0" w:firstRow="1" w:lastRow="0" w:firstColumn="1" w:lastColumn="0" w:noHBand="0" w:noVBand="1"/>
        <w:tblCaption w:val="Table 2: Summary of key matters of concern"/>
      </w:tblPr>
      <w:tblGrid>
        <w:gridCol w:w="1438"/>
        <w:gridCol w:w="4026"/>
        <w:gridCol w:w="3553"/>
      </w:tblGrid>
      <w:tr w:rsidR="00DC3DFF" w:rsidRPr="002B4AB6" w:rsidTr="00EC4C16">
        <w:trPr>
          <w:cantSplit/>
          <w:tblHeader/>
        </w:trPr>
        <w:tc>
          <w:tcPr>
            <w:tcW w:w="797" w:type="pct"/>
          </w:tcPr>
          <w:p w:rsidR="00DC3DFF" w:rsidRPr="002B4AB6" w:rsidRDefault="00DC3DFF" w:rsidP="00A3373B">
            <w:pPr>
              <w:pStyle w:val="In-tableHeading"/>
              <w:keepNext w:val="0"/>
              <w:keepLines/>
              <w:widowControl w:val="0"/>
              <w:rPr>
                <w:lang w:val="en-AU"/>
              </w:rPr>
            </w:pPr>
            <w:r w:rsidRPr="002B4AB6">
              <w:rPr>
                <w:lang w:val="en-AU"/>
              </w:rPr>
              <w:t>Component</w:t>
            </w:r>
          </w:p>
        </w:tc>
        <w:tc>
          <w:tcPr>
            <w:tcW w:w="2232" w:type="pct"/>
          </w:tcPr>
          <w:p w:rsidR="00DC3DFF" w:rsidRPr="002B4AB6" w:rsidRDefault="00DC3DFF" w:rsidP="00A3373B">
            <w:pPr>
              <w:pStyle w:val="In-tableHeading"/>
              <w:keepNext w:val="0"/>
              <w:keepLines/>
              <w:widowControl w:val="0"/>
              <w:rPr>
                <w:lang w:val="en-AU"/>
              </w:rPr>
            </w:pPr>
            <w:r w:rsidRPr="00492CD9">
              <w:rPr>
                <w:lang w:val="en-AU"/>
              </w:rPr>
              <w:t>Matter of concern</w:t>
            </w:r>
            <w:r w:rsidR="003310D7" w:rsidRPr="00492CD9">
              <w:rPr>
                <w:lang w:val="en-AU"/>
              </w:rPr>
              <w:t xml:space="preserve"> (Pembrolizumab</w:t>
            </w:r>
            <w:r w:rsidR="009C331F" w:rsidRPr="002B4AB6">
              <w:rPr>
                <w:lang w:val="en-AU"/>
              </w:rPr>
              <w:t xml:space="preserve"> PMBCL</w:t>
            </w:r>
            <w:r w:rsidR="003310D7" w:rsidRPr="002B4AB6">
              <w:rPr>
                <w:lang w:val="en-AU"/>
              </w:rPr>
              <w:t xml:space="preserve"> </w:t>
            </w:r>
            <w:r w:rsidR="009C331F" w:rsidRPr="002B4AB6">
              <w:rPr>
                <w:lang w:val="en-AU"/>
              </w:rPr>
              <w:t xml:space="preserve">PSD, </w:t>
            </w:r>
            <w:r w:rsidR="003310D7" w:rsidRPr="002B4AB6">
              <w:rPr>
                <w:lang w:val="en-AU"/>
              </w:rPr>
              <w:t>Nov 2018 PBAC meeting)</w:t>
            </w:r>
          </w:p>
        </w:tc>
        <w:tc>
          <w:tcPr>
            <w:tcW w:w="1970" w:type="pct"/>
          </w:tcPr>
          <w:p w:rsidR="00DC3DFF" w:rsidRPr="002B4AB6" w:rsidRDefault="00DC3DFF" w:rsidP="00A3373B">
            <w:pPr>
              <w:pStyle w:val="In-tableHeading"/>
              <w:keepNext w:val="0"/>
              <w:keepLines/>
              <w:widowControl w:val="0"/>
              <w:rPr>
                <w:lang w:val="en-AU"/>
              </w:rPr>
            </w:pPr>
            <w:r w:rsidRPr="002B4AB6">
              <w:rPr>
                <w:lang w:val="en-AU"/>
              </w:rPr>
              <w:t>How the resubmission addresses it</w:t>
            </w:r>
          </w:p>
        </w:tc>
      </w:tr>
      <w:tr w:rsidR="00DC3DFF" w:rsidRPr="002B4AB6" w:rsidTr="00B81F20">
        <w:trPr>
          <w:cantSplit/>
        </w:trPr>
        <w:tc>
          <w:tcPr>
            <w:tcW w:w="797" w:type="pct"/>
            <w:tcBorders>
              <w:bottom w:val="single" w:sz="4" w:space="0" w:color="auto"/>
            </w:tcBorders>
          </w:tcPr>
          <w:p w:rsidR="00DC3DFF" w:rsidRPr="002B4AB6" w:rsidRDefault="00DC3DFF" w:rsidP="00A3373B">
            <w:pPr>
              <w:pStyle w:val="Tabletext"/>
              <w:keepLines/>
              <w:widowControl w:val="0"/>
              <w:rPr>
                <w:rFonts w:eastAsiaTheme="majorEastAsia"/>
                <w:bCs/>
              </w:rPr>
            </w:pPr>
            <w:r w:rsidRPr="002B4AB6">
              <w:rPr>
                <w:rFonts w:eastAsiaTheme="majorEastAsia"/>
                <w:bCs/>
              </w:rPr>
              <w:t>Maturity of pembrolizumab data</w:t>
            </w:r>
          </w:p>
        </w:tc>
        <w:tc>
          <w:tcPr>
            <w:tcW w:w="2232" w:type="pct"/>
            <w:tcBorders>
              <w:bottom w:val="single" w:sz="4" w:space="0" w:color="auto"/>
            </w:tcBorders>
          </w:tcPr>
          <w:p w:rsidR="00DC3DFF" w:rsidRPr="002B4AB6" w:rsidRDefault="00DC3DFF" w:rsidP="00A3373B">
            <w:pPr>
              <w:pStyle w:val="Tabletext"/>
              <w:keepLines/>
              <w:widowControl w:val="0"/>
              <w:rPr>
                <w:rFonts w:eastAsiaTheme="majorEastAsia"/>
                <w:bCs/>
              </w:rPr>
            </w:pPr>
            <w:r w:rsidRPr="002B4AB6">
              <w:rPr>
                <w:rFonts w:eastAsiaTheme="majorEastAsia"/>
                <w:bCs/>
              </w:rPr>
              <w:t xml:space="preserve">The PBAC considered that the data from the pembrolizumab studies were immature, with the Phase 2 KN170 study having a median duration of follow-up of 9.7 months </w:t>
            </w:r>
            <w:r w:rsidR="005D7BE6" w:rsidRPr="002B4AB6">
              <w:rPr>
                <w:rFonts w:eastAsiaTheme="majorEastAsia"/>
                <w:bCs/>
              </w:rPr>
              <w:t xml:space="preserve">(January 2018 data cut-off) </w:t>
            </w:r>
            <w:r w:rsidRPr="002B4AB6">
              <w:rPr>
                <w:rFonts w:eastAsiaTheme="majorEastAsia"/>
                <w:bCs/>
              </w:rPr>
              <w:t>and a large degree of censoring (para 6.25)</w:t>
            </w:r>
          </w:p>
          <w:p w:rsidR="00DC3DFF" w:rsidRPr="002B4AB6" w:rsidRDefault="00DC3DFF" w:rsidP="00A3373B">
            <w:pPr>
              <w:pStyle w:val="Tabletext"/>
              <w:keepLines/>
              <w:widowControl w:val="0"/>
              <w:rPr>
                <w:rFonts w:eastAsiaTheme="majorEastAsia"/>
                <w:bCs/>
              </w:rPr>
            </w:pPr>
          </w:p>
          <w:p w:rsidR="00DC3DFF" w:rsidRPr="002B4AB6" w:rsidRDefault="00DC3DFF" w:rsidP="00A3373B">
            <w:pPr>
              <w:pStyle w:val="Tabletext"/>
              <w:keepLines/>
              <w:widowControl w:val="0"/>
              <w:rPr>
                <w:rFonts w:eastAsiaTheme="majorEastAsia"/>
                <w:bCs/>
              </w:rPr>
            </w:pPr>
            <w:r w:rsidRPr="002B4AB6">
              <w:rPr>
                <w:rFonts w:eastAsiaTheme="majorEastAsia"/>
                <w:bCs/>
              </w:rPr>
              <w:t>The PBAC advised that more mature trial data would help inform a resubmission (para 7.1).</w:t>
            </w:r>
          </w:p>
        </w:tc>
        <w:tc>
          <w:tcPr>
            <w:tcW w:w="1970" w:type="pct"/>
            <w:tcBorders>
              <w:bottom w:val="single" w:sz="4" w:space="0" w:color="auto"/>
            </w:tcBorders>
          </w:tcPr>
          <w:p w:rsidR="00DC3DFF" w:rsidRPr="002B4AB6" w:rsidRDefault="003310D7" w:rsidP="00A3373B">
            <w:pPr>
              <w:pStyle w:val="Tabletext"/>
              <w:keepLines/>
              <w:widowControl w:val="0"/>
              <w:rPr>
                <w:rFonts w:eastAsiaTheme="majorEastAsia"/>
                <w:bCs/>
              </w:rPr>
            </w:pPr>
            <w:r w:rsidRPr="002B4AB6">
              <w:rPr>
                <w:rFonts w:eastAsiaTheme="majorEastAsia"/>
                <w:bCs/>
              </w:rPr>
              <w:t>Updated OS data from KN170: New data cut-off May 2019 (median du</w:t>
            </w:r>
            <w:r w:rsidR="005D7BE6" w:rsidRPr="002B4AB6">
              <w:rPr>
                <w:rFonts w:eastAsiaTheme="majorEastAsia"/>
                <w:bCs/>
              </w:rPr>
              <w:t>ration of follow-up 22.3 months)</w:t>
            </w:r>
            <w:r w:rsidRPr="002B4AB6">
              <w:rPr>
                <w:rFonts w:eastAsiaTheme="majorEastAsia"/>
                <w:bCs/>
              </w:rPr>
              <w:t xml:space="preserve">. </w:t>
            </w:r>
            <w:r w:rsidR="00DC3DFF" w:rsidRPr="002B4AB6">
              <w:rPr>
                <w:rFonts w:eastAsiaTheme="majorEastAsia"/>
                <w:bCs/>
              </w:rPr>
              <w:t xml:space="preserve">The pembrolizumab arm of the model </w:t>
            </w:r>
            <w:r w:rsidRPr="002B4AB6">
              <w:rPr>
                <w:rFonts w:eastAsiaTheme="majorEastAsia"/>
                <w:bCs/>
              </w:rPr>
              <w:t xml:space="preserve">was </w:t>
            </w:r>
            <w:r w:rsidR="00DC3DFF" w:rsidRPr="002B4AB6">
              <w:rPr>
                <w:rFonts w:eastAsiaTheme="majorEastAsia"/>
                <w:bCs/>
              </w:rPr>
              <w:t xml:space="preserve">based on </w:t>
            </w:r>
            <w:r w:rsidRPr="002B4AB6">
              <w:rPr>
                <w:rFonts w:eastAsiaTheme="majorEastAsia"/>
                <w:bCs/>
              </w:rPr>
              <w:t xml:space="preserve">this </w:t>
            </w:r>
            <w:r w:rsidR="00DC3DFF" w:rsidRPr="002B4AB6">
              <w:rPr>
                <w:rFonts w:eastAsiaTheme="majorEastAsia"/>
                <w:bCs/>
              </w:rPr>
              <w:t>additional 13 months of data from KN170.</w:t>
            </w:r>
          </w:p>
        </w:tc>
      </w:tr>
      <w:tr w:rsidR="003310D7" w:rsidRPr="002B4AB6" w:rsidTr="00B81F20">
        <w:trPr>
          <w:cantSplit/>
        </w:trPr>
        <w:tc>
          <w:tcPr>
            <w:tcW w:w="797" w:type="pct"/>
            <w:tcBorders>
              <w:bottom w:val="nil"/>
            </w:tcBorders>
          </w:tcPr>
          <w:p w:rsidR="003310D7" w:rsidRPr="002B4AB6" w:rsidRDefault="003310D7" w:rsidP="00A3373B">
            <w:pPr>
              <w:pStyle w:val="Tabletext"/>
              <w:keepLines/>
              <w:widowControl w:val="0"/>
              <w:rPr>
                <w:rFonts w:eastAsiaTheme="majorEastAsia"/>
                <w:bCs/>
              </w:rPr>
            </w:pPr>
            <w:r w:rsidRPr="002B4AB6">
              <w:rPr>
                <w:rFonts w:eastAsiaTheme="majorEastAsia"/>
                <w:bCs/>
              </w:rPr>
              <w:t>Data for the SOC arm</w:t>
            </w:r>
          </w:p>
        </w:tc>
        <w:tc>
          <w:tcPr>
            <w:tcW w:w="2232" w:type="pct"/>
            <w:tcBorders>
              <w:bottom w:val="nil"/>
            </w:tcBorders>
          </w:tcPr>
          <w:p w:rsidR="003310D7" w:rsidRPr="002B4AB6" w:rsidRDefault="003310D7" w:rsidP="00A3373B">
            <w:pPr>
              <w:pStyle w:val="Tabletext"/>
              <w:keepLines/>
              <w:widowControl w:val="0"/>
              <w:rPr>
                <w:rFonts w:eastAsiaTheme="majorEastAsia"/>
                <w:bCs/>
              </w:rPr>
            </w:pPr>
            <w:r w:rsidRPr="002B4AB6">
              <w:rPr>
                <w:rFonts w:eastAsiaTheme="majorEastAsia"/>
                <w:bCs/>
              </w:rPr>
              <w:t>The OS data for SOC were sourced from a retrospective cohort study (Kuruvilla 2008).</w:t>
            </w:r>
          </w:p>
          <w:p w:rsidR="003310D7" w:rsidRPr="002B4AB6" w:rsidRDefault="003310D7" w:rsidP="00A3373B">
            <w:pPr>
              <w:pStyle w:val="Tabletext"/>
              <w:keepLines/>
              <w:widowControl w:val="0"/>
              <w:rPr>
                <w:rFonts w:eastAsiaTheme="majorEastAsia"/>
                <w:bCs/>
              </w:rPr>
            </w:pPr>
          </w:p>
        </w:tc>
        <w:tc>
          <w:tcPr>
            <w:tcW w:w="1970" w:type="pct"/>
            <w:tcBorders>
              <w:bottom w:val="nil"/>
            </w:tcBorders>
          </w:tcPr>
          <w:p w:rsidR="003310D7" w:rsidRPr="002B4AB6" w:rsidRDefault="003310D7" w:rsidP="00A3373B">
            <w:pPr>
              <w:pStyle w:val="Tabletext"/>
              <w:keepLines/>
              <w:widowControl w:val="0"/>
              <w:spacing w:after="120"/>
              <w:rPr>
                <w:rFonts w:eastAsiaTheme="majorEastAsia"/>
                <w:bCs/>
                <w:i/>
              </w:rPr>
            </w:pPr>
            <w:r w:rsidRPr="002B4AB6">
              <w:rPr>
                <w:rFonts w:eastAsiaTheme="majorEastAsia"/>
                <w:bCs/>
              </w:rPr>
              <w:t>Another retrospective cohort study (Vardhana 2018) was included in the resubmission to provide outcome estimates for SOC.</w:t>
            </w:r>
          </w:p>
        </w:tc>
      </w:tr>
      <w:tr w:rsidR="003310D7" w:rsidRPr="002B4AB6" w:rsidTr="00B81F20">
        <w:trPr>
          <w:cantSplit/>
        </w:trPr>
        <w:tc>
          <w:tcPr>
            <w:tcW w:w="797" w:type="pct"/>
            <w:tcBorders>
              <w:top w:val="nil"/>
              <w:bottom w:val="nil"/>
            </w:tcBorders>
          </w:tcPr>
          <w:p w:rsidR="003310D7" w:rsidRPr="002B4AB6" w:rsidRDefault="003310D7" w:rsidP="00A3373B">
            <w:pPr>
              <w:pStyle w:val="Tabletext"/>
              <w:keepLines/>
              <w:widowControl w:val="0"/>
              <w:rPr>
                <w:rFonts w:eastAsiaTheme="majorEastAsia"/>
                <w:bCs/>
              </w:rPr>
            </w:pPr>
          </w:p>
        </w:tc>
        <w:tc>
          <w:tcPr>
            <w:tcW w:w="2232" w:type="pct"/>
            <w:tcBorders>
              <w:top w:val="nil"/>
              <w:bottom w:val="nil"/>
            </w:tcBorders>
          </w:tcPr>
          <w:p w:rsidR="003310D7" w:rsidRPr="002B4AB6" w:rsidRDefault="003310D7" w:rsidP="00A3373B">
            <w:pPr>
              <w:pStyle w:val="Tabletext"/>
              <w:keepLines/>
              <w:widowControl w:val="0"/>
              <w:rPr>
                <w:rFonts w:eastAsiaTheme="majorEastAsia"/>
                <w:bCs/>
              </w:rPr>
            </w:pPr>
            <w:r w:rsidRPr="002B4AB6">
              <w:rPr>
                <w:rFonts w:eastAsiaTheme="majorEastAsia"/>
                <w:bCs/>
              </w:rPr>
              <w:t>The ESC and the PBAC considered that Kuruvilla 2008 was not representative of current clinical practice as the salvage regimens did not contain rituximab (para 6.10).</w:t>
            </w:r>
          </w:p>
        </w:tc>
        <w:tc>
          <w:tcPr>
            <w:tcW w:w="1970" w:type="pct"/>
            <w:tcBorders>
              <w:top w:val="nil"/>
              <w:bottom w:val="nil"/>
            </w:tcBorders>
          </w:tcPr>
          <w:p w:rsidR="003310D7" w:rsidRPr="002B4AB6" w:rsidRDefault="003310D7" w:rsidP="00A3373B">
            <w:pPr>
              <w:pStyle w:val="Tabletext"/>
              <w:keepLines/>
              <w:widowControl w:val="0"/>
              <w:rPr>
                <w:rFonts w:eastAsiaTheme="majorEastAsia"/>
                <w:bCs/>
              </w:rPr>
            </w:pPr>
            <w:r w:rsidRPr="002B4AB6">
              <w:rPr>
                <w:rFonts w:eastAsiaTheme="majorEastAsia"/>
                <w:bCs/>
              </w:rPr>
              <w:t>In Vardhana 2018, 40% and 48% of patients received rituximab as a component of primary and second</w:t>
            </w:r>
            <w:r w:rsidR="001862B3" w:rsidRPr="002B4AB6">
              <w:rPr>
                <w:rFonts w:eastAsiaTheme="majorEastAsia"/>
                <w:bCs/>
              </w:rPr>
              <w:t xml:space="preserve"> </w:t>
            </w:r>
            <w:r w:rsidRPr="002B4AB6">
              <w:rPr>
                <w:rFonts w:eastAsiaTheme="majorEastAsia"/>
                <w:bCs/>
              </w:rPr>
              <w:t>line chemotherapy, respectively.</w:t>
            </w:r>
          </w:p>
        </w:tc>
      </w:tr>
      <w:tr w:rsidR="003310D7" w:rsidRPr="002B4AB6" w:rsidTr="00B81F20">
        <w:trPr>
          <w:cantSplit/>
        </w:trPr>
        <w:tc>
          <w:tcPr>
            <w:tcW w:w="797" w:type="pct"/>
            <w:tcBorders>
              <w:top w:val="nil"/>
            </w:tcBorders>
          </w:tcPr>
          <w:p w:rsidR="003310D7" w:rsidRPr="002B4AB6" w:rsidRDefault="003310D7" w:rsidP="00A3373B">
            <w:pPr>
              <w:pStyle w:val="Tabletext"/>
              <w:keepLines/>
              <w:widowControl w:val="0"/>
              <w:rPr>
                <w:rFonts w:eastAsiaTheme="majorEastAsia"/>
                <w:bCs/>
              </w:rPr>
            </w:pPr>
          </w:p>
        </w:tc>
        <w:tc>
          <w:tcPr>
            <w:tcW w:w="2232" w:type="pct"/>
            <w:tcBorders>
              <w:top w:val="nil"/>
            </w:tcBorders>
          </w:tcPr>
          <w:p w:rsidR="003310D7" w:rsidRPr="002B4AB6" w:rsidRDefault="003310D7" w:rsidP="00A3373B">
            <w:pPr>
              <w:pStyle w:val="Tabletext"/>
              <w:keepLines/>
              <w:widowControl w:val="0"/>
              <w:rPr>
                <w:rFonts w:eastAsiaTheme="majorEastAsia"/>
                <w:bCs/>
                <w:iCs/>
              </w:rPr>
            </w:pPr>
            <w:r w:rsidRPr="002B4AB6">
              <w:rPr>
                <w:rFonts w:eastAsiaTheme="majorEastAsia"/>
                <w:bCs/>
                <w:iCs/>
              </w:rPr>
              <w:t>The economic evaluation used a subgroup of the Kuruvilla 2008 population to estimate OS for the SOC arm (the subgroup comprised 24 of the 37 patients included in Kuruvilla 2008). The ESC and PBAC considered that it was not reasonable to select a subgroup. The ESC considered that it would have been more reasonable to use the full population of Kuruvilla 2008 (rather than a subgroup) (para 6.32).</w:t>
            </w:r>
          </w:p>
          <w:p w:rsidR="003310D7" w:rsidRPr="002B4AB6" w:rsidRDefault="003310D7" w:rsidP="00A3373B">
            <w:pPr>
              <w:pStyle w:val="Tabletext"/>
              <w:keepLines/>
              <w:widowControl w:val="0"/>
              <w:rPr>
                <w:rFonts w:eastAsiaTheme="majorEastAsia"/>
                <w:bCs/>
              </w:rPr>
            </w:pPr>
          </w:p>
          <w:p w:rsidR="003310D7" w:rsidRPr="002B4AB6" w:rsidRDefault="003310D7" w:rsidP="00A3373B">
            <w:pPr>
              <w:pStyle w:val="Tabletext"/>
              <w:keepLines/>
              <w:widowControl w:val="0"/>
              <w:rPr>
                <w:rFonts w:eastAsiaTheme="majorEastAsia"/>
                <w:bCs/>
              </w:rPr>
            </w:pPr>
            <w:r w:rsidRPr="002B4AB6">
              <w:rPr>
                <w:rFonts w:eastAsiaTheme="majorEastAsia"/>
                <w:bCs/>
              </w:rPr>
              <w:t>The PBAC considered that Vardhana 2018 was also a relevant source for estimating SOC chemotherapy outcomes in current practice (para 7.6)</w:t>
            </w:r>
          </w:p>
        </w:tc>
        <w:tc>
          <w:tcPr>
            <w:tcW w:w="1970" w:type="pct"/>
            <w:tcBorders>
              <w:top w:val="nil"/>
            </w:tcBorders>
          </w:tcPr>
          <w:p w:rsidR="003310D7" w:rsidRPr="002B4AB6" w:rsidRDefault="003310D7" w:rsidP="00A3373B">
            <w:pPr>
              <w:pStyle w:val="Tabletext"/>
              <w:keepLines/>
              <w:widowControl w:val="0"/>
              <w:rPr>
                <w:rFonts w:eastAsiaTheme="majorEastAsia"/>
                <w:bCs/>
              </w:rPr>
            </w:pPr>
            <w:r w:rsidRPr="002B4AB6">
              <w:rPr>
                <w:rFonts w:eastAsiaTheme="majorEastAsia"/>
                <w:bCs/>
              </w:rPr>
              <w:t xml:space="preserve">Several cohorts were identified in the Vardhana 2018 study, which the resubmission claimed better matched the target population (compared with the full study population), and used as a proxy to inform survival in the SOC arm in the </w:t>
            </w:r>
            <w:r w:rsidR="0079059C" w:rsidRPr="002B4AB6">
              <w:rPr>
                <w:rFonts w:eastAsiaTheme="majorEastAsia"/>
                <w:bCs/>
              </w:rPr>
              <w:t>model</w:t>
            </w:r>
            <w:r w:rsidRPr="002B4AB6">
              <w:rPr>
                <w:rFonts w:eastAsiaTheme="majorEastAsia"/>
                <w:bCs/>
              </w:rPr>
              <w:t xml:space="preserve">. The following </w:t>
            </w:r>
            <w:r w:rsidR="008E64A9" w:rsidRPr="002B4AB6">
              <w:rPr>
                <w:rFonts w:eastAsiaTheme="majorEastAsia"/>
                <w:bCs/>
              </w:rPr>
              <w:t>combined</w:t>
            </w:r>
            <w:r w:rsidRPr="002B4AB6">
              <w:rPr>
                <w:rFonts w:eastAsiaTheme="majorEastAsia"/>
                <w:bCs/>
              </w:rPr>
              <w:t xml:space="preserve"> cohorts were used i</w:t>
            </w:r>
            <w:r w:rsidR="00CA1A41" w:rsidRPr="002B4AB6">
              <w:rPr>
                <w:rFonts w:eastAsiaTheme="majorEastAsia"/>
                <w:bCs/>
              </w:rPr>
              <w:t>n the base case economic analysi</w:t>
            </w:r>
            <w:r w:rsidRPr="002B4AB6">
              <w:rPr>
                <w:rFonts w:eastAsiaTheme="majorEastAsia"/>
                <w:bCs/>
              </w:rPr>
              <w:t>s:</w:t>
            </w:r>
          </w:p>
          <w:p w:rsidR="003310D7" w:rsidRPr="002B4AB6" w:rsidRDefault="003310D7" w:rsidP="00E818A3">
            <w:pPr>
              <w:pStyle w:val="Tabletext"/>
              <w:keepLines/>
              <w:widowControl w:val="0"/>
              <w:numPr>
                <w:ilvl w:val="0"/>
                <w:numId w:val="7"/>
              </w:numPr>
              <w:ind w:left="308" w:hanging="210"/>
              <w:rPr>
                <w:rFonts w:eastAsiaTheme="majorEastAsia"/>
                <w:bCs/>
              </w:rPr>
            </w:pPr>
            <w:r w:rsidRPr="002B4AB6">
              <w:rPr>
                <w:rFonts w:eastAsiaTheme="majorEastAsia"/>
                <w:bCs/>
              </w:rPr>
              <w:t>Patients who were refractory to second</w:t>
            </w:r>
            <w:r w:rsidR="001862B3" w:rsidRPr="002B4AB6">
              <w:rPr>
                <w:rFonts w:eastAsiaTheme="majorEastAsia"/>
                <w:bCs/>
              </w:rPr>
              <w:t xml:space="preserve"> </w:t>
            </w:r>
            <w:r w:rsidRPr="002B4AB6">
              <w:rPr>
                <w:rFonts w:eastAsiaTheme="majorEastAsia"/>
                <w:bCs/>
              </w:rPr>
              <w:t>line chemotherapy but underwent ASCT (n=13);</w:t>
            </w:r>
          </w:p>
          <w:p w:rsidR="003310D7" w:rsidRPr="002B4AB6" w:rsidRDefault="003310D7" w:rsidP="00E818A3">
            <w:pPr>
              <w:pStyle w:val="Tabletext"/>
              <w:keepLines/>
              <w:widowControl w:val="0"/>
              <w:numPr>
                <w:ilvl w:val="0"/>
                <w:numId w:val="7"/>
              </w:numPr>
              <w:ind w:left="308" w:hanging="210"/>
              <w:rPr>
                <w:rFonts w:eastAsiaTheme="majorEastAsia"/>
                <w:bCs/>
              </w:rPr>
            </w:pPr>
            <w:r w:rsidRPr="002B4AB6">
              <w:rPr>
                <w:rFonts w:eastAsiaTheme="majorEastAsia"/>
                <w:bCs/>
              </w:rPr>
              <w:t>Patients who did not undergo ASCT (n=9)</w:t>
            </w:r>
          </w:p>
        </w:tc>
      </w:tr>
      <w:tr w:rsidR="003310D7" w:rsidRPr="002B4AB6" w:rsidTr="00B81F20">
        <w:trPr>
          <w:cantSplit/>
        </w:trPr>
        <w:tc>
          <w:tcPr>
            <w:tcW w:w="797" w:type="pct"/>
          </w:tcPr>
          <w:p w:rsidR="003310D7" w:rsidRPr="002B4AB6" w:rsidRDefault="003310D7" w:rsidP="00A3373B">
            <w:pPr>
              <w:pStyle w:val="Tabletext"/>
              <w:keepLines/>
              <w:widowControl w:val="0"/>
              <w:rPr>
                <w:rFonts w:eastAsiaTheme="majorEastAsia"/>
                <w:bCs/>
              </w:rPr>
            </w:pPr>
            <w:r w:rsidRPr="002B4AB6">
              <w:rPr>
                <w:rFonts w:eastAsiaTheme="majorEastAsia"/>
                <w:bCs/>
              </w:rPr>
              <w:t>Utility values</w:t>
            </w:r>
          </w:p>
        </w:tc>
        <w:tc>
          <w:tcPr>
            <w:tcW w:w="2232" w:type="pct"/>
          </w:tcPr>
          <w:p w:rsidR="003310D7" w:rsidRPr="002B4AB6" w:rsidRDefault="00774E69" w:rsidP="00A3373B">
            <w:pPr>
              <w:pStyle w:val="Tabletext"/>
              <w:keepLines/>
              <w:widowControl w:val="0"/>
              <w:rPr>
                <w:rFonts w:eastAsiaTheme="majorEastAsia"/>
                <w:bCs/>
              </w:rPr>
            </w:pPr>
            <w:r w:rsidRPr="002B4AB6">
              <w:rPr>
                <w:rFonts w:eastAsiaTheme="majorEastAsia"/>
                <w:bCs/>
              </w:rPr>
              <w:t>The u</w:t>
            </w:r>
            <w:r w:rsidR="003310D7" w:rsidRPr="002B4AB6">
              <w:rPr>
                <w:rFonts w:eastAsiaTheme="majorEastAsia"/>
                <w:bCs/>
              </w:rPr>
              <w:t>tility data</w:t>
            </w:r>
            <w:r w:rsidRPr="002B4AB6">
              <w:rPr>
                <w:rFonts w:eastAsiaTheme="majorEastAsia"/>
                <w:bCs/>
              </w:rPr>
              <w:t xml:space="preserve"> that informed the utility values</w:t>
            </w:r>
            <w:r w:rsidR="003310D7" w:rsidRPr="002B4AB6">
              <w:rPr>
                <w:rFonts w:eastAsiaTheme="majorEastAsia"/>
                <w:bCs/>
              </w:rPr>
              <w:t xml:space="preserve"> was not provided in the submission; therefore, the validity of using these data to inform the model could not be evaluated. The ESC and PBAC considered that, in the absence of data to evaluate these utilities, more conservative utility values should have been applied (para 6.38).</w:t>
            </w:r>
          </w:p>
        </w:tc>
        <w:tc>
          <w:tcPr>
            <w:tcW w:w="1970" w:type="pct"/>
          </w:tcPr>
          <w:p w:rsidR="003310D7" w:rsidRPr="002B4AB6" w:rsidRDefault="003310D7" w:rsidP="00A3373B">
            <w:pPr>
              <w:pStyle w:val="Tabletext"/>
              <w:keepLines/>
              <w:widowControl w:val="0"/>
              <w:rPr>
                <w:rFonts w:eastAsiaTheme="majorEastAsia"/>
                <w:bCs/>
                <w:i/>
              </w:rPr>
            </w:pPr>
            <w:r w:rsidRPr="002B4AB6">
              <w:rPr>
                <w:rFonts w:eastAsiaTheme="majorEastAsia"/>
                <w:bCs/>
              </w:rPr>
              <w:t xml:space="preserve">The resubmission stated that the utilities derived from EQ-5D scores from KN170 continued to be used in the base case, as they were trial based and therefore of most relevance to a PMBCL cohort. As in the original submission, the resubmission </w:t>
            </w:r>
            <w:r w:rsidR="008C7FFA" w:rsidRPr="002B4AB6">
              <w:rPr>
                <w:rFonts w:eastAsiaTheme="majorEastAsia"/>
                <w:bCs/>
              </w:rPr>
              <w:t>did not</w:t>
            </w:r>
            <w:r w:rsidRPr="002B4AB6">
              <w:rPr>
                <w:rFonts w:eastAsiaTheme="majorEastAsia"/>
                <w:bCs/>
              </w:rPr>
              <w:t xml:space="preserve"> provide the quality-of-life outcomes for the EQ-5D questionnaire observed in KN170.</w:t>
            </w:r>
          </w:p>
          <w:p w:rsidR="003310D7" w:rsidRPr="002B4AB6" w:rsidRDefault="003310D7" w:rsidP="00A3373B">
            <w:pPr>
              <w:pStyle w:val="Tabletext"/>
              <w:keepLines/>
              <w:widowControl w:val="0"/>
              <w:rPr>
                <w:rFonts w:eastAsiaTheme="majorEastAsia"/>
                <w:bCs/>
              </w:rPr>
            </w:pPr>
            <w:r w:rsidRPr="002B4AB6">
              <w:rPr>
                <w:rFonts w:eastAsiaTheme="majorEastAsia"/>
                <w:bCs/>
              </w:rPr>
              <w:t>The impact of a range of utility estimates from the published literature were tested in sensitivity analyses.</w:t>
            </w:r>
          </w:p>
        </w:tc>
      </w:tr>
      <w:tr w:rsidR="003310D7" w:rsidRPr="002B4AB6" w:rsidTr="00B81F20">
        <w:trPr>
          <w:cantSplit/>
        </w:trPr>
        <w:tc>
          <w:tcPr>
            <w:tcW w:w="797" w:type="pct"/>
          </w:tcPr>
          <w:p w:rsidR="003310D7" w:rsidRPr="002B4AB6" w:rsidRDefault="003310D7" w:rsidP="00A3373B">
            <w:pPr>
              <w:pStyle w:val="Tabletext"/>
              <w:keepLines/>
              <w:widowControl w:val="0"/>
              <w:rPr>
                <w:rFonts w:eastAsiaTheme="majorEastAsia"/>
                <w:bCs/>
              </w:rPr>
            </w:pPr>
            <w:r w:rsidRPr="002B4AB6">
              <w:lastRenderedPageBreak/>
              <w:t>Prevalent population</w:t>
            </w:r>
          </w:p>
        </w:tc>
        <w:tc>
          <w:tcPr>
            <w:tcW w:w="2232" w:type="pct"/>
          </w:tcPr>
          <w:p w:rsidR="003310D7" w:rsidRPr="002B4AB6" w:rsidRDefault="003310D7" w:rsidP="00A3373B">
            <w:pPr>
              <w:pStyle w:val="TableText0"/>
              <w:keepNext w:val="0"/>
              <w:keepLines/>
              <w:widowControl w:val="0"/>
            </w:pPr>
            <w:r w:rsidRPr="002B4AB6">
              <w:t>The submission included grandfathered patients as well as a prevalent pool of patients (the relapsed 5-year prevalent population). Including prevalent patients as well as grandfathered patients (who would presumably have been drawn from the prevalent pool), and assuming that prevalent patients would “drip feed” into the treated patient group over the full six years of the analysis, was likely to have overestimated the number of eligible patients as most of these patients are likely to be treated in the first year of listing (para 6.47)</w:t>
            </w:r>
          </w:p>
        </w:tc>
        <w:tc>
          <w:tcPr>
            <w:tcW w:w="1970" w:type="pct"/>
          </w:tcPr>
          <w:p w:rsidR="003310D7" w:rsidRPr="002B4AB6" w:rsidRDefault="003310D7" w:rsidP="00A3373B">
            <w:pPr>
              <w:pStyle w:val="TableText0"/>
              <w:keepNext w:val="0"/>
              <w:keepLines/>
              <w:widowControl w:val="0"/>
            </w:pPr>
            <w:r w:rsidRPr="002B4AB6">
              <w:t xml:space="preserve">The prevalent PMBCL population </w:t>
            </w:r>
            <w:r w:rsidR="003B2D83" w:rsidRPr="002B4AB6">
              <w:t>was</w:t>
            </w:r>
            <w:r w:rsidRPr="002B4AB6">
              <w:t xml:space="preserve"> derived and calculated from the latest non-Hodgkin’s Lymphoma epidemiological data (AIHW).</w:t>
            </w:r>
          </w:p>
          <w:p w:rsidR="003310D7" w:rsidRPr="002B4AB6" w:rsidRDefault="003310D7" w:rsidP="00A3373B">
            <w:pPr>
              <w:pStyle w:val="TableText0"/>
              <w:keepNext w:val="0"/>
              <w:keepLines/>
              <w:widowControl w:val="0"/>
            </w:pPr>
          </w:p>
          <w:p w:rsidR="003310D7" w:rsidRPr="002B4AB6" w:rsidRDefault="003310D7" w:rsidP="00A3373B">
            <w:pPr>
              <w:pStyle w:val="Tabletext"/>
              <w:keepLines/>
              <w:widowControl w:val="0"/>
              <w:rPr>
                <w:rFonts w:eastAsiaTheme="majorEastAsia"/>
                <w:bCs/>
              </w:rPr>
            </w:pPr>
            <w:r w:rsidRPr="002B4AB6">
              <w:t>The prevalent population are only included in the first year of listing.</w:t>
            </w:r>
          </w:p>
        </w:tc>
      </w:tr>
    </w:tbl>
    <w:p w:rsidR="00DC3DFF" w:rsidRPr="002B4AB6" w:rsidDel="0011594E" w:rsidRDefault="00DC3DFF" w:rsidP="00A3373B">
      <w:pPr>
        <w:pStyle w:val="TableFigureFooter"/>
        <w:keepLines/>
        <w:widowControl w:val="0"/>
        <w:rPr>
          <w:rFonts w:eastAsiaTheme="majorEastAsia"/>
        </w:rPr>
      </w:pPr>
      <w:r w:rsidRPr="002B4AB6" w:rsidDel="0011594E">
        <w:rPr>
          <w:rFonts w:eastAsiaTheme="majorEastAsia"/>
        </w:rPr>
        <w:t xml:space="preserve">Source: </w:t>
      </w:r>
      <w:r w:rsidR="009C331F" w:rsidRPr="002B4AB6">
        <w:rPr>
          <w:rFonts w:eastAsiaTheme="majorEastAsia"/>
        </w:rPr>
        <w:t>Pembrolizumab PMBCL PSD, Nov 2018 PBAC meeting</w:t>
      </w:r>
      <w:r w:rsidR="003310D7" w:rsidRPr="002B4AB6" w:rsidDel="0011594E">
        <w:rPr>
          <w:rFonts w:eastAsiaTheme="majorEastAsia"/>
        </w:rPr>
        <w:t xml:space="preserve">, </w:t>
      </w:r>
      <w:r w:rsidR="00F60EC6" w:rsidRPr="002B4AB6" w:rsidDel="0011594E">
        <w:rPr>
          <w:rFonts w:eastAsiaTheme="majorEastAsia"/>
        </w:rPr>
        <w:t xml:space="preserve">Section 2.5 and </w:t>
      </w:r>
      <w:r w:rsidRPr="002B4AB6" w:rsidDel="0011594E">
        <w:rPr>
          <w:rFonts w:eastAsiaTheme="majorEastAsia"/>
        </w:rPr>
        <w:t>pp90-93 of the resubmission.</w:t>
      </w:r>
    </w:p>
    <w:p w:rsidR="00DC3DFF" w:rsidRPr="002B4AB6" w:rsidRDefault="00CF790E" w:rsidP="00A3373B">
      <w:pPr>
        <w:pStyle w:val="TableFigureFooter"/>
        <w:keepLines/>
        <w:widowControl w:val="0"/>
      </w:pPr>
      <w:r w:rsidRPr="002B4AB6" w:rsidDel="0011594E">
        <w:t xml:space="preserve">AIHW = Australian Institute of Health and Welfare; </w:t>
      </w:r>
      <w:r w:rsidR="00DC3DFF" w:rsidRPr="002B4AB6" w:rsidDel="0011594E">
        <w:t>ASCT = autologous stem cell transplant; EQ-5D = EuroQol 5 dimensions; OS = overall survival; PFS = progression free survival; PMBCL = primary mediastinal B-cell l</w:t>
      </w:r>
      <w:r w:rsidR="00163E14" w:rsidRPr="002B4AB6" w:rsidDel="0011594E">
        <w:t>ymphoma; SOC = standard of care; PSD = Public Summary Document.</w:t>
      </w:r>
    </w:p>
    <w:p w:rsidR="009A700F" w:rsidRPr="002B4AB6" w:rsidRDefault="009A700F" w:rsidP="00EE6F33">
      <w:pPr>
        <w:ind w:firstLine="720"/>
        <w:rPr>
          <w:i/>
        </w:rPr>
      </w:pPr>
      <w:r w:rsidRPr="002B4AB6">
        <w:rPr>
          <w:i/>
        </w:rPr>
        <w:t>For more detail on PBAC’s view, see section 7 PBAC outcome.</w:t>
      </w:r>
    </w:p>
    <w:p w:rsidR="00DC3DFF" w:rsidRPr="002B4AB6" w:rsidRDefault="00DC3DFF" w:rsidP="00DC3DFF">
      <w:pPr>
        <w:pStyle w:val="2-SectionHeading"/>
      </w:pPr>
      <w:bookmarkStart w:id="9" w:name="_Toc30503040"/>
      <w:r w:rsidRPr="002B4AB6">
        <w:t>Requested listing</w:t>
      </w:r>
      <w:bookmarkEnd w:id="9"/>
    </w:p>
    <w:p w:rsidR="006C4095" w:rsidRPr="002B4AB6" w:rsidRDefault="006C4095" w:rsidP="00181533">
      <w:pPr>
        <w:pStyle w:val="3-BodyText"/>
      </w:pPr>
      <w:r w:rsidRPr="002B4AB6">
        <w:t>Suggestions and additions proposed by the Secretariat are added in italics and suggested deletions are crossed out with strikethrough</w:t>
      </w:r>
      <w:r w:rsidR="002B4AB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2"/>
        <w:gridCol w:w="732"/>
        <w:gridCol w:w="995"/>
        <w:gridCol w:w="2220"/>
        <w:gridCol w:w="2498"/>
      </w:tblGrid>
      <w:tr w:rsidR="006C4095" w:rsidRPr="002B4AB6" w:rsidTr="00181533">
        <w:trPr>
          <w:cantSplit/>
          <w:trHeight w:val="471"/>
        </w:trPr>
        <w:tc>
          <w:tcPr>
            <w:tcW w:w="1426" w:type="pct"/>
          </w:tcPr>
          <w:p w:rsidR="006C4095" w:rsidRPr="00492CD9" w:rsidRDefault="006C4095" w:rsidP="006C4095">
            <w:pPr>
              <w:keepNext/>
              <w:ind w:left="-108"/>
              <w:rPr>
                <w:rFonts w:ascii="Arial Narrow" w:eastAsiaTheme="minorHAnsi" w:hAnsi="Arial Narrow"/>
                <w:b/>
                <w:sz w:val="18"/>
                <w:szCs w:val="18"/>
              </w:rPr>
            </w:pPr>
            <w:r w:rsidRPr="00492CD9">
              <w:rPr>
                <w:rFonts w:ascii="Arial Narrow" w:eastAsiaTheme="minorHAnsi" w:hAnsi="Arial Narrow"/>
                <w:b/>
                <w:sz w:val="18"/>
                <w:szCs w:val="18"/>
              </w:rPr>
              <w:t>Name, Restriction,</w:t>
            </w:r>
          </w:p>
          <w:p w:rsidR="006C4095" w:rsidRPr="002B4AB6" w:rsidRDefault="006C4095" w:rsidP="006C4095">
            <w:pPr>
              <w:keepNext/>
              <w:ind w:left="-108"/>
              <w:rPr>
                <w:rFonts w:ascii="Arial Narrow" w:eastAsiaTheme="minorHAnsi" w:hAnsi="Arial Narrow"/>
                <w:b/>
                <w:sz w:val="18"/>
                <w:szCs w:val="18"/>
              </w:rPr>
            </w:pPr>
            <w:r w:rsidRPr="002B4AB6">
              <w:rPr>
                <w:rFonts w:ascii="Arial Narrow" w:eastAsiaTheme="minorHAnsi" w:hAnsi="Arial Narrow"/>
                <w:b/>
                <w:sz w:val="18"/>
                <w:szCs w:val="18"/>
              </w:rPr>
              <w:t>Manner of administration and form</w:t>
            </w:r>
          </w:p>
        </w:tc>
        <w:tc>
          <w:tcPr>
            <w:tcW w:w="406" w:type="pct"/>
          </w:tcPr>
          <w:p w:rsidR="006C4095" w:rsidRPr="002B4AB6" w:rsidRDefault="006C4095" w:rsidP="006C4095">
            <w:pPr>
              <w:keepNext/>
              <w:ind w:left="-108"/>
              <w:jc w:val="center"/>
              <w:rPr>
                <w:rFonts w:ascii="Arial Narrow" w:eastAsiaTheme="minorHAnsi" w:hAnsi="Arial Narrow"/>
                <w:b/>
                <w:sz w:val="18"/>
                <w:szCs w:val="18"/>
              </w:rPr>
            </w:pPr>
            <w:r w:rsidRPr="002B4AB6">
              <w:rPr>
                <w:rFonts w:ascii="Arial Narrow" w:eastAsiaTheme="minorHAnsi" w:hAnsi="Arial Narrow"/>
                <w:b/>
                <w:sz w:val="18"/>
                <w:szCs w:val="18"/>
              </w:rPr>
              <w:t>Max.</w:t>
            </w:r>
          </w:p>
          <w:p w:rsidR="006C4095" w:rsidRPr="002B4AB6" w:rsidRDefault="006C4095" w:rsidP="006C4095">
            <w:pPr>
              <w:keepNext/>
              <w:ind w:left="-108"/>
              <w:jc w:val="center"/>
              <w:rPr>
                <w:rFonts w:ascii="Arial Narrow" w:eastAsiaTheme="minorHAnsi" w:hAnsi="Arial Narrow"/>
                <w:b/>
                <w:sz w:val="18"/>
                <w:szCs w:val="18"/>
              </w:rPr>
            </w:pPr>
            <w:r w:rsidRPr="002B4AB6">
              <w:rPr>
                <w:rFonts w:ascii="Arial Narrow" w:eastAsiaTheme="minorHAnsi" w:hAnsi="Arial Narrow"/>
                <w:b/>
                <w:sz w:val="18"/>
                <w:szCs w:val="18"/>
              </w:rPr>
              <w:t>Amount</w:t>
            </w:r>
          </w:p>
        </w:tc>
        <w:tc>
          <w:tcPr>
            <w:tcW w:w="552" w:type="pct"/>
          </w:tcPr>
          <w:p w:rsidR="006C4095" w:rsidRPr="002B4AB6" w:rsidRDefault="006C4095" w:rsidP="006C4095">
            <w:pPr>
              <w:keepNext/>
              <w:ind w:left="-108"/>
              <w:jc w:val="center"/>
              <w:rPr>
                <w:rFonts w:ascii="Arial Narrow" w:eastAsiaTheme="minorHAnsi" w:hAnsi="Arial Narrow"/>
                <w:b/>
                <w:sz w:val="18"/>
                <w:szCs w:val="18"/>
              </w:rPr>
            </w:pPr>
            <w:r w:rsidRPr="002B4AB6">
              <w:rPr>
                <w:rFonts w:ascii="Arial Narrow" w:eastAsiaTheme="minorHAnsi" w:hAnsi="Arial Narrow"/>
                <w:b/>
                <w:sz w:val="18"/>
                <w:szCs w:val="18"/>
              </w:rPr>
              <w:t>№.of</w:t>
            </w:r>
          </w:p>
          <w:p w:rsidR="006C4095" w:rsidRPr="002B4AB6" w:rsidRDefault="006C4095" w:rsidP="006C4095">
            <w:pPr>
              <w:keepNext/>
              <w:ind w:left="-108"/>
              <w:jc w:val="center"/>
              <w:rPr>
                <w:rFonts w:ascii="Arial Narrow" w:eastAsiaTheme="minorHAnsi" w:hAnsi="Arial Narrow"/>
                <w:b/>
                <w:sz w:val="18"/>
                <w:szCs w:val="18"/>
              </w:rPr>
            </w:pPr>
            <w:r w:rsidRPr="002B4AB6">
              <w:rPr>
                <w:rFonts w:ascii="Arial Narrow" w:eastAsiaTheme="minorHAnsi" w:hAnsi="Arial Narrow"/>
                <w:b/>
                <w:sz w:val="18"/>
                <w:szCs w:val="18"/>
              </w:rPr>
              <w:t>Rpts</w:t>
            </w:r>
          </w:p>
        </w:tc>
        <w:tc>
          <w:tcPr>
            <w:tcW w:w="1231" w:type="pct"/>
            <w:vAlign w:val="center"/>
          </w:tcPr>
          <w:p w:rsidR="006C4095" w:rsidRPr="002B4AB6" w:rsidRDefault="006C4095" w:rsidP="006C4095">
            <w:pPr>
              <w:keepNext/>
              <w:ind w:left="-108"/>
              <w:jc w:val="center"/>
              <w:rPr>
                <w:rFonts w:ascii="Arial Narrow" w:eastAsiaTheme="minorHAnsi" w:hAnsi="Arial Narrow"/>
                <w:b/>
                <w:sz w:val="18"/>
                <w:szCs w:val="18"/>
              </w:rPr>
            </w:pPr>
            <w:r w:rsidRPr="002B4AB6">
              <w:rPr>
                <w:rFonts w:ascii="Arial Narrow" w:hAnsi="Arial Narrow"/>
                <w:b/>
                <w:sz w:val="20"/>
              </w:rPr>
              <w:t>Dispensed Price Max Amt</w:t>
            </w:r>
          </w:p>
        </w:tc>
        <w:tc>
          <w:tcPr>
            <w:tcW w:w="1385" w:type="pct"/>
          </w:tcPr>
          <w:p w:rsidR="006C4095" w:rsidRPr="000829C9" w:rsidRDefault="006C4095" w:rsidP="006C4095">
            <w:pPr>
              <w:keepNext/>
              <w:rPr>
                <w:rFonts w:ascii="Arial Narrow" w:eastAsiaTheme="minorHAnsi" w:hAnsi="Arial Narrow"/>
                <w:b/>
                <w:sz w:val="18"/>
                <w:szCs w:val="18"/>
              </w:rPr>
            </w:pPr>
            <w:r w:rsidRPr="002B4AB6">
              <w:rPr>
                <w:rFonts w:ascii="Arial Narrow" w:eastAsiaTheme="minorHAnsi" w:hAnsi="Arial Narrow"/>
                <w:b/>
                <w:sz w:val="18"/>
                <w:szCs w:val="18"/>
              </w:rPr>
              <w:t>Manufacturer</w:t>
            </w:r>
          </w:p>
        </w:tc>
      </w:tr>
      <w:tr w:rsidR="006C4095" w:rsidRPr="002B4AB6" w:rsidTr="00181533">
        <w:trPr>
          <w:cantSplit/>
          <w:trHeight w:val="577"/>
        </w:trPr>
        <w:tc>
          <w:tcPr>
            <w:tcW w:w="1426" w:type="pct"/>
          </w:tcPr>
          <w:p w:rsidR="006C4095" w:rsidRPr="002B4AB6" w:rsidRDefault="006C4095" w:rsidP="006C4095">
            <w:pPr>
              <w:keepNext/>
              <w:ind w:left="-108"/>
              <w:rPr>
                <w:rFonts w:ascii="Arial Narrow" w:eastAsiaTheme="minorHAnsi" w:hAnsi="Arial Narrow"/>
                <w:sz w:val="18"/>
                <w:szCs w:val="18"/>
              </w:rPr>
            </w:pPr>
            <w:r w:rsidRPr="002B4AB6">
              <w:rPr>
                <w:rFonts w:ascii="Arial Narrow" w:eastAsiaTheme="minorHAnsi" w:hAnsi="Arial Narrow"/>
                <w:sz w:val="18"/>
                <w:szCs w:val="18"/>
              </w:rPr>
              <w:t xml:space="preserve">PEMBROLIZUMAB </w:t>
            </w:r>
          </w:p>
          <w:p w:rsidR="006C4095" w:rsidRPr="002B4AB6" w:rsidRDefault="006C4095" w:rsidP="006C4095">
            <w:pPr>
              <w:keepNext/>
              <w:ind w:left="-108"/>
              <w:rPr>
                <w:rFonts w:ascii="Arial Narrow" w:eastAsiaTheme="minorHAnsi" w:hAnsi="Arial Narrow"/>
                <w:sz w:val="18"/>
                <w:szCs w:val="18"/>
              </w:rPr>
            </w:pPr>
            <w:r w:rsidRPr="002B4AB6">
              <w:rPr>
                <w:rFonts w:ascii="Arial Narrow" w:eastAsiaTheme="minorHAnsi" w:hAnsi="Arial Narrow" w:cs="Arial Narrow"/>
                <w:sz w:val="20"/>
                <w:szCs w:val="20"/>
              </w:rPr>
              <w:t>Injection</w:t>
            </w:r>
          </w:p>
        </w:tc>
        <w:tc>
          <w:tcPr>
            <w:tcW w:w="406" w:type="pct"/>
          </w:tcPr>
          <w:p w:rsidR="006C4095" w:rsidRPr="002B4AB6" w:rsidRDefault="006C4095" w:rsidP="006C4095">
            <w:pPr>
              <w:keepNext/>
              <w:ind w:left="-108"/>
              <w:jc w:val="center"/>
              <w:rPr>
                <w:rFonts w:ascii="Arial Narrow" w:eastAsiaTheme="minorHAnsi" w:hAnsi="Arial Narrow"/>
                <w:sz w:val="18"/>
                <w:szCs w:val="18"/>
              </w:rPr>
            </w:pPr>
          </w:p>
          <w:p w:rsidR="006C4095" w:rsidRPr="002B4AB6" w:rsidRDefault="006C4095" w:rsidP="006C4095">
            <w:pPr>
              <w:keepNext/>
              <w:ind w:left="-108"/>
              <w:jc w:val="center"/>
              <w:rPr>
                <w:rFonts w:ascii="Arial Narrow" w:eastAsiaTheme="minorHAnsi" w:hAnsi="Arial Narrow"/>
                <w:sz w:val="18"/>
                <w:szCs w:val="18"/>
              </w:rPr>
            </w:pPr>
            <w:r w:rsidRPr="002B4AB6">
              <w:rPr>
                <w:rFonts w:ascii="Arial Narrow" w:eastAsiaTheme="minorHAnsi" w:hAnsi="Arial Narrow"/>
                <w:sz w:val="18"/>
                <w:szCs w:val="18"/>
              </w:rPr>
              <w:t>200 mg</w:t>
            </w:r>
          </w:p>
        </w:tc>
        <w:tc>
          <w:tcPr>
            <w:tcW w:w="552" w:type="pct"/>
          </w:tcPr>
          <w:p w:rsidR="006C4095" w:rsidRPr="002B4AB6" w:rsidRDefault="006C4095" w:rsidP="006C4095">
            <w:pPr>
              <w:keepNext/>
              <w:ind w:left="-108"/>
              <w:jc w:val="center"/>
              <w:rPr>
                <w:rFonts w:ascii="Arial Narrow" w:eastAsiaTheme="minorHAnsi" w:hAnsi="Arial Narrow"/>
                <w:i/>
                <w:sz w:val="18"/>
                <w:szCs w:val="18"/>
              </w:rPr>
            </w:pPr>
          </w:p>
          <w:p w:rsidR="006C4095" w:rsidRPr="002B4AB6" w:rsidRDefault="006C4095" w:rsidP="006C4095">
            <w:pPr>
              <w:keepNext/>
              <w:ind w:left="-108"/>
              <w:jc w:val="center"/>
              <w:rPr>
                <w:rFonts w:ascii="Arial Narrow" w:eastAsiaTheme="minorHAnsi" w:hAnsi="Arial Narrow"/>
                <w:i/>
                <w:sz w:val="18"/>
                <w:szCs w:val="18"/>
              </w:rPr>
            </w:pPr>
            <w:r w:rsidRPr="002B4AB6">
              <w:rPr>
                <w:rFonts w:ascii="Arial Narrow" w:hAnsi="Arial Narrow"/>
                <w:strike/>
                <w:sz w:val="20"/>
                <w:szCs w:val="20"/>
              </w:rPr>
              <w:t>5</w:t>
            </w:r>
            <w:r w:rsidRPr="002B4AB6">
              <w:rPr>
                <w:rFonts w:ascii="Arial Narrow" w:hAnsi="Arial Narrow"/>
                <w:sz w:val="20"/>
                <w:szCs w:val="20"/>
              </w:rPr>
              <w:t xml:space="preserve"> </w:t>
            </w:r>
            <w:r w:rsidRPr="002B4AB6">
              <w:rPr>
                <w:rFonts w:ascii="Arial Narrow" w:hAnsi="Arial Narrow"/>
                <w:i/>
                <w:sz w:val="20"/>
                <w:szCs w:val="20"/>
              </w:rPr>
              <w:t>6</w:t>
            </w:r>
          </w:p>
          <w:p w:rsidR="006C4095" w:rsidRPr="002B4AB6" w:rsidRDefault="006C4095" w:rsidP="006C4095">
            <w:pPr>
              <w:keepNext/>
              <w:ind w:left="-108"/>
              <w:jc w:val="center"/>
              <w:rPr>
                <w:rFonts w:ascii="Arial Narrow" w:eastAsiaTheme="minorHAnsi" w:hAnsi="Arial Narrow"/>
                <w:sz w:val="18"/>
                <w:szCs w:val="18"/>
              </w:rPr>
            </w:pPr>
          </w:p>
        </w:tc>
        <w:tc>
          <w:tcPr>
            <w:tcW w:w="1231" w:type="pct"/>
            <w:vAlign w:val="center"/>
          </w:tcPr>
          <w:p w:rsidR="006C4095" w:rsidRPr="002B4AB6" w:rsidRDefault="006C4095" w:rsidP="006C4095">
            <w:pPr>
              <w:keepNext/>
              <w:jc w:val="center"/>
              <w:rPr>
                <w:rFonts w:ascii="Arial Narrow" w:hAnsi="Arial Narrow"/>
                <w:sz w:val="20"/>
                <w:vertAlign w:val="superscript"/>
              </w:rPr>
            </w:pPr>
            <w:r w:rsidRPr="002B4AB6">
              <w:rPr>
                <w:rFonts w:ascii="Arial Narrow" w:hAnsi="Arial Narrow"/>
                <w:sz w:val="20"/>
              </w:rPr>
              <w:t>Published</w:t>
            </w:r>
            <w:r w:rsidRPr="002B4AB6">
              <w:rPr>
                <w:rFonts w:ascii="Arial Narrow" w:hAnsi="Arial Narrow"/>
                <w:sz w:val="20"/>
                <w:vertAlign w:val="superscript"/>
              </w:rPr>
              <w:t>a</w:t>
            </w:r>
          </w:p>
          <w:p w:rsidR="006C4095" w:rsidRPr="002B4AB6" w:rsidRDefault="006C4095" w:rsidP="006C4095">
            <w:pPr>
              <w:keepNext/>
              <w:jc w:val="center"/>
              <w:rPr>
                <w:rFonts w:ascii="Arial Narrow" w:hAnsi="Arial Narrow"/>
                <w:sz w:val="20"/>
              </w:rPr>
            </w:pPr>
            <w:r w:rsidRPr="002B4AB6">
              <w:rPr>
                <w:rFonts w:ascii="Arial Narrow" w:hAnsi="Arial Narrow"/>
                <w:sz w:val="20"/>
              </w:rPr>
              <w:t>$8,717.46 (private);</w:t>
            </w:r>
          </w:p>
          <w:p w:rsidR="006C4095" w:rsidRPr="002B4AB6" w:rsidRDefault="006C4095" w:rsidP="006C4095">
            <w:pPr>
              <w:keepNext/>
              <w:jc w:val="center"/>
              <w:rPr>
                <w:rFonts w:ascii="Arial Narrow" w:hAnsi="Arial Narrow"/>
                <w:sz w:val="20"/>
              </w:rPr>
            </w:pPr>
            <w:r w:rsidRPr="002B4AB6">
              <w:rPr>
                <w:rFonts w:ascii="Arial Narrow" w:hAnsi="Arial Narrow"/>
                <w:sz w:val="20"/>
              </w:rPr>
              <w:t>$8,559.06 (public)</w:t>
            </w:r>
          </w:p>
          <w:p w:rsidR="006C4095" w:rsidRPr="002B4AB6" w:rsidRDefault="006C4095" w:rsidP="006C4095">
            <w:pPr>
              <w:keepNext/>
              <w:jc w:val="center"/>
              <w:rPr>
                <w:rFonts w:ascii="Arial Narrow" w:hAnsi="Arial Narrow"/>
                <w:sz w:val="20"/>
              </w:rPr>
            </w:pPr>
          </w:p>
          <w:p w:rsidR="006C4095" w:rsidRPr="002B4AB6" w:rsidRDefault="006C4095" w:rsidP="006C4095">
            <w:pPr>
              <w:keepNext/>
              <w:jc w:val="center"/>
              <w:rPr>
                <w:rFonts w:ascii="Arial Narrow" w:hAnsi="Arial Narrow"/>
                <w:sz w:val="20"/>
                <w:vertAlign w:val="superscript"/>
              </w:rPr>
            </w:pPr>
            <w:r w:rsidRPr="002B4AB6">
              <w:rPr>
                <w:rFonts w:ascii="Arial Narrow" w:hAnsi="Arial Narrow"/>
                <w:sz w:val="20"/>
              </w:rPr>
              <w:t>Effective</w:t>
            </w:r>
            <w:r w:rsidRPr="002B4AB6">
              <w:rPr>
                <w:rFonts w:ascii="Arial Narrow" w:hAnsi="Arial Narrow"/>
                <w:sz w:val="20"/>
                <w:vertAlign w:val="superscript"/>
              </w:rPr>
              <w:t>b</w:t>
            </w:r>
          </w:p>
          <w:p w:rsidR="006C4095" w:rsidRPr="002B4AB6" w:rsidRDefault="006C4095" w:rsidP="006C4095">
            <w:pPr>
              <w:keepNext/>
              <w:jc w:val="center"/>
              <w:rPr>
                <w:rFonts w:ascii="Arial Narrow" w:hAnsi="Arial Narrow"/>
                <w:sz w:val="20"/>
              </w:rPr>
            </w:pPr>
            <w:r w:rsidRPr="002B4AB6">
              <w:rPr>
                <w:rFonts w:ascii="Arial Narrow" w:hAnsi="Arial Narrow"/>
                <w:sz w:val="20"/>
              </w:rPr>
              <w:t>$</w:t>
            </w:r>
            <w:r w:rsidR="004278F1">
              <w:rPr>
                <w:rFonts w:ascii="Arial Narrow" w:hAnsi="Arial Narrow"/>
                <w:noProof/>
                <w:color w:val="000000"/>
                <w:sz w:val="20"/>
                <w:highlight w:val="black"/>
              </w:rPr>
              <w:t>'''''''''''''''''''</w:t>
            </w:r>
            <w:r w:rsidRPr="000829C9">
              <w:rPr>
                <w:rFonts w:ascii="Arial Narrow" w:hAnsi="Arial Narrow"/>
                <w:color w:val="000000"/>
                <w:sz w:val="20"/>
              </w:rPr>
              <w:t xml:space="preserve"> </w:t>
            </w:r>
            <w:r w:rsidRPr="002B4AB6">
              <w:rPr>
                <w:rFonts w:ascii="Arial Narrow" w:hAnsi="Arial Narrow"/>
                <w:sz w:val="20"/>
              </w:rPr>
              <w:t>(private);</w:t>
            </w:r>
          </w:p>
          <w:p w:rsidR="006C4095" w:rsidRPr="002B4AB6" w:rsidRDefault="006C4095" w:rsidP="006C4095">
            <w:pPr>
              <w:keepNext/>
              <w:ind w:left="-108"/>
              <w:jc w:val="center"/>
              <w:rPr>
                <w:rFonts w:ascii="Arial Narrow" w:eastAsiaTheme="minorHAnsi" w:hAnsi="Arial Narrow"/>
                <w:sz w:val="18"/>
                <w:szCs w:val="18"/>
              </w:rPr>
            </w:pPr>
            <w:r w:rsidRPr="002B4AB6">
              <w:rPr>
                <w:rFonts w:ascii="Arial Narrow" w:hAnsi="Arial Narrow"/>
                <w:sz w:val="20"/>
              </w:rPr>
              <w:t>$</w:t>
            </w:r>
            <w:r w:rsidR="004278F1">
              <w:rPr>
                <w:rFonts w:ascii="Arial Narrow" w:hAnsi="Arial Narrow"/>
                <w:noProof/>
                <w:color w:val="000000"/>
                <w:sz w:val="20"/>
                <w:highlight w:val="black"/>
              </w:rPr>
              <w:t>'''''''''''''''''''''''</w:t>
            </w:r>
            <w:r w:rsidRPr="002B4AB6">
              <w:rPr>
                <w:rFonts w:ascii="Arial Narrow" w:hAnsi="Arial Narrow"/>
                <w:sz w:val="20"/>
              </w:rPr>
              <w:t xml:space="preserve"> (public)</w:t>
            </w:r>
          </w:p>
        </w:tc>
        <w:tc>
          <w:tcPr>
            <w:tcW w:w="1385" w:type="pct"/>
          </w:tcPr>
          <w:p w:rsidR="006C4095" w:rsidRPr="002B4AB6" w:rsidRDefault="006C4095" w:rsidP="006C4095">
            <w:pPr>
              <w:keepNext/>
              <w:jc w:val="left"/>
              <w:rPr>
                <w:rFonts w:ascii="Arial Narrow" w:eastAsiaTheme="minorHAnsi" w:hAnsi="Arial Narrow"/>
                <w:sz w:val="18"/>
                <w:szCs w:val="18"/>
              </w:rPr>
            </w:pPr>
          </w:p>
          <w:p w:rsidR="006C4095" w:rsidRPr="002B4AB6" w:rsidRDefault="006C4095" w:rsidP="006C4095">
            <w:pPr>
              <w:keepNext/>
              <w:jc w:val="left"/>
              <w:rPr>
                <w:rFonts w:ascii="Arial Narrow" w:eastAsiaTheme="minorHAnsi" w:hAnsi="Arial Narrow"/>
                <w:sz w:val="18"/>
                <w:szCs w:val="18"/>
              </w:rPr>
            </w:pPr>
            <w:r w:rsidRPr="002B4AB6">
              <w:rPr>
                <w:rFonts w:ascii="Arial Narrow" w:eastAsiaTheme="minorHAnsi" w:hAnsi="Arial Narrow"/>
                <w:sz w:val="18"/>
                <w:szCs w:val="18"/>
              </w:rPr>
              <w:t>Merck Sharp and Dohme Pty Ltd</w:t>
            </w:r>
          </w:p>
        </w:tc>
      </w:tr>
      <w:tr w:rsidR="006C4095" w:rsidRPr="002B4AB6" w:rsidTr="00181533">
        <w:trPr>
          <w:cantSplit/>
          <w:trHeight w:val="225"/>
        </w:trPr>
        <w:tc>
          <w:tcPr>
            <w:tcW w:w="5000" w:type="pct"/>
            <w:gridSpan w:val="5"/>
          </w:tcPr>
          <w:p w:rsidR="006C4095" w:rsidRPr="002B4AB6" w:rsidRDefault="006C4095" w:rsidP="006C4095">
            <w:pPr>
              <w:keepNext/>
              <w:jc w:val="left"/>
              <w:rPr>
                <w:rFonts w:ascii="Arial Narrow" w:eastAsiaTheme="minorHAnsi" w:hAnsi="Arial Narrow"/>
                <w:b/>
                <w:sz w:val="18"/>
                <w:szCs w:val="18"/>
              </w:rPr>
            </w:pPr>
            <w:r w:rsidRPr="002B4AB6">
              <w:rPr>
                <w:rFonts w:ascii="Arial Narrow" w:eastAsiaTheme="minorHAnsi" w:hAnsi="Arial Narrow"/>
                <w:b/>
                <w:sz w:val="18"/>
                <w:szCs w:val="18"/>
              </w:rPr>
              <w:t>Available brands</w:t>
            </w:r>
          </w:p>
        </w:tc>
      </w:tr>
      <w:tr w:rsidR="006C4095" w:rsidRPr="002B4AB6" w:rsidTr="00181533">
        <w:trPr>
          <w:cantSplit/>
          <w:trHeight w:val="360"/>
        </w:trPr>
        <w:tc>
          <w:tcPr>
            <w:tcW w:w="5000" w:type="pct"/>
            <w:gridSpan w:val="5"/>
          </w:tcPr>
          <w:p w:rsidR="006C4095" w:rsidRPr="002B4AB6" w:rsidRDefault="006C4095" w:rsidP="006C4095">
            <w:pPr>
              <w:rPr>
                <w:rFonts w:ascii="Arial Narrow" w:eastAsiaTheme="minorHAnsi" w:hAnsi="Arial Narrow"/>
                <w:sz w:val="18"/>
                <w:szCs w:val="18"/>
              </w:rPr>
            </w:pPr>
            <w:r w:rsidRPr="002B4AB6">
              <w:rPr>
                <w:rFonts w:ascii="Arial Narrow" w:eastAsiaTheme="minorHAnsi" w:hAnsi="Arial Narrow"/>
                <w:sz w:val="18"/>
                <w:szCs w:val="18"/>
              </w:rPr>
              <w:t>Keytruda</w:t>
            </w:r>
          </w:p>
          <w:p w:rsidR="006C4095" w:rsidRPr="002B4AB6" w:rsidRDefault="006C4095" w:rsidP="006C4095">
            <w:pPr>
              <w:rPr>
                <w:rFonts w:ascii="Arial Narrow" w:eastAsiaTheme="minorHAnsi" w:hAnsi="Arial Narrow"/>
                <w:sz w:val="18"/>
                <w:szCs w:val="18"/>
              </w:rPr>
            </w:pPr>
            <w:r w:rsidRPr="002B4AB6">
              <w:rPr>
                <w:rFonts w:ascii="Arial Narrow" w:eastAsiaTheme="minorHAnsi" w:hAnsi="Arial Narrow"/>
                <w:sz w:val="18"/>
                <w:szCs w:val="18"/>
              </w:rPr>
              <w:t>(pembrolizumab 100 mg/4 mL injection, 4 mL vial)</w:t>
            </w:r>
          </w:p>
        </w:tc>
      </w:tr>
      <w:tr w:rsidR="006C4095" w:rsidRPr="002B4AB6" w:rsidTr="00181533">
        <w:trPr>
          <w:cantSplit/>
          <w:trHeight w:val="360"/>
        </w:trPr>
        <w:tc>
          <w:tcPr>
            <w:tcW w:w="5000" w:type="pct"/>
            <w:gridSpan w:val="5"/>
          </w:tcPr>
          <w:p w:rsidR="006C4095" w:rsidRPr="002B4AB6" w:rsidRDefault="006C4095" w:rsidP="006C4095">
            <w:pPr>
              <w:rPr>
                <w:rFonts w:ascii="Arial Narrow" w:eastAsiaTheme="minorHAnsi" w:hAnsi="Arial Narrow"/>
                <w:i/>
                <w:sz w:val="18"/>
                <w:szCs w:val="18"/>
              </w:rPr>
            </w:pPr>
            <w:r w:rsidRPr="002B4AB6">
              <w:rPr>
                <w:rFonts w:ascii="Arial Narrow" w:eastAsiaTheme="minorHAnsi" w:hAnsi="Arial Narrow"/>
                <w:i/>
                <w:sz w:val="18"/>
                <w:szCs w:val="18"/>
              </w:rPr>
              <w:t>Keytruda</w:t>
            </w:r>
          </w:p>
          <w:p w:rsidR="006C4095" w:rsidRPr="002B4AB6" w:rsidRDefault="00694BA7" w:rsidP="00694BA7">
            <w:pPr>
              <w:rPr>
                <w:rFonts w:ascii="Arial Narrow" w:eastAsiaTheme="minorHAnsi" w:hAnsi="Arial Narrow"/>
                <w:sz w:val="18"/>
                <w:szCs w:val="18"/>
              </w:rPr>
            </w:pPr>
            <w:r w:rsidRPr="002B4AB6">
              <w:rPr>
                <w:rFonts w:ascii="Arial Narrow" w:eastAsiaTheme="minorHAnsi" w:hAnsi="Arial Narrow"/>
                <w:i/>
                <w:sz w:val="18"/>
                <w:szCs w:val="18"/>
              </w:rPr>
              <w:t xml:space="preserve">(pembrolizumab 50 </w:t>
            </w:r>
            <w:r w:rsidR="006F292D">
              <w:rPr>
                <w:rFonts w:ascii="Arial Narrow" w:eastAsiaTheme="minorHAnsi" w:hAnsi="Arial Narrow"/>
                <w:i/>
                <w:sz w:val="18"/>
                <w:szCs w:val="18"/>
              </w:rPr>
              <w:t>m</w:t>
            </w:r>
            <w:r w:rsidR="006C4095" w:rsidRPr="002B4AB6">
              <w:rPr>
                <w:rFonts w:ascii="Arial Narrow" w:eastAsiaTheme="minorHAnsi" w:hAnsi="Arial Narrow"/>
                <w:i/>
                <w:sz w:val="18"/>
                <w:szCs w:val="18"/>
              </w:rPr>
              <w:t>g powder for injection, 1 vial)</w:t>
            </w:r>
          </w:p>
        </w:tc>
      </w:tr>
    </w:tbl>
    <w:p w:rsidR="006C4095" w:rsidRPr="002B4AB6" w:rsidRDefault="006C4095" w:rsidP="00181533">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6F292D" w:rsidRPr="002B4AB6" w:rsidTr="006F292D">
        <w:tc>
          <w:tcPr>
            <w:tcW w:w="5000" w:type="pct"/>
            <w:tcBorders>
              <w:top w:val="single" w:sz="4" w:space="0" w:color="auto"/>
              <w:left w:val="single" w:sz="4" w:space="0" w:color="auto"/>
              <w:bottom w:val="single" w:sz="4" w:space="0" w:color="auto"/>
              <w:right w:val="single" w:sz="4" w:space="0" w:color="auto"/>
            </w:tcBorders>
          </w:tcPr>
          <w:p w:rsidR="006F292D" w:rsidRPr="002B4AB6" w:rsidRDefault="006F292D" w:rsidP="00D96A47">
            <w:pPr>
              <w:rPr>
                <w:rFonts w:ascii="Arial Narrow" w:hAnsi="Arial Narrow"/>
                <w:sz w:val="18"/>
                <w:szCs w:val="18"/>
              </w:rPr>
            </w:pPr>
            <w:r w:rsidRPr="002B4AB6">
              <w:rPr>
                <w:rFonts w:ascii="Arial Narrow" w:hAnsi="Arial Narrow"/>
                <w:b/>
                <w:sz w:val="18"/>
                <w:szCs w:val="18"/>
              </w:rPr>
              <w:t xml:space="preserve">Category / Program:   </w:t>
            </w:r>
            <w:r w:rsidRPr="002B4AB6">
              <w:rPr>
                <w:rFonts w:ascii="Arial Narrow" w:hAnsi="Arial Narrow"/>
                <w:sz w:val="18"/>
                <w:szCs w:val="18"/>
              </w:rPr>
              <w:t xml:space="preserve">Section 100 – Efficient Funding of Chemotherapy </w:t>
            </w:r>
          </w:p>
        </w:tc>
      </w:tr>
      <w:tr w:rsidR="006F292D" w:rsidRPr="002B4AB6" w:rsidTr="006F292D">
        <w:tc>
          <w:tcPr>
            <w:tcW w:w="5000" w:type="pct"/>
            <w:tcBorders>
              <w:top w:val="single" w:sz="4" w:space="0" w:color="auto"/>
              <w:left w:val="single" w:sz="4" w:space="0" w:color="auto"/>
              <w:bottom w:val="single" w:sz="4" w:space="0" w:color="auto"/>
              <w:right w:val="single" w:sz="4" w:space="0" w:color="auto"/>
            </w:tcBorders>
          </w:tcPr>
          <w:p w:rsidR="006F292D" w:rsidRPr="002B4AB6" w:rsidRDefault="006F292D" w:rsidP="006C4095">
            <w:pPr>
              <w:jc w:val="left"/>
              <w:rPr>
                <w:rFonts w:ascii="Arial Narrow" w:hAnsi="Arial Narrow"/>
                <w:b/>
                <w:bCs/>
                <w:color w:val="333333"/>
                <w:sz w:val="18"/>
                <w:szCs w:val="18"/>
              </w:rPr>
            </w:pPr>
            <w:r w:rsidRPr="002B4AB6">
              <w:rPr>
                <w:rFonts w:ascii="Arial Narrow" w:hAnsi="Arial Narrow"/>
                <w:b/>
                <w:sz w:val="18"/>
                <w:szCs w:val="18"/>
              </w:rPr>
              <w:t xml:space="preserve">Prescriber type:   </w:t>
            </w:r>
            <w:r w:rsidRPr="000829C9">
              <w:rPr>
                <w:rFonts w:ascii="Arial Narrow" w:hAnsi="Arial Narrow"/>
                <w:sz w:val="18"/>
                <w:szCs w:val="18"/>
              </w:rPr>
              <w:fldChar w:fldCharType="begin">
                <w:ffData>
                  <w:name w:val="Check1"/>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0829C9">
              <w:rPr>
                <w:rFonts w:ascii="Arial Narrow" w:hAnsi="Arial Narrow"/>
                <w:sz w:val="18"/>
                <w:szCs w:val="18"/>
              </w:rPr>
              <w:fldChar w:fldCharType="end"/>
            </w:r>
            <w:r w:rsidRPr="002B4AB6">
              <w:rPr>
                <w:rFonts w:ascii="Arial Narrow" w:hAnsi="Arial Narrow"/>
                <w:sz w:val="18"/>
                <w:szCs w:val="18"/>
              </w:rPr>
              <w:t xml:space="preserve">Dental    </w:t>
            </w:r>
            <w:r w:rsidRPr="000829C9">
              <w:rPr>
                <w:rFonts w:ascii="Arial Narrow" w:hAnsi="Arial Narrow"/>
                <w:sz w:val="18"/>
                <w:szCs w:val="18"/>
              </w:rPr>
              <w:fldChar w:fldCharType="begin">
                <w:ffData>
                  <w:name w:val=""/>
                  <w:enabled/>
                  <w:calcOnExit w:val="0"/>
                  <w:checkBox>
                    <w:sizeAuto/>
                    <w:default w:val="1"/>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0829C9">
              <w:rPr>
                <w:rFonts w:ascii="Arial Narrow" w:hAnsi="Arial Narrow"/>
                <w:sz w:val="18"/>
                <w:szCs w:val="18"/>
              </w:rPr>
              <w:fldChar w:fldCharType="end"/>
            </w:r>
            <w:r w:rsidRPr="002B4AB6">
              <w:rPr>
                <w:rFonts w:ascii="Arial Narrow" w:hAnsi="Arial Narrow"/>
                <w:sz w:val="18"/>
                <w:szCs w:val="18"/>
              </w:rPr>
              <w:t xml:space="preserve">Medical Practitioners    </w:t>
            </w:r>
            <w:r w:rsidRPr="000829C9">
              <w:rPr>
                <w:rFonts w:ascii="Arial Narrow" w:hAnsi="Arial Narrow"/>
                <w:sz w:val="18"/>
                <w:szCs w:val="18"/>
              </w:rPr>
              <w:fldChar w:fldCharType="begin">
                <w:ffData>
                  <w:name w:val="Check3"/>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0829C9">
              <w:rPr>
                <w:rFonts w:ascii="Arial Narrow" w:hAnsi="Arial Narrow"/>
                <w:sz w:val="18"/>
                <w:szCs w:val="18"/>
              </w:rPr>
              <w:fldChar w:fldCharType="end"/>
            </w:r>
            <w:r w:rsidRPr="002B4AB6">
              <w:rPr>
                <w:rFonts w:ascii="Arial Narrow" w:hAnsi="Arial Narrow"/>
                <w:sz w:val="18"/>
                <w:szCs w:val="18"/>
              </w:rPr>
              <w:t xml:space="preserve">Nurse practitioners     </w:t>
            </w:r>
            <w:r w:rsidRPr="000829C9">
              <w:rPr>
                <w:rFonts w:ascii="Arial Narrow" w:hAnsi="Arial Narrow"/>
                <w:sz w:val="18"/>
                <w:szCs w:val="18"/>
              </w:rPr>
              <w:fldChar w:fldCharType="begin">
                <w:ffData>
                  <w:name w:val=""/>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0829C9">
              <w:rPr>
                <w:rFonts w:ascii="Arial Narrow" w:hAnsi="Arial Narrow"/>
                <w:sz w:val="18"/>
                <w:szCs w:val="18"/>
              </w:rPr>
              <w:fldChar w:fldCharType="end"/>
            </w:r>
            <w:r w:rsidRPr="002B4AB6">
              <w:rPr>
                <w:rFonts w:ascii="Arial Narrow" w:hAnsi="Arial Narrow"/>
                <w:sz w:val="18"/>
                <w:szCs w:val="18"/>
              </w:rPr>
              <w:t xml:space="preserve">Optometrists    </w:t>
            </w:r>
            <w:r w:rsidRPr="000829C9">
              <w:rPr>
                <w:rFonts w:ascii="Arial Narrow" w:hAnsi="Arial Narrow"/>
                <w:sz w:val="18"/>
                <w:szCs w:val="18"/>
              </w:rPr>
              <w:fldChar w:fldCharType="begin">
                <w:ffData>
                  <w:name w:val="Check5"/>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0829C9">
              <w:rPr>
                <w:rFonts w:ascii="Arial Narrow" w:hAnsi="Arial Narrow"/>
                <w:sz w:val="18"/>
                <w:szCs w:val="18"/>
              </w:rPr>
              <w:fldChar w:fldCharType="end"/>
            </w:r>
            <w:r w:rsidRPr="002B4AB6">
              <w:rPr>
                <w:rFonts w:ascii="Arial Narrow" w:hAnsi="Arial Narrow"/>
                <w:sz w:val="18"/>
                <w:szCs w:val="18"/>
              </w:rPr>
              <w:t>Midwives</w:t>
            </w:r>
          </w:p>
        </w:tc>
      </w:tr>
      <w:tr w:rsidR="006F292D" w:rsidRPr="002B4AB6" w:rsidTr="006F292D">
        <w:tc>
          <w:tcPr>
            <w:tcW w:w="5000" w:type="pct"/>
            <w:tcBorders>
              <w:top w:val="single" w:sz="4" w:space="0" w:color="auto"/>
              <w:left w:val="single" w:sz="4" w:space="0" w:color="auto"/>
              <w:bottom w:val="single" w:sz="4" w:space="0" w:color="auto"/>
              <w:right w:val="single" w:sz="4" w:space="0" w:color="auto"/>
            </w:tcBorders>
          </w:tcPr>
          <w:p w:rsidR="006F292D" w:rsidRPr="002B4AB6" w:rsidRDefault="006F292D" w:rsidP="006C4095">
            <w:pPr>
              <w:rPr>
                <w:rFonts w:ascii="Arial Narrow" w:hAnsi="Arial Narrow"/>
                <w:b/>
                <w:sz w:val="18"/>
                <w:szCs w:val="18"/>
              </w:rPr>
            </w:pPr>
            <w:r w:rsidRPr="002B4AB6">
              <w:rPr>
                <w:rFonts w:ascii="Arial Narrow" w:hAnsi="Arial Narrow"/>
                <w:b/>
                <w:sz w:val="18"/>
                <w:szCs w:val="18"/>
              </w:rPr>
              <w:t>Restriction Level / Method:</w:t>
            </w:r>
          </w:p>
          <w:p w:rsidR="006F292D" w:rsidRPr="002B4AB6" w:rsidRDefault="006F292D" w:rsidP="006C4095">
            <w:pPr>
              <w:rPr>
                <w:rFonts w:ascii="Arial Narrow" w:hAnsi="Arial Narrow"/>
                <w:sz w:val="18"/>
                <w:szCs w:val="18"/>
              </w:rPr>
            </w:pPr>
            <w:r w:rsidRPr="000829C9">
              <w:rPr>
                <w:rFonts w:ascii="Arial Narrow" w:hAnsi="Arial Narrow"/>
                <w:sz w:val="18"/>
                <w:szCs w:val="18"/>
              </w:rPr>
              <w:fldChar w:fldCharType="begin">
                <w:ffData>
                  <w:name w:val="Check1"/>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0829C9">
              <w:rPr>
                <w:rFonts w:ascii="Arial Narrow" w:hAnsi="Arial Narrow"/>
                <w:sz w:val="18"/>
                <w:szCs w:val="18"/>
              </w:rPr>
              <w:fldChar w:fldCharType="end"/>
            </w:r>
            <w:r w:rsidRPr="002B4AB6">
              <w:rPr>
                <w:rFonts w:ascii="Arial Narrow" w:hAnsi="Arial Narrow"/>
                <w:sz w:val="18"/>
                <w:szCs w:val="18"/>
              </w:rPr>
              <w:t>Unrestricted benefit</w:t>
            </w:r>
          </w:p>
          <w:p w:rsidR="006F292D" w:rsidRPr="002B4AB6" w:rsidRDefault="006F292D" w:rsidP="006C4095">
            <w:pPr>
              <w:rPr>
                <w:rFonts w:ascii="Arial Narrow" w:hAnsi="Arial Narrow"/>
                <w:sz w:val="18"/>
                <w:szCs w:val="18"/>
              </w:rPr>
            </w:pPr>
            <w:r w:rsidRPr="000829C9">
              <w:rPr>
                <w:rFonts w:ascii="Arial Narrow" w:hAnsi="Arial Narrow"/>
                <w:sz w:val="18"/>
                <w:szCs w:val="18"/>
              </w:rPr>
              <w:fldChar w:fldCharType="begin">
                <w:ffData>
                  <w:name w:val="Check1"/>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0829C9">
              <w:rPr>
                <w:rFonts w:ascii="Arial Narrow" w:hAnsi="Arial Narrow"/>
                <w:sz w:val="18"/>
                <w:szCs w:val="18"/>
              </w:rPr>
              <w:fldChar w:fldCharType="end"/>
            </w:r>
            <w:r w:rsidRPr="002B4AB6">
              <w:rPr>
                <w:rFonts w:ascii="Arial Narrow" w:hAnsi="Arial Narrow"/>
                <w:sz w:val="18"/>
                <w:szCs w:val="18"/>
              </w:rPr>
              <w:t>Restricted benefit</w:t>
            </w:r>
          </w:p>
          <w:p w:rsidR="006F292D" w:rsidRPr="002B4AB6" w:rsidRDefault="006F292D" w:rsidP="006C4095">
            <w:pPr>
              <w:rPr>
                <w:rFonts w:ascii="Arial Narrow" w:hAnsi="Arial Narrow"/>
                <w:sz w:val="18"/>
                <w:szCs w:val="18"/>
              </w:rPr>
            </w:pPr>
            <w:r w:rsidRPr="000829C9">
              <w:rPr>
                <w:rFonts w:ascii="Arial Narrow" w:hAnsi="Arial Narrow"/>
                <w:sz w:val="18"/>
                <w:szCs w:val="18"/>
              </w:rPr>
              <w:fldChar w:fldCharType="begin">
                <w:ffData>
                  <w:name w:val=""/>
                  <w:enabled/>
                  <w:calcOnExit w:val="0"/>
                  <w:checkBox>
                    <w:sizeAuto/>
                    <w:default w:val="1"/>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0829C9">
              <w:rPr>
                <w:rFonts w:ascii="Arial Narrow" w:hAnsi="Arial Narrow"/>
                <w:sz w:val="18"/>
                <w:szCs w:val="18"/>
              </w:rPr>
              <w:fldChar w:fldCharType="end"/>
            </w:r>
            <w:r w:rsidRPr="002B4AB6">
              <w:rPr>
                <w:rFonts w:ascii="Arial Narrow" w:hAnsi="Arial Narrow"/>
                <w:sz w:val="18"/>
                <w:szCs w:val="18"/>
              </w:rPr>
              <w:t>Authority Required – In Writing</w:t>
            </w:r>
            <w:r>
              <w:rPr>
                <w:rFonts w:ascii="Arial Narrow" w:hAnsi="Arial Narrow"/>
                <w:sz w:val="18"/>
                <w:szCs w:val="18"/>
              </w:rPr>
              <w:t xml:space="preserve"> Only</w:t>
            </w:r>
          </w:p>
          <w:p w:rsidR="006F292D" w:rsidRPr="002B4AB6" w:rsidRDefault="006F292D" w:rsidP="006C4095">
            <w:pPr>
              <w:rPr>
                <w:rFonts w:ascii="Arial Narrow" w:hAnsi="Arial Narrow"/>
                <w:sz w:val="18"/>
                <w:szCs w:val="18"/>
              </w:rPr>
            </w:pPr>
            <w:r w:rsidRPr="000829C9">
              <w:rPr>
                <w:rFonts w:ascii="Arial Narrow" w:hAnsi="Arial Narrow"/>
                <w:sz w:val="18"/>
                <w:szCs w:val="18"/>
              </w:rPr>
              <w:fldChar w:fldCharType="begin">
                <w:ffData>
                  <w:name w:val="Check3"/>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0829C9">
              <w:rPr>
                <w:rFonts w:ascii="Arial Narrow" w:hAnsi="Arial Narrow"/>
                <w:sz w:val="18"/>
                <w:szCs w:val="18"/>
              </w:rPr>
              <w:fldChar w:fldCharType="end"/>
            </w:r>
            <w:r w:rsidRPr="002B4AB6">
              <w:rPr>
                <w:rFonts w:ascii="Arial Narrow" w:hAnsi="Arial Narrow"/>
                <w:sz w:val="18"/>
                <w:szCs w:val="18"/>
              </w:rPr>
              <w:t>Authority Required – Telephone/Electronic/Emergency</w:t>
            </w:r>
          </w:p>
          <w:p w:rsidR="006F292D" w:rsidRPr="002B4AB6" w:rsidRDefault="006F292D" w:rsidP="006C4095">
            <w:pPr>
              <w:jc w:val="left"/>
              <w:rPr>
                <w:rFonts w:ascii="Arial Narrow" w:hAnsi="Arial Narrow"/>
                <w:b/>
                <w:bCs/>
                <w:color w:val="333333"/>
                <w:sz w:val="18"/>
                <w:szCs w:val="18"/>
              </w:rPr>
            </w:pPr>
            <w:r w:rsidRPr="000829C9">
              <w:rPr>
                <w:rFonts w:ascii="Arial Narrow" w:hAnsi="Arial Narrow"/>
                <w:sz w:val="18"/>
                <w:szCs w:val="18"/>
              </w:rPr>
              <w:fldChar w:fldCharType="begin">
                <w:ffData>
                  <w:name w:val=""/>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0829C9">
              <w:rPr>
                <w:rFonts w:ascii="Arial Narrow" w:hAnsi="Arial Narrow"/>
                <w:sz w:val="18"/>
                <w:szCs w:val="18"/>
              </w:rPr>
              <w:fldChar w:fldCharType="end"/>
            </w:r>
            <w:r w:rsidRPr="002B4AB6">
              <w:rPr>
                <w:rFonts w:ascii="Arial Narrow" w:hAnsi="Arial Narrow"/>
                <w:sz w:val="18"/>
                <w:szCs w:val="18"/>
              </w:rPr>
              <w:t>Authority Required – Streamlined</w:t>
            </w:r>
          </w:p>
        </w:tc>
      </w:tr>
      <w:tr w:rsidR="006F292D" w:rsidRPr="002B4AB6" w:rsidTr="006F292D">
        <w:tc>
          <w:tcPr>
            <w:tcW w:w="5000" w:type="pct"/>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Administrative Advice:</w:t>
            </w:r>
            <w:r w:rsidRPr="002B4AB6">
              <w:rPr>
                <w:rFonts w:ascii="Arial Narrow" w:hAnsi="Arial Narrow"/>
                <w:color w:val="333333"/>
                <w:sz w:val="18"/>
                <w:szCs w:val="18"/>
              </w:rPr>
              <w:t xml:space="preserve"> No increase in the maximum quantity or number of units may be authorised.</w:t>
            </w:r>
          </w:p>
        </w:tc>
      </w:tr>
      <w:tr w:rsidR="006F292D" w:rsidRPr="002B4AB6" w:rsidTr="006F292D">
        <w:trPr>
          <w:trHeight w:val="293"/>
        </w:trPr>
        <w:tc>
          <w:tcPr>
            <w:tcW w:w="5000" w:type="pct"/>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Administrative Advice:</w:t>
            </w:r>
            <w:r w:rsidRPr="002B4AB6">
              <w:rPr>
                <w:rFonts w:ascii="Arial Narrow" w:hAnsi="Arial Narrow"/>
                <w:color w:val="333333"/>
                <w:sz w:val="18"/>
                <w:szCs w:val="18"/>
              </w:rPr>
              <w:t xml:space="preserve"> No increase in the maximum number of repeats may be authorised.</w:t>
            </w:r>
          </w:p>
        </w:tc>
      </w:tr>
      <w:tr w:rsidR="006F292D" w:rsidRPr="002B4AB6" w:rsidTr="006F292D">
        <w:tc>
          <w:tcPr>
            <w:tcW w:w="5000" w:type="pct"/>
            <w:vAlign w:val="center"/>
            <w:hideMark/>
          </w:tcPr>
          <w:p w:rsidR="006F292D" w:rsidRPr="002B4AB6" w:rsidRDefault="006F292D" w:rsidP="006C4095">
            <w:pPr>
              <w:jc w:val="left"/>
              <w:rPr>
                <w:rFonts w:ascii="Arial Narrow" w:hAnsi="Arial Narrow"/>
                <w:i/>
                <w:color w:val="333333"/>
                <w:sz w:val="18"/>
                <w:szCs w:val="18"/>
              </w:rPr>
            </w:pPr>
            <w:r w:rsidRPr="002B4AB6">
              <w:rPr>
                <w:rFonts w:ascii="Arial Narrow" w:hAnsi="Arial Narrow"/>
                <w:b/>
                <w:bCs/>
                <w:i/>
                <w:color w:val="333333"/>
                <w:sz w:val="18"/>
                <w:szCs w:val="18"/>
              </w:rPr>
              <w:t>Administrative Advice:</w:t>
            </w:r>
            <w:r w:rsidRPr="002B4AB6">
              <w:rPr>
                <w:rFonts w:ascii="Arial Narrow" w:hAnsi="Arial Narrow"/>
                <w:color w:val="333333"/>
                <w:sz w:val="18"/>
                <w:szCs w:val="18"/>
              </w:rPr>
              <w:t xml:space="preserve"> Special Pricing Arrangements apply.</w:t>
            </w:r>
          </w:p>
        </w:tc>
      </w:tr>
      <w:tr w:rsidR="006F292D" w:rsidRPr="002B4AB6" w:rsidTr="006F292D">
        <w:tc>
          <w:tcPr>
            <w:tcW w:w="5000" w:type="pct"/>
            <w:tcBorders>
              <w:bottom w:val="single" w:sz="4" w:space="0" w:color="auto"/>
            </w:tcBorders>
            <w:vAlign w:val="center"/>
            <w:hideMark/>
          </w:tcPr>
          <w:p w:rsidR="006F292D" w:rsidRPr="002B4AB6" w:rsidRDefault="006F292D" w:rsidP="006C4095">
            <w:pPr>
              <w:jc w:val="left"/>
              <w:rPr>
                <w:rFonts w:ascii="Arial Narrow" w:hAnsi="Arial Narrow"/>
                <w:i/>
                <w:color w:val="333333"/>
                <w:sz w:val="18"/>
                <w:szCs w:val="18"/>
              </w:rPr>
            </w:pPr>
            <w:r w:rsidRPr="002B4AB6">
              <w:rPr>
                <w:rFonts w:ascii="Arial Narrow" w:hAnsi="Arial Narrow"/>
                <w:b/>
                <w:bCs/>
                <w:i/>
                <w:color w:val="333333"/>
                <w:sz w:val="18"/>
                <w:szCs w:val="18"/>
              </w:rPr>
              <w:t>Administrative Advice:</w:t>
            </w:r>
          </w:p>
          <w:p w:rsidR="006F292D" w:rsidRPr="002B4AB6" w:rsidRDefault="006F292D" w:rsidP="006C4095">
            <w:pPr>
              <w:jc w:val="left"/>
              <w:rPr>
                <w:rFonts w:ascii="Arial Narrow" w:hAnsi="Arial Narrow"/>
                <w:i/>
                <w:color w:val="333333"/>
                <w:sz w:val="18"/>
                <w:szCs w:val="18"/>
              </w:rPr>
            </w:pPr>
            <w:r w:rsidRPr="002B4AB6">
              <w:rPr>
                <w:rFonts w:ascii="Arial Narrow" w:hAnsi="Arial Narrow"/>
                <w:i/>
                <w:color w:val="333333"/>
                <w:sz w:val="18"/>
                <w:szCs w:val="18"/>
              </w:rPr>
              <w:t>Patient should be treated with the recommended dose of pembrolizumab according to the TGA-approved Product Information.</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
                <w:bCs/>
                <w:color w:val="333333"/>
                <w:sz w:val="18"/>
                <w:szCs w:val="18"/>
              </w:rPr>
            </w:pPr>
            <w:r w:rsidRPr="002B4AB6">
              <w:rPr>
                <w:rFonts w:ascii="Arial Narrow" w:hAnsi="Arial Narrow"/>
                <w:b/>
                <w:bCs/>
                <w:color w:val="333333"/>
                <w:sz w:val="18"/>
                <w:szCs w:val="18"/>
              </w:rPr>
              <w:t xml:space="preserve">Episodicity: </w:t>
            </w:r>
            <w:r w:rsidRPr="002B4AB6">
              <w:rPr>
                <w:rFonts w:ascii="Arial Narrow" w:hAnsi="Arial Narrow"/>
                <w:bCs/>
                <w:color w:val="333333"/>
                <w:sz w:val="18"/>
                <w:szCs w:val="18"/>
              </w:rPr>
              <w:t>Relapsed or refractory</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
                <w:bCs/>
                <w:color w:val="333333"/>
                <w:sz w:val="18"/>
                <w:szCs w:val="18"/>
              </w:rPr>
            </w:pPr>
            <w:r w:rsidRPr="002B4AB6">
              <w:rPr>
                <w:rFonts w:ascii="Arial Narrow" w:hAnsi="Arial Narrow"/>
                <w:b/>
                <w:bCs/>
                <w:color w:val="333333"/>
                <w:sz w:val="18"/>
                <w:szCs w:val="18"/>
              </w:rPr>
              <w:t xml:space="preserve">Severity: </w:t>
            </w:r>
            <w:r w:rsidRPr="002B4AB6">
              <w:rPr>
                <w:rFonts w:ascii="Arial Narrow" w:hAnsi="Arial Narrow"/>
                <w:bCs/>
                <w:color w:val="333333"/>
                <w:sz w:val="18"/>
                <w:szCs w:val="18"/>
              </w:rPr>
              <w:t>[nil]</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
                <w:bCs/>
                <w:color w:val="333333"/>
                <w:sz w:val="18"/>
                <w:szCs w:val="18"/>
              </w:rPr>
            </w:pPr>
            <w:r w:rsidRPr="002B4AB6">
              <w:rPr>
                <w:rFonts w:ascii="Arial Narrow" w:hAnsi="Arial Narrow"/>
                <w:b/>
                <w:bCs/>
                <w:color w:val="333333"/>
                <w:sz w:val="18"/>
                <w:szCs w:val="18"/>
              </w:rPr>
              <w:lastRenderedPageBreak/>
              <w:t xml:space="preserve">Condition: </w:t>
            </w:r>
            <w:r w:rsidRPr="002B4AB6">
              <w:rPr>
                <w:rFonts w:ascii="Arial Narrow" w:hAnsi="Arial Narrow"/>
                <w:bCs/>
                <w:color w:val="333333"/>
                <w:sz w:val="18"/>
                <w:szCs w:val="18"/>
              </w:rPr>
              <w:t>primary mediastinal B-Cell lymphoma</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Indication:</w:t>
            </w:r>
            <w:r w:rsidRPr="002B4AB6">
              <w:rPr>
                <w:rFonts w:ascii="Arial Narrow" w:hAnsi="Arial Narrow"/>
                <w:color w:val="333333"/>
                <w:sz w:val="18"/>
                <w:szCs w:val="18"/>
              </w:rPr>
              <w:t xml:space="preserve"> Relapsed or refractory primary mediastinal B-Cell lymphoma </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Treatment Phase:</w:t>
            </w:r>
            <w:r w:rsidRPr="002B4AB6">
              <w:rPr>
                <w:rFonts w:ascii="Arial Narrow" w:hAnsi="Arial Narrow"/>
                <w:color w:val="333333"/>
                <w:sz w:val="18"/>
                <w:szCs w:val="18"/>
              </w:rPr>
              <w:t xml:space="preserve"> Initial treatment</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
                <w:bCs/>
                <w:i/>
                <w:color w:val="333333"/>
                <w:sz w:val="18"/>
                <w:szCs w:val="18"/>
              </w:rPr>
            </w:pPr>
            <w:r w:rsidRPr="002B4AB6">
              <w:rPr>
                <w:rFonts w:ascii="Arial Narrow" w:hAnsi="Arial Narrow"/>
                <w:b/>
                <w:bCs/>
                <w:i/>
                <w:color w:val="333333"/>
                <w:sz w:val="18"/>
                <w:szCs w:val="18"/>
              </w:rPr>
              <w:t>Clinical criteria</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Cs/>
                <w:i/>
                <w:color w:val="333333"/>
                <w:sz w:val="18"/>
                <w:szCs w:val="18"/>
              </w:rPr>
            </w:pPr>
            <w:r w:rsidRPr="002B4AB6">
              <w:rPr>
                <w:rFonts w:ascii="Arial Narrow" w:hAnsi="Arial Narrow"/>
                <w:bCs/>
                <w:i/>
                <w:color w:val="333333"/>
                <w:sz w:val="18"/>
                <w:szCs w:val="18"/>
              </w:rPr>
              <w:t>The condition must be confirmed as primary mediastinal B-Cell lymphoma through use of computed tomography (CT) and/or positron emission tomography (PET) scan and histology examination, with the results retained in the patient’s medical records</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
                <w:bCs/>
                <w:i/>
                <w:color w:val="333333"/>
                <w:sz w:val="18"/>
                <w:szCs w:val="18"/>
              </w:rPr>
            </w:pPr>
            <w:r w:rsidRPr="002B4AB6">
              <w:rPr>
                <w:rFonts w:ascii="Arial Narrow" w:hAnsi="Arial Narrow"/>
                <w:b/>
                <w:bCs/>
                <w:i/>
                <w:color w:val="333333"/>
                <w:sz w:val="18"/>
                <w:szCs w:val="18"/>
              </w:rPr>
              <w:t>AND</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Clinical criteria:</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color w:val="333333"/>
                <w:sz w:val="18"/>
                <w:szCs w:val="18"/>
              </w:rPr>
              <w:t>Patient must have undergone an autologous stem cell transplant (ASCT</w:t>
            </w:r>
            <w:r w:rsidRPr="002B4AB6">
              <w:rPr>
                <w:rFonts w:ascii="Arial Narrow" w:hAnsi="Arial Narrow"/>
                <w:i/>
                <w:color w:val="333333"/>
                <w:sz w:val="18"/>
                <w:szCs w:val="18"/>
              </w:rPr>
              <w:t xml:space="preserve">) for this condition and have experienced relapsed or refractory disease post ASCT; </w:t>
            </w:r>
            <w:r w:rsidRPr="002B4AB6">
              <w:rPr>
                <w:rFonts w:ascii="Arial Narrow" w:hAnsi="Arial Narrow"/>
                <w:strike/>
                <w:color w:val="333333"/>
                <w:sz w:val="18"/>
                <w:szCs w:val="18"/>
              </w:rPr>
              <w:t>or</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i/>
                <w:color w:val="333333"/>
                <w:sz w:val="18"/>
                <w:szCs w:val="18"/>
              </w:rPr>
            </w:pPr>
            <w:r w:rsidRPr="002B4AB6">
              <w:rPr>
                <w:rFonts w:ascii="Arial Narrow" w:hAnsi="Arial Narrow"/>
                <w:b/>
                <w:bCs/>
                <w:i/>
                <w:color w:val="333333"/>
                <w:sz w:val="18"/>
                <w:szCs w:val="18"/>
              </w:rPr>
              <w:t>OR</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i/>
                <w:color w:val="333333"/>
                <w:sz w:val="18"/>
                <w:szCs w:val="18"/>
              </w:rPr>
            </w:pPr>
            <w:r w:rsidRPr="002B4AB6">
              <w:rPr>
                <w:rFonts w:ascii="Arial Narrow" w:hAnsi="Arial Narrow"/>
                <w:b/>
                <w:bCs/>
                <w:i/>
                <w:color w:val="333333"/>
                <w:sz w:val="18"/>
                <w:szCs w:val="18"/>
              </w:rPr>
              <w:t>Clinical criteria:</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color w:val="333333"/>
                <w:sz w:val="18"/>
                <w:szCs w:val="18"/>
              </w:rPr>
              <w:t xml:space="preserve">Patient must not be suitable for ASCT </w:t>
            </w:r>
            <w:r w:rsidRPr="002B4AB6">
              <w:rPr>
                <w:rFonts w:ascii="Arial Narrow" w:hAnsi="Arial Narrow"/>
                <w:i/>
                <w:color w:val="333333"/>
                <w:sz w:val="18"/>
                <w:szCs w:val="18"/>
              </w:rPr>
              <w:t>for this condition and have experienced relapsed or refractory disease following at least 2 prior treatments for this condition</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
                <w:bCs/>
                <w:color w:val="333333"/>
                <w:sz w:val="18"/>
                <w:szCs w:val="18"/>
              </w:rPr>
            </w:pPr>
            <w:r w:rsidRPr="002B4AB6">
              <w:rPr>
                <w:rFonts w:ascii="Arial Narrow" w:hAnsi="Arial Narrow"/>
                <w:b/>
                <w:bCs/>
                <w:color w:val="333333"/>
                <w:sz w:val="18"/>
                <w:szCs w:val="18"/>
              </w:rPr>
              <w:t>AND</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
                <w:bCs/>
                <w:color w:val="333333"/>
                <w:sz w:val="18"/>
                <w:szCs w:val="18"/>
              </w:rPr>
            </w:pPr>
            <w:r w:rsidRPr="002B4AB6">
              <w:rPr>
                <w:rFonts w:ascii="Arial Narrow" w:hAnsi="Arial Narrow"/>
                <w:b/>
                <w:bCs/>
                <w:color w:val="333333"/>
                <w:sz w:val="18"/>
                <w:szCs w:val="18"/>
              </w:rPr>
              <w:t>Clinical criteria:</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spacing w:before="40" w:after="20"/>
              <w:jc w:val="left"/>
              <w:rPr>
                <w:rFonts w:ascii="Arial Narrow" w:hAnsi="Arial Narrow"/>
                <w:iCs/>
                <w:sz w:val="18"/>
                <w:szCs w:val="18"/>
              </w:rPr>
            </w:pPr>
            <w:r w:rsidRPr="002B4AB6">
              <w:rPr>
                <w:rFonts w:ascii="Arial Narrow" w:hAnsi="Arial Narrow"/>
                <w:iCs/>
                <w:sz w:val="18"/>
                <w:szCs w:val="18"/>
              </w:rPr>
              <w:t xml:space="preserve">Patient must have </w:t>
            </w:r>
            <w:r w:rsidRPr="002B4AB6">
              <w:rPr>
                <w:rFonts w:ascii="Arial Narrow" w:hAnsi="Arial Narrow"/>
                <w:i/>
                <w:iCs/>
                <w:sz w:val="18"/>
                <w:szCs w:val="18"/>
              </w:rPr>
              <w:t>received prior treatment with</w:t>
            </w:r>
            <w:r w:rsidRPr="002B4AB6">
              <w:rPr>
                <w:rFonts w:ascii="Arial Narrow" w:hAnsi="Arial Narrow"/>
                <w:iCs/>
                <w:sz w:val="18"/>
                <w:szCs w:val="18"/>
              </w:rPr>
              <w:t xml:space="preserve"> </w:t>
            </w:r>
            <w:r w:rsidRPr="002B4AB6">
              <w:rPr>
                <w:rFonts w:ascii="Arial Narrow" w:hAnsi="Arial Narrow"/>
                <w:iCs/>
                <w:strike/>
                <w:sz w:val="18"/>
                <w:szCs w:val="18"/>
              </w:rPr>
              <w:t>refractory Primary Mediastinal B-cell Lymphoma</w:t>
            </w:r>
            <w:r w:rsidRPr="002B4AB6">
              <w:rPr>
                <w:rFonts w:ascii="Arial Narrow" w:hAnsi="Arial Narrow"/>
                <w:iCs/>
                <w:sz w:val="18"/>
                <w:szCs w:val="18"/>
              </w:rPr>
              <w:t xml:space="preserve"> </w:t>
            </w:r>
            <w:r w:rsidRPr="002B4AB6">
              <w:rPr>
                <w:rFonts w:ascii="Arial Narrow" w:hAnsi="Arial Narrow"/>
                <w:iCs/>
                <w:strike/>
                <w:sz w:val="18"/>
                <w:szCs w:val="18"/>
              </w:rPr>
              <w:t>following</w:t>
            </w:r>
            <w:r w:rsidRPr="002B4AB6">
              <w:rPr>
                <w:rFonts w:ascii="Arial Narrow" w:hAnsi="Arial Narrow"/>
                <w:iCs/>
                <w:sz w:val="18"/>
                <w:szCs w:val="18"/>
              </w:rPr>
              <w:t xml:space="preserve"> rituximab-based chemotherapy for this condition </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i/>
                <w:color w:val="333333"/>
                <w:sz w:val="18"/>
                <w:szCs w:val="18"/>
              </w:rPr>
            </w:pPr>
            <w:r w:rsidRPr="002B4AB6">
              <w:rPr>
                <w:rFonts w:ascii="Arial Narrow" w:hAnsi="Arial Narrow"/>
                <w:b/>
                <w:bCs/>
                <w:i/>
                <w:color w:val="333333"/>
                <w:sz w:val="18"/>
                <w:szCs w:val="18"/>
              </w:rPr>
              <w:t>AND</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
                <w:bCs/>
                <w:i/>
                <w:color w:val="333333"/>
                <w:sz w:val="18"/>
                <w:szCs w:val="18"/>
              </w:rPr>
            </w:pPr>
            <w:r w:rsidRPr="002B4AB6">
              <w:rPr>
                <w:rFonts w:ascii="Arial Narrow" w:hAnsi="Arial Narrow"/>
                <w:b/>
                <w:bCs/>
                <w:i/>
                <w:color w:val="333333"/>
                <w:sz w:val="18"/>
                <w:szCs w:val="18"/>
              </w:rPr>
              <w:t>Clinical criteria:</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Cs/>
                <w:i/>
                <w:color w:val="333333"/>
                <w:sz w:val="18"/>
                <w:szCs w:val="18"/>
              </w:rPr>
            </w:pPr>
            <w:r w:rsidRPr="002B4AB6">
              <w:rPr>
                <w:rFonts w:ascii="Arial Narrow" w:hAnsi="Arial Narrow"/>
                <w:bCs/>
                <w:i/>
                <w:color w:val="333333"/>
                <w:sz w:val="18"/>
                <w:szCs w:val="18"/>
              </w:rPr>
              <w:t>Patient must have a WHO performance status of 0 or 1</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
                <w:bCs/>
                <w:color w:val="333333"/>
                <w:sz w:val="18"/>
                <w:szCs w:val="18"/>
              </w:rPr>
            </w:pPr>
            <w:r w:rsidRPr="002B4AB6">
              <w:rPr>
                <w:rFonts w:ascii="Arial Narrow" w:hAnsi="Arial Narrow"/>
                <w:b/>
                <w:bCs/>
                <w:color w:val="333333"/>
                <w:sz w:val="18"/>
                <w:szCs w:val="18"/>
              </w:rPr>
              <w:t>AND</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Clinical criteria:</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color w:val="333333"/>
                <w:sz w:val="18"/>
                <w:szCs w:val="18"/>
              </w:rPr>
            </w:pPr>
            <w:r w:rsidRPr="002B4AB6">
              <w:rPr>
                <w:rFonts w:ascii="Arial Narrow" w:hAnsi="Arial Narrow"/>
                <w:color w:val="333333"/>
                <w:sz w:val="18"/>
                <w:szCs w:val="18"/>
              </w:rPr>
              <w:t>Patient must not have received prior treatment with a programmed cell death-1 (PD-1) inhibitor or a programmed cell death ligand-1 (PD-L1) inhibitor for this condition</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AND</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Clinical criteria:</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color w:val="333333"/>
                <w:sz w:val="18"/>
                <w:szCs w:val="18"/>
              </w:rPr>
              <w:t>The treatment must be the sole PBS-subsidised therapy for this condition</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AND</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i/>
                <w:color w:val="333333"/>
                <w:sz w:val="18"/>
                <w:szCs w:val="18"/>
              </w:rPr>
            </w:pPr>
            <w:r w:rsidRPr="002B4AB6">
              <w:rPr>
                <w:rFonts w:ascii="Arial Narrow" w:hAnsi="Arial Narrow"/>
                <w:b/>
                <w:bCs/>
                <w:i/>
                <w:color w:val="333333"/>
                <w:sz w:val="18"/>
                <w:szCs w:val="18"/>
              </w:rPr>
              <w:t>Clinical criteria:</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i/>
                <w:color w:val="333333"/>
                <w:sz w:val="18"/>
                <w:szCs w:val="18"/>
              </w:rPr>
            </w:pPr>
            <w:r w:rsidRPr="002B4AB6">
              <w:rPr>
                <w:rFonts w:ascii="Arial Narrow" w:hAnsi="Arial Narrow"/>
                <w:i/>
                <w:color w:val="333333"/>
                <w:sz w:val="18"/>
                <w:szCs w:val="18"/>
              </w:rPr>
              <w:t>The treatment must not exceed a total of 7 doses under this restriction</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Prescribing Instructions:</w:t>
            </w:r>
          </w:p>
          <w:p w:rsidR="006F292D" w:rsidRPr="002B4AB6" w:rsidRDefault="006F292D" w:rsidP="006C4095">
            <w:pPr>
              <w:jc w:val="left"/>
              <w:rPr>
                <w:rFonts w:ascii="Arial Narrow" w:hAnsi="Arial Narrow"/>
                <w:color w:val="333333"/>
                <w:sz w:val="18"/>
                <w:szCs w:val="18"/>
              </w:rPr>
            </w:pPr>
            <w:r w:rsidRPr="002B4AB6">
              <w:rPr>
                <w:rFonts w:ascii="Arial Narrow" w:hAnsi="Arial Narrow"/>
                <w:color w:val="333333"/>
                <w:sz w:val="18"/>
                <w:szCs w:val="18"/>
              </w:rPr>
              <w:t>Applications for authorisation of initial treatment must be in writing and must include:</w:t>
            </w:r>
          </w:p>
          <w:p w:rsidR="006F292D" w:rsidRPr="002B4AB6" w:rsidRDefault="006F292D" w:rsidP="006C4095">
            <w:pPr>
              <w:jc w:val="left"/>
              <w:rPr>
                <w:rFonts w:ascii="Arial Narrow" w:hAnsi="Arial Narrow"/>
                <w:color w:val="333333"/>
                <w:sz w:val="18"/>
                <w:szCs w:val="18"/>
              </w:rPr>
            </w:pPr>
            <w:r w:rsidRPr="002B4AB6">
              <w:rPr>
                <w:rFonts w:ascii="Arial Narrow" w:hAnsi="Arial Narrow"/>
                <w:color w:val="333333"/>
                <w:sz w:val="18"/>
                <w:szCs w:val="18"/>
              </w:rPr>
              <w:t>(a) a completed authority prescription form;</w:t>
            </w:r>
          </w:p>
          <w:p w:rsidR="006F292D" w:rsidRPr="002B4AB6" w:rsidRDefault="006F292D" w:rsidP="006C4095">
            <w:pPr>
              <w:jc w:val="left"/>
              <w:rPr>
                <w:rFonts w:ascii="Arial Narrow" w:hAnsi="Arial Narrow"/>
                <w:i/>
                <w:color w:val="333333"/>
                <w:sz w:val="18"/>
                <w:szCs w:val="18"/>
              </w:rPr>
            </w:pPr>
            <w:r w:rsidRPr="002B4AB6">
              <w:rPr>
                <w:rFonts w:ascii="Arial Narrow" w:hAnsi="Arial Narrow"/>
                <w:color w:val="333333"/>
                <w:sz w:val="18"/>
                <w:szCs w:val="18"/>
              </w:rPr>
              <w:t>(b) a completed primary mediastinal B-Cell lymphoma pembrolizumab PBS Authority Application</w:t>
            </w:r>
            <w:r w:rsidRPr="002B4AB6">
              <w:rPr>
                <w:rFonts w:ascii="Arial Narrow" w:hAnsi="Arial Narrow"/>
                <w:i/>
                <w:color w:val="333333"/>
                <w:sz w:val="18"/>
                <w:szCs w:val="18"/>
              </w:rPr>
              <w:t>, which includes:</w:t>
            </w:r>
          </w:p>
          <w:p w:rsidR="006F292D" w:rsidRPr="002B4AB6" w:rsidRDefault="006F292D" w:rsidP="006C4095">
            <w:pPr>
              <w:jc w:val="left"/>
              <w:rPr>
                <w:rFonts w:ascii="Arial Narrow" w:hAnsi="Arial Narrow"/>
                <w:i/>
                <w:color w:val="333333"/>
                <w:sz w:val="18"/>
                <w:szCs w:val="18"/>
              </w:rPr>
            </w:pPr>
            <w:r w:rsidRPr="002B4AB6">
              <w:rPr>
                <w:rFonts w:ascii="Arial Narrow" w:hAnsi="Arial Narrow"/>
                <w:i/>
                <w:color w:val="333333"/>
                <w:sz w:val="18"/>
                <w:szCs w:val="18"/>
              </w:rPr>
              <w:t xml:space="preserve">(i) a declaration that PET and/or CT scans and histology results supporting a diagnosis of primary mediastinal B-Cell lymphoma have been retained on the patient’s medical records; </w:t>
            </w:r>
          </w:p>
          <w:p w:rsidR="006F292D" w:rsidRPr="002B4AB6" w:rsidRDefault="006F292D" w:rsidP="006C4095">
            <w:pPr>
              <w:jc w:val="left"/>
              <w:rPr>
                <w:rFonts w:ascii="Arial Narrow" w:hAnsi="Arial Narrow"/>
                <w:i/>
                <w:color w:val="333333"/>
                <w:sz w:val="18"/>
                <w:szCs w:val="18"/>
              </w:rPr>
            </w:pPr>
            <w:r w:rsidRPr="002B4AB6">
              <w:rPr>
                <w:rFonts w:ascii="Arial Narrow" w:hAnsi="Arial Narrow"/>
                <w:i/>
                <w:color w:val="333333"/>
                <w:sz w:val="18"/>
                <w:szCs w:val="18"/>
              </w:rPr>
              <w:t>(ii) a declaration of whether the patient's disease is relapsed or refractory, and the date and means by which the patient's disease was assessed as being relapsed or refractory.</w:t>
            </w:r>
          </w:p>
          <w:p w:rsidR="006F292D" w:rsidRPr="002B4AB6" w:rsidRDefault="006F292D" w:rsidP="006C4095">
            <w:pPr>
              <w:jc w:val="left"/>
              <w:rPr>
                <w:rFonts w:ascii="Arial Narrow" w:hAnsi="Arial Narrow"/>
                <w:color w:val="333333"/>
                <w:sz w:val="18"/>
                <w:szCs w:val="18"/>
              </w:rPr>
            </w:pPr>
            <w:r w:rsidRPr="002B4AB6">
              <w:rPr>
                <w:rFonts w:ascii="Arial Narrow" w:hAnsi="Arial Narrow"/>
                <w:i/>
                <w:color w:val="333333"/>
                <w:sz w:val="18"/>
                <w:szCs w:val="18"/>
              </w:rPr>
              <w:t>(iii) dates of commencement and completion of 2 prior lines of treatment for patients not suitable for ASCT, one of which must include rituximab with chemotherapy.</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Administrative Advice:</w:t>
            </w:r>
          </w:p>
          <w:p w:rsidR="006F292D" w:rsidRPr="002B4AB6" w:rsidRDefault="006F292D" w:rsidP="006C4095">
            <w:pPr>
              <w:jc w:val="left"/>
              <w:rPr>
                <w:rFonts w:ascii="Arial Narrow" w:hAnsi="Arial Narrow"/>
                <w:color w:val="333333"/>
                <w:sz w:val="18"/>
                <w:szCs w:val="18"/>
              </w:rPr>
            </w:pPr>
            <w:r w:rsidRPr="002B4AB6">
              <w:rPr>
                <w:rFonts w:ascii="Arial Narrow" w:hAnsi="Arial Narrow"/>
                <w:color w:val="333333"/>
                <w:sz w:val="18"/>
                <w:szCs w:val="18"/>
              </w:rPr>
              <w:t xml:space="preserve">Any queries concerning the arrangements to prescribe may be directed to the Department of Human Services on 1800 700 270 (hours of operation 8 a.m. to 5 p.m. EST Monday to Friday). </w:t>
            </w:r>
          </w:p>
          <w:p w:rsidR="006F292D" w:rsidRPr="002B4AB6" w:rsidRDefault="006F292D" w:rsidP="006C4095">
            <w:pPr>
              <w:jc w:val="left"/>
              <w:rPr>
                <w:rFonts w:ascii="Arial Narrow" w:hAnsi="Arial Narrow"/>
                <w:color w:val="333333"/>
                <w:sz w:val="18"/>
                <w:szCs w:val="18"/>
              </w:rPr>
            </w:pPr>
          </w:p>
          <w:p w:rsidR="006F292D" w:rsidRPr="002B4AB6" w:rsidRDefault="006F292D" w:rsidP="006C4095">
            <w:pPr>
              <w:jc w:val="left"/>
              <w:rPr>
                <w:rFonts w:ascii="Arial Narrow" w:hAnsi="Arial Narrow"/>
                <w:color w:val="333333"/>
                <w:sz w:val="18"/>
                <w:szCs w:val="18"/>
              </w:rPr>
            </w:pPr>
            <w:r w:rsidRPr="002B4AB6">
              <w:rPr>
                <w:rFonts w:ascii="Arial Narrow" w:hAnsi="Arial Narrow"/>
                <w:color w:val="333333"/>
                <w:sz w:val="18"/>
                <w:szCs w:val="18"/>
              </w:rPr>
              <w:t xml:space="preserve">Prescribing information (including Authority Application forms and other relevant documentation as applicable) is available on the Department of Human Services website at </w:t>
            </w:r>
            <w:r w:rsidRPr="004278F1">
              <w:rPr>
                <w:rFonts w:ascii="Arial Narrow" w:hAnsi="Arial Narrow"/>
                <w:sz w:val="18"/>
                <w:szCs w:val="18"/>
              </w:rPr>
              <w:t>www.humanservices.gov.au</w:t>
            </w:r>
          </w:p>
          <w:p w:rsidR="006F292D" w:rsidRPr="002B4AB6" w:rsidRDefault="006F292D" w:rsidP="006C4095">
            <w:pPr>
              <w:jc w:val="left"/>
              <w:rPr>
                <w:rFonts w:ascii="Arial Narrow" w:hAnsi="Arial Narrow"/>
                <w:color w:val="333333"/>
                <w:sz w:val="18"/>
                <w:szCs w:val="18"/>
              </w:rPr>
            </w:pPr>
          </w:p>
          <w:p w:rsidR="006F292D" w:rsidRPr="00492CD9" w:rsidRDefault="006F292D" w:rsidP="006C4095">
            <w:pPr>
              <w:jc w:val="left"/>
              <w:rPr>
                <w:rFonts w:ascii="Arial Narrow" w:hAnsi="Arial Narrow"/>
                <w:color w:val="333333"/>
                <w:sz w:val="18"/>
                <w:szCs w:val="18"/>
              </w:rPr>
            </w:pPr>
            <w:r w:rsidRPr="00492CD9">
              <w:rPr>
                <w:rFonts w:ascii="Arial Narrow" w:hAnsi="Arial Narrow"/>
                <w:color w:val="333333"/>
                <w:sz w:val="18"/>
                <w:szCs w:val="18"/>
              </w:rPr>
              <w:t xml:space="preserve">Applications for authority to prescribe should be forwarded to: </w:t>
            </w:r>
          </w:p>
          <w:p w:rsidR="006F292D" w:rsidRPr="002B4AB6" w:rsidRDefault="006F292D" w:rsidP="006C4095">
            <w:pPr>
              <w:jc w:val="left"/>
              <w:rPr>
                <w:rFonts w:ascii="Arial Narrow" w:hAnsi="Arial Narrow"/>
                <w:color w:val="333333"/>
                <w:sz w:val="18"/>
                <w:szCs w:val="18"/>
              </w:rPr>
            </w:pPr>
            <w:r w:rsidRPr="002B4AB6">
              <w:rPr>
                <w:rFonts w:ascii="Arial Narrow" w:hAnsi="Arial Narrow"/>
                <w:color w:val="333333"/>
                <w:sz w:val="18"/>
                <w:szCs w:val="18"/>
              </w:rPr>
              <w:t>Department of Human Services</w:t>
            </w:r>
          </w:p>
          <w:p w:rsidR="006F292D" w:rsidRPr="002B4AB6" w:rsidRDefault="006F292D" w:rsidP="006C4095">
            <w:pPr>
              <w:jc w:val="left"/>
              <w:rPr>
                <w:rFonts w:ascii="Arial Narrow" w:hAnsi="Arial Narrow"/>
                <w:strike/>
                <w:color w:val="333333"/>
                <w:sz w:val="18"/>
                <w:szCs w:val="18"/>
              </w:rPr>
            </w:pPr>
            <w:r w:rsidRPr="002B4AB6">
              <w:rPr>
                <w:rFonts w:ascii="Arial Narrow" w:hAnsi="Arial Narrow"/>
                <w:strike/>
                <w:color w:val="333333"/>
                <w:sz w:val="18"/>
                <w:szCs w:val="18"/>
              </w:rPr>
              <w:t>Prior Written Approval of Complex Drugs</w:t>
            </w:r>
          </w:p>
          <w:p w:rsidR="006F292D" w:rsidRPr="002B4AB6" w:rsidRDefault="006F292D" w:rsidP="006C4095">
            <w:pPr>
              <w:jc w:val="left"/>
              <w:rPr>
                <w:rFonts w:ascii="Arial Narrow" w:hAnsi="Arial Narrow"/>
                <w:color w:val="333333"/>
                <w:sz w:val="18"/>
                <w:szCs w:val="18"/>
              </w:rPr>
            </w:pPr>
            <w:r w:rsidRPr="002B4AB6">
              <w:rPr>
                <w:rFonts w:ascii="Arial Narrow" w:hAnsi="Arial Narrow"/>
                <w:color w:val="333333"/>
                <w:sz w:val="18"/>
                <w:szCs w:val="18"/>
              </w:rPr>
              <w:t>Complex Drugs</w:t>
            </w:r>
          </w:p>
          <w:p w:rsidR="006F292D" w:rsidRPr="002B4AB6" w:rsidRDefault="006F292D" w:rsidP="006C4095">
            <w:pPr>
              <w:jc w:val="left"/>
              <w:rPr>
                <w:rFonts w:ascii="Arial Narrow" w:hAnsi="Arial Narrow"/>
                <w:color w:val="333333"/>
                <w:sz w:val="18"/>
                <w:szCs w:val="18"/>
              </w:rPr>
            </w:pPr>
            <w:r w:rsidRPr="002B4AB6">
              <w:rPr>
                <w:rFonts w:ascii="Arial Narrow" w:hAnsi="Arial Narrow"/>
                <w:color w:val="333333"/>
                <w:sz w:val="18"/>
                <w:szCs w:val="18"/>
              </w:rPr>
              <w:t>Reply Paid 9826</w:t>
            </w:r>
          </w:p>
          <w:p w:rsidR="006F292D" w:rsidRPr="002B4AB6" w:rsidRDefault="006F292D" w:rsidP="006C4095">
            <w:pPr>
              <w:jc w:val="left"/>
              <w:rPr>
                <w:rFonts w:ascii="Arial Narrow" w:hAnsi="Arial Narrow"/>
                <w:strike/>
                <w:color w:val="333333"/>
                <w:sz w:val="18"/>
                <w:szCs w:val="18"/>
              </w:rPr>
            </w:pPr>
            <w:r w:rsidRPr="002B4AB6">
              <w:rPr>
                <w:rFonts w:ascii="Arial Narrow" w:hAnsi="Arial Narrow"/>
                <w:strike/>
                <w:color w:val="333333"/>
                <w:sz w:val="18"/>
                <w:szCs w:val="18"/>
              </w:rPr>
              <w:t>GPO Box 9826</w:t>
            </w:r>
          </w:p>
          <w:p w:rsidR="006F292D" w:rsidRPr="002B4AB6" w:rsidRDefault="006F292D" w:rsidP="006C4095">
            <w:pPr>
              <w:jc w:val="left"/>
              <w:rPr>
                <w:rFonts w:ascii="Arial Narrow" w:hAnsi="Arial Narrow"/>
                <w:color w:val="333333"/>
                <w:sz w:val="18"/>
                <w:szCs w:val="18"/>
              </w:rPr>
            </w:pPr>
            <w:r w:rsidRPr="002B4AB6">
              <w:rPr>
                <w:rFonts w:ascii="Arial Narrow" w:hAnsi="Arial Narrow"/>
                <w:color w:val="333333"/>
                <w:sz w:val="18"/>
                <w:szCs w:val="18"/>
              </w:rPr>
              <w:t>HOBART TAS 7001</w:t>
            </w:r>
          </w:p>
        </w:tc>
      </w:tr>
    </w:tbl>
    <w:p w:rsidR="0090284A" w:rsidRPr="002B4AB6" w:rsidRDefault="0090284A" w:rsidP="0090284A">
      <w:pPr>
        <w:rPr>
          <w:rStyle w:val="TableFigureFooterChar"/>
        </w:rPr>
      </w:pPr>
      <w:r w:rsidRPr="002B4AB6">
        <w:rPr>
          <w:rStyle w:val="TableFigureFooterChar"/>
          <w:i/>
          <w:vertAlign w:val="superscript"/>
        </w:rPr>
        <w:t xml:space="preserve">a </w:t>
      </w:r>
      <w:r w:rsidRPr="002B4AB6">
        <w:rPr>
          <w:rStyle w:val="TableFigureFooterChar"/>
          <w:i/>
        </w:rPr>
        <w:t>The published prices were taken from the 1 January 2020 PBS update for the Efficient Funding of Chemotherapy Supplement</w:t>
      </w:r>
      <w:r w:rsidRPr="002B4AB6">
        <w:rPr>
          <w:rStyle w:val="TableFigureFooterChar"/>
        </w:rPr>
        <w:t>.</w:t>
      </w:r>
    </w:p>
    <w:p w:rsidR="0090284A" w:rsidRPr="002B4AB6" w:rsidRDefault="0090284A" w:rsidP="0090284A">
      <w:pPr>
        <w:pStyle w:val="TableFooter"/>
        <w:rPr>
          <w:i/>
        </w:rPr>
      </w:pPr>
      <w:r w:rsidRPr="002B4AB6">
        <w:rPr>
          <w:rStyle w:val="TableFigureFooterChar"/>
          <w:i/>
          <w:vertAlign w:val="superscript"/>
        </w:rPr>
        <w:lastRenderedPageBreak/>
        <w:t>b</w:t>
      </w:r>
      <w:r w:rsidRPr="002B4AB6">
        <w:rPr>
          <w:i/>
          <w:vertAlign w:val="superscript"/>
        </w:rPr>
        <w:t xml:space="preserve"> </w:t>
      </w:r>
      <w:r w:rsidRPr="002B4AB6">
        <w:rPr>
          <w:i/>
        </w:rPr>
        <w:t>Prices do not include additional compound fee where compounding was undertaken at a TGA-licensed compounding site ($20).</w:t>
      </w:r>
    </w:p>
    <w:p w:rsidR="006C4095" w:rsidRPr="002B4AB6" w:rsidRDefault="006C4095" w:rsidP="00181533"/>
    <w:p w:rsidR="0090284A" w:rsidRPr="002B4AB6" w:rsidRDefault="0090284A" w:rsidP="001815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8"/>
        <w:gridCol w:w="1592"/>
        <w:gridCol w:w="828"/>
        <w:gridCol w:w="2182"/>
        <w:gridCol w:w="2077"/>
      </w:tblGrid>
      <w:tr w:rsidR="00694BA7" w:rsidRPr="002B4AB6" w:rsidTr="00181533">
        <w:trPr>
          <w:cantSplit/>
          <w:trHeight w:val="471"/>
        </w:trPr>
        <w:tc>
          <w:tcPr>
            <w:tcW w:w="2338" w:type="dxa"/>
          </w:tcPr>
          <w:p w:rsidR="00694BA7" w:rsidRPr="002B4AB6" w:rsidRDefault="00694BA7" w:rsidP="00694BA7">
            <w:pPr>
              <w:keepNext/>
              <w:ind w:left="-108"/>
              <w:rPr>
                <w:rFonts w:ascii="Arial Narrow" w:eastAsiaTheme="minorHAnsi" w:hAnsi="Arial Narrow"/>
                <w:b/>
                <w:sz w:val="18"/>
                <w:szCs w:val="18"/>
              </w:rPr>
            </w:pPr>
            <w:r w:rsidRPr="002B4AB6">
              <w:rPr>
                <w:rFonts w:ascii="Arial Narrow" w:eastAsiaTheme="minorHAnsi" w:hAnsi="Arial Narrow"/>
                <w:b/>
                <w:sz w:val="18"/>
                <w:szCs w:val="18"/>
              </w:rPr>
              <w:t>Name, Restriction,</w:t>
            </w:r>
          </w:p>
          <w:p w:rsidR="00694BA7" w:rsidRPr="002B4AB6" w:rsidRDefault="00694BA7" w:rsidP="00694BA7">
            <w:pPr>
              <w:keepNext/>
              <w:ind w:left="-108"/>
              <w:rPr>
                <w:rFonts w:ascii="Arial Narrow" w:eastAsiaTheme="minorHAnsi" w:hAnsi="Arial Narrow"/>
                <w:b/>
                <w:sz w:val="18"/>
                <w:szCs w:val="18"/>
              </w:rPr>
            </w:pPr>
            <w:r w:rsidRPr="002B4AB6">
              <w:rPr>
                <w:rFonts w:ascii="Arial Narrow" w:eastAsiaTheme="minorHAnsi" w:hAnsi="Arial Narrow"/>
                <w:b/>
                <w:sz w:val="18"/>
                <w:szCs w:val="18"/>
              </w:rPr>
              <w:t>Manner of administration and form</w:t>
            </w:r>
          </w:p>
        </w:tc>
        <w:tc>
          <w:tcPr>
            <w:tcW w:w="1592" w:type="dxa"/>
          </w:tcPr>
          <w:p w:rsidR="00694BA7" w:rsidRPr="002B4AB6" w:rsidRDefault="00694BA7" w:rsidP="00694BA7">
            <w:pPr>
              <w:keepNext/>
              <w:ind w:left="-108"/>
              <w:jc w:val="center"/>
              <w:rPr>
                <w:rFonts w:ascii="Arial Narrow" w:eastAsiaTheme="minorHAnsi" w:hAnsi="Arial Narrow"/>
                <w:b/>
                <w:sz w:val="18"/>
                <w:szCs w:val="18"/>
              </w:rPr>
            </w:pPr>
            <w:r w:rsidRPr="002B4AB6">
              <w:rPr>
                <w:rFonts w:ascii="Arial Narrow" w:eastAsiaTheme="minorHAnsi" w:hAnsi="Arial Narrow"/>
                <w:b/>
                <w:sz w:val="18"/>
                <w:szCs w:val="18"/>
              </w:rPr>
              <w:t>Max.</w:t>
            </w:r>
          </w:p>
          <w:p w:rsidR="00694BA7" w:rsidRPr="002B4AB6" w:rsidRDefault="00694BA7" w:rsidP="00694BA7">
            <w:pPr>
              <w:keepNext/>
              <w:ind w:left="-108"/>
              <w:jc w:val="center"/>
              <w:rPr>
                <w:rFonts w:ascii="Arial Narrow" w:eastAsiaTheme="minorHAnsi" w:hAnsi="Arial Narrow"/>
                <w:b/>
                <w:sz w:val="18"/>
                <w:szCs w:val="18"/>
              </w:rPr>
            </w:pPr>
            <w:r w:rsidRPr="002B4AB6">
              <w:rPr>
                <w:rFonts w:ascii="Arial Narrow" w:eastAsiaTheme="minorHAnsi" w:hAnsi="Arial Narrow"/>
                <w:b/>
                <w:sz w:val="18"/>
                <w:szCs w:val="18"/>
              </w:rPr>
              <w:t>Amount</w:t>
            </w:r>
          </w:p>
        </w:tc>
        <w:tc>
          <w:tcPr>
            <w:tcW w:w="828" w:type="dxa"/>
          </w:tcPr>
          <w:p w:rsidR="00694BA7" w:rsidRPr="002B4AB6" w:rsidRDefault="00694BA7" w:rsidP="00694BA7">
            <w:pPr>
              <w:keepNext/>
              <w:ind w:left="-108"/>
              <w:jc w:val="center"/>
              <w:rPr>
                <w:rFonts w:ascii="Arial Narrow" w:eastAsiaTheme="minorHAnsi" w:hAnsi="Arial Narrow"/>
                <w:b/>
                <w:sz w:val="18"/>
                <w:szCs w:val="18"/>
              </w:rPr>
            </w:pPr>
            <w:r w:rsidRPr="002B4AB6">
              <w:rPr>
                <w:rFonts w:ascii="Arial Narrow" w:eastAsiaTheme="minorHAnsi" w:hAnsi="Arial Narrow"/>
                <w:b/>
                <w:sz w:val="18"/>
                <w:szCs w:val="18"/>
              </w:rPr>
              <w:t>№.of</w:t>
            </w:r>
          </w:p>
          <w:p w:rsidR="00694BA7" w:rsidRPr="002B4AB6" w:rsidRDefault="00694BA7" w:rsidP="00694BA7">
            <w:pPr>
              <w:keepNext/>
              <w:ind w:left="-108"/>
              <w:jc w:val="center"/>
              <w:rPr>
                <w:rFonts w:ascii="Arial Narrow" w:eastAsiaTheme="minorHAnsi" w:hAnsi="Arial Narrow"/>
                <w:b/>
                <w:sz w:val="18"/>
                <w:szCs w:val="18"/>
              </w:rPr>
            </w:pPr>
            <w:r w:rsidRPr="002B4AB6">
              <w:rPr>
                <w:rFonts w:ascii="Arial Narrow" w:eastAsiaTheme="minorHAnsi" w:hAnsi="Arial Narrow"/>
                <w:b/>
                <w:sz w:val="18"/>
                <w:szCs w:val="18"/>
              </w:rPr>
              <w:t>Rpts</w:t>
            </w:r>
          </w:p>
        </w:tc>
        <w:tc>
          <w:tcPr>
            <w:tcW w:w="2182" w:type="dxa"/>
            <w:vAlign w:val="center"/>
          </w:tcPr>
          <w:p w:rsidR="00694BA7" w:rsidRPr="002B4AB6" w:rsidRDefault="00694BA7" w:rsidP="00694BA7">
            <w:pPr>
              <w:keepNext/>
              <w:ind w:left="-108"/>
              <w:jc w:val="center"/>
              <w:rPr>
                <w:rFonts w:ascii="Arial Narrow" w:eastAsiaTheme="minorHAnsi" w:hAnsi="Arial Narrow"/>
                <w:b/>
                <w:sz w:val="18"/>
                <w:szCs w:val="18"/>
              </w:rPr>
            </w:pPr>
            <w:r w:rsidRPr="002B4AB6">
              <w:rPr>
                <w:rFonts w:ascii="Arial Narrow" w:hAnsi="Arial Narrow"/>
                <w:b/>
                <w:sz w:val="20"/>
              </w:rPr>
              <w:t>Dispensed Price Max Amt</w:t>
            </w:r>
          </w:p>
        </w:tc>
        <w:tc>
          <w:tcPr>
            <w:tcW w:w="2077" w:type="dxa"/>
          </w:tcPr>
          <w:p w:rsidR="00694BA7" w:rsidRPr="000829C9" w:rsidRDefault="00694BA7" w:rsidP="00694BA7">
            <w:pPr>
              <w:keepNext/>
              <w:rPr>
                <w:rFonts w:ascii="Arial Narrow" w:eastAsiaTheme="minorHAnsi" w:hAnsi="Arial Narrow"/>
                <w:b/>
                <w:sz w:val="18"/>
                <w:szCs w:val="18"/>
              </w:rPr>
            </w:pPr>
            <w:r w:rsidRPr="002B4AB6">
              <w:rPr>
                <w:rFonts w:ascii="Arial Narrow" w:eastAsiaTheme="minorHAnsi" w:hAnsi="Arial Narrow"/>
                <w:b/>
                <w:sz w:val="18"/>
                <w:szCs w:val="18"/>
              </w:rPr>
              <w:t>Manufacturer</w:t>
            </w:r>
          </w:p>
        </w:tc>
      </w:tr>
      <w:tr w:rsidR="00694BA7" w:rsidRPr="002B4AB6" w:rsidTr="00181533">
        <w:trPr>
          <w:cantSplit/>
          <w:trHeight w:val="577"/>
        </w:trPr>
        <w:tc>
          <w:tcPr>
            <w:tcW w:w="2338" w:type="dxa"/>
          </w:tcPr>
          <w:p w:rsidR="00694BA7" w:rsidRPr="002B4AB6" w:rsidRDefault="00694BA7" w:rsidP="00694BA7">
            <w:pPr>
              <w:keepNext/>
              <w:ind w:left="-108"/>
              <w:rPr>
                <w:rFonts w:ascii="Arial Narrow" w:eastAsiaTheme="minorHAnsi" w:hAnsi="Arial Narrow"/>
                <w:sz w:val="18"/>
                <w:szCs w:val="18"/>
              </w:rPr>
            </w:pPr>
            <w:r w:rsidRPr="002B4AB6">
              <w:rPr>
                <w:rFonts w:ascii="Arial Narrow" w:eastAsiaTheme="minorHAnsi" w:hAnsi="Arial Narrow"/>
                <w:sz w:val="18"/>
                <w:szCs w:val="18"/>
              </w:rPr>
              <w:t xml:space="preserve">PEMBROLIZUMAB </w:t>
            </w:r>
          </w:p>
          <w:p w:rsidR="00694BA7" w:rsidRPr="002B4AB6" w:rsidRDefault="00694BA7" w:rsidP="00694BA7">
            <w:pPr>
              <w:keepNext/>
              <w:ind w:left="-108"/>
              <w:rPr>
                <w:rFonts w:ascii="Arial Narrow" w:eastAsiaTheme="minorHAnsi" w:hAnsi="Arial Narrow"/>
                <w:sz w:val="18"/>
                <w:szCs w:val="18"/>
              </w:rPr>
            </w:pPr>
            <w:r w:rsidRPr="002B4AB6">
              <w:rPr>
                <w:rFonts w:ascii="Arial Narrow" w:eastAsiaTheme="minorHAnsi" w:hAnsi="Arial Narrow" w:cs="Arial Narrow"/>
                <w:sz w:val="20"/>
                <w:szCs w:val="20"/>
              </w:rPr>
              <w:t>Injection</w:t>
            </w:r>
          </w:p>
        </w:tc>
        <w:tc>
          <w:tcPr>
            <w:tcW w:w="1592" w:type="dxa"/>
          </w:tcPr>
          <w:p w:rsidR="00694BA7" w:rsidRPr="002B4AB6" w:rsidRDefault="00694BA7" w:rsidP="00694BA7">
            <w:pPr>
              <w:keepNext/>
              <w:ind w:left="-108"/>
              <w:jc w:val="center"/>
              <w:rPr>
                <w:rFonts w:ascii="Arial Narrow" w:eastAsiaTheme="minorHAnsi" w:hAnsi="Arial Narrow"/>
                <w:sz w:val="18"/>
                <w:szCs w:val="18"/>
              </w:rPr>
            </w:pPr>
          </w:p>
          <w:p w:rsidR="00694BA7" w:rsidRPr="002B4AB6" w:rsidRDefault="00694BA7" w:rsidP="00694BA7">
            <w:pPr>
              <w:keepNext/>
              <w:ind w:left="-108"/>
              <w:jc w:val="center"/>
              <w:rPr>
                <w:rFonts w:ascii="Arial Narrow" w:eastAsiaTheme="minorHAnsi" w:hAnsi="Arial Narrow"/>
                <w:sz w:val="18"/>
                <w:szCs w:val="18"/>
              </w:rPr>
            </w:pPr>
            <w:r w:rsidRPr="002B4AB6">
              <w:rPr>
                <w:rFonts w:ascii="Arial Narrow" w:eastAsiaTheme="minorHAnsi" w:hAnsi="Arial Narrow"/>
                <w:sz w:val="18"/>
                <w:szCs w:val="18"/>
              </w:rPr>
              <w:t>200 mg</w:t>
            </w:r>
          </w:p>
        </w:tc>
        <w:tc>
          <w:tcPr>
            <w:tcW w:w="828" w:type="dxa"/>
          </w:tcPr>
          <w:p w:rsidR="00694BA7" w:rsidRPr="002B4AB6" w:rsidRDefault="00694BA7" w:rsidP="00694BA7">
            <w:pPr>
              <w:keepNext/>
              <w:ind w:left="-108"/>
              <w:jc w:val="center"/>
              <w:rPr>
                <w:rFonts w:ascii="Arial Narrow" w:eastAsiaTheme="minorHAnsi" w:hAnsi="Arial Narrow"/>
                <w:i/>
                <w:sz w:val="18"/>
                <w:szCs w:val="18"/>
              </w:rPr>
            </w:pPr>
          </w:p>
          <w:p w:rsidR="00694BA7" w:rsidRPr="002B4AB6" w:rsidRDefault="00694BA7" w:rsidP="00694BA7">
            <w:pPr>
              <w:keepNext/>
              <w:ind w:left="-108"/>
              <w:jc w:val="center"/>
              <w:rPr>
                <w:rFonts w:ascii="Arial Narrow" w:eastAsiaTheme="minorHAnsi" w:hAnsi="Arial Narrow"/>
                <w:sz w:val="18"/>
                <w:szCs w:val="18"/>
              </w:rPr>
            </w:pPr>
            <w:r w:rsidRPr="002B4AB6">
              <w:rPr>
                <w:rFonts w:ascii="Arial Narrow" w:hAnsi="Arial Narrow"/>
                <w:sz w:val="20"/>
                <w:szCs w:val="20"/>
              </w:rPr>
              <w:t>6</w:t>
            </w:r>
          </w:p>
          <w:p w:rsidR="00694BA7" w:rsidRPr="002B4AB6" w:rsidRDefault="00694BA7" w:rsidP="00694BA7">
            <w:pPr>
              <w:keepNext/>
              <w:ind w:left="-108"/>
              <w:jc w:val="center"/>
              <w:rPr>
                <w:rFonts w:ascii="Arial Narrow" w:eastAsiaTheme="minorHAnsi" w:hAnsi="Arial Narrow"/>
                <w:sz w:val="18"/>
                <w:szCs w:val="18"/>
              </w:rPr>
            </w:pPr>
          </w:p>
        </w:tc>
        <w:tc>
          <w:tcPr>
            <w:tcW w:w="2182" w:type="dxa"/>
            <w:vAlign w:val="center"/>
          </w:tcPr>
          <w:p w:rsidR="00694BA7" w:rsidRPr="002B4AB6" w:rsidRDefault="00694BA7" w:rsidP="00694BA7">
            <w:pPr>
              <w:keepNext/>
              <w:jc w:val="center"/>
              <w:rPr>
                <w:rFonts w:ascii="Arial Narrow" w:hAnsi="Arial Narrow"/>
                <w:sz w:val="20"/>
                <w:vertAlign w:val="superscript"/>
              </w:rPr>
            </w:pPr>
            <w:r w:rsidRPr="002B4AB6">
              <w:rPr>
                <w:rFonts w:ascii="Arial Narrow" w:hAnsi="Arial Narrow"/>
                <w:sz w:val="20"/>
              </w:rPr>
              <w:t>Published</w:t>
            </w:r>
            <w:r w:rsidRPr="002B4AB6">
              <w:rPr>
                <w:rFonts w:ascii="Arial Narrow" w:hAnsi="Arial Narrow"/>
                <w:sz w:val="20"/>
                <w:vertAlign w:val="superscript"/>
              </w:rPr>
              <w:t>a</w:t>
            </w:r>
          </w:p>
          <w:p w:rsidR="00694BA7" w:rsidRPr="002B4AB6" w:rsidRDefault="00694BA7" w:rsidP="00694BA7">
            <w:pPr>
              <w:keepNext/>
              <w:jc w:val="center"/>
              <w:rPr>
                <w:rFonts w:ascii="Arial Narrow" w:hAnsi="Arial Narrow"/>
                <w:sz w:val="20"/>
              </w:rPr>
            </w:pPr>
            <w:r w:rsidRPr="002B4AB6">
              <w:rPr>
                <w:rFonts w:ascii="Arial Narrow" w:hAnsi="Arial Narrow"/>
                <w:sz w:val="20"/>
              </w:rPr>
              <w:t>$8,717.46 (private);</w:t>
            </w:r>
          </w:p>
          <w:p w:rsidR="00694BA7" w:rsidRPr="002B4AB6" w:rsidRDefault="00694BA7" w:rsidP="00694BA7">
            <w:pPr>
              <w:keepNext/>
              <w:jc w:val="center"/>
              <w:rPr>
                <w:rFonts w:ascii="Arial Narrow" w:hAnsi="Arial Narrow"/>
                <w:sz w:val="20"/>
              </w:rPr>
            </w:pPr>
            <w:r w:rsidRPr="002B4AB6">
              <w:rPr>
                <w:rFonts w:ascii="Arial Narrow" w:hAnsi="Arial Narrow"/>
                <w:sz w:val="20"/>
              </w:rPr>
              <w:t>$8,559.06 (public)</w:t>
            </w:r>
          </w:p>
          <w:p w:rsidR="00694BA7" w:rsidRPr="002B4AB6" w:rsidRDefault="00694BA7" w:rsidP="00694BA7">
            <w:pPr>
              <w:keepNext/>
              <w:jc w:val="center"/>
              <w:rPr>
                <w:rFonts w:ascii="Arial Narrow" w:hAnsi="Arial Narrow"/>
                <w:sz w:val="20"/>
              </w:rPr>
            </w:pPr>
          </w:p>
          <w:p w:rsidR="00694BA7" w:rsidRPr="002B4AB6" w:rsidRDefault="00694BA7" w:rsidP="00694BA7">
            <w:pPr>
              <w:keepNext/>
              <w:jc w:val="center"/>
              <w:rPr>
                <w:rFonts w:ascii="Arial Narrow" w:hAnsi="Arial Narrow"/>
                <w:sz w:val="20"/>
                <w:vertAlign w:val="superscript"/>
              </w:rPr>
            </w:pPr>
            <w:r w:rsidRPr="002B4AB6">
              <w:rPr>
                <w:rFonts w:ascii="Arial Narrow" w:hAnsi="Arial Narrow"/>
                <w:sz w:val="20"/>
              </w:rPr>
              <w:t>Effective</w:t>
            </w:r>
            <w:r w:rsidRPr="002B4AB6">
              <w:rPr>
                <w:rFonts w:ascii="Arial Narrow" w:hAnsi="Arial Narrow"/>
                <w:sz w:val="20"/>
                <w:vertAlign w:val="superscript"/>
              </w:rPr>
              <w:t>b</w:t>
            </w:r>
          </w:p>
          <w:p w:rsidR="00694BA7" w:rsidRPr="002B4AB6" w:rsidRDefault="00694BA7" w:rsidP="00694BA7">
            <w:pPr>
              <w:keepNext/>
              <w:jc w:val="center"/>
              <w:rPr>
                <w:rFonts w:ascii="Arial Narrow" w:hAnsi="Arial Narrow"/>
                <w:sz w:val="20"/>
              </w:rPr>
            </w:pPr>
            <w:r w:rsidRPr="002B4AB6">
              <w:rPr>
                <w:rFonts w:ascii="Arial Narrow" w:hAnsi="Arial Narrow"/>
                <w:sz w:val="20"/>
              </w:rPr>
              <w:t>$</w:t>
            </w:r>
            <w:r w:rsidR="004278F1">
              <w:rPr>
                <w:rFonts w:ascii="Arial Narrow" w:hAnsi="Arial Narrow"/>
                <w:noProof/>
                <w:color w:val="000000"/>
                <w:sz w:val="20"/>
                <w:highlight w:val="black"/>
              </w:rPr>
              <w:t>'''''''''''''''''''</w:t>
            </w:r>
            <w:r w:rsidRPr="000829C9">
              <w:rPr>
                <w:rFonts w:ascii="Arial Narrow" w:hAnsi="Arial Narrow"/>
                <w:color w:val="000000"/>
                <w:sz w:val="20"/>
              </w:rPr>
              <w:t xml:space="preserve"> </w:t>
            </w:r>
            <w:r w:rsidRPr="002B4AB6">
              <w:rPr>
                <w:rFonts w:ascii="Arial Narrow" w:hAnsi="Arial Narrow"/>
                <w:sz w:val="20"/>
              </w:rPr>
              <w:t>(private);</w:t>
            </w:r>
          </w:p>
          <w:p w:rsidR="00694BA7" w:rsidRPr="002B4AB6" w:rsidRDefault="00694BA7" w:rsidP="00694BA7">
            <w:pPr>
              <w:keepNext/>
              <w:ind w:left="-108"/>
              <w:jc w:val="center"/>
              <w:rPr>
                <w:rFonts w:ascii="Arial Narrow" w:eastAsiaTheme="minorHAnsi" w:hAnsi="Arial Narrow"/>
                <w:sz w:val="18"/>
                <w:szCs w:val="18"/>
              </w:rPr>
            </w:pPr>
            <w:r w:rsidRPr="002B4AB6">
              <w:rPr>
                <w:rFonts w:ascii="Arial Narrow" w:hAnsi="Arial Narrow"/>
                <w:sz w:val="20"/>
              </w:rPr>
              <w:t>$</w:t>
            </w:r>
            <w:r w:rsidR="004278F1">
              <w:rPr>
                <w:rFonts w:ascii="Arial Narrow" w:hAnsi="Arial Narrow"/>
                <w:noProof/>
                <w:color w:val="000000"/>
                <w:sz w:val="20"/>
                <w:highlight w:val="black"/>
              </w:rPr>
              <w:t>'''''''''''''''''''''''</w:t>
            </w:r>
            <w:r w:rsidRPr="002B4AB6">
              <w:rPr>
                <w:rFonts w:ascii="Arial Narrow" w:hAnsi="Arial Narrow"/>
                <w:sz w:val="20"/>
              </w:rPr>
              <w:t xml:space="preserve"> (public)</w:t>
            </w:r>
          </w:p>
        </w:tc>
        <w:tc>
          <w:tcPr>
            <w:tcW w:w="2077" w:type="dxa"/>
          </w:tcPr>
          <w:p w:rsidR="00694BA7" w:rsidRPr="002B4AB6" w:rsidRDefault="00694BA7" w:rsidP="00694BA7">
            <w:pPr>
              <w:keepNext/>
              <w:jc w:val="left"/>
              <w:rPr>
                <w:rFonts w:ascii="Arial Narrow" w:eastAsiaTheme="minorHAnsi" w:hAnsi="Arial Narrow"/>
                <w:sz w:val="18"/>
                <w:szCs w:val="18"/>
              </w:rPr>
            </w:pPr>
          </w:p>
          <w:p w:rsidR="00694BA7" w:rsidRPr="002B4AB6" w:rsidRDefault="00694BA7" w:rsidP="00694BA7">
            <w:pPr>
              <w:keepNext/>
              <w:jc w:val="left"/>
              <w:rPr>
                <w:rFonts w:ascii="Arial Narrow" w:eastAsiaTheme="minorHAnsi" w:hAnsi="Arial Narrow"/>
                <w:sz w:val="18"/>
                <w:szCs w:val="18"/>
              </w:rPr>
            </w:pPr>
            <w:r w:rsidRPr="002B4AB6">
              <w:rPr>
                <w:rFonts w:ascii="Arial Narrow" w:eastAsiaTheme="minorHAnsi" w:hAnsi="Arial Narrow"/>
                <w:sz w:val="18"/>
                <w:szCs w:val="18"/>
              </w:rPr>
              <w:t>Merck Sharp and Dohme Pty Ltd</w:t>
            </w:r>
          </w:p>
        </w:tc>
      </w:tr>
      <w:tr w:rsidR="006C4095" w:rsidRPr="002B4AB6" w:rsidTr="00181533">
        <w:trPr>
          <w:cantSplit/>
          <w:trHeight w:val="225"/>
        </w:trPr>
        <w:tc>
          <w:tcPr>
            <w:tcW w:w="9017" w:type="dxa"/>
            <w:gridSpan w:val="5"/>
          </w:tcPr>
          <w:p w:rsidR="006C4095" w:rsidRPr="002B4AB6" w:rsidRDefault="006C4095" w:rsidP="006C4095">
            <w:pPr>
              <w:keepNext/>
              <w:jc w:val="left"/>
              <w:rPr>
                <w:rFonts w:ascii="Arial Narrow" w:eastAsiaTheme="minorHAnsi" w:hAnsi="Arial Narrow"/>
                <w:b/>
                <w:sz w:val="18"/>
                <w:szCs w:val="18"/>
              </w:rPr>
            </w:pPr>
            <w:r w:rsidRPr="002B4AB6">
              <w:rPr>
                <w:rFonts w:ascii="Arial Narrow" w:eastAsiaTheme="minorHAnsi" w:hAnsi="Arial Narrow"/>
                <w:b/>
                <w:sz w:val="18"/>
                <w:szCs w:val="18"/>
              </w:rPr>
              <w:t>Available brands</w:t>
            </w:r>
          </w:p>
        </w:tc>
      </w:tr>
      <w:tr w:rsidR="006C4095" w:rsidRPr="002B4AB6" w:rsidTr="00181533">
        <w:trPr>
          <w:cantSplit/>
          <w:trHeight w:val="360"/>
        </w:trPr>
        <w:tc>
          <w:tcPr>
            <w:tcW w:w="9017" w:type="dxa"/>
            <w:gridSpan w:val="5"/>
          </w:tcPr>
          <w:p w:rsidR="006C4095" w:rsidRPr="002B4AB6" w:rsidRDefault="006C4095" w:rsidP="006C4095">
            <w:pPr>
              <w:rPr>
                <w:rFonts w:ascii="Arial Narrow" w:eastAsiaTheme="minorHAnsi" w:hAnsi="Arial Narrow"/>
                <w:sz w:val="18"/>
                <w:szCs w:val="18"/>
              </w:rPr>
            </w:pPr>
            <w:r w:rsidRPr="002B4AB6">
              <w:rPr>
                <w:rFonts w:ascii="Arial Narrow" w:eastAsiaTheme="minorHAnsi" w:hAnsi="Arial Narrow"/>
                <w:sz w:val="18"/>
                <w:szCs w:val="18"/>
              </w:rPr>
              <w:t>Keytruda</w:t>
            </w:r>
          </w:p>
          <w:p w:rsidR="006C4095" w:rsidRPr="002B4AB6" w:rsidRDefault="006C4095" w:rsidP="006C4095">
            <w:pPr>
              <w:rPr>
                <w:rFonts w:ascii="Arial Narrow" w:eastAsiaTheme="minorHAnsi" w:hAnsi="Arial Narrow"/>
                <w:sz w:val="18"/>
                <w:szCs w:val="18"/>
              </w:rPr>
            </w:pPr>
            <w:r w:rsidRPr="002B4AB6">
              <w:rPr>
                <w:rFonts w:ascii="Arial Narrow" w:eastAsiaTheme="minorHAnsi" w:hAnsi="Arial Narrow"/>
                <w:sz w:val="18"/>
                <w:szCs w:val="18"/>
              </w:rPr>
              <w:t>(pembrolizumab 100 mg/4 mL injection, 4 mL vial)</w:t>
            </w:r>
          </w:p>
        </w:tc>
      </w:tr>
      <w:tr w:rsidR="006C4095" w:rsidRPr="002B4AB6" w:rsidTr="00181533">
        <w:trPr>
          <w:cantSplit/>
          <w:trHeight w:val="360"/>
        </w:trPr>
        <w:tc>
          <w:tcPr>
            <w:tcW w:w="9017" w:type="dxa"/>
            <w:gridSpan w:val="5"/>
          </w:tcPr>
          <w:p w:rsidR="006C4095" w:rsidRPr="002B4AB6" w:rsidRDefault="006C4095" w:rsidP="006C4095">
            <w:pPr>
              <w:rPr>
                <w:rFonts w:ascii="Arial Narrow" w:eastAsiaTheme="minorHAnsi" w:hAnsi="Arial Narrow"/>
                <w:i/>
                <w:sz w:val="18"/>
                <w:szCs w:val="18"/>
              </w:rPr>
            </w:pPr>
            <w:r w:rsidRPr="002B4AB6">
              <w:rPr>
                <w:rFonts w:ascii="Arial Narrow" w:eastAsiaTheme="minorHAnsi" w:hAnsi="Arial Narrow"/>
                <w:i/>
                <w:sz w:val="18"/>
                <w:szCs w:val="18"/>
              </w:rPr>
              <w:t>Keytruda</w:t>
            </w:r>
          </w:p>
          <w:p w:rsidR="006C4095" w:rsidRPr="002B4AB6" w:rsidRDefault="006C4095" w:rsidP="006C4095">
            <w:pPr>
              <w:rPr>
                <w:rFonts w:ascii="Arial Narrow" w:eastAsiaTheme="minorHAnsi" w:hAnsi="Arial Narrow"/>
                <w:sz w:val="18"/>
                <w:szCs w:val="18"/>
              </w:rPr>
            </w:pPr>
            <w:r w:rsidRPr="002B4AB6">
              <w:rPr>
                <w:rFonts w:ascii="Arial Narrow" w:eastAsiaTheme="minorHAnsi" w:hAnsi="Arial Narrow"/>
                <w:i/>
                <w:sz w:val="18"/>
                <w:szCs w:val="18"/>
              </w:rPr>
              <w:t>(pembrolizumab 50mg powder for injection)</w:t>
            </w:r>
          </w:p>
        </w:tc>
      </w:tr>
    </w:tbl>
    <w:p w:rsidR="006C4095" w:rsidRPr="002B4AB6" w:rsidRDefault="006C4095" w:rsidP="00181533">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6F292D" w:rsidRPr="002B4AB6" w:rsidTr="006F292D">
        <w:tc>
          <w:tcPr>
            <w:tcW w:w="5000" w:type="pct"/>
            <w:tcBorders>
              <w:top w:val="single" w:sz="4" w:space="0" w:color="auto"/>
              <w:left w:val="single" w:sz="4" w:space="0" w:color="auto"/>
              <w:bottom w:val="single" w:sz="4" w:space="0" w:color="auto"/>
              <w:right w:val="single" w:sz="4" w:space="0" w:color="auto"/>
            </w:tcBorders>
          </w:tcPr>
          <w:p w:rsidR="006F292D" w:rsidRPr="002B4AB6" w:rsidRDefault="006F292D" w:rsidP="00D96A47">
            <w:pPr>
              <w:jc w:val="left"/>
              <w:rPr>
                <w:rFonts w:ascii="Arial Narrow" w:hAnsi="Arial Narrow"/>
                <w:b/>
                <w:bCs/>
                <w:color w:val="333333"/>
                <w:sz w:val="18"/>
                <w:szCs w:val="18"/>
              </w:rPr>
            </w:pPr>
            <w:r w:rsidRPr="002B4AB6">
              <w:rPr>
                <w:rFonts w:ascii="Arial Narrow" w:hAnsi="Arial Narrow"/>
                <w:b/>
                <w:sz w:val="18"/>
                <w:szCs w:val="18"/>
              </w:rPr>
              <w:t xml:space="preserve">Category / Program:   </w:t>
            </w:r>
            <w:r w:rsidRPr="002B4AB6">
              <w:rPr>
                <w:rFonts w:ascii="Arial Narrow" w:hAnsi="Arial Narrow"/>
                <w:sz w:val="18"/>
                <w:szCs w:val="18"/>
              </w:rPr>
              <w:t xml:space="preserve">Section 100 – Efficient Funding of Chemotherapy </w:t>
            </w:r>
          </w:p>
        </w:tc>
      </w:tr>
      <w:tr w:rsidR="006F292D" w:rsidRPr="002B4AB6" w:rsidTr="006F292D">
        <w:tc>
          <w:tcPr>
            <w:tcW w:w="5000" w:type="pct"/>
            <w:tcBorders>
              <w:top w:val="single" w:sz="4" w:space="0" w:color="auto"/>
              <w:left w:val="single" w:sz="4" w:space="0" w:color="auto"/>
              <w:bottom w:val="single" w:sz="4" w:space="0" w:color="auto"/>
              <w:right w:val="single" w:sz="4" w:space="0" w:color="auto"/>
            </w:tcBorders>
          </w:tcPr>
          <w:p w:rsidR="006F292D" w:rsidRPr="002B4AB6" w:rsidRDefault="006F292D" w:rsidP="006C4095">
            <w:pPr>
              <w:jc w:val="left"/>
              <w:rPr>
                <w:rFonts w:ascii="Arial Narrow" w:hAnsi="Arial Narrow"/>
                <w:b/>
                <w:bCs/>
                <w:color w:val="333333"/>
                <w:sz w:val="18"/>
                <w:szCs w:val="18"/>
              </w:rPr>
            </w:pPr>
            <w:r w:rsidRPr="002B4AB6">
              <w:rPr>
                <w:rFonts w:ascii="Arial Narrow" w:hAnsi="Arial Narrow"/>
                <w:b/>
                <w:sz w:val="18"/>
                <w:szCs w:val="18"/>
              </w:rPr>
              <w:t xml:space="preserve">Prescriber type:   </w:t>
            </w:r>
            <w:r w:rsidRPr="000829C9">
              <w:rPr>
                <w:rFonts w:ascii="Arial Narrow" w:hAnsi="Arial Narrow"/>
                <w:sz w:val="18"/>
                <w:szCs w:val="18"/>
              </w:rPr>
              <w:fldChar w:fldCharType="begin">
                <w:ffData>
                  <w:name w:val="Check1"/>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0829C9">
              <w:rPr>
                <w:rFonts w:ascii="Arial Narrow" w:hAnsi="Arial Narrow"/>
                <w:sz w:val="18"/>
                <w:szCs w:val="18"/>
              </w:rPr>
              <w:fldChar w:fldCharType="end"/>
            </w:r>
            <w:r w:rsidRPr="002B4AB6">
              <w:rPr>
                <w:rFonts w:ascii="Arial Narrow" w:hAnsi="Arial Narrow"/>
                <w:sz w:val="18"/>
                <w:szCs w:val="18"/>
              </w:rPr>
              <w:t xml:space="preserve">Dental    </w:t>
            </w:r>
            <w:r w:rsidRPr="000829C9">
              <w:rPr>
                <w:rFonts w:ascii="Arial Narrow" w:hAnsi="Arial Narrow"/>
                <w:sz w:val="18"/>
                <w:szCs w:val="18"/>
              </w:rPr>
              <w:fldChar w:fldCharType="begin">
                <w:ffData>
                  <w:name w:val=""/>
                  <w:enabled/>
                  <w:calcOnExit w:val="0"/>
                  <w:checkBox>
                    <w:sizeAuto/>
                    <w:default w:val="1"/>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0829C9">
              <w:rPr>
                <w:rFonts w:ascii="Arial Narrow" w:hAnsi="Arial Narrow"/>
                <w:sz w:val="18"/>
                <w:szCs w:val="18"/>
              </w:rPr>
              <w:fldChar w:fldCharType="end"/>
            </w:r>
            <w:r w:rsidRPr="002B4AB6">
              <w:rPr>
                <w:rFonts w:ascii="Arial Narrow" w:hAnsi="Arial Narrow"/>
                <w:sz w:val="18"/>
                <w:szCs w:val="18"/>
              </w:rPr>
              <w:t xml:space="preserve">Medical Practitioners    </w:t>
            </w:r>
            <w:r w:rsidRPr="000829C9">
              <w:rPr>
                <w:rFonts w:ascii="Arial Narrow" w:hAnsi="Arial Narrow"/>
                <w:sz w:val="18"/>
                <w:szCs w:val="18"/>
              </w:rPr>
              <w:fldChar w:fldCharType="begin">
                <w:ffData>
                  <w:name w:val="Check3"/>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0829C9">
              <w:rPr>
                <w:rFonts w:ascii="Arial Narrow" w:hAnsi="Arial Narrow"/>
                <w:sz w:val="18"/>
                <w:szCs w:val="18"/>
              </w:rPr>
              <w:fldChar w:fldCharType="end"/>
            </w:r>
            <w:r w:rsidRPr="002B4AB6">
              <w:rPr>
                <w:rFonts w:ascii="Arial Narrow" w:hAnsi="Arial Narrow"/>
                <w:sz w:val="18"/>
                <w:szCs w:val="18"/>
              </w:rPr>
              <w:t xml:space="preserve">Nurse practitioners     </w:t>
            </w:r>
            <w:r w:rsidRPr="000829C9">
              <w:rPr>
                <w:rFonts w:ascii="Arial Narrow" w:hAnsi="Arial Narrow"/>
                <w:sz w:val="18"/>
                <w:szCs w:val="18"/>
              </w:rPr>
              <w:fldChar w:fldCharType="begin">
                <w:ffData>
                  <w:name w:val=""/>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0829C9">
              <w:rPr>
                <w:rFonts w:ascii="Arial Narrow" w:hAnsi="Arial Narrow"/>
                <w:sz w:val="18"/>
                <w:szCs w:val="18"/>
              </w:rPr>
              <w:fldChar w:fldCharType="end"/>
            </w:r>
            <w:r w:rsidRPr="002B4AB6">
              <w:rPr>
                <w:rFonts w:ascii="Arial Narrow" w:hAnsi="Arial Narrow"/>
                <w:sz w:val="18"/>
                <w:szCs w:val="18"/>
              </w:rPr>
              <w:t xml:space="preserve">Optometrists    </w:t>
            </w:r>
            <w:r w:rsidRPr="000829C9">
              <w:rPr>
                <w:rFonts w:ascii="Arial Narrow" w:hAnsi="Arial Narrow"/>
                <w:sz w:val="18"/>
                <w:szCs w:val="18"/>
              </w:rPr>
              <w:fldChar w:fldCharType="begin">
                <w:ffData>
                  <w:name w:val="Check5"/>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0829C9">
              <w:rPr>
                <w:rFonts w:ascii="Arial Narrow" w:hAnsi="Arial Narrow"/>
                <w:sz w:val="18"/>
                <w:szCs w:val="18"/>
              </w:rPr>
              <w:fldChar w:fldCharType="end"/>
            </w:r>
            <w:r w:rsidRPr="002B4AB6">
              <w:rPr>
                <w:rFonts w:ascii="Arial Narrow" w:hAnsi="Arial Narrow"/>
                <w:sz w:val="18"/>
                <w:szCs w:val="18"/>
              </w:rPr>
              <w:t>Midwives</w:t>
            </w:r>
          </w:p>
        </w:tc>
      </w:tr>
      <w:tr w:rsidR="006F292D" w:rsidRPr="002B4AB6" w:rsidTr="006F292D">
        <w:tc>
          <w:tcPr>
            <w:tcW w:w="5000" w:type="pct"/>
            <w:tcBorders>
              <w:top w:val="single" w:sz="4" w:space="0" w:color="auto"/>
              <w:left w:val="single" w:sz="4" w:space="0" w:color="auto"/>
              <w:bottom w:val="single" w:sz="4" w:space="0" w:color="auto"/>
              <w:right w:val="single" w:sz="4" w:space="0" w:color="auto"/>
            </w:tcBorders>
          </w:tcPr>
          <w:p w:rsidR="006F292D" w:rsidRPr="002B4AB6" w:rsidRDefault="006F292D" w:rsidP="006C4095">
            <w:pPr>
              <w:rPr>
                <w:rFonts w:ascii="Arial Narrow" w:hAnsi="Arial Narrow"/>
                <w:b/>
                <w:sz w:val="18"/>
                <w:szCs w:val="18"/>
              </w:rPr>
            </w:pPr>
            <w:r w:rsidRPr="002B4AB6">
              <w:rPr>
                <w:rFonts w:ascii="Arial Narrow" w:hAnsi="Arial Narrow"/>
                <w:b/>
                <w:sz w:val="18"/>
                <w:szCs w:val="18"/>
              </w:rPr>
              <w:t>Restriction Level / Method:</w:t>
            </w:r>
          </w:p>
          <w:p w:rsidR="006F292D" w:rsidRPr="002B4AB6" w:rsidRDefault="006F292D" w:rsidP="006C4095">
            <w:pPr>
              <w:rPr>
                <w:rFonts w:ascii="Arial Narrow" w:hAnsi="Arial Narrow"/>
                <w:sz w:val="18"/>
                <w:szCs w:val="18"/>
              </w:rPr>
            </w:pPr>
            <w:r w:rsidRPr="000829C9">
              <w:rPr>
                <w:rFonts w:ascii="Arial Narrow" w:hAnsi="Arial Narrow"/>
                <w:sz w:val="18"/>
                <w:szCs w:val="18"/>
              </w:rPr>
              <w:fldChar w:fldCharType="begin">
                <w:ffData>
                  <w:name w:val="Check1"/>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0829C9">
              <w:rPr>
                <w:rFonts w:ascii="Arial Narrow" w:hAnsi="Arial Narrow"/>
                <w:sz w:val="18"/>
                <w:szCs w:val="18"/>
              </w:rPr>
              <w:fldChar w:fldCharType="end"/>
            </w:r>
            <w:r w:rsidRPr="002B4AB6">
              <w:rPr>
                <w:rFonts w:ascii="Arial Narrow" w:hAnsi="Arial Narrow"/>
                <w:sz w:val="18"/>
                <w:szCs w:val="18"/>
              </w:rPr>
              <w:t>Unrestricted benefit</w:t>
            </w:r>
          </w:p>
          <w:p w:rsidR="006F292D" w:rsidRPr="002B4AB6" w:rsidRDefault="006F292D" w:rsidP="006C4095">
            <w:pPr>
              <w:rPr>
                <w:rFonts w:ascii="Arial Narrow" w:hAnsi="Arial Narrow"/>
                <w:sz w:val="18"/>
                <w:szCs w:val="18"/>
              </w:rPr>
            </w:pPr>
            <w:r w:rsidRPr="000829C9">
              <w:rPr>
                <w:rFonts w:ascii="Arial Narrow" w:hAnsi="Arial Narrow"/>
                <w:sz w:val="18"/>
                <w:szCs w:val="18"/>
              </w:rPr>
              <w:fldChar w:fldCharType="begin">
                <w:ffData>
                  <w:name w:val="Check1"/>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0829C9">
              <w:rPr>
                <w:rFonts w:ascii="Arial Narrow" w:hAnsi="Arial Narrow"/>
                <w:sz w:val="18"/>
                <w:szCs w:val="18"/>
              </w:rPr>
              <w:fldChar w:fldCharType="end"/>
            </w:r>
            <w:r w:rsidRPr="002B4AB6">
              <w:rPr>
                <w:rFonts w:ascii="Arial Narrow" w:hAnsi="Arial Narrow"/>
                <w:sz w:val="18"/>
                <w:szCs w:val="18"/>
              </w:rPr>
              <w:t>Restricted benefit</w:t>
            </w:r>
          </w:p>
          <w:p w:rsidR="006F292D" w:rsidRPr="002B4AB6" w:rsidRDefault="006F292D" w:rsidP="006C4095">
            <w:pPr>
              <w:rPr>
                <w:rFonts w:ascii="Arial Narrow" w:hAnsi="Arial Narrow"/>
                <w:sz w:val="18"/>
                <w:szCs w:val="18"/>
              </w:rPr>
            </w:pPr>
            <w:r w:rsidRPr="000829C9">
              <w:rPr>
                <w:rFonts w:ascii="Arial Narrow" w:hAnsi="Arial Narrow"/>
                <w:sz w:val="18"/>
                <w:szCs w:val="18"/>
              </w:rPr>
              <w:fldChar w:fldCharType="begin">
                <w:ffData>
                  <w:name w:val=""/>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0829C9">
              <w:rPr>
                <w:rFonts w:ascii="Arial Narrow" w:hAnsi="Arial Narrow"/>
                <w:sz w:val="18"/>
                <w:szCs w:val="18"/>
              </w:rPr>
              <w:fldChar w:fldCharType="end"/>
            </w:r>
            <w:r w:rsidRPr="002B4AB6">
              <w:rPr>
                <w:rFonts w:ascii="Arial Narrow" w:hAnsi="Arial Narrow"/>
                <w:sz w:val="18"/>
                <w:szCs w:val="18"/>
              </w:rPr>
              <w:t>Authority Required – In Writing</w:t>
            </w:r>
          </w:p>
          <w:p w:rsidR="006F292D" w:rsidRPr="002B4AB6" w:rsidRDefault="006F292D" w:rsidP="006C4095">
            <w:pPr>
              <w:rPr>
                <w:rFonts w:ascii="Arial Narrow" w:hAnsi="Arial Narrow"/>
                <w:sz w:val="18"/>
                <w:szCs w:val="18"/>
              </w:rPr>
            </w:pPr>
            <w:r w:rsidRPr="000829C9">
              <w:rPr>
                <w:rFonts w:ascii="Arial Narrow" w:hAnsi="Arial Narrow"/>
                <w:sz w:val="18"/>
                <w:szCs w:val="18"/>
              </w:rPr>
              <w:fldChar w:fldCharType="begin">
                <w:ffData>
                  <w:name w:val=""/>
                  <w:enabled/>
                  <w:calcOnExit w:val="0"/>
                  <w:checkBox>
                    <w:sizeAuto/>
                    <w:default w:val="1"/>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0829C9">
              <w:rPr>
                <w:rFonts w:ascii="Arial Narrow" w:hAnsi="Arial Narrow"/>
                <w:sz w:val="18"/>
                <w:szCs w:val="18"/>
              </w:rPr>
              <w:fldChar w:fldCharType="end"/>
            </w:r>
            <w:r w:rsidRPr="002B4AB6">
              <w:rPr>
                <w:rFonts w:ascii="Arial Narrow" w:hAnsi="Arial Narrow"/>
                <w:sz w:val="18"/>
                <w:szCs w:val="18"/>
              </w:rPr>
              <w:t>Authority Required – Telephone/Electronic/Emergency</w:t>
            </w:r>
          </w:p>
          <w:p w:rsidR="006F292D" w:rsidRPr="002B4AB6" w:rsidRDefault="006F292D" w:rsidP="006C4095">
            <w:pPr>
              <w:jc w:val="left"/>
              <w:rPr>
                <w:rFonts w:ascii="Arial Narrow" w:hAnsi="Arial Narrow"/>
                <w:b/>
                <w:bCs/>
                <w:color w:val="333333"/>
                <w:sz w:val="18"/>
                <w:szCs w:val="18"/>
              </w:rPr>
            </w:pPr>
            <w:r w:rsidRPr="000829C9">
              <w:rPr>
                <w:rFonts w:ascii="Arial Narrow" w:hAnsi="Arial Narrow"/>
                <w:sz w:val="18"/>
                <w:szCs w:val="18"/>
              </w:rPr>
              <w:fldChar w:fldCharType="begin">
                <w:ffData>
                  <w:name w:val=""/>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0829C9">
              <w:rPr>
                <w:rFonts w:ascii="Arial Narrow" w:hAnsi="Arial Narrow"/>
                <w:sz w:val="18"/>
                <w:szCs w:val="18"/>
              </w:rPr>
              <w:fldChar w:fldCharType="end"/>
            </w:r>
            <w:r w:rsidRPr="002B4AB6">
              <w:rPr>
                <w:rFonts w:ascii="Arial Narrow" w:hAnsi="Arial Narrow"/>
                <w:sz w:val="18"/>
                <w:szCs w:val="18"/>
              </w:rPr>
              <w:t>Authority Required – Streamlined</w:t>
            </w:r>
          </w:p>
        </w:tc>
      </w:tr>
      <w:tr w:rsidR="006F292D" w:rsidRPr="002B4AB6" w:rsidTr="006F292D">
        <w:tc>
          <w:tcPr>
            <w:tcW w:w="5000" w:type="pct"/>
            <w:vAlign w:val="center"/>
          </w:tcPr>
          <w:p w:rsidR="006F292D" w:rsidRPr="002B4AB6" w:rsidRDefault="006F292D" w:rsidP="006C4095">
            <w:pPr>
              <w:jc w:val="left"/>
              <w:rPr>
                <w:rFonts w:ascii="Arial Narrow" w:hAnsi="Arial Narrow"/>
                <w:b/>
                <w:bCs/>
                <w:color w:val="333333"/>
                <w:sz w:val="18"/>
                <w:szCs w:val="18"/>
              </w:rPr>
            </w:pPr>
            <w:r w:rsidRPr="002B4AB6">
              <w:rPr>
                <w:rFonts w:ascii="Arial Narrow" w:hAnsi="Arial Narrow"/>
                <w:b/>
                <w:bCs/>
                <w:color w:val="333333"/>
                <w:sz w:val="18"/>
                <w:szCs w:val="18"/>
              </w:rPr>
              <w:t>Administrative Advice:</w:t>
            </w:r>
            <w:r w:rsidRPr="002B4AB6">
              <w:rPr>
                <w:rFonts w:ascii="Arial Narrow" w:hAnsi="Arial Narrow"/>
                <w:color w:val="333333"/>
                <w:sz w:val="18"/>
                <w:szCs w:val="18"/>
              </w:rPr>
              <w:t xml:space="preserve"> No increase in the maximum quantity or number of units may be authorised.</w:t>
            </w:r>
          </w:p>
        </w:tc>
      </w:tr>
      <w:tr w:rsidR="006F292D" w:rsidRPr="002B4AB6" w:rsidTr="006F292D">
        <w:tc>
          <w:tcPr>
            <w:tcW w:w="5000" w:type="pct"/>
            <w:vAlign w:val="center"/>
          </w:tcPr>
          <w:p w:rsidR="006F292D" w:rsidRPr="002B4AB6" w:rsidRDefault="006F292D" w:rsidP="006C4095">
            <w:pPr>
              <w:jc w:val="left"/>
              <w:rPr>
                <w:rFonts w:ascii="Arial Narrow" w:hAnsi="Arial Narrow"/>
                <w:b/>
                <w:bCs/>
                <w:color w:val="333333"/>
                <w:sz w:val="18"/>
                <w:szCs w:val="18"/>
              </w:rPr>
            </w:pPr>
            <w:r w:rsidRPr="002B4AB6">
              <w:rPr>
                <w:rFonts w:ascii="Arial Narrow" w:hAnsi="Arial Narrow"/>
                <w:b/>
                <w:bCs/>
                <w:color w:val="333333"/>
                <w:sz w:val="18"/>
                <w:szCs w:val="18"/>
              </w:rPr>
              <w:t>Administrative Advice:</w:t>
            </w:r>
            <w:r w:rsidRPr="002B4AB6">
              <w:rPr>
                <w:rFonts w:ascii="Arial Narrow" w:hAnsi="Arial Narrow"/>
                <w:color w:val="333333"/>
                <w:sz w:val="18"/>
                <w:szCs w:val="18"/>
              </w:rPr>
              <w:t xml:space="preserve"> No increase in the maximum number of repeats may be authorised.</w:t>
            </w:r>
          </w:p>
        </w:tc>
      </w:tr>
      <w:tr w:rsidR="006F292D" w:rsidRPr="002B4AB6" w:rsidTr="006F292D">
        <w:tc>
          <w:tcPr>
            <w:tcW w:w="5000" w:type="pct"/>
            <w:vAlign w:val="center"/>
          </w:tcPr>
          <w:p w:rsidR="006F292D" w:rsidRPr="002B4AB6" w:rsidRDefault="006F292D" w:rsidP="006C4095">
            <w:pPr>
              <w:jc w:val="left"/>
              <w:rPr>
                <w:rFonts w:ascii="Arial Narrow" w:hAnsi="Arial Narrow"/>
                <w:b/>
                <w:bCs/>
                <w:color w:val="333333"/>
                <w:sz w:val="18"/>
                <w:szCs w:val="18"/>
              </w:rPr>
            </w:pPr>
            <w:r w:rsidRPr="002B4AB6">
              <w:rPr>
                <w:rFonts w:ascii="Arial Narrow" w:hAnsi="Arial Narrow"/>
                <w:b/>
                <w:bCs/>
                <w:color w:val="333333"/>
                <w:sz w:val="18"/>
                <w:szCs w:val="18"/>
              </w:rPr>
              <w:t>Administrative Advice:</w:t>
            </w:r>
            <w:r w:rsidRPr="002B4AB6">
              <w:rPr>
                <w:rFonts w:ascii="Arial Narrow" w:hAnsi="Arial Narrow"/>
                <w:color w:val="333333"/>
                <w:sz w:val="18"/>
                <w:szCs w:val="18"/>
              </w:rPr>
              <w:t xml:space="preserve"> Special Pricing Arrangements apply.</w:t>
            </w:r>
          </w:p>
        </w:tc>
      </w:tr>
      <w:tr w:rsidR="006F292D" w:rsidRPr="002B4AB6" w:rsidTr="006F292D">
        <w:tc>
          <w:tcPr>
            <w:tcW w:w="5000" w:type="pct"/>
            <w:tcBorders>
              <w:bottom w:val="single" w:sz="4" w:space="0" w:color="auto"/>
            </w:tcBorders>
            <w:vAlign w:val="center"/>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Administrative Advice:</w:t>
            </w:r>
            <w:r w:rsidRPr="002B4AB6">
              <w:rPr>
                <w:rFonts w:ascii="Arial Narrow" w:hAnsi="Arial Narrow"/>
                <w:color w:val="333333"/>
                <w:sz w:val="18"/>
                <w:szCs w:val="18"/>
              </w:rPr>
              <w:t xml:space="preserve"> </w:t>
            </w:r>
          </w:p>
          <w:p w:rsidR="006F292D" w:rsidRPr="002B4AB6" w:rsidRDefault="006F292D" w:rsidP="006C4095">
            <w:pPr>
              <w:jc w:val="left"/>
              <w:rPr>
                <w:rFonts w:ascii="Arial Narrow" w:hAnsi="Arial Narrow"/>
                <w:b/>
                <w:bCs/>
                <w:i/>
                <w:color w:val="333333"/>
                <w:sz w:val="18"/>
                <w:szCs w:val="18"/>
              </w:rPr>
            </w:pPr>
            <w:r w:rsidRPr="002B4AB6">
              <w:rPr>
                <w:rFonts w:ascii="Arial Narrow" w:hAnsi="Arial Narrow"/>
                <w:i/>
                <w:color w:val="333333"/>
                <w:sz w:val="18"/>
                <w:szCs w:val="18"/>
              </w:rPr>
              <w:t>Patient should be treated with the recommended dose of pembrolizumab according to the TGA-approved Product Information.</w:t>
            </w:r>
          </w:p>
        </w:tc>
      </w:tr>
      <w:tr w:rsidR="006F292D" w:rsidRPr="002B4AB6" w:rsidTr="006F292D">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 xml:space="preserve">Episodicity: </w:t>
            </w:r>
            <w:r w:rsidRPr="002B4AB6">
              <w:rPr>
                <w:rFonts w:ascii="Arial Narrow" w:hAnsi="Arial Narrow"/>
                <w:bCs/>
                <w:color w:val="333333"/>
                <w:sz w:val="18"/>
                <w:szCs w:val="18"/>
              </w:rPr>
              <w:t>Relapsed or refractory</w:t>
            </w:r>
          </w:p>
        </w:tc>
      </w:tr>
      <w:tr w:rsidR="006F292D" w:rsidRPr="002B4AB6" w:rsidTr="006F292D">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 xml:space="preserve">Severity: </w:t>
            </w:r>
            <w:r w:rsidRPr="002B4AB6">
              <w:rPr>
                <w:rFonts w:ascii="Arial Narrow" w:hAnsi="Arial Narrow"/>
                <w:bCs/>
                <w:color w:val="333333"/>
                <w:sz w:val="18"/>
                <w:szCs w:val="18"/>
              </w:rPr>
              <w:t>[nil]</w:t>
            </w:r>
          </w:p>
        </w:tc>
      </w:tr>
      <w:tr w:rsidR="006F292D" w:rsidRPr="002B4AB6" w:rsidTr="006F292D">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 xml:space="preserve">Condition: </w:t>
            </w:r>
            <w:r w:rsidRPr="002B4AB6">
              <w:rPr>
                <w:rFonts w:ascii="Arial Narrow" w:hAnsi="Arial Narrow"/>
                <w:bCs/>
                <w:color w:val="333333"/>
                <w:sz w:val="18"/>
                <w:szCs w:val="18"/>
              </w:rPr>
              <w:t>primary mediastinal B-Cell lymphoma</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Indication:</w:t>
            </w:r>
            <w:r w:rsidRPr="002B4AB6">
              <w:rPr>
                <w:rFonts w:ascii="Arial Narrow" w:hAnsi="Arial Narrow"/>
                <w:color w:val="333333"/>
                <w:sz w:val="18"/>
                <w:szCs w:val="18"/>
              </w:rPr>
              <w:t xml:space="preserve"> Relapsed or refractory mediastinal B-Cell lymphoma</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Treatment Phase:</w:t>
            </w:r>
            <w:r w:rsidRPr="002B4AB6">
              <w:rPr>
                <w:rFonts w:ascii="Arial Narrow" w:hAnsi="Arial Narrow"/>
                <w:color w:val="333333"/>
                <w:sz w:val="18"/>
                <w:szCs w:val="18"/>
              </w:rPr>
              <w:t xml:space="preserve"> Continuing treatment</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Clinical criteria:</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color w:val="333333"/>
                <w:sz w:val="18"/>
                <w:szCs w:val="18"/>
              </w:rPr>
              <w:t>Patient must have previously received PBS-subsidised treatment with this drug for this condition</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AND</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Clinical criteria:</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color w:val="333333"/>
                <w:sz w:val="18"/>
                <w:szCs w:val="18"/>
              </w:rPr>
              <w:t>Patient must not develop disease progression while receiving PBS-subsidised treatment with this drug for this condition</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AND</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b/>
                <w:bCs/>
                <w:strike/>
                <w:color w:val="333333"/>
                <w:sz w:val="18"/>
                <w:szCs w:val="18"/>
              </w:rPr>
            </w:pPr>
            <w:r w:rsidRPr="002B4AB6">
              <w:rPr>
                <w:rFonts w:ascii="Arial Narrow" w:hAnsi="Arial Narrow"/>
                <w:b/>
                <w:bCs/>
                <w:strike/>
                <w:color w:val="333333"/>
                <w:sz w:val="18"/>
                <w:szCs w:val="18"/>
              </w:rPr>
              <w:t>Prescriber instructions:</w:t>
            </w:r>
          </w:p>
          <w:p w:rsidR="006F292D" w:rsidRPr="002B4AB6" w:rsidRDefault="006F292D" w:rsidP="006C4095">
            <w:pPr>
              <w:jc w:val="left"/>
              <w:rPr>
                <w:rFonts w:ascii="Arial Narrow" w:hAnsi="Arial Narrow"/>
                <w:i/>
                <w:color w:val="333333"/>
                <w:sz w:val="18"/>
                <w:szCs w:val="18"/>
              </w:rPr>
            </w:pPr>
            <w:r w:rsidRPr="002B4AB6">
              <w:rPr>
                <w:rFonts w:ascii="Arial Narrow" w:hAnsi="Arial Narrow"/>
                <w:b/>
                <w:bCs/>
                <w:i/>
                <w:color w:val="333333"/>
                <w:sz w:val="18"/>
                <w:szCs w:val="18"/>
              </w:rPr>
              <w:t>Clinical criteria:</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color w:val="333333"/>
                <w:sz w:val="18"/>
                <w:szCs w:val="18"/>
              </w:rPr>
              <w:t>The treatment must not exceed a total of 35 cycles in a lifetime</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b/>
                <w:bCs/>
                <w:strike/>
                <w:color w:val="333333"/>
                <w:sz w:val="18"/>
                <w:szCs w:val="18"/>
              </w:rPr>
            </w:pPr>
            <w:r w:rsidRPr="002B4AB6">
              <w:rPr>
                <w:rFonts w:ascii="Arial Narrow" w:hAnsi="Arial Narrow"/>
                <w:b/>
                <w:bCs/>
                <w:strike/>
                <w:color w:val="333333"/>
                <w:sz w:val="18"/>
                <w:szCs w:val="18"/>
              </w:rPr>
              <w:t>Prescriber instructions:</w:t>
            </w:r>
          </w:p>
          <w:p w:rsidR="006F292D" w:rsidRPr="002B4AB6" w:rsidRDefault="006F292D" w:rsidP="006C4095">
            <w:pPr>
              <w:jc w:val="left"/>
              <w:rPr>
                <w:rFonts w:ascii="Arial Narrow" w:hAnsi="Arial Narrow"/>
                <w:i/>
                <w:color w:val="333333"/>
                <w:sz w:val="18"/>
                <w:szCs w:val="18"/>
              </w:rPr>
            </w:pPr>
            <w:r w:rsidRPr="002B4AB6">
              <w:rPr>
                <w:rFonts w:ascii="Arial Narrow" w:hAnsi="Arial Narrow"/>
                <w:b/>
                <w:bCs/>
                <w:i/>
                <w:color w:val="333333"/>
                <w:sz w:val="18"/>
                <w:szCs w:val="18"/>
              </w:rPr>
              <w:t>Administrative Advice:</w:t>
            </w:r>
          </w:p>
          <w:p w:rsidR="006F292D" w:rsidRPr="002B4AB6" w:rsidRDefault="006F292D" w:rsidP="006C4095">
            <w:pPr>
              <w:jc w:val="left"/>
              <w:rPr>
                <w:rFonts w:ascii="Arial Narrow" w:hAnsi="Arial Narrow"/>
                <w:color w:val="333333"/>
                <w:sz w:val="18"/>
                <w:szCs w:val="18"/>
              </w:rPr>
            </w:pPr>
            <w:r w:rsidRPr="002B4AB6">
              <w:rPr>
                <w:rFonts w:ascii="Arial Narrow" w:hAnsi="Arial Narrow"/>
                <w:color w:val="333333"/>
                <w:sz w:val="18"/>
                <w:szCs w:val="18"/>
              </w:rPr>
              <w:t>Authority applications for continuing treatment may be made by telephone to the Department of Human Services on 1800 700 270 (hours of operation 8 a.m. to 5 p.m. EST Monday to Friday).</w:t>
            </w:r>
          </w:p>
        </w:tc>
      </w:tr>
    </w:tbl>
    <w:p w:rsidR="0090284A" w:rsidRPr="002B4AB6" w:rsidRDefault="0090284A" w:rsidP="0090284A">
      <w:pPr>
        <w:rPr>
          <w:rStyle w:val="TableFigureFooterChar"/>
        </w:rPr>
      </w:pPr>
      <w:r w:rsidRPr="002B4AB6">
        <w:rPr>
          <w:rStyle w:val="TableFigureFooterChar"/>
          <w:i/>
          <w:vertAlign w:val="superscript"/>
        </w:rPr>
        <w:t xml:space="preserve">a </w:t>
      </w:r>
      <w:r w:rsidRPr="002B4AB6">
        <w:rPr>
          <w:rStyle w:val="TableFigureFooterChar"/>
          <w:i/>
        </w:rPr>
        <w:t>The published prices were taken from the 1 January 2020 PBS update for the Efficient Funding of Chemotherapy Supplement</w:t>
      </w:r>
      <w:r w:rsidRPr="002B4AB6">
        <w:rPr>
          <w:rStyle w:val="TableFigureFooterChar"/>
        </w:rPr>
        <w:t>.</w:t>
      </w:r>
    </w:p>
    <w:p w:rsidR="0090284A" w:rsidRPr="002B4AB6" w:rsidRDefault="0090284A" w:rsidP="0090284A">
      <w:pPr>
        <w:pStyle w:val="TableFooter"/>
        <w:rPr>
          <w:i/>
        </w:rPr>
      </w:pPr>
      <w:r w:rsidRPr="002B4AB6">
        <w:rPr>
          <w:rStyle w:val="TableFigureFooterChar"/>
          <w:i/>
          <w:vertAlign w:val="superscript"/>
        </w:rPr>
        <w:t>b</w:t>
      </w:r>
      <w:r w:rsidRPr="002B4AB6">
        <w:rPr>
          <w:i/>
          <w:vertAlign w:val="superscript"/>
        </w:rPr>
        <w:t xml:space="preserve"> </w:t>
      </w:r>
      <w:r w:rsidRPr="002B4AB6">
        <w:rPr>
          <w:i/>
        </w:rPr>
        <w:t>Prices do not include additional compound fee where compounding was undertaken at a TGA-licensed compounding site ($20).</w:t>
      </w:r>
    </w:p>
    <w:p w:rsidR="0090284A" w:rsidRPr="002B4AB6" w:rsidRDefault="0090284A" w:rsidP="00181533">
      <w:pPr>
        <w:pStyle w:val="TableText0"/>
      </w:pPr>
    </w:p>
    <w:p w:rsidR="006C4095" w:rsidRPr="002B4AB6" w:rsidRDefault="006C4095" w:rsidP="00181533">
      <w:pPr>
        <w:pStyle w:val="TableTex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6F292D" w:rsidRPr="002B4AB6" w:rsidTr="006F292D">
        <w:tc>
          <w:tcPr>
            <w:tcW w:w="5000" w:type="pct"/>
            <w:tcBorders>
              <w:top w:val="single" w:sz="4" w:space="0" w:color="auto"/>
              <w:left w:val="single" w:sz="4" w:space="0" w:color="auto"/>
              <w:bottom w:val="single" w:sz="4" w:space="0" w:color="auto"/>
              <w:right w:val="single" w:sz="4" w:space="0" w:color="auto"/>
            </w:tcBorders>
          </w:tcPr>
          <w:p w:rsidR="006F292D" w:rsidRPr="002B4AB6" w:rsidRDefault="006F292D" w:rsidP="00D96A47">
            <w:pPr>
              <w:rPr>
                <w:rFonts w:ascii="Arial Narrow" w:hAnsi="Arial Narrow"/>
                <w:sz w:val="18"/>
                <w:szCs w:val="18"/>
              </w:rPr>
            </w:pPr>
            <w:r w:rsidRPr="002B4AB6">
              <w:rPr>
                <w:rFonts w:ascii="Arial Narrow" w:hAnsi="Arial Narrow"/>
                <w:b/>
                <w:sz w:val="18"/>
                <w:szCs w:val="18"/>
              </w:rPr>
              <w:t xml:space="preserve">Category / Program:   </w:t>
            </w:r>
            <w:r w:rsidRPr="002B4AB6">
              <w:rPr>
                <w:rFonts w:ascii="Arial Narrow" w:hAnsi="Arial Narrow"/>
                <w:sz w:val="18"/>
                <w:szCs w:val="18"/>
              </w:rPr>
              <w:t xml:space="preserve">Section 100 – Efficient Funding of Chemotherapy </w:t>
            </w:r>
          </w:p>
        </w:tc>
      </w:tr>
      <w:tr w:rsidR="006F292D" w:rsidRPr="002B4AB6" w:rsidTr="006F292D">
        <w:tc>
          <w:tcPr>
            <w:tcW w:w="5000" w:type="pct"/>
            <w:tcBorders>
              <w:top w:val="single" w:sz="4" w:space="0" w:color="auto"/>
              <w:left w:val="single" w:sz="4" w:space="0" w:color="auto"/>
              <w:bottom w:val="single" w:sz="4" w:space="0" w:color="auto"/>
              <w:right w:val="single" w:sz="4" w:space="0" w:color="auto"/>
            </w:tcBorders>
          </w:tcPr>
          <w:p w:rsidR="006F292D" w:rsidRPr="002B4AB6" w:rsidRDefault="006F292D" w:rsidP="006C4095">
            <w:pPr>
              <w:jc w:val="left"/>
              <w:rPr>
                <w:rFonts w:ascii="Arial Narrow" w:hAnsi="Arial Narrow"/>
                <w:b/>
                <w:bCs/>
                <w:color w:val="333333"/>
                <w:sz w:val="18"/>
                <w:szCs w:val="18"/>
              </w:rPr>
            </w:pPr>
            <w:r w:rsidRPr="002B4AB6">
              <w:rPr>
                <w:rFonts w:ascii="Arial Narrow" w:hAnsi="Arial Narrow"/>
                <w:b/>
                <w:sz w:val="18"/>
                <w:szCs w:val="18"/>
              </w:rPr>
              <w:lastRenderedPageBreak/>
              <w:t xml:space="preserve">Prescriber type:   </w:t>
            </w:r>
            <w:r w:rsidRPr="000829C9">
              <w:rPr>
                <w:rFonts w:ascii="Arial Narrow" w:hAnsi="Arial Narrow"/>
                <w:sz w:val="18"/>
                <w:szCs w:val="18"/>
              </w:rPr>
              <w:fldChar w:fldCharType="begin">
                <w:ffData>
                  <w:name w:val="Check1"/>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0829C9">
              <w:rPr>
                <w:rFonts w:ascii="Arial Narrow" w:hAnsi="Arial Narrow"/>
                <w:sz w:val="18"/>
                <w:szCs w:val="18"/>
              </w:rPr>
              <w:fldChar w:fldCharType="end"/>
            </w:r>
            <w:r w:rsidRPr="002B4AB6">
              <w:rPr>
                <w:rFonts w:ascii="Arial Narrow" w:hAnsi="Arial Narrow"/>
                <w:sz w:val="18"/>
                <w:szCs w:val="18"/>
              </w:rPr>
              <w:t xml:space="preserve">Dental    </w:t>
            </w:r>
            <w:r w:rsidRPr="000829C9">
              <w:rPr>
                <w:rFonts w:ascii="Arial Narrow" w:hAnsi="Arial Narrow"/>
                <w:sz w:val="18"/>
                <w:szCs w:val="18"/>
              </w:rPr>
              <w:fldChar w:fldCharType="begin">
                <w:ffData>
                  <w:name w:val=""/>
                  <w:enabled/>
                  <w:calcOnExit w:val="0"/>
                  <w:checkBox>
                    <w:sizeAuto/>
                    <w:default w:val="1"/>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0829C9">
              <w:rPr>
                <w:rFonts w:ascii="Arial Narrow" w:hAnsi="Arial Narrow"/>
                <w:sz w:val="18"/>
                <w:szCs w:val="18"/>
              </w:rPr>
              <w:fldChar w:fldCharType="end"/>
            </w:r>
            <w:r w:rsidRPr="002B4AB6">
              <w:rPr>
                <w:rFonts w:ascii="Arial Narrow" w:hAnsi="Arial Narrow"/>
                <w:sz w:val="18"/>
                <w:szCs w:val="18"/>
              </w:rPr>
              <w:t xml:space="preserve">Medical Practitioners    </w:t>
            </w:r>
            <w:r w:rsidRPr="000829C9">
              <w:rPr>
                <w:rFonts w:ascii="Arial Narrow" w:hAnsi="Arial Narrow"/>
                <w:sz w:val="18"/>
                <w:szCs w:val="18"/>
              </w:rPr>
              <w:fldChar w:fldCharType="begin">
                <w:ffData>
                  <w:name w:val="Check3"/>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0829C9">
              <w:rPr>
                <w:rFonts w:ascii="Arial Narrow" w:hAnsi="Arial Narrow"/>
                <w:sz w:val="18"/>
                <w:szCs w:val="18"/>
              </w:rPr>
              <w:fldChar w:fldCharType="end"/>
            </w:r>
            <w:r w:rsidRPr="002B4AB6">
              <w:rPr>
                <w:rFonts w:ascii="Arial Narrow" w:hAnsi="Arial Narrow"/>
                <w:sz w:val="18"/>
                <w:szCs w:val="18"/>
              </w:rPr>
              <w:t xml:space="preserve">Nurse practitioners     </w:t>
            </w:r>
            <w:r w:rsidRPr="000829C9">
              <w:rPr>
                <w:rFonts w:ascii="Arial Narrow" w:hAnsi="Arial Narrow"/>
                <w:sz w:val="18"/>
                <w:szCs w:val="18"/>
              </w:rPr>
              <w:fldChar w:fldCharType="begin">
                <w:ffData>
                  <w:name w:val=""/>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0829C9">
              <w:rPr>
                <w:rFonts w:ascii="Arial Narrow" w:hAnsi="Arial Narrow"/>
                <w:sz w:val="18"/>
                <w:szCs w:val="18"/>
              </w:rPr>
              <w:fldChar w:fldCharType="end"/>
            </w:r>
            <w:r w:rsidRPr="002B4AB6">
              <w:rPr>
                <w:rFonts w:ascii="Arial Narrow" w:hAnsi="Arial Narrow"/>
                <w:sz w:val="18"/>
                <w:szCs w:val="18"/>
              </w:rPr>
              <w:t xml:space="preserve">Optometrists    </w:t>
            </w:r>
            <w:r w:rsidRPr="000829C9">
              <w:rPr>
                <w:rFonts w:ascii="Arial Narrow" w:hAnsi="Arial Narrow"/>
                <w:sz w:val="18"/>
                <w:szCs w:val="18"/>
              </w:rPr>
              <w:fldChar w:fldCharType="begin">
                <w:ffData>
                  <w:name w:val="Check5"/>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0829C9">
              <w:rPr>
                <w:rFonts w:ascii="Arial Narrow" w:hAnsi="Arial Narrow"/>
                <w:sz w:val="18"/>
                <w:szCs w:val="18"/>
              </w:rPr>
              <w:fldChar w:fldCharType="end"/>
            </w:r>
            <w:r w:rsidRPr="002B4AB6">
              <w:rPr>
                <w:rFonts w:ascii="Arial Narrow" w:hAnsi="Arial Narrow"/>
                <w:sz w:val="18"/>
                <w:szCs w:val="18"/>
              </w:rPr>
              <w:t>Midwives</w:t>
            </w:r>
          </w:p>
        </w:tc>
      </w:tr>
      <w:tr w:rsidR="006F292D" w:rsidRPr="002B4AB6" w:rsidTr="006F292D">
        <w:tc>
          <w:tcPr>
            <w:tcW w:w="5000" w:type="pct"/>
            <w:tcBorders>
              <w:top w:val="single" w:sz="4" w:space="0" w:color="auto"/>
              <w:left w:val="single" w:sz="4" w:space="0" w:color="auto"/>
              <w:bottom w:val="single" w:sz="4" w:space="0" w:color="auto"/>
              <w:right w:val="single" w:sz="4" w:space="0" w:color="auto"/>
            </w:tcBorders>
          </w:tcPr>
          <w:p w:rsidR="006F292D" w:rsidRPr="002B4AB6" w:rsidRDefault="006F292D" w:rsidP="006C4095">
            <w:pPr>
              <w:rPr>
                <w:rFonts w:ascii="Arial Narrow" w:hAnsi="Arial Narrow"/>
                <w:b/>
                <w:sz w:val="18"/>
                <w:szCs w:val="18"/>
              </w:rPr>
            </w:pPr>
            <w:r w:rsidRPr="002B4AB6">
              <w:rPr>
                <w:rFonts w:ascii="Arial Narrow" w:hAnsi="Arial Narrow"/>
                <w:b/>
                <w:sz w:val="18"/>
                <w:szCs w:val="18"/>
              </w:rPr>
              <w:t>Restriction Level / Method:</w:t>
            </w:r>
          </w:p>
          <w:p w:rsidR="006F292D" w:rsidRPr="002B4AB6" w:rsidRDefault="006F292D" w:rsidP="006C4095">
            <w:pPr>
              <w:rPr>
                <w:rFonts w:ascii="Arial Narrow" w:hAnsi="Arial Narrow"/>
                <w:sz w:val="18"/>
                <w:szCs w:val="18"/>
              </w:rPr>
            </w:pPr>
            <w:r w:rsidRPr="000829C9">
              <w:rPr>
                <w:rFonts w:ascii="Arial Narrow" w:hAnsi="Arial Narrow"/>
                <w:sz w:val="18"/>
                <w:szCs w:val="18"/>
              </w:rPr>
              <w:fldChar w:fldCharType="begin">
                <w:ffData>
                  <w:name w:val="Check1"/>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0829C9">
              <w:rPr>
                <w:rFonts w:ascii="Arial Narrow" w:hAnsi="Arial Narrow"/>
                <w:sz w:val="18"/>
                <w:szCs w:val="18"/>
              </w:rPr>
              <w:fldChar w:fldCharType="end"/>
            </w:r>
            <w:r w:rsidRPr="002B4AB6">
              <w:rPr>
                <w:rFonts w:ascii="Arial Narrow" w:hAnsi="Arial Narrow"/>
                <w:sz w:val="18"/>
                <w:szCs w:val="18"/>
              </w:rPr>
              <w:t>Unrestricted benefit</w:t>
            </w:r>
          </w:p>
          <w:p w:rsidR="006F292D" w:rsidRPr="002B4AB6" w:rsidRDefault="006F292D" w:rsidP="006C4095">
            <w:pPr>
              <w:rPr>
                <w:rFonts w:ascii="Arial Narrow" w:hAnsi="Arial Narrow"/>
                <w:sz w:val="18"/>
                <w:szCs w:val="18"/>
              </w:rPr>
            </w:pPr>
            <w:r w:rsidRPr="000829C9">
              <w:rPr>
                <w:rFonts w:ascii="Arial Narrow" w:hAnsi="Arial Narrow"/>
                <w:sz w:val="18"/>
                <w:szCs w:val="18"/>
              </w:rPr>
              <w:fldChar w:fldCharType="begin">
                <w:ffData>
                  <w:name w:val="Check1"/>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0829C9">
              <w:rPr>
                <w:rFonts w:ascii="Arial Narrow" w:hAnsi="Arial Narrow"/>
                <w:sz w:val="18"/>
                <w:szCs w:val="18"/>
              </w:rPr>
              <w:fldChar w:fldCharType="end"/>
            </w:r>
            <w:r w:rsidRPr="002B4AB6">
              <w:rPr>
                <w:rFonts w:ascii="Arial Narrow" w:hAnsi="Arial Narrow"/>
                <w:sz w:val="18"/>
                <w:szCs w:val="18"/>
              </w:rPr>
              <w:t>Restricted benefit</w:t>
            </w:r>
          </w:p>
          <w:p w:rsidR="006F292D" w:rsidRPr="002B4AB6" w:rsidRDefault="006F292D" w:rsidP="006C4095">
            <w:pPr>
              <w:rPr>
                <w:rFonts w:ascii="Arial Narrow" w:hAnsi="Arial Narrow"/>
                <w:sz w:val="18"/>
                <w:szCs w:val="18"/>
              </w:rPr>
            </w:pPr>
            <w:r w:rsidRPr="000829C9">
              <w:rPr>
                <w:rFonts w:ascii="Arial Narrow" w:hAnsi="Arial Narrow"/>
                <w:sz w:val="18"/>
                <w:szCs w:val="18"/>
              </w:rPr>
              <w:fldChar w:fldCharType="begin">
                <w:ffData>
                  <w:name w:val=""/>
                  <w:enabled/>
                  <w:calcOnExit w:val="0"/>
                  <w:checkBox>
                    <w:sizeAuto/>
                    <w:default w:val="1"/>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0829C9">
              <w:rPr>
                <w:rFonts w:ascii="Arial Narrow" w:hAnsi="Arial Narrow"/>
                <w:sz w:val="18"/>
                <w:szCs w:val="18"/>
              </w:rPr>
              <w:fldChar w:fldCharType="end"/>
            </w:r>
            <w:r w:rsidRPr="002B4AB6">
              <w:rPr>
                <w:rFonts w:ascii="Arial Narrow" w:hAnsi="Arial Narrow"/>
                <w:sz w:val="18"/>
                <w:szCs w:val="18"/>
              </w:rPr>
              <w:t>Authority Required – In Writing</w:t>
            </w:r>
          </w:p>
          <w:p w:rsidR="006F292D" w:rsidRPr="002B4AB6" w:rsidRDefault="006F292D" w:rsidP="006C4095">
            <w:pPr>
              <w:rPr>
                <w:rFonts w:ascii="Arial Narrow" w:hAnsi="Arial Narrow"/>
                <w:sz w:val="18"/>
                <w:szCs w:val="18"/>
              </w:rPr>
            </w:pPr>
            <w:r w:rsidRPr="000829C9">
              <w:rPr>
                <w:rFonts w:ascii="Arial Narrow" w:hAnsi="Arial Narrow"/>
                <w:sz w:val="18"/>
                <w:szCs w:val="18"/>
              </w:rPr>
              <w:fldChar w:fldCharType="begin">
                <w:ffData>
                  <w:name w:val="Check3"/>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0829C9">
              <w:rPr>
                <w:rFonts w:ascii="Arial Narrow" w:hAnsi="Arial Narrow"/>
                <w:sz w:val="18"/>
                <w:szCs w:val="18"/>
              </w:rPr>
              <w:fldChar w:fldCharType="end"/>
            </w:r>
            <w:r w:rsidRPr="002B4AB6">
              <w:rPr>
                <w:rFonts w:ascii="Arial Narrow" w:hAnsi="Arial Narrow"/>
                <w:sz w:val="18"/>
                <w:szCs w:val="18"/>
              </w:rPr>
              <w:t>Authority Required – Telephone/Electronic/Emergency</w:t>
            </w:r>
          </w:p>
          <w:p w:rsidR="006F292D" w:rsidRPr="002B4AB6" w:rsidRDefault="006F292D" w:rsidP="006C4095">
            <w:pPr>
              <w:jc w:val="left"/>
              <w:rPr>
                <w:rFonts w:ascii="Arial Narrow" w:hAnsi="Arial Narrow"/>
                <w:b/>
                <w:bCs/>
                <w:color w:val="333333"/>
                <w:sz w:val="18"/>
                <w:szCs w:val="18"/>
              </w:rPr>
            </w:pPr>
            <w:r w:rsidRPr="000829C9">
              <w:rPr>
                <w:rFonts w:ascii="Arial Narrow" w:hAnsi="Arial Narrow"/>
                <w:sz w:val="18"/>
                <w:szCs w:val="18"/>
              </w:rPr>
              <w:fldChar w:fldCharType="begin">
                <w:ffData>
                  <w:name w:val=""/>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0829C9">
              <w:rPr>
                <w:rFonts w:ascii="Arial Narrow" w:hAnsi="Arial Narrow"/>
                <w:sz w:val="18"/>
                <w:szCs w:val="18"/>
              </w:rPr>
              <w:fldChar w:fldCharType="end"/>
            </w:r>
            <w:r w:rsidRPr="002B4AB6">
              <w:rPr>
                <w:rFonts w:ascii="Arial Narrow" w:hAnsi="Arial Narrow"/>
                <w:sz w:val="18"/>
                <w:szCs w:val="18"/>
              </w:rPr>
              <w:t>Authority Required – Streamlined</w:t>
            </w:r>
          </w:p>
        </w:tc>
      </w:tr>
      <w:tr w:rsidR="006F292D" w:rsidRPr="002B4AB6" w:rsidTr="006F292D">
        <w:tc>
          <w:tcPr>
            <w:tcW w:w="5000" w:type="pct"/>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Administrative Advice:</w:t>
            </w:r>
            <w:r w:rsidRPr="002B4AB6">
              <w:rPr>
                <w:rFonts w:ascii="Arial Narrow" w:hAnsi="Arial Narrow"/>
                <w:color w:val="333333"/>
                <w:sz w:val="18"/>
                <w:szCs w:val="18"/>
              </w:rPr>
              <w:t xml:space="preserve"> No increase in the maximum quantity or number of units may be authorised.</w:t>
            </w:r>
          </w:p>
        </w:tc>
      </w:tr>
      <w:tr w:rsidR="006F292D" w:rsidRPr="002B4AB6" w:rsidTr="006F292D">
        <w:trPr>
          <w:trHeight w:val="293"/>
        </w:trPr>
        <w:tc>
          <w:tcPr>
            <w:tcW w:w="5000" w:type="pct"/>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Administrative Advice:</w:t>
            </w:r>
            <w:r w:rsidRPr="002B4AB6">
              <w:rPr>
                <w:rFonts w:ascii="Arial Narrow" w:hAnsi="Arial Narrow"/>
                <w:color w:val="333333"/>
                <w:sz w:val="18"/>
                <w:szCs w:val="18"/>
              </w:rPr>
              <w:t xml:space="preserve"> No increase in the maximum number of repeats may be authorised.</w:t>
            </w:r>
          </w:p>
        </w:tc>
      </w:tr>
      <w:tr w:rsidR="006F292D" w:rsidRPr="002B4AB6" w:rsidTr="006F292D">
        <w:tc>
          <w:tcPr>
            <w:tcW w:w="5000" w:type="pct"/>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Administrative Advice:</w:t>
            </w:r>
            <w:r w:rsidRPr="002B4AB6">
              <w:rPr>
                <w:rFonts w:ascii="Arial Narrow" w:hAnsi="Arial Narrow"/>
                <w:color w:val="333333"/>
                <w:sz w:val="18"/>
                <w:szCs w:val="18"/>
              </w:rPr>
              <w:t xml:space="preserve"> Special Pricing Arrangements apply.</w:t>
            </w:r>
          </w:p>
        </w:tc>
      </w:tr>
      <w:tr w:rsidR="006F292D" w:rsidRPr="002B4AB6" w:rsidTr="006F292D">
        <w:tc>
          <w:tcPr>
            <w:tcW w:w="5000" w:type="pct"/>
            <w:tcBorders>
              <w:bottom w:val="single" w:sz="4" w:space="0" w:color="auto"/>
            </w:tcBorders>
            <w:vAlign w:val="center"/>
            <w:hideMark/>
          </w:tcPr>
          <w:p w:rsidR="006F292D" w:rsidRPr="002B4AB6" w:rsidRDefault="006F292D" w:rsidP="006C4095">
            <w:pPr>
              <w:jc w:val="left"/>
              <w:rPr>
                <w:rFonts w:ascii="Arial Narrow" w:hAnsi="Arial Narrow"/>
                <w:i/>
                <w:color w:val="333333"/>
                <w:sz w:val="18"/>
                <w:szCs w:val="18"/>
              </w:rPr>
            </w:pPr>
            <w:r w:rsidRPr="002B4AB6">
              <w:rPr>
                <w:rFonts w:ascii="Arial Narrow" w:hAnsi="Arial Narrow"/>
                <w:b/>
                <w:bCs/>
                <w:i/>
                <w:color w:val="333333"/>
                <w:sz w:val="18"/>
                <w:szCs w:val="18"/>
              </w:rPr>
              <w:t>Administrative Advice:</w:t>
            </w:r>
          </w:p>
          <w:p w:rsidR="006F292D" w:rsidRPr="002B4AB6" w:rsidRDefault="006F292D" w:rsidP="006C4095">
            <w:pPr>
              <w:jc w:val="left"/>
              <w:rPr>
                <w:rFonts w:ascii="Arial Narrow" w:hAnsi="Arial Narrow"/>
                <w:i/>
                <w:color w:val="333333"/>
                <w:sz w:val="18"/>
                <w:szCs w:val="18"/>
              </w:rPr>
            </w:pPr>
            <w:r w:rsidRPr="002B4AB6">
              <w:rPr>
                <w:rFonts w:ascii="Arial Narrow" w:hAnsi="Arial Narrow"/>
                <w:i/>
                <w:color w:val="333333"/>
                <w:sz w:val="18"/>
                <w:szCs w:val="18"/>
              </w:rPr>
              <w:t>Patient should be treated with the recommended dose of pembrolizumab according to the TGA-approved Product Information.</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
                <w:bCs/>
                <w:color w:val="333333"/>
                <w:sz w:val="18"/>
                <w:szCs w:val="18"/>
              </w:rPr>
            </w:pPr>
            <w:r w:rsidRPr="002B4AB6">
              <w:rPr>
                <w:rFonts w:ascii="Arial Narrow" w:hAnsi="Arial Narrow"/>
                <w:b/>
                <w:bCs/>
                <w:color w:val="333333"/>
                <w:sz w:val="18"/>
                <w:szCs w:val="18"/>
              </w:rPr>
              <w:t xml:space="preserve">Episodicity: </w:t>
            </w:r>
            <w:r w:rsidRPr="002B4AB6">
              <w:rPr>
                <w:rFonts w:ascii="Arial Narrow" w:hAnsi="Arial Narrow"/>
                <w:bCs/>
                <w:color w:val="333333"/>
                <w:sz w:val="18"/>
                <w:szCs w:val="18"/>
              </w:rPr>
              <w:t>Relapsed or refractory</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
                <w:bCs/>
                <w:color w:val="333333"/>
                <w:sz w:val="18"/>
                <w:szCs w:val="18"/>
              </w:rPr>
            </w:pPr>
            <w:r w:rsidRPr="002B4AB6">
              <w:rPr>
                <w:rFonts w:ascii="Arial Narrow" w:hAnsi="Arial Narrow"/>
                <w:b/>
                <w:bCs/>
                <w:color w:val="333333"/>
                <w:sz w:val="18"/>
                <w:szCs w:val="18"/>
              </w:rPr>
              <w:t xml:space="preserve">Severity: </w:t>
            </w:r>
            <w:r w:rsidRPr="002B4AB6">
              <w:rPr>
                <w:rFonts w:ascii="Arial Narrow" w:hAnsi="Arial Narrow"/>
                <w:bCs/>
                <w:color w:val="333333"/>
                <w:sz w:val="18"/>
                <w:szCs w:val="18"/>
              </w:rPr>
              <w:t>[nil]</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
                <w:bCs/>
                <w:color w:val="333333"/>
                <w:sz w:val="18"/>
                <w:szCs w:val="18"/>
              </w:rPr>
            </w:pPr>
            <w:r w:rsidRPr="002B4AB6">
              <w:rPr>
                <w:rFonts w:ascii="Arial Narrow" w:hAnsi="Arial Narrow"/>
                <w:b/>
                <w:bCs/>
                <w:color w:val="333333"/>
                <w:sz w:val="18"/>
                <w:szCs w:val="18"/>
              </w:rPr>
              <w:t xml:space="preserve">Condition: </w:t>
            </w:r>
            <w:r w:rsidRPr="002B4AB6">
              <w:rPr>
                <w:rFonts w:ascii="Arial Narrow" w:hAnsi="Arial Narrow"/>
                <w:bCs/>
                <w:color w:val="333333"/>
                <w:sz w:val="18"/>
                <w:szCs w:val="18"/>
              </w:rPr>
              <w:t>primary mediastinal B-Cell lymphoma</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Indication:</w:t>
            </w:r>
            <w:r w:rsidRPr="002B4AB6">
              <w:rPr>
                <w:rFonts w:ascii="Arial Narrow" w:hAnsi="Arial Narrow"/>
                <w:color w:val="333333"/>
                <w:sz w:val="18"/>
                <w:szCs w:val="18"/>
              </w:rPr>
              <w:t xml:space="preserve"> Relapsed or refractory primary mediastinal B-Cell lymphoma </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Treatment Phase:</w:t>
            </w:r>
            <w:r w:rsidRPr="002B4AB6">
              <w:rPr>
                <w:rFonts w:ascii="Arial Narrow" w:hAnsi="Arial Narrow"/>
                <w:color w:val="333333"/>
                <w:sz w:val="18"/>
                <w:szCs w:val="18"/>
              </w:rPr>
              <w:t xml:space="preserve">  Grandfather</w:t>
            </w:r>
            <w:r w:rsidRPr="002B4AB6">
              <w:rPr>
                <w:rFonts w:ascii="Arial Narrow" w:hAnsi="Arial Narrow"/>
                <w:i/>
                <w:color w:val="333333"/>
                <w:sz w:val="18"/>
                <w:szCs w:val="18"/>
              </w:rPr>
              <w:t>ed</w:t>
            </w:r>
            <w:r w:rsidRPr="002B4AB6">
              <w:rPr>
                <w:rFonts w:ascii="Arial Narrow" w:hAnsi="Arial Narrow"/>
                <w:color w:val="333333"/>
                <w:sz w:val="18"/>
                <w:szCs w:val="18"/>
              </w:rPr>
              <w:t xml:space="preserve"> </w:t>
            </w:r>
            <w:r w:rsidRPr="002B4AB6">
              <w:rPr>
                <w:rFonts w:ascii="Arial Narrow" w:hAnsi="Arial Narrow"/>
                <w:strike/>
                <w:color w:val="333333"/>
                <w:sz w:val="18"/>
                <w:szCs w:val="18"/>
              </w:rPr>
              <w:t>patients</w:t>
            </w:r>
            <w:r w:rsidRPr="002B4AB6">
              <w:rPr>
                <w:rFonts w:ascii="Arial Narrow" w:hAnsi="Arial Narrow"/>
                <w:color w:val="333333"/>
                <w:sz w:val="18"/>
                <w:szCs w:val="18"/>
              </w:rPr>
              <w:t xml:space="preserve"> </w:t>
            </w:r>
            <w:r w:rsidRPr="002B4AB6">
              <w:rPr>
                <w:rFonts w:ascii="Arial Narrow" w:hAnsi="Arial Narrow"/>
                <w:i/>
                <w:color w:val="333333"/>
                <w:sz w:val="18"/>
                <w:szCs w:val="18"/>
              </w:rPr>
              <w:t>treatment (initial treatment of a patient commenced on non-PBS-subsidised treatment)</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
                <w:bCs/>
                <w:color w:val="333333"/>
                <w:sz w:val="18"/>
                <w:szCs w:val="18"/>
              </w:rPr>
            </w:pPr>
            <w:r w:rsidRPr="002B4AB6">
              <w:rPr>
                <w:rFonts w:ascii="Arial Narrow" w:hAnsi="Arial Narrow"/>
                <w:b/>
                <w:bCs/>
                <w:color w:val="333333"/>
                <w:sz w:val="18"/>
                <w:szCs w:val="18"/>
              </w:rPr>
              <w:t>Clinical criteria:</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Cs/>
                <w:color w:val="333333"/>
                <w:sz w:val="18"/>
                <w:szCs w:val="18"/>
              </w:rPr>
            </w:pPr>
            <w:r w:rsidRPr="002B4AB6">
              <w:rPr>
                <w:rFonts w:ascii="Arial Narrow" w:hAnsi="Arial Narrow"/>
                <w:bCs/>
                <w:color w:val="333333"/>
                <w:sz w:val="18"/>
                <w:szCs w:val="18"/>
              </w:rPr>
              <w:t xml:space="preserve">Patient must have received non-PBS-subsidised treatment with </w:t>
            </w:r>
            <w:r w:rsidRPr="002B4AB6">
              <w:rPr>
                <w:rFonts w:ascii="Arial Narrow" w:hAnsi="Arial Narrow"/>
                <w:bCs/>
                <w:strike/>
                <w:color w:val="333333"/>
                <w:sz w:val="18"/>
                <w:szCs w:val="18"/>
              </w:rPr>
              <w:t>a programmed cell death 1 (PD-1) inhibitor</w:t>
            </w:r>
            <w:r w:rsidRPr="002B4AB6">
              <w:rPr>
                <w:rFonts w:ascii="Arial Narrow" w:hAnsi="Arial Narrow"/>
                <w:bCs/>
                <w:color w:val="333333"/>
                <w:sz w:val="18"/>
                <w:szCs w:val="18"/>
              </w:rPr>
              <w:t xml:space="preserve"> this drug for this condition prior to [date of listing on the PBS]</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Cs/>
                <w:strike/>
                <w:color w:val="333333"/>
                <w:sz w:val="18"/>
                <w:szCs w:val="18"/>
              </w:rPr>
            </w:pPr>
            <w:r w:rsidRPr="002B4AB6">
              <w:rPr>
                <w:rFonts w:ascii="Arial Narrow" w:hAnsi="Arial Narrow"/>
                <w:b/>
                <w:bCs/>
                <w:strike/>
                <w:color w:val="333333"/>
                <w:sz w:val="18"/>
                <w:szCs w:val="18"/>
              </w:rPr>
              <w:t>AND</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
                <w:bCs/>
                <w:strike/>
                <w:color w:val="333333"/>
                <w:sz w:val="18"/>
                <w:szCs w:val="18"/>
              </w:rPr>
            </w:pPr>
            <w:r w:rsidRPr="002B4AB6">
              <w:rPr>
                <w:rFonts w:ascii="Arial Narrow" w:hAnsi="Arial Narrow"/>
                <w:b/>
                <w:bCs/>
                <w:strike/>
                <w:color w:val="333333"/>
                <w:sz w:val="18"/>
                <w:szCs w:val="18"/>
              </w:rPr>
              <w:t>Clinical criteria</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Cs/>
                <w:strike/>
                <w:color w:val="333333"/>
                <w:sz w:val="18"/>
                <w:szCs w:val="18"/>
              </w:rPr>
            </w:pPr>
            <w:r w:rsidRPr="002B4AB6">
              <w:rPr>
                <w:rFonts w:ascii="Arial Narrow" w:hAnsi="Arial Narrow"/>
                <w:bCs/>
                <w:strike/>
                <w:color w:val="333333"/>
                <w:sz w:val="18"/>
                <w:szCs w:val="18"/>
              </w:rPr>
              <w:t>Patient must have had refractory Primary Mediastinal B-cell Lymphoma following rituximab-based chemotherapy prior to receiving treatment with a PD-1 inhibitor this drug for this condition; OR</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Cs/>
                <w:strike/>
                <w:color w:val="333333"/>
                <w:sz w:val="18"/>
                <w:szCs w:val="18"/>
              </w:rPr>
            </w:pPr>
            <w:r w:rsidRPr="002B4AB6">
              <w:rPr>
                <w:rFonts w:ascii="Arial Narrow" w:hAnsi="Arial Narrow"/>
                <w:bCs/>
                <w:strike/>
                <w:color w:val="333333"/>
                <w:sz w:val="18"/>
                <w:szCs w:val="18"/>
              </w:rPr>
              <w:t>Patient must have had relapsed Primary Mediastinal B-cell Lymphoma following at least two prior treatments prior to receiving treatment with a PD-1 inhibitor this drug for this condition</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
                <w:bCs/>
                <w:color w:val="333333"/>
                <w:sz w:val="18"/>
                <w:szCs w:val="18"/>
              </w:rPr>
            </w:pPr>
            <w:r w:rsidRPr="002B4AB6">
              <w:rPr>
                <w:rFonts w:ascii="Arial Narrow" w:hAnsi="Arial Narrow"/>
                <w:b/>
                <w:bCs/>
                <w:color w:val="333333"/>
                <w:sz w:val="18"/>
                <w:szCs w:val="18"/>
              </w:rPr>
              <w:t>AND</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
                <w:bCs/>
                <w:i/>
                <w:color w:val="333333"/>
                <w:sz w:val="18"/>
                <w:szCs w:val="18"/>
              </w:rPr>
            </w:pPr>
            <w:r w:rsidRPr="002B4AB6">
              <w:rPr>
                <w:rFonts w:ascii="Arial Narrow" w:hAnsi="Arial Narrow"/>
                <w:b/>
                <w:bCs/>
                <w:i/>
                <w:color w:val="333333"/>
                <w:sz w:val="18"/>
                <w:szCs w:val="18"/>
              </w:rPr>
              <w:t>Clinical criteria</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Cs/>
                <w:i/>
                <w:color w:val="333333"/>
                <w:sz w:val="18"/>
                <w:szCs w:val="18"/>
              </w:rPr>
            </w:pPr>
            <w:r w:rsidRPr="002B4AB6">
              <w:rPr>
                <w:rFonts w:ascii="Arial Narrow" w:hAnsi="Arial Narrow"/>
                <w:bCs/>
                <w:i/>
                <w:color w:val="333333"/>
                <w:sz w:val="18"/>
                <w:szCs w:val="18"/>
              </w:rPr>
              <w:t>The condition must have been confirmed as primary mediastinal B-Cell lymphoma through use of computed tomography (CT) and/or positron emission tomography (PET) scan and histology examination, with the results retained in the patient’s medical records prior to initiating non-PBS-subsidised treatment with this drug for this condition</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
                <w:bCs/>
                <w:color w:val="333333"/>
                <w:sz w:val="18"/>
                <w:szCs w:val="18"/>
              </w:rPr>
            </w:pPr>
            <w:r w:rsidRPr="002B4AB6">
              <w:rPr>
                <w:rFonts w:ascii="Arial Narrow" w:hAnsi="Arial Narrow"/>
                <w:b/>
                <w:bCs/>
                <w:color w:val="333333"/>
                <w:sz w:val="18"/>
                <w:szCs w:val="18"/>
              </w:rPr>
              <w:t>AND</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Clinical criteria:</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color w:val="333333"/>
                <w:sz w:val="18"/>
                <w:szCs w:val="18"/>
              </w:rPr>
              <w:t>Patient must have undergone an autologous stem cell transplant (ASCT</w:t>
            </w:r>
            <w:r w:rsidRPr="002B4AB6">
              <w:rPr>
                <w:rFonts w:ascii="Arial Narrow" w:hAnsi="Arial Narrow"/>
                <w:i/>
                <w:color w:val="333333"/>
                <w:sz w:val="18"/>
                <w:szCs w:val="18"/>
              </w:rPr>
              <w:t xml:space="preserve">) for this condition and have experienced relapsed or refractory disease post ASCT prior to initiating non-PBS-subsidised treatment with this drug for this condition; </w:t>
            </w:r>
            <w:r w:rsidRPr="002B4AB6">
              <w:rPr>
                <w:rFonts w:ascii="Arial Narrow" w:hAnsi="Arial Narrow"/>
                <w:strike/>
                <w:color w:val="333333"/>
                <w:sz w:val="18"/>
                <w:szCs w:val="18"/>
              </w:rPr>
              <w:t>or</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i/>
                <w:color w:val="333333"/>
                <w:sz w:val="18"/>
                <w:szCs w:val="18"/>
              </w:rPr>
            </w:pPr>
            <w:r w:rsidRPr="002B4AB6">
              <w:rPr>
                <w:rFonts w:ascii="Arial Narrow" w:hAnsi="Arial Narrow"/>
                <w:b/>
                <w:bCs/>
                <w:i/>
                <w:color w:val="333333"/>
                <w:sz w:val="18"/>
                <w:szCs w:val="18"/>
              </w:rPr>
              <w:t>OR</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i/>
                <w:color w:val="333333"/>
                <w:sz w:val="18"/>
                <w:szCs w:val="18"/>
              </w:rPr>
            </w:pPr>
            <w:r w:rsidRPr="002B4AB6">
              <w:rPr>
                <w:rFonts w:ascii="Arial Narrow" w:hAnsi="Arial Narrow"/>
                <w:b/>
                <w:bCs/>
                <w:i/>
                <w:color w:val="333333"/>
                <w:sz w:val="18"/>
                <w:szCs w:val="18"/>
              </w:rPr>
              <w:t>Clinical criteria:</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color w:val="333333"/>
                <w:sz w:val="18"/>
                <w:szCs w:val="18"/>
              </w:rPr>
              <w:t xml:space="preserve">Patient must not have been suitable for ASCT </w:t>
            </w:r>
            <w:r w:rsidRPr="002B4AB6">
              <w:rPr>
                <w:rFonts w:ascii="Arial Narrow" w:hAnsi="Arial Narrow"/>
                <w:i/>
                <w:color w:val="333333"/>
                <w:sz w:val="18"/>
                <w:szCs w:val="18"/>
              </w:rPr>
              <w:t>for this condition and have experienced relapsed or refractory disease following at least 2 prior treatments for this condition prior to initiating non-PBS-subsidised treatment with this drug for this condition</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
                <w:bCs/>
                <w:color w:val="333333"/>
                <w:sz w:val="18"/>
                <w:szCs w:val="18"/>
              </w:rPr>
            </w:pPr>
            <w:r w:rsidRPr="002B4AB6">
              <w:rPr>
                <w:rFonts w:ascii="Arial Narrow" w:hAnsi="Arial Narrow"/>
                <w:b/>
                <w:bCs/>
                <w:color w:val="333333"/>
                <w:sz w:val="18"/>
                <w:szCs w:val="18"/>
              </w:rPr>
              <w:t>AND</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
                <w:bCs/>
                <w:color w:val="333333"/>
                <w:sz w:val="18"/>
                <w:szCs w:val="18"/>
              </w:rPr>
            </w:pPr>
            <w:r w:rsidRPr="002B4AB6">
              <w:rPr>
                <w:rFonts w:ascii="Arial Narrow" w:hAnsi="Arial Narrow"/>
                <w:b/>
                <w:bCs/>
                <w:color w:val="333333"/>
                <w:sz w:val="18"/>
                <w:szCs w:val="18"/>
              </w:rPr>
              <w:t>Clinical criteria:</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spacing w:before="40" w:after="20"/>
              <w:jc w:val="left"/>
              <w:rPr>
                <w:rFonts w:ascii="Arial Narrow" w:hAnsi="Arial Narrow"/>
                <w:i/>
                <w:iCs/>
                <w:sz w:val="18"/>
                <w:szCs w:val="18"/>
              </w:rPr>
            </w:pPr>
            <w:r w:rsidRPr="002B4AB6">
              <w:rPr>
                <w:rFonts w:ascii="Arial Narrow" w:hAnsi="Arial Narrow"/>
                <w:i/>
                <w:iCs/>
                <w:sz w:val="18"/>
                <w:szCs w:val="18"/>
              </w:rPr>
              <w:t>Patient must have received treatment with rituximab-based chemotherapy for this condition prior to initiating non-PBS-subsidised treatment with this drug for this condition</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i/>
                <w:color w:val="333333"/>
                <w:sz w:val="18"/>
                <w:szCs w:val="18"/>
              </w:rPr>
            </w:pPr>
            <w:r w:rsidRPr="002B4AB6">
              <w:rPr>
                <w:rFonts w:ascii="Arial Narrow" w:hAnsi="Arial Narrow"/>
                <w:b/>
                <w:bCs/>
                <w:i/>
                <w:color w:val="333333"/>
                <w:sz w:val="18"/>
                <w:szCs w:val="18"/>
              </w:rPr>
              <w:t>AND</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
                <w:bCs/>
                <w:i/>
                <w:color w:val="333333"/>
                <w:sz w:val="18"/>
                <w:szCs w:val="18"/>
              </w:rPr>
            </w:pPr>
            <w:r w:rsidRPr="002B4AB6">
              <w:rPr>
                <w:rFonts w:ascii="Arial Narrow" w:hAnsi="Arial Narrow"/>
                <w:b/>
                <w:bCs/>
                <w:i/>
                <w:color w:val="333333"/>
                <w:sz w:val="18"/>
                <w:szCs w:val="18"/>
              </w:rPr>
              <w:t>Clinical criteria:</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Cs/>
                <w:i/>
                <w:color w:val="333333"/>
                <w:sz w:val="18"/>
                <w:szCs w:val="18"/>
              </w:rPr>
            </w:pPr>
            <w:r w:rsidRPr="002B4AB6">
              <w:rPr>
                <w:rFonts w:ascii="Arial Narrow" w:hAnsi="Arial Narrow"/>
                <w:bCs/>
                <w:i/>
                <w:color w:val="333333"/>
                <w:sz w:val="18"/>
                <w:szCs w:val="18"/>
              </w:rPr>
              <w:t>Patient must have had a WHO performance status of 0 or 1 prior to initiating non-PBS-subsidised treatment with this drug for this condition</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
                <w:bCs/>
                <w:color w:val="333333"/>
                <w:sz w:val="18"/>
                <w:szCs w:val="18"/>
              </w:rPr>
            </w:pPr>
            <w:r w:rsidRPr="002B4AB6">
              <w:rPr>
                <w:rFonts w:ascii="Arial Narrow" w:hAnsi="Arial Narrow"/>
                <w:b/>
                <w:bCs/>
                <w:color w:val="333333"/>
                <w:sz w:val="18"/>
                <w:szCs w:val="18"/>
              </w:rPr>
              <w:t>AND</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i/>
                <w:color w:val="333333"/>
                <w:sz w:val="18"/>
                <w:szCs w:val="18"/>
              </w:rPr>
            </w:pPr>
            <w:r w:rsidRPr="002B4AB6">
              <w:rPr>
                <w:rFonts w:ascii="Arial Narrow" w:hAnsi="Arial Narrow"/>
                <w:b/>
                <w:bCs/>
                <w:i/>
                <w:color w:val="333333"/>
                <w:sz w:val="18"/>
                <w:szCs w:val="18"/>
              </w:rPr>
              <w:t>Clinical criteria:</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i/>
                <w:color w:val="333333"/>
                <w:sz w:val="18"/>
                <w:szCs w:val="18"/>
              </w:rPr>
            </w:pPr>
            <w:r w:rsidRPr="002B4AB6">
              <w:rPr>
                <w:rFonts w:ascii="Arial Narrow" w:hAnsi="Arial Narrow"/>
                <w:i/>
                <w:color w:val="333333"/>
                <w:sz w:val="18"/>
                <w:szCs w:val="18"/>
              </w:rPr>
              <w:t>Patient must not have received treatment with a programmed cell death-1 (PD-1) inhibitor or a programmed cell death ligand-1 (PD-L1) inhibitor for this condition</w:t>
            </w:r>
            <w:r w:rsidRPr="002B4AB6">
              <w:rPr>
                <w:i/>
              </w:rPr>
              <w:t xml:space="preserve"> </w:t>
            </w:r>
            <w:r w:rsidRPr="002B4AB6">
              <w:rPr>
                <w:rFonts w:ascii="Arial Narrow" w:hAnsi="Arial Narrow"/>
                <w:i/>
                <w:color w:val="333333"/>
                <w:sz w:val="18"/>
                <w:szCs w:val="18"/>
              </w:rPr>
              <w:t>prior to initiating non-PBS-subsidised treatment with this drug for this condition</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AND</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Clinical criteria:</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color w:val="333333"/>
                <w:sz w:val="18"/>
                <w:szCs w:val="18"/>
              </w:rPr>
              <w:lastRenderedPageBreak/>
              <w:t xml:space="preserve">Patient must not have developed disease progression while receiving treatment with </w:t>
            </w:r>
            <w:r w:rsidRPr="002B4AB6">
              <w:rPr>
                <w:rFonts w:ascii="Arial Narrow" w:hAnsi="Arial Narrow"/>
                <w:strike/>
                <w:color w:val="333333"/>
                <w:sz w:val="18"/>
                <w:szCs w:val="18"/>
              </w:rPr>
              <w:t xml:space="preserve">a PD-1 inhibitor for this </w:t>
            </w:r>
            <w:r w:rsidRPr="002B4AB6">
              <w:rPr>
                <w:rFonts w:ascii="Arial Narrow" w:hAnsi="Arial Narrow"/>
                <w:i/>
                <w:strike/>
                <w:color w:val="333333"/>
                <w:sz w:val="18"/>
                <w:szCs w:val="18"/>
              </w:rPr>
              <w:t xml:space="preserve">condition </w:t>
            </w:r>
            <w:r w:rsidRPr="002B4AB6">
              <w:rPr>
                <w:rFonts w:ascii="Arial Narrow" w:hAnsi="Arial Narrow"/>
                <w:i/>
                <w:color w:val="333333"/>
                <w:sz w:val="18"/>
                <w:szCs w:val="18"/>
              </w:rPr>
              <w:t>this drug for this condition</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AND</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Clinical criteria:</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color w:val="333333"/>
                <w:sz w:val="18"/>
                <w:szCs w:val="18"/>
              </w:rPr>
              <w:t>The treatment must not exceed a total of 35 cycles in a lifetime</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AND</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i/>
                <w:color w:val="333333"/>
                <w:sz w:val="18"/>
                <w:szCs w:val="18"/>
              </w:rPr>
              <w:t>Clinical criteria:</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color w:val="333333"/>
                <w:sz w:val="18"/>
                <w:szCs w:val="18"/>
              </w:rPr>
            </w:pPr>
            <w:r w:rsidRPr="002B4AB6">
              <w:rPr>
                <w:rFonts w:ascii="Arial Narrow" w:hAnsi="Arial Narrow"/>
                <w:i/>
                <w:color w:val="333333"/>
                <w:sz w:val="18"/>
                <w:szCs w:val="18"/>
              </w:rPr>
              <w:t>The treatment must not exceed a total of 7 doses of PBS-subsidised and non-PBS-subsidised supply combined under this restriction</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Prescribing Instructions:</w:t>
            </w:r>
          </w:p>
          <w:p w:rsidR="006F292D" w:rsidRPr="002B4AB6" w:rsidRDefault="006F292D" w:rsidP="006C4095">
            <w:pPr>
              <w:jc w:val="left"/>
              <w:rPr>
                <w:rFonts w:ascii="Arial Narrow" w:hAnsi="Arial Narrow"/>
                <w:color w:val="333333"/>
                <w:sz w:val="18"/>
                <w:szCs w:val="18"/>
              </w:rPr>
            </w:pPr>
            <w:r w:rsidRPr="002B4AB6">
              <w:rPr>
                <w:rFonts w:ascii="Arial Narrow" w:hAnsi="Arial Narrow"/>
                <w:color w:val="333333"/>
                <w:sz w:val="18"/>
                <w:szCs w:val="18"/>
              </w:rPr>
              <w:t>Applications for authorisation of initial treatment must be in writing and must include:</w:t>
            </w:r>
          </w:p>
          <w:p w:rsidR="006F292D" w:rsidRPr="002B4AB6" w:rsidRDefault="006F292D" w:rsidP="006C4095">
            <w:pPr>
              <w:jc w:val="left"/>
              <w:rPr>
                <w:rFonts w:ascii="Arial Narrow" w:hAnsi="Arial Narrow"/>
                <w:color w:val="333333"/>
                <w:sz w:val="18"/>
                <w:szCs w:val="18"/>
              </w:rPr>
            </w:pPr>
            <w:r w:rsidRPr="002B4AB6">
              <w:rPr>
                <w:rFonts w:ascii="Arial Narrow" w:hAnsi="Arial Narrow"/>
                <w:color w:val="333333"/>
                <w:sz w:val="18"/>
                <w:szCs w:val="18"/>
              </w:rPr>
              <w:t>(a) a completed authority prescription form;</w:t>
            </w:r>
          </w:p>
          <w:p w:rsidR="006F292D" w:rsidRPr="002B4AB6" w:rsidRDefault="006F292D" w:rsidP="006C4095">
            <w:pPr>
              <w:jc w:val="left"/>
              <w:rPr>
                <w:rFonts w:ascii="Arial Narrow" w:hAnsi="Arial Narrow"/>
                <w:i/>
                <w:color w:val="333333"/>
                <w:sz w:val="18"/>
                <w:szCs w:val="18"/>
              </w:rPr>
            </w:pPr>
            <w:r w:rsidRPr="002B4AB6">
              <w:rPr>
                <w:rFonts w:ascii="Arial Narrow" w:hAnsi="Arial Narrow"/>
                <w:color w:val="333333"/>
                <w:sz w:val="18"/>
                <w:szCs w:val="18"/>
              </w:rPr>
              <w:t>(b) a completed Primary Mediastinal B-Cell lymphoma pembrolizumab PBS Authority Application for Grandfathered patients</w:t>
            </w:r>
            <w:r w:rsidRPr="002B4AB6">
              <w:rPr>
                <w:rFonts w:ascii="Arial Narrow" w:hAnsi="Arial Narrow"/>
                <w:i/>
                <w:color w:val="333333"/>
                <w:sz w:val="18"/>
                <w:szCs w:val="18"/>
              </w:rPr>
              <w:t>, which includes:</w:t>
            </w:r>
          </w:p>
          <w:p w:rsidR="006F292D" w:rsidRPr="002B4AB6" w:rsidRDefault="006F292D" w:rsidP="006C4095">
            <w:pPr>
              <w:jc w:val="left"/>
              <w:rPr>
                <w:rFonts w:ascii="Arial Narrow" w:hAnsi="Arial Narrow"/>
                <w:i/>
                <w:color w:val="333333"/>
                <w:sz w:val="18"/>
                <w:szCs w:val="18"/>
              </w:rPr>
            </w:pPr>
            <w:r w:rsidRPr="002B4AB6">
              <w:rPr>
                <w:rFonts w:ascii="Arial Narrow" w:hAnsi="Arial Narrow"/>
                <w:i/>
                <w:color w:val="333333"/>
                <w:sz w:val="18"/>
                <w:szCs w:val="18"/>
              </w:rPr>
              <w:t xml:space="preserve">(i) a declaration that PET and/or CT scans and histology results supporting a diagnosis of primary mediastinal B-Cell lymphoma have been retained on the patient’s medical records; </w:t>
            </w:r>
          </w:p>
          <w:p w:rsidR="006F292D" w:rsidRPr="002B4AB6" w:rsidRDefault="006F292D" w:rsidP="006C4095">
            <w:pPr>
              <w:jc w:val="left"/>
              <w:rPr>
                <w:rFonts w:ascii="Arial Narrow" w:hAnsi="Arial Narrow"/>
                <w:i/>
                <w:color w:val="333333"/>
                <w:sz w:val="18"/>
                <w:szCs w:val="18"/>
              </w:rPr>
            </w:pPr>
            <w:r w:rsidRPr="002B4AB6">
              <w:rPr>
                <w:rFonts w:ascii="Arial Narrow" w:hAnsi="Arial Narrow"/>
                <w:i/>
                <w:color w:val="333333"/>
                <w:sz w:val="18"/>
                <w:szCs w:val="18"/>
              </w:rPr>
              <w:t>(ii) a declaration of whether the patient's disease had relapsed or was refractory, and the date and means by which the patient's disease was assessed as being relapsed or refractory prior to initiating non-PBS subsidised treatment.</w:t>
            </w:r>
          </w:p>
          <w:p w:rsidR="006F292D" w:rsidRPr="002B4AB6" w:rsidRDefault="006F292D" w:rsidP="006C4095">
            <w:pPr>
              <w:jc w:val="left"/>
              <w:rPr>
                <w:rFonts w:ascii="Arial Narrow" w:hAnsi="Arial Narrow"/>
                <w:color w:val="333333"/>
                <w:sz w:val="18"/>
                <w:szCs w:val="18"/>
              </w:rPr>
            </w:pPr>
            <w:r w:rsidRPr="002B4AB6">
              <w:rPr>
                <w:rFonts w:ascii="Arial Narrow" w:hAnsi="Arial Narrow"/>
                <w:i/>
                <w:color w:val="333333"/>
                <w:sz w:val="18"/>
                <w:szCs w:val="18"/>
              </w:rPr>
              <w:t>(iii) dates of commencement and completion of 2 prior lines of treatment for patients not suitable for ASCT, one of which must include rituximab with chemotherapy;</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
                <w:bCs/>
                <w:strike/>
                <w:color w:val="333333"/>
                <w:sz w:val="18"/>
                <w:szCs w:val="18"/>
              </w:rPr>
            </w:pPr>
            <w:r w:rsidRPr="002B4AB6">
              <w:rPr>
                <w:rFonts w:ascii="Arial Narrow" w:hAnsi="Arial Narrow"/>
                <w:b/>
                <w:bCs/>
                <w:strike/>
                <w:color w:val="333333"/>
                <w:sz w:val="18"/>
                <w:szCs w:val="18"/>
              </w:rPr>
              <w:t>Prescriber Instructions:</w:t>
            </w:r>
          </w:p>
          <w:p w:rsidR="006F292D" w:rsidRPr="002B4AB6" w:rsidRDefault="006F292D" w:rsidP="006C4095">
            <w:pPr>
              <w:jc w:val="left"/>
              <w:rPr>
                <w:rFonts w:ascii="Arial Narrow" w:hAnsi="Arial Narrow"/>
                <w:b/>
                <w:bCs/>
                <w:i/>
                <w:color w:val="333333"/>
                <w:sz w:val="18"/>
                <w:szCs w:val="18"/>
              </w:rPr>
            </w:pPr>
            <w:r w:rsidRPr="002B4AB6">
              <w:rPr>
                <w:rFonts w:ascii="Arial Narrow" w:hAnsi="Arial Narrow"/>
                <w:b/>
                <w:bCs/>
                <w:i/>
                <w:color w:val="333333"/>
                <w:sz w:val="18"/>
                <w:szCs w:val="18"/>
              </w:rPr>
              <w:t xml:space="preserve">Administrative Advice: </w:t>
            </w:r>
          </w:p>
          <w:p w:rsidR="006F292D" w:rsidRPr="002B4AB6" w:rsidRDefault="006F292D" w:rsidP="006C4095">
            <w:pPr>
              <w:jc w:val="left"/>
              <w:rPr>
                <w:rFonts w:ascii="Arial Narrow" w:hAnsi="Arial Narrow"/>
                <w:bCs/>
                <w:color w:val="333333"/>
                <w:sz w:val="18"/>
                <w:szCs w:val="18"/>
              </w:rPr>
            </w:pPr>
            <w:r w:rsidRPr="002B4AB6">
              <w:rPr>
                <w:rFonts w:ascii="Arial Narrow" w:hAnsi="Arial Narrow"/>
                <w:bCs/>
                <w:color w:val="333333"/>
                <w:sz w:val="18"/>
                <w:szCs w:val="18"/>
              </w:rPr>
              <w:t>Patients may qualify for PBS-subsidised treatment under this restriction once only. For continuing PBS-subsidised treatment, a 'Grandfathered' patient must qualify under the 'Continuing treatment' criteria</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6F292D" w:rsidRPr="002B4AB6" w:rsidRDefault="006F292D" w:rsidP="006C4095">
            <w:pPr>
              <w:jc w:val="left"/>
              <w:rPr>
                <w:rFonts w:ascii="Arial Narrow" w:hAnsi="Arial Narrow"/>
                <w:b/>
                <w:bCs/>
                <w:i/>
                <w:color w:val="333333"/>
                <w:sz w:val="18"/>
                <w:szCs w:val="18"/>
              </w:rPr>
            </w:pPr>
            <w:r w:rsidRPr="002B4AB6">
              <w:rPr>
                <w:rFonts w:ascii="Arial Narrow" w:hAnsi="Arial Narrow"/>
                <w:b/>
                <w:bCs/>
                <w:i/>
                <w:color w:val="333333"/>
                <w:sz w:val="18"/>
                <w:szCs w:val="18"/>
              </w:rPr>
              <w:t xml:space="preserve">Administrative Advice: </w:t>
            </w:r>
          </w:p>
          <w:p w:rsidR="006F292D" w:rsidRPr="002B4AB6" w:rsidRDefault="006F292D" w:rsidP="006C4095">
            <w:pPr>
              <w:jc w:val="left"/>
              <w:rPr>
                <w:rFonts w:ascii="Arial Narrow" w:hAnsi="Arial Narrow"/>
                <w:bCs/>
                <w:i/>
                <w:color w:val="333333"/>
                <w:sz w:val="18"/>
                <w:szCs w:val="18"/>
              </w:rPr>
            </w:pPr>
            <w:r w:rsidRPr="002B4AB6">
              <w:rPr>
                <w:rFonts w:ascii="Arial Narrow" w:hAnsi="Arial Narrow"/>
                <w:bCs/>
                <w:i/>
                <w:color w:val="333333"/>
                <w:sz w:val="18"/>
                <w:szCs w:val="18"/>
              </w:rPr>
              <w:t>This grandfathering restriction will cease to operate from [insert date 12 months from listing date here]</w:t>
            </w:r>
          </w:p>
        </w:tc>
      </w:tr>
      <w:tr w:rsidR="006F292D" w:rsidRPr="002B4AB6" w:rsidTr="006F2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6F292D" w:rsidRPr="002B4AB6" w:rsidRDefault="006F292D" w:rsidP="006C4095">
            <w:pPr>
              <w:jc w:val="left"/>
              <w:rPr>
                <w:rFonts w:ascii="Arial Narrow" w:hAnsi="Arial Narrow"/>
                <w:color w:val="333333"/>
                <w:sz w:val="18"/>
                <w:szCs w:val="18"/>
              </w:rPr>
            </w:pPr>
            <w:r w:rsidRPr="002B4AB6">
              <w:rPr>
                <w:rFonts w:ascii="Arial Narrow" w:hAnsi="Arial Narrow"/>
                <w:b/>
                <w:bCs/>
                <w:color w:val="333333"/>
                <w:sz w:val="18"/>
                <w:szCs w:val="18"/>
              </w:rPr>
              <w:t>Administrative Advice:</w:t>
            </w:r>
          </w:p>
          <w:p w:rsidR="006F292D" w:rsidRPr="002B4AB6" w:rsidRDefault="006F292D" w:rsidP="006C4095">
            <w:pPr>
              <w:jc w:val="left"/>
              <w:rPr>
                <w:rFonts w:ascii="Arial Narrow" w:hAnsi="Arial Narrow"/>
                <w:color w:val="333333"/>
                <w:sz w:val="18"/>
                <w:szCs w:val="18"/>
              </w:rPr>
            </w:pPr>
            <w:r w:rsidRPr="002B4AB6">
              <w:rPr>
                <w:rFonts w:ascii="Arial Narrow" w:hAnsi="Arial Narrow"/>
                <w:color w:val="333333"/>
                <w:sz w:val="18"/>
                <w:szCs w:val="18"/>
              </w:rPr>
              <w:t xml:space="preserve">Any queries concerning the arrangements to prescribe may be directed to the Department of Human Services on 1800 700 270 (hours of operation 8 a.m. to 5 p.m. EST Monday to Friday). </w:t>
            </w:r>
          </w:p>
          <w:p w:rsidR="006F292D" w:rsidRPr="002B4AB6" w:rsidRDefault="006F292D" w:rsidP="006C4095">
            <w:pPr>
              <w:jc w:val="left"/>
              <w:rPr>
                <w:rFonts w:ascii="Arial Narrow" w:hAnsi="Arial Narrow"/>
                <w:color w:val="333333"/>
                <w:sz w:val="18"/>
                <w:szCs w:val="18"/>
              </w:rPr>
            </w:pPr>
          </w:p>
          <w:p w:rsidR="006F292D" w:rsidRPr="002B4AB6" w:rsidRDefault="006F292D" w:rsidP="006C4095">
            <w:pPr>
              <w:jc w:val="left"/>
              <w:rPr>
                <w:rFonts w:ascii="Arial Narrow" w:hAnsi="Arial Narrow"/>
                <w:color w:val="333333"/>
                <w:sz w:val="18"/>
                <w:szCs w:val="18"/>
              </w:rPr>
            </w:pPr>
            <w:r w:rsidRPr="002B4AB6">
              <w:rPr>
                <w:rFonts w:ascii="Arial Narrow" w:hAnsi="Arial Narrow"/>
                <w:color w:val="333333"/>
                <w:sz w:val="18"/>
                <w:szCs w:val="18"/>
              </w:rPr>
              <w:t xml:space="preserve">Prescribing information (including Authority Application forms and other relevant documentation as applicable) is available on the Department of Human Services website at </w:t>
            </w:r>
            <w:r w:rsidRPr="004278F1">
              <w:rPr>
                <w:rFonts w:ascii="Arial Narrow" w:hAnsi="Arial Narrow"/>
                <w:sz w:val="18"/>
                <w:szCs w:val="18"/>
              </w:rPr>
              <w:t>www.humanservices.gov.au</w:t>
            </w:r>
          </w:p>
          <w:p w:rsidR="006F292D" w:rsidRPr="002B4AB6" w:rsidRDefault="006F292D" w:rsidP="006C4095">
            <w:pPr>
              <w:jc w:val="left"/>
              <w:rPr>
                <w:rFonts w:ascii="Arial Narrow" w:hAnsi="Arial Narrow"/>
                <w:color w:val="333333"/>
                <w:sz w:val="18"/>
                <w:szCs w:val="18"/>
              </w:rPr>
            </w:pPr>
          </w:p>
          <w:p w:rsidR="006F292D" w:rsidRPr="00492CD9" w:rsidRDefault="006F292D" w:rsidP="006C4095">
            <w:pPr>
              <w:jc w:val="left"/>
              <w:rPr>
                <w:rFonts w:ascii="Arial Narrow" w:hAnsi="Arial Narrow"/>
                <w:color w:val="333333"/>
                <w:sz w:val="18"/>
                <w:szCs w:val="18"/>
              </w:rPr>
            </w:pPr>
            <w:r w:rsidRPr="00492CD9">
              <w:rPr>
                <w:rFonts w:ascii="Arial Narrow" w:hAnsi="Arial Narrow"/>
                <w:color w:val="333333"/>
                <w:sz w:val="18"/>
                <w:szCs w:val="18"/>
              </w:rPr>
              <w:t xml:space="preserve">Applications for authority to prescribe should be forwarded to: </w:t>
            </w:r>
          </w:p>
          <w:p w:rsidR="006F292D" w:rsidRPr="002B4AB6" w:rsidRDefault="006F292D" w:rsidP="006C4095">
            <w:pPr>
              <w:jc w:val="left"/>
              <w:rPr>
                <w:rFonts w:ascii="Arial Narrow" w:hAnsi="Arial Narrow"/>
                <w:color w:val="333333"/>
                <w:sz w:val="18"/>
                <w:szCs w:val="18"/>
              </w:rPr>
            </w:pPr>
            <w:r w:rsidRPr="002B4AB6">
              <w:rPr>
                <w:rFonts w:ascii="Arial Narrow" w:hAnsi="Arial Narrow"/>
                <w:color w:val="333333"/>
                <w:sz w:val="18"/>
                <w:szCs w:val="18"/>
              </w:rPr>
              <w:t>Department of Human Services</w:t>
            </w:r>
          </w:p>
          <w:p w:rsidR="006F292D" w:rsidRPr="002B4AB6" w:rsidRDefault="006F292D" w:rsidP="006C4095">
            <w:pPr>
              <w:jc w:val="left"/>
              <w:rPr>
                <w:rFonts w:ascii="Arial Narrow" w:hAnsi="Arial Narrow"/>
                <w:color w:val="333333"/>
                <w:sz w:val="18"/>
                <w:szCs w:val="18"/>
              </w:rPr>
            </w:pPr>
            <w:r w:rsidRPr="002B4AB6">
              <w:rPr>
                <w:rFonts w:ascii="Arial Narrow" w:hAnsi="Arial Narrow"/>
                <w:color w:val="333333"/>
                <w:sz w:val="18"/>
                <w:szCs w:val="18"/>
              </w:rPr>
              <w:t>Complex Drugs</w:t>
            </w:r>
          </w:p>
          <w:p w:rsidR="006F292D" w:rsidRPr="002B4AB6" w:rsidRDefault="006F292D" w:rsidP="006C4095">
            <w:pPr>
              <w:jc w:val="left"/>
              <w:rPr>
                <w:rFonts w:ascii="Arial Narrow" w:hAnsi="Arial Narrow"/>
                <w:color w:val="333333"/>
                <w:sz w:val="18"/>
                <w:szCs w:val="18"/>
              </w:rPr>
            </w:pPr>
            <w:r w:rsidRPr="002B4AB6">
              <w:rPr>
                <w:rFonts w:ascii="Arial Narrow" w:hAnsi="Arial Narrow"/>
                <w:color w:val="333333"/>
                <w:sz w:val="18"/>
                <w:szCs w:val="18"/>
              </w:rPr>
              <w:t>Reply Paid 9826</w:t>
            </w:r>
          </w:p>
          <w:p w:rsidR="006F292D" w:rsidRPr="002B4AB6" w:rsidRDefault="006F292D" w:rsidP="006C4095">
            <w:pPr>
              <w:jc w:val="left"/>
              <w:rPr>
                <w:rFonts w:ascii="Arial Narrow" w:hAnsi="Arial Narrow"/>
                <w:color w:val="333333"/>
                <w:sz w:val="18"/>
                <w:szCs w:val="18"/>
              </w:rPr>
            </w:pPr>
            <w:r w:rsidRPr="002B4AB6">
              <w:rPr>
                <w:rFonts w:ascii="Arial Narrow" w:hAnsi="Arial Narrow"/>
                <w:color w:val="333333"/>
                <w:sz w:val="18"/>
                <w:szCs w:val="18"/>
              </w:rPr>
              <w:t>HOBART TAS 7001</w:t>
            </w:r>
          </w:p>
        </w:tc>
      </w:tr>
    </w:tbl>
    <w:p w:rsidR="00712B08" w:rsidRPr="002B4AB6" w:rsidRDefault="00712B08" w:rsidP="00181533">
      <w:pPr>
        <w:pStyle w:val="3-BodyText"/>
        <w:spacing w:before="240"/>
      </w:pPr>
      <w:r w:rsidRPr="002B4AB6">
        <w:t>The resubmission proposed a special pricing arrangement (SPA) with an effective approved ex-manufacturer price (AEMP) of $</w:t>
      </w:r>
      <w:r w:rsidR="004278F1">
        <w:rPr>
          <w:noProof/>
          <w:color w:val="000000"/>
          <w:highlight w:val="black"/>
        </w:rPr>
        <w:t>''''''''''''''''''</w:t>
      </w:r>
      <w:r w:rsidRPr="002B4AB6">
        <w:t xml:space="preserve"> per 100 mg vial. This was a 13.4% reduction from the </w:t>
      </w:r>
      <w:r w:rsidR="00CD7AFA" w:rsidRPr="002B4AB6">
        <w:t>A</w:t>
      </w:r>
      <w:r w:rsidRPr="002B4AB6">
        <w:t>EMP of $</w:t>
      </w:r>
      <w:r w:rsidR="004278F1">
        <w:rPr>
          <w:noProof/>
          <w:color w:val="000000"/>
          <w:highlight w:val="black"/>
        </w:rPr>
        <w:t>'''''''''''''''''</w:t>
      </w:r>
      <w:r w:rsidRPr="002B4AB6">
        <w:t xml:space="preserve"> proposed in the previous submission. </w:t>
      </w:r>
    </w:p>
    <w:p w:rsidR="008F4813" w:rsidRPr="002B4AB6" w:rsidRDefault="008F4813" w:rsidP="008F4813">
      <w:pPr>
        <w:pStyle w:val="3-BodyText"/>
      </w:pPr>
      <w:r w:rsidRPr="002B4AB6">
        <w:t xml:space="preserve">The ESC proposed the following clinical criteria in line with the current restriction for pembrolizumab for R/R Hodgkin lymphoma: </w:t>
      </w:r>
    </w:p>
    <w:p w:rsidR="008F4813" w:rsidRPr="006F292D" w:rsidRDefault="008F4813" w:rsidP="006F292D">
      <w:pPr>
        <w:spacing w:after="160"/>
        <w:ind w:left="993" w:right="380"/>
        <w:rPr>
          <w:rFonts w:ascii="Arial Narrow" w:hAnsi="Arial Narrow"/>
          <w:sz w:val="18"/>
          <w:szCs w:val="18"/>
        </w:rPr>
      </w:pPr>
      <w:r w:rsidRPr="006F292D">
        <w:rPr>
          <w:rFonts w:ascii="Arial Narrow" w:hAnsi="Arial Narrow"/>
          <w:sz w:val="18"/>
          <w:szCs w:val="18"/>
        </w:rPr>
        <w:t xml:space="preserve">Patient must have refractory Primary Mediastinal B-cell Lymphoma following rituximab-based </w:t>
      </w:r>
      <w:r w:rsidR="006F292D">
        <w:rPr>
          <w:rFonts w:ascii="Arial Narrow" w:hAnsi="Arial Narrow"/>
          <w:sz w:val="18"/>
          <w:szCs w:val="18"/>
        </w:rPr>
        <w:t xml:space="preserve">chemotherapy for this condition; </w:t>
      </w:r>
      <w:r w:rsidRPr="006F292D">
        <w:rPr>
          <w:rFonts w:ascii="Arial Narrow" w:hAnsi="Arial Narrow"/>
          <w:sz w:val="18"/>
          <w:szCs w:val="18"/>
        </w:rPr>
        <w:t>OR</w:t>
      </w:r>
    </w:p>
    <w:p w:rsidR="008F4813" w:rsidRPr="006F292D" w:rsidRDefault="008F4813" w:rsidP="006F292D">
      <w:pPr>
        <w:spacing w:after="160"/>
        <w:ind w:left="993" w:right="380"/>
        <w:rPr>
          <w:rFonts w:ascii="Arial Narrow" w:hAnsi="Arial Narrow"/>
          <w:sz w:val="18"/>
          <w:szCs w:val="18"/>
        </w:rPr>
      </w:pPr>
      <w:r w:rsidRPr="006F292D">
        <w:rPr>
          <w:rFonts w:ascii="Arial Narrow" w:hAnsi="Arial Narrow"/>
          <w:sz w:val="18"/>
          <w:szCs w:val="18"/>
        </w:rPr>
        <w:t xml:space="preserve">Patient must not be suitable for </w:t>
      </w:r>
      <w:r w:rsidR="00D249CD" w:rsidRPr="006F292D">
        <w:rPr>
          <w:rFonts w:ascii="Arial Narrow" w:hAnsi="Arial Narrow"/>
          <w:sz w:val="18"/>
          <w:szCs w:val="18"/>
        </w:rPr>
        <w:t xml:space="preserve">autologous stem cell transplant (ASCT) </w:t>
      </w:r>
      <w:r w:rsidRPr="006F292D">
        <w:rPr>
          <w:rFonts w:ascii="Arial Narrow" w:hAnsi="Arial Narrow"/>
          <w:sz w:val="18"/>
          <w:szCs w:val="18"/>
        </w:rPr>
        <w:t xml:space="preserve"> or have relapsed following prior ASCT for this condition and have relapsed or refractory disease following at least 2 prior treatments for this condition,</w:t>
      </w:r>
    </w:p>
    <w:p w:rsidR="008F4813" w:rsidRPr="006F292D" w:rsidRDefault="008F4813" w:rsidP="006F292D">
      <w:pPr>
        <w:spacing w:after="160"/>
        <w:ind w:left="993" w:right="380"/>
        <w:rPr>
          <w:rFonts w:ascii="Arial Narrow" w:hAnsi="Arial Narrow"/>
          <w:sz w:val="18"/>
          <w:szCs w:val="18"/>
        </w:rPr>
      </w:pPr>
      <w:r w:rsidRPr="006F292D">
        <w:rPr>
          <w:rFonts w:ascii="Arial Narrow" w:hAnsi="Arial Narrow"/>
          <w:sz w:val="18"/>
          <w:szCs w:val="18"/>
        </w:rPr>
        <w:t>AND</w:t>
      </w:r>
    </w:p>
    <w:p w:rsidR="008F4813" w:rsidRPr="006F292D" w:rsidRDefault="008F4813" w:rsidP="006F292D">
      <w:pPr>
        <w:spacing w:after="160"/>
        <w:ind w:left="993" w:right="380"/>
        <w:rPr>
          <w:rFonts w:ascii="Arial Narrow" w:hAnsi="Arial Narrow"/>
          <w:sz w:val="18"/>
          <w:szCs w:val="18"/>
        </w:rPr>
      </w:pPr>
      <w:r w:rsidRPr="006F292D">
        <w:rPr>
          <w:rFonts w:ascii="Arial Narrow" w:hAnsi="Arial Narrow"/>
          <w:sz w:val="18"/>
          <w:szCs w:val="18"/>
        </w:rPr>
        <w:t>Patient must not have received prior treatment with a PD-1(programmed cell death-1) or PD-L1 (programmed cell death ligand-1) inhibitor for this condition</w:t>
      </w:r>
    </w:p>
    <w:p w:rsidR="008F4813" w:rsidRPr="006F292D" w:rsidRDefault="008F4813" w:rsidP="006F292D">
      <w:pPr>
        <w:spacing w:after="160"/>
        <w:ind w:left="993" w:right="380"/>
        <w:rPr>
          <w:rFonts w:ascii="Arial Narrow" w:hAnsi="Arial Narrow"/>
          <w:sz w:val="18"/>
          <w:szCs w:val="18"/>
        </w:rPr>
      </w:pPr>
      <w:r w:rsidRPr="006F292D">
        <w:rPr>
          <w:rFonts w:ascii="Arial Narrow" w:hAnsi="Arial Narrow"/>
          <w:sz w:val="18"/>
          <w:szCs w:val="18"/>
        </w:rPr>
        <w:t>AND</w:t>
      </w:r>
    </w:p>
    <w:p w:rsidR="008F4813" w:rsidRPr="006F292D" w:rsidRDefault="008F4813" w:rsidP="006F292D">
      <w:pPr>
        <w:spacing w:after="160"/>
        <w:ind w:left="993" w:right="380"/>
        <w:rPr>
          <w:rFonts w:ascii="Arial Narrow" w:hAnsi="Arial Narrow"/>
          <w:sz w:val="18"/>
          <w:szCs w:val="18"/>
        </w:rPr>
      </w:pPr>
      <w:r w:rsidRPr="006F292D">
        <w:rPr>
          <w:rFonts w:ascii="Arial Narrow" w:hAnsi="Arial Narrow"/>
          <w:sz w:val="18"/>
          <w:szCs w:val="18"/>
        </w:rPr>
        <w:t>The treatment must be the sole PBS-subsidised therapy for this condition.</w:t>
      </w:r>
    </w:p>
    <w:p w:rsidR="008F4813" w:rsidRPr="002B4AB6" w:rsidRDefault="00D35DE1" w:rsidP="00D249CD">
      <w:pPr>
        <w:pStyle w:val="3-BodyText"/>
        <w:numPr>
          <w:ilvl w:val="0"/>
          <w:numId w:val="0"/>
        </w:numPr>
        <w:ind w:left="720"/>
      </w:pPr>
      <w:r w:rsidRPr="002B4AB6">
        <w:lastRenderedPageBreak/>
        <w:t xml:space="preserve">The pre-PBAC response stated that the sponsor agreed with the restriction wording proposed by the ESC. </w:t>
      </w:r>
      <w:r w:rsidR="00157392" w:rsidRPr="002B4AB6">
        <w:t>The PBAC considered that</w:t>
      </w:r>
      <w:r w:rsidR="00D249CD" w:rsidRPr="002B4AB6">
        <w:t xml:space="preserve"> the clinical criteria for patients who had undergone an ASCT should be in line with </w:t>
      </w:r>
      <w:r w:rsidR="00157392" w:rsidRPr="002B4AB6">
        <w:t>the current restriction for pembrolizumab for R/R Hodgkin lymphoma</w:t>
      </w:r>
      <w:r w:rsidR="00D249CD" w:rsidRPr="002B4AB6">
        <w:t xml:space="preserve"> ‘Patient must have undergone an autologous stem cell transplant (ASCT) for this condition and have experienced relapsed or refractory disease post ASCT’. The PBAC noted that this would be consistent with </w:t>
      </w:r>
      <w:r w:rsidR="00157392" w:rsidRPr="002B4AB6">
        <w:t>the KN170 study patient</w:t>
      </w:r>
      <w:r w:rsidR="00E771BE" w:rsidRPr="002B4AB6">
        <w:t xml:space="preserve"> population</w:t>
      </w:r>
      <w:r w:rsidR="00157392" w:rsidRPr="002B4AB6">
        <w:t xml:space="preserve">. </w:t>
      </w:r>
    </w:p>
    <w:p w:rsidR="00D35DE1" w:rsidRPr="002B4AB6" w:rsidRDefault="00601C34" w:rsidP="00601C34">
      <w:pPr>
        <w:pStyle w:val="3-BodyText"/>
        <w:rPr>
          <w:b/>
          <w:bCs/>
          <w:sz w:val="18"/>
          <w:szCs w:val="18"/>
        </w:rPr>
      </w:pPr>
      <w:r w:rsidRPr="002B4AB6">
        <w:t xml:space="preserve">The requested listing specifies prior rituximab-based therapy for refractory disease but not for relapsed disease. All patients in KN170 had prior rituximab-based therapy. In addition, the relapsed arms in the proposed clinical management algorithm (Figure 1), flow from prior rituximab-based chemotherapy. The </w:t>
      </w:r>
      <w:r w:rsidR="008F4813" w:rsidRPr="002B4AB6">
        <w:t xml:space="preserve">PBAC </w:t>
      </w:r>
      <w:r w:rsidRPr="002B4AB6">
        <w:t xml:space="preserve">considered that </w:t>
      </w:r>
      <w:r w:rsidR="008F4813" w:rsidRPr="002B4AB6">
        <w:t xml:space="preserve">it was appropriate for the listing to specify that prior treatment must have included </w:t>
      </w:r>
      <w:r w:rsidRPr="002B4AB6">
        <w:t>rituximab</w:t>
      </w:r>
      <w:r w:rsidR="00D35DE1" w:rsidRPr="002B4AB6">
        <w:t>-based therapy</w:t>
      </w:r>
      <w:r w:rsidRPr="002B4AB6">
        <w:t xml:space="preserve"> </w:t>
      </w:r>
      <w:r w:rsidR="00243EC7" w:rsidRPr="002B4AB6">
        <w:t>for patients who are not suitable for ASCT</w:t>
      </w:r>
      <w:r w:rsidR="002149A8" w:rsidRPr="002B4AB6">
        <w:t xml:space="preserve"> or who have relapsed following prior ASCT</w:t>
      </w:r>
      <w:r w:rsidRPr="002B4AB6">
        <w:t>.</w:t>
      </w:r>
    </w:p>
    <w:p w:rsidR="00601C34" w:rsidRPr="002B4AB6" w:rsidRDefault="00D35DE1" w:rsidP="00E444F0">
      <w:pPr>
        <w:pStyle w:val="3-BodyText"/>
      </w:pPr>
      <w:r w:rsidRPr="002B4AB6">
        <w:t>The pre-PBAC response stated the sponsor was not supportive of the proposed inclusion of WHO performance status as a clinical criterion, highlighting that patients have few treatment options and that this is not a requirement for R/R Hodgkin’s lymphoma on which the restriction is based.</w:t>
      </w:r>
      <w:r w:rsidR="00E444F0" w:rsidRPr="002B4AB6">
        <w:t xml:space="preserve"> The PBAC agreed with the pre-PBAC response that WHO performance status was not required in the restriction. </w:t>
      </w:r>
    </w:p>
    <w:p w:rsidR="00B300EF" w:rsidRPr="002B4AB6" w:rsidRDefault="00B300EF" w:rsidP="00B300EF">
      <w:pPr>
        <w:pStyle w:val="3-BodyText"/>
        <w:spacing w:before="240"/>
      </w:pPr>
      <w:r w:rsidRPr="002B4AB6">
        <w:t xml:space="preserve">The resubmission proposed five repeats for the initial restriction and six repeats for the continuing treatment restriction. The PBAC noted that this differs from the current listing for R/R Hodgkin lymphoma which has a maximum of six repeats in both settings. The PBAC advised that the maximum number of repeats for the initial prescription should be increased from five to six, with a maximum of six repeats for continuing therapy, so that the total corresponds to the maximum number of cycles (35) allowed overall. </w:t>
      </w:r>
    </w:p>
    <w:p w:rsidR="00DC3DFF" w:rsidRPr="000829C9" w:rsidRDefault="00DC3DFF" w:rsidP="00B02EFB">
      <w:pPr>
        <w:widowControl w:val="0"/>
        <w:numPr>
          <w:ilvl w:val="1"/>
          <w:numId w:val="1"/>
        </w:numPr>
        <w:spacing w:after="120"/>
        <w:contextualSpacing/>
        <w:rPr>
          <w:rFonts w:asciiTheme="minorHAnsi" w:hAnsiTheme="minorHAnsi"/>
          <w:bCs/>
          <w:snapToGrid w:val="0"/>
        </w:rPr>
      </w:pPr>
      <w:r w:rsidRPr="002B4AB6">
        <w:t>The resubmission noted that no changes ha</w:t>
      </w:r>
      <w:r w:rsidR="003B2D83" w:rsidRPr="002B4AB6">
        <w:t>d</w:t>
      </w:r>
      <w:r w:rsidRPr="002B4AB6">
        <w:t xml:space="preserve"> been made to the initial and continuing restrictions from the previous submission</w:t>
      </w:r>
      <w:r w:rsidR="00F56939" w:rsidRPr="002B4AB6">
        <w:t xml:space="preserve">. The </w:t>
      </w:r>
      <w:r w:rsidRPr="002B4AB6">
        <w:t xml:space="preserve">wording of the grandfathering </w:t>
      </w:r>
      <w:r w:rsidR="004B69E0" w:rsidRPr="002B4AB6">
        <w:t xml:space="preserve">restriction </w:t>
      </w:r>
      <w:r w:rsidR="003B2D83" w:rsidRPr="002B4AB6">
        <w:t>was</w:t>
      </w:r>
      <w:r w:rsidRPr="002B4AB6">
        <w:t xml:space="preserve"> updated </w:t>
      </w:r>
      <w:r w:rsidR="004B69E0" w:rsidRPr="002B4AB6">
        <w:t xml:space="preserve">in the resubmission </w:t>
      </w:r>
      <w:r w:rsidRPr="002B4AB6">
        <w:t xml:space="preserve">to allow access for patients on cost share programmes or paying privately, and patients on patient familiarisation programmes. </w:t>
      </w:r>
      <w:r w:rsidR="00C059CE" w:rsidRPr="002B4AB6">
        <w:t>In November 2018, t</w:t>
      </w:r>
      <w:r w:rsidRPr="002B4AB6">
        <w:t xml:space="preserve">he PBAC considered that the grandfather restriction should require patients to have previously received treatment with pembrolizumab, to disallow patients to switch from </w:t>
      </w:r>
      <w:r w:rsidR="0026382A" w:rsidRPr="002B4AB6">
        <w:t xml:space="preserve">other </w:t>
      </w:r>
      <w:r w:rsidRPr="002B4AB6">
        <w:t xml:space="preserve">non-PBS subsidised </w:t>
      </w:r>
      <w:r w:rsidR="00BB326B" w:rsidRPr="002B4AB6">
        <w:t>programmed cell death-(ligand) 1 (</w:t>
      </w:r>
      <w:r w:rsidRPr="002B4AB6">
        <w:t>PD-(L)1</w:t>
      </w:r>
      <w:r w:rsidR="00BB326B" w:rsidRPr="002B4AB6">
        <w:t>)</w:t>
      </w:r>
      <w:r w:rsidRPr="002B4AB6">
        <w:t xml:space="preserve"> inhibitors (</w:t>
      </w:r>
      <w:r w:rsidR="00FD4D7F" w:rsidRPr="002B4AB6">
        <w:t xml:space="preserve">paragraph 2.10, pembrolizumab PMBCL Public Summary Document (PSD), November 2018 </w:t>
      </w:r>
      <w:r w:rsidRPr="002B4AB6">
        <w:t xml:space="preserve">PBAC meeting). </w:t>
      </w:r>
      <w:r w:rsidR="00243559" w:rsidRPr="002B4AB6">
        <w:t xml:space="preserve">The PBAC noted that the </w:t>
      </w:r>
      <w:r w:rsidRPr="002B4AB6">
        <w:t xml:space="preserve">wording of </w:t>
      </w:r>
      <w:r w:rsidR="003B2D83" w:rsidRPr="002B4AB6">
        <w:t xml:space="preserve">the </w:t>
      </w:r>
      <w:r w:rsidRPr="002B4AB6">
        <w:t>grandfather restriction in the resubmission had not been modified accordingly</w:t>
      </w:r>
      <w:r w:rsidR="00243559" w:rsidRPr="002B4AB6">
        <w:t xml:space="preserve"> and </w:t>
      </w:r>
      <w:r w:rsidR="00E771BE" w:rsidRPr="000829C9">
        <w:rPr>
          <w:rFonts w:asciiTheme="minorHAnsi" w:hAnsiTheme="minorHAnsi"/>
          <w:bCs/>
          <w:snapToGrid w:val="0"/>
        </w:rPr>
        <w:t>reiterated that the restriction should specify that patients must have received non-PBS-subsidised treatment with pembrolizumab.</w:t>
      </w:r>
    </w:p>
    <w:p w:rsidR="00A05730" w:rsidRPr="002B4AB6" w:rsidRDefault="00A05730" w:rsidP="00A05730">
      <w:pPr>
        <w:pStyle w:val="3-BodyText"/>
      </w:pPr>
      <w:r w:rsidRPr="002B4AB6">
        <w:t xml:space="preserve">The number of patients specified in the resubmission for grandfathering was 2 compared to </w:t>
      </w:r>
      <w:r w:rsidR="00A45ED1" w:rsidRPr="002B4AB6">
        <w:t xml:space="preserve">10 </w:t>
      </w:r>
      <w:r w:rsidRPr="002B4AB6">
        <w:t>patients in the previous submission.</w:t>
      </w:r>
    </w:p>
    <w:p w:rsidR="006A417D" w:rsidRPr="002B4AB6" w:rsidRDefault="006A417D" w:rsidP="00A05730">
      <w:pPr>
        <w:pStyle w:val="3-BodyText"/>
      </w:pPr>
      <w:r w:rsidRPr="00492CD9">
        <w:lastRenderedPageBreak/>
        <w:t xml:space="preserve">The ESC </w:t>
      </w:r>
      <w:r w:rsidR="000E5B25" w:rsidRPr="002B4AB6">
        <w:t>noted the TGA registered indication for pembrolizumab for R/R PMBCL include</w:t>
      </w:r>
      <w:r w:rsidR="00A3373B" w:rsidRPr="002B4AB6">
        <w:t>d</w:t>
      </w:r>
      <w:r w:rsidR="000E5B25" w:rsidRPr="002B4AB6">
        <w:t xml:space="preserve"> paediatric patients. The ESC </w:t>
      </w:r>
      <w:r w:rsidRPr="002B4AB6">
        <w:t>considered it was appropriate for the restriction to remain agnostic on age</w:t>
      </w:r>
      <w:r w:rsidR="000E5B25" w:rsidRPr="002B4AB6">
        <w:t xml:space="preserve"> </w:t>
      </w:r>
      <w:r w:rsidRPr="002B4AB6">
        <w:t xml:space="preserve">despite the </w:t>
      </w:r>
      <w:r w:rsidR="000E5B25" w:rsidRPr="002B4AB6">
        <w:t xml:space="preserve">KN170 </w:t>
      </w:r>
      <w:r w:rsidR="00AE590E" w:rsidRPr="002B4AB6">
        <w:t xml:space="preserve">study </w:t>
      </w:r>
      <w:r w:rsidRPr="002B4AB6">
        <w:t>population criteria requiring patients to be</w:t>
      </w:r>
      <w:r w:rsidR="00226632" w:rsidRPr="002B4AB6">
        <w:t xml:space="preserve"> </w:t>
      </w:r>
      <w:r w:rsidR="00226632" w:rsidRPr="002B4AB6">
        <w:rPr>
          <w:rFonts w:cstheme="minorHAnsi"/>
        </w:rPr>
        <w:t>≥</w:t>
      </w:r>
      <w:r w:rsidR="00226632" w:rsidRPr="002B4AB6">
        <w:t xml:space="preserve"> </w:t>
      </w:r>
      <w:r w:rsidRPr="002B4AB6">
        <w:t>18 years of age</w:t>
      </w:r>
      <w:r w:rsidR="0063001D" w:rsidRPr="002B4AB6">
        <w:t>. The ESC advised that there was no clinical reason that R/R PMBCL patients under 18 would respond differently to pembrolizumab compared to adults</w:t>
      </w:r>
      <w:r w:rsidR="002B4AB6">
        <w:t xml:space="preserve">. </w:t>
      </w:r>
    </w:p>
    <w:p w:rsidR="009A700F" w:rsidRPr="002B4AB6" w:rsidDel="0011594E" w:rsidRDefault="009A700F" w:rsidP="009A700F">
      <w:pPr>
        <w:rPr>
          <w:i/>
        </w:rPr>
      </w:pPr>
      <w:r w:rsidRPr="00492CD9">
        <w:rPr>
          <w:i/>
        </w:rPr>
        <w:t>For more detail on PBAC’s view, see section 7 PBAC outcome.</w:t>
      </w:r>
    </w:p>
    <w:p w:rsidR="00DC3DFF" w:rsidRPr="002B4AB6" w:rsidRDefault="00DC3DFF" w:rsidP="00DC3DFF">
      <w:pPr>
        <w:pStyle w:val="2-SectionHeading"/>
      </w:pPr>
      <w:bookmarkStart w:id="10" w:name="_Toc30503041"/>
      <w:r w:rsidRPr="002B4AB6">
        <w:t>Population and disease</w:t>
      </w:r>
      <w:bookmarkEnd w:id="10"/>
    </w:p>
    <w:p w:rsidR="00DC3DFF" w:rsidRPr="002B4AB6" w:rsidRDefault="00DC3DFF" w:rsidP="00DC3DFF">
      <w:pPr>
        <w:pStyle w:val="3-BodyText"/>
      </w:pPr>
      <w:r w:rsidRPr="002B4AB6">
        <w:t xml:space="preserve">The proposed target population of R/R PMBCL was unchanged from the previous submission. </w:t>
      </w:r>
    </w:p>
    <w:p w:rsidR="00DC3DFF" w:rsidRPr="002B4AB6" w:rsidRDefault="00DC3DFF" w:rsidP="00DC3DFF">
      <w:pPr>
        <w:pStyle w:val="3-BodyText"/>
      </w:pPr>
      <w:r w:rsidRPr="002B4AB6">
        <w:t>PMBCL is a rare subtype of non-Hodgkin lymphoma (nHL) and a variant of the diffuse large B-cell lymphomas</w:t>
      </w:r>
      <w:r w:rsidR="0063001D" w:rsidRPr="002B4AB6">
        <w:t xml:space="preserve"> (DLBCL)</w:t>
      </w:r>
      <w:r w:rsidRPr="002B4AB6">
        <w:t xml:space="preserve">. </w:t>
      </w:r>
      <w:r w:rsidR="00EE2C5E" w:rsidRPr="002B4AB6">
        <w:t xml:space="preserve">For </w:t>
      </w:r>
      <w:r w:rsidRPr="002B4AB6">
        <w:t>patients who are refractory to initial therapy with rituximab-based chemotherapy regimens, or who have relapsed after two or more prior therapies, the prognosis is poor.</w:t>
      </w:r>
      <w:r w:rsidR="00FF12D7" w:rsidRPr="002B4AB6">
        <w:t xml:space="preserve"> </w:t>
      </w:r>
      <w:r w:rsidR="00E76255" w:rsidRPr="002B4AB6">
        <w:t xml:space="preserve">The </w:t>
      </w:r>
      <w:r w:rsidR="00320AF1" w:rsidRPr="002B4AB6">
        <w:t xml:space="preserve">PBAC agreed with </w:t>
      </w:r>
      <w:r w:rsidR="00250034" w:rsidRPr="002B4AB6">
        <w:t xml:space="preserve">ESC </w:t>
      </w:r>
      <w:r w:rsidR="00E76255" w:rsidRPr="002B4AB6">
        <w:t xml:space="preserve">that there was a high unmet clinical need for treatment options in the R/R setting for this rare condition that primarily impacts young adults. </w:t>
      </w:r>
    </w:p>
    <w:p w:rsidR="00937ACC" w:rsidRPr="002B4AB6" w:rsidRDefault="00DC3DFF" w:rsidP="00937ACC">
      <w:pPr>
        <w:pStyle w:val="3-BodyText"/>
      </w:pPr>
      <w:r w:rsidRPr="002B4AB6">
        <w:t xml:space="preserve">The resubmission stated that refractory patients receiving salvage treatment with a second chemotherapy regimen </w:t>
      </w:r>
      <w:r w:rsidR="003B2D83" w:rsidRPr="002B4AB6">
        <w:t>were</w:t>
      </w:r>
      <w:r w:rsidRPr="002B4AB6">
        <w:t xml:space="preserve"> unlikely to achieve a response. For relapsed patients, a second line of chemotherapy may result in a response, which would then potentially enable them to receive HDT-ASCT.</w:t>
      </w:r>
      <w:r w:rsidR="00A02D59" w:rsidRPr="002B4AB6">
        <w:t xml:space="preserve"> As depicted in the proposed clinical management algorithm</w:t>
      </w:r>
      <w:r w:rsidR="00BA0741" w:rsidRPr="002B4AB6">
        <w:t xml:space="preserve"> (Figure 1)</w:t>
      </w:r>
      <w:r w:rsidR="00A02D59" w:rsidRPr="002B4AB6">
        <w:t xml:space="preserve">, some primary refractory patients will directly be eligible for pembrolizumab (considered at the outset as “ASCT ineligible”) and the remainder of the primary refractory population will be considered ineligible for ASCT (and </w:t>
      </w:r>
      <w:r w:rsidR="00772D69" w:rsidRPr="002B4AB6">
        <w:t xml:space="preserve">hence </w:t>
      </w:r>
      <w:r w:rsidR="00BA0741" w:rsidRPr="002B4AB6">
        <w:t xml:space="preserve">eligible </w:t>
      </w:r>
      <w:r w:rsidR="00A02D59" w:rsidRPr="002B4AB6">
        <w:t>for pembrolizumab</w:t>
      </w:r>
      <w:r w:rsidR="00EE2C5E" w:rsidRPr="002B4AB6">
        <w:t>)</w:t>
      </w:r>
      <w:r w:rsidR="00A02D59" w:rsidRPr="002B4AB6">
        <w:t xml:space="preserve"> only after failure to </w:t>
      </w:r>
      <w:r w:rsidR="00772D69" w:rsidRPr="002B4AB6">
        <w:t xml:space="preserve">respond to </w:t>
      </w:r>
      <w:r w:rsidR="00A02D59" w:rsidRPr="002B4AB6">
        <w:t>salvage chemotherapy.</w:t>
      </w:r>
      <w:r w:rsidR="00937ACC" w:rsidRPr="002B4AB6">
        <w:t xml:space="preserve"> </w:t>
      </w:r>
      <w:r w:rsidR="00BD095E" w:rsidRPr="002B4AB6">
        <w:t>The ESC noted that there are no guidelines for treatment of PMBCL in Australia or overseas</w:t>
      </w:r>
      <w:r w:rsidR="00FB2923" w:rsidRPr="002B4AB6">
        <w:t>,</w:t>
      </w:r>
      <w:r w:rsidR="00BE589B" w:rsidRPr="002B4AB6">
        <w:t xml:space="preserve"> however</w:t>
      </w:r>
      <w:r w:rsidR="00527C48" w:rsidRPr="002B4AB6">
        <w:t xml:space="preserve"> </w:t>
      </w:r>
      <w:r w:rsidR="00226632" w:rsidRPr="002B4AB6">
        <w:t xml:space="preserve">the Committee </w:t>
      </w:r>
      <w:r w:rsidR="00527C48" w:rsidRPr="002B4AB6">
        <w:t>considered</w:t>
      </w:r>
      <w:r w:rsidR="00BE589B" w:rsidRPr="002B4AB6">
        <w:t xml:space="preserve"> the</w:t>
      </w:r>
      <w:r w:rsidR="00BD095E" w:rsidRPr="002B4AB6">
        <w:t xml:space="preserve"> proposed clinical algorithm</w:t>
      </w:r>
      <w:r w:rsidR="007B0857" w:rsidRPr="002B4AB6">
        <w:t xml:space="preserve"> was in alignment with current clinical practice</w:t>
      </w:r>
      <w:r w:rsidR="00BE589B" w:rsidRPr="002B4AB6">
        <w:rPr>
          <w:rStyle w:val="FootnoteReference"/>
        </w:rPr>
        <w:footnoteReference w:id="2"/>
      </w:r>
      <w:r w:rsidR="00527C48" w:rsidRPr="002B4AB6">
        <w:t>.</w:t>
      </w:r>
      <w:r w:rsidR="00BD095E" w:rsidRPr="002B4AB6">
        <w:t xml:space="preserve"> </w:t>
      </w:r>
    </w:p>
    <w:p w:rsidR="009142F9" w:rsidRPr="002B4AB6" w:rsidRDefault="009142F9" w:rsidP="009142F9">
      <w:pPr>
        <w:pStyle w:val="TableFigureHeading"/>
      </w:pPr>
      <w:bookmarkStart w:id="11" w:name="_Ref29979311"/>
      <w:r w:rsidRPr="002B4AB6">
        <w:lastRenderedPageBreak/>
        <w:t xml:space="preserve">Figure </w:t>
      </w:r>
      <w:r w:rsidR="002B39A5" w:rsidRPr="000829C9">
        <w:t>1</w:t>
      </w:r>
      <w:bookmarkEnd w:id="11"/>
      <w:r w:rsidRPr="002B4AB6">
        <w:t>: Proposed clinical management algorithm with the listing of pembrolizumab for the treatment of R/R PMBCL</w:t>
      </w:r>
    </w:p>
    <w:p w:rsidR="009142F9" w:rsidRPr="002B4AB6" w:rsidRDefault="009142F9" w:rsidP="0041776E">
      <w:r w:rsidRPr="006F292D">
        <w:rPr>
          <w:noProof/>
        </w:rPr>
        <w:drawing>
          <wp:inline distT="0" distB="0" distL="0" distR="0" wp14:anchorId="731FAE79" wp14:editId="0EC0952C">
            <wp:extent cx="5731510" cy="3752850"/>
            <wp:effectExtent l="19050" t="19050" r="21590" b="19050"/>
            <wp:docPr id="10" name="Picture 10" title="Figure 1: Proposed clinical management algorithm with the listing of pembrolizumab for the treatment of R/R PMB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37624" cy="3756853"/>
                    </a:xfrm>
                    <a:prstGeom prst="rect">
                      <a:avLst/>
                    </a:prstGeom>
                    <a:noFill/>
                    <a:ln w="6348" cmpd="sng">
                      <a:solidFill>
                        <a:srgbClr val="000000"/>
                      </a:solidFill>
                      <a:prstDash val="solid"/>
                    </a:ln>
                  </pic:spPr>
                </pic:pic>
              </a:graphicData>
            </a:graphic>
          </wp:inline>
        </w:drawing>
      </w:r>
    </w:p>
    <w:p w:rsidR="009142F9" w:rsidRPr="002B4AB6" w:rsidRDefault="009142F9" w:rsidP="009142F9">
      <w:pPr>
        <w:pStyle w:val="TableFigureFooter"/>
      </w:pPr>
      <w:r w:rsidRPr="002B4AB6">
        <w:t xml:space="preserve">Source: Figure 1.2-2, p 8, of the resubmission </w:t>
      </w:r>
    </w:p>
    <w:p w:rsidR="009142F9" w:rsidRPr="002B4AB6" w:rsidRDefault="009142F9" w:rsidP="009142F9">
      <w:pPr>
        <w:pStyle w:val="TableFigureFooter"/>
      </w:pPr>
      <w:r w:rsidRPr="00492CD9">
        <w:t xml:space="preserve">ASCT = autologous stem cell transplant; CMR = complete metabolic response; CR = complete response; DA-EPOCH-R = dose-adjuster etoposide, prednisolone, oncovin, cyclophosphamide, </w:t>
      </w:r>
      <w:r w:rsidRPr="002B4AB6">
        <w:t>hydroxydaunorubicin and rituximab; PD = progressive disease; PET = positron emission tomography; R– CHOP = rituximab and cyclophosphamide, doxorubicin, vincristine, prednisolone; R/R PMBCL = relapsed or refractory primary mediastinal B-cell lymphoma; PR = partial response; RT = radiotherapy; RTX = rituximab; SD = stable disease.</w:t>
      </w:r>
    </w:p>
    <w:p w:rsidR="009A700F" w:rsidRPr="002B4AB6" w:rsidRDefault="009A700F" w:rsidP="009A700F">
      <w:pPr>
        <w:rPr>
          <w:i/>
        </w:rPr>
      </w:pPr>
      <w:r w:rsidRPr="002B4AB6">
        <w:rPr>
          <w:i/>
        </w:rPr>
        <w:t>For more detail on PBAC’s view, see section 7 PBAC outcome.</w:t>
      </w:r>
    </w:p>
    <w:p w:rsidR="00DC3DFF" w:rsidRPr="002B4AB6" w:rsidRDefault="00DC3DFF" w:rsidP="00DC3DFF">
      <w:pPr>
        <w:pStyle w:val="2-SectionHeading"/>
      </w:pPr>
      <w:bookmarkStart w:id="12" w:name="_Toc30503042"/>
      <w:r w:rsidRPr="002B4AB6">
        <w:t>Comparator</w:t>
      </w:r>
      <w:bookmarkEnd w:id="12"/>
    </w:p>
    <w:p w:rsidR="00DC3DFF" w:rsidRPr="002B4AB6" w:rsidRDefault="00DC3DFF" w:rsidP="00566664">
      <w:pPr>
        <w:pStyle w:val="3-BodyText"/>
        <w:rPr>
          <w:snapToGrid/>
        </w:rPr>
      </w:pPr>
      <w:r w:rsidRPr="002B4AB6">
        <w:rPr>
          <w:snapToGrid/>
        </w:rPr>
        <w:t>The resubmission nominated ICE (ifosfamide, carboplatin, etoposide), DHAP (dexamethasone, high-dose</w:t>
      </w:r>
      <w:r w:rsidR="00A445B6" w:rsidRPr="002B4AB6">
        <w:rPr>
          <w:snapToGrid/>
        </w:rPr>
        <w:t xml:space="preserve"> cytarabine, cisplatin) or GDP (gemcitabine, dexamethasone, cisplatin</w:t>
      </w:r>
      <w:r w:rsidRPr="002B4AB6">
        <w:rPr>
          <w:snapToGrid/>
        </w:rPr>
        <w:t>) regimens, with or without rituximab</w:t>
      </w:r>
      <w:r w:rsidR="006F7005" w:rsidRPr="002B4AB6">
        <w:rPr>
          <w:snapToGrid/>
        </w:rPr>
        <w:t>,</w:t>
      </w:r>
      <w:r w:rsidRPr="002B4AB6">
        <w:rPr>
          <w:snapToGrid/>
        </w:rPr>
        <w:t xml:space="preserve"> as the main comparator. The nominated comparator was amended in the resubmission to include rituximab-based chemotherapy</w:t>
      </w:r>
      <w:r w:rsidR="00885C45" w:rsidRPr="002B4AB6">
        <w:rPr>
          <w:snapToGrid/>
        </w:rPr>
        <w:t>,</w:t>
      </w:r>
      <w:r w:rsidR="001A14E0" w:rsidRPr="002B4AB6">
        <w:rPr>
          <w:snapToGrid/>
        </w:rPr>
        <w:t xml:space="preserve"> as requested by the PBAC in the previous consideration of pembrolizumab (</w:t>
      </w:r>
      <w:r w:rsidR="00FD4D7F" w:rsidRPr="002B4AB6">
        <w:rPr>
          <w:snapToGrid/>
        </w:rPr>
        <w:t>p</w:t>
      </w:r>
      <w:r w:rsidR="001A14E0" w:rsidRPr="002B4AB6">
        <w:rPr>
          <w:snapToGrid/>
        </w:rPr>
        <w:t xml:space="preserve">aragraph 7.3, pembrolizumab PMBCL PSD, November 2018). </w:t>
      </w:r>
    </w:p>
    <w:p w:rsidR="00585B9D" w:rsidRPr="002B4AB6" w:rsidRDefault="00DC3DFF" w:rsidP="00DC3DFF">
      <w:pPr>
        <w:pStyle w:val="3-BodyText"/>
        <w:rPr>
          <w:snapToGrid/>
        </w:rPr>
      </w:pPr>
      <w:r w:rsidRPr="002B4AB6">
        <w:rPr>
          <w:snapToGrid/>
        </w:rPr>
        <w:t xml:space="preserve">In clinical practice, heavily </w:t>
      </w:r>
      <w:r w:rsidR="00EE5833" w:rsidRPr="002B4AB6">
        <w:rPr>
          <w:snapToGrid/>
        </w:rPr>
        <w:t>pre-treated</w:t>
      </w:r>
      <w:r w:rsidRPr="002B4AB6">
        <w:rPr>
          <w:snapToGrid/>
        </w:rPr>
        <w:t xml:space="preserve"> R/R PMBCL patients may be unlikely to receive further salvage therapy and may either enrol in a trial or await a trial whilst receiving</w:t>
      </w:r>
      <w:r w:rsidR="00D84FE3" w:rsidRPr="002B4AB6">
        <w:rPr>
          <w:snapToGrid/>
        </w:rPr>
        <w:t xml:space="preserve"> </w:t>
      </w:r>
      <w:r w:rsidRPr="002B4AB6">
        <w:rPr>
          <w:snapToGrid/>
        </w:rPr>
        <w:lastRenderedPageBreak/>
        <w:t>definitive radiotherapy</w:t>
      </w:r>
      <w:r w:rsidR="00532A61" w:rsidRPr="002B4AB6">
        <w:rPr>
          <w:rStyle w:val="FootnoteReference"/>
          <w:snapToGrid/>
        </w:rPr>
        <w:footnoteReference w:id="3"/>
      </w:r>
      <w:r w:rsidR="005E503C" w:rsidRPr="002B4AB6">
        <w:rPr>
          <w:snapToGrid/>
          <w:vertAlign w:val="superscript"/>
        </w:rPr>
        <w:t>,</w:t>
      </w:r>
      <w:r w:rsidR="005E503C" w:rsidRPr="002B4AB6">
        <w:rPr>
          <w:rStyle w:val="FootnoteReference"/>
          <w:snapToGrid/>
        </w:rPr>
        <w:footnoteReference w:id="4"/>
      </w:r>
      <w:r w:rsidR="005826AE" w:rsidRPr="002B4AB6">
        <w:rPr>
          <w:snapToGrid/>
        </w:rPr>
        <w:t>.</w:t>
      </w:r>
      <w:r w:rsidRPr="002B4AB6">
        <w:rPr>
          <w:snapToGrid/>
        </w:rPr>
        <w:t xml:space="preserve"> Best supportive care or a non-cytotoxic agent may represent a more reasonable comparator for some of these patients.</w:t>
      </w:r>
    </w:p>
    <w:p w:rsidR="00DC3DFF" w:rsidRPr="002B4AB6" w:rsidRDefault="001A14E0" w:rsidP="003E458E">
      <w:pPr>
        <w:pStyle w:val="3-BodyText"/>
        <w:rPr>
          <w:snapToGrid/>
        </w:rPr>
      </w:pPr>
      <w:r w:rsidRPr="00492CD9">
        <w:rPr>
          <w:snapToGrid/>
        </w:rPr>
        <w:t>Some refractory patients would generally receive salvage treatment with a second</w:t>
      </w:r>
      <w:r w:rsidR="001862B3" w:rsidRPr="002B4AB6">
        <w:rPr>
          <w:snapToGrid/>
        </w:rPr>
        <w:t xml:space="preserve"> </w:t>
      </w:r>
      <w:r w:rsidRPr="002B4AB6">
        <w:rPr>
          <w:snapToGrid/>
        </w:rPr>
        <w:t>line rituximab-containing chemotherapy regimen, while relapsed patients would generally receive second</w:t>
      </w:r>
      <w:r w:rsidR="001862B3" w:rsidRPr="002B4AB6">
        <w:rPr>
          <w:snapToGrid/>
        </w:rPr>
        <w:t xml:space="preserve"> </w:t>
      </w:r>
      <w:r w:rsidRPr="002B4AB6">
        <w:rPr>
          <w:snapToGrid/>
        </w:rPr>
        <w:t>line rituximab-containing chemotherapy (high dose therapy) aiming for transplant if suitable (</w:t>
      </w:r>
      <w:r w:rsidR="00FD4D7F" w:rsidRPr="002B4AB6">
        <w:rPr>
          <w:snapToGrid/>
        </w:rPr>
        <w:t>p</w:t>
      </w:r>
      <w:r w:rsidRPr="002B4AB6">
        <w:rPr>
          <w:snapToGrid/>
        </w:rPr>
        <w:t xml:space="preserve">aragraphs 2.5 and 4.4, pembrolizumab PMBCL PSD, November 2018). </w:t>
      </w:r>
      <w:r w:rsidR="003E458E" w:rsidRPr="002B4AB6">
        <w:rPr>
          <w:snapToGrid/>
        </w:rPr>
        <w:t>Other</w:t>
      </w:r>
      <w:r w:rsidR="00F230FA" w:rsidRPr="002B4AB6">
        <w:rPr>
          <w:snapToGrid/>
        </w:rPr>
        <w:t xml:space="preserve"> </w:t>
      </w:r>
      <w:r w:rsidR="003B2D83" w:rsidRPr="002B4AB6">
        <w:rPr>
          <w:snapToGrid/>
        </w:rPr>
        <w:t xml:space="preserve">patients </w:t>
      </w:r>
      <w:r w:rsidR="00585B9D" w:rsidRPr="002B4AB6">
        <w:rPr>
          <w:snapToGrid/>
        </w:rPr>
        <w:t xml:space="preserve">who fail front line rituximab based chemotherapy may be </w:t>
      </w:r>
      <w:r w:rsidR="003B2D83" w:rsidRPr="002B4AB6">
        <w:rPr>
          <w:snapToGrid/>
        </w:rPr>
        <w:t xml:space="preserve">considered </w:t>
      </w:r>
      <w:r w:rsidR="00585B9D" w:rsidRPr="002B4AB6">
        <w:rPr>
          <w:snapToGrid/>
        </w:rPr>
        <w:t xml:space="preserve">unsuitable/ineligible for </w:t>
      </w:r>
      <w:r w:rsidR="00F230FA" w:rsidRPr="002B4AB6">
        <w:rPr>
          <w:snapToGrid/>
        </w:rPr>
        <w:t>further</w:t>
      </w:r>
      <w:r w:rsidR="00585B9D" w:rsidRPr="002B4AB6">
        <w:rPr>
          <w:snapToGrid/>
        </w:rPr>
        <w:t xml:space="preserve"> </w:t>
      </w:r>
      <w:r w:rsidR="003B2D83" w:rsidRPr="002B4AB6">
        <w:rPr>
          <w:snapToGrid/>
        </w:rPr>
        <w:t>chemo</w:t>
      </w:r>
      <w:r w:rsidR="00585B9D" w:rsidRPr="002B4AB6">
        <w:rPr>
          <w:snapToGrid/>
        </w:rPr>
        <w:t xml:space="preserve">therapy. </w:t>
      </w:r>
      <w:r w:rsidR="00F230FA" w:rsidRPr="002B4AB6">
        <w:rPr>
          <w:snapToGrid/>
        </w:rPr>
        <w:t xml:space="preserve">The proportion of these patients in clinical practice is uncertain. </w:t>
      </w:r>
    </w:p>
    <w:p w:rsidR="00037F81" w:rsidRPr="002B4AB6" w:rsidRDefault="00037F81" w:rsidP="003E458E">
      <w:pPr>
        <w:pStyle w:val="3-BodyText"/>
        <w:rPr>
          <w:snapToGrid/>
        </w:rPr>
      </w:pPr>
      <w:r w:rsidRPr="002B4AB6">
        <w:rPr>
          <w:snapToGrid/>
        </w:rPr>
        <w:t xml:space="preserve">The ESC </w:t>
      </w:r>
      <w:r w:rsidR="00DC4A68" w:rsidRPr="002B4AB6">
        <w:rPr>
          <w:snapToGrid/>
        </w:rPr>
        <w:t>advised that in clinical practice ICE</w:t>
      </w:r>
      <w:r w:rsidR="00241AFF" w:rsidRPr="002B4AB6">
        <w:rPr>
          <w:snapToGrid/>
        </w:rPr>
        <w:t>, DHAP</w:t>
      </w:r>
      <w:r w:rsidR="00DC4A68" w:rsidRPr="002B4AB6">
        <w:rPr>
          <w:snapToGrid/>
        </w:rPr>
        <w:t xml:space="preserve"> or GDP regimens would include the addition of rituximab</w:t>
      </w:r>
      <w:r w:rsidR="00241AFF" w:rsidRPr="002B4AB6">
        <w:rPr>
          <w:snapToGrid/>
        </w:rPr>
        <w:t xml:space="preserve"> </w:t>
      </w:r>
      <w:r w:rsidR="00DC4A68" w:rsidRPr="002B4AB6">
        <w:rPr>
          <w:snapToGrid/>
        </w:rPr>
        <w:t xml:space="preserve">and considered the inclusion of this agent </w:t>
      </w:r>
      <w:r w:rsidR="00241AFF" w:rsidRPr="002B4AB6">
        <w:rPr>
          <w:snapToGrid/>
        </w:rPr>
        <w:t xml:space="preserve">in the resubmission </w:t>
      </w:r>
      <w:r w:rsidR="00DC4A68" w:rsidRPr="002B4AB6">
        <w:rPr>
          <w:snapToGrid/>
        </w:rPr>
        <w:t xml:space="preserve">appropriate for the comparator. However, the ESC also agreed with the evaluation that the appropriate comparator may vary depending on the patients </w:t>
      </w:r>
      <w:r w:rsidR="00241AFF" w:rsidRPr="002B4AB6">
        <w:rPr>
          <w:snapToGrid/>
        </w:rPr>
        <w:t>PMBCL treatment history</w:t>
      </w:r>
      <w:r w:rsidR="002B4AB6">
        <w:rPr>
          <w:snapToGrid/>
        </w:rPr>
        <w:t xml:space="preserve">. </w:t>
      </w:r>
    </w:p>
    <w:p w:rsidR="009A700F" w:rsidRPr="00492CD9" w:rsidRDefault="009A700F" w:rsidP="009A700F">
      <w:pPr>
        <w:rPr>
          <w:i/>
        </w:rPr>
      </w:pPr>
      <w:r w:rsidRPr="00492CD9">
        <w:rPr>
          <w:i/>
        </w:rPr>
        <w:t>For more detail on PBAC’s view, see section 7 PBAC outcome.</w:t>
      </w:r>
    </w:p>
    <w:p w:rsidR="00DC3DFF" w:rsidRPr="002B4AB6" w:rsidRDefault="00DC3DFF" w:rsidP="00DC3DFF">
      <w:pPr>
        <w:pStyle w:val="2-SectionHeading"/>
      </w:pPr>
      <w:bookmarkStart w:id="13" w:name="_Toc30503043"/>
      <w:bookmarkStart w:id="14" w:name="_Toc22897640"/>
      <w:r w:rsidRPr="002B4AB6">
        <w:t>Consideration of the evidence</w:t>
      </w:r>
      <w:bookmarkEnd w:id="13"/>
    </w:p>
    <w:p w:rsidR="0065124D" w:rsidRPr="002B4AB6" w:rsidRDefault="0065124D" w:rsidP="0065124D">
      <w:pPr>
        <w:pStyle w:val="4-SubsectionHeading"/>
        <w:rPr>
          <w:snapToGrid w:val="0"/>
        </w:rPr>
      </w:pPr>
      <w:bookmarkStart w:id="15" w:name="_Toc30503044"/>
      <w:r w:rsidRPr="002B4AB6">
        <w:rPr>
          <w:snapToGrid w:val="0"/>
        </w:rPr>
        <w:t>Sponsor hearing</w:t>
      </w:r>
    </w:p>
    <w:p w:rsidR="0065124D" w:rsidRPr="002B4AB6" w:rsidRDefault="0065124D" w:rsidP="0065124D">
      <w:pPr>
        <w:numPr>
          <w:ilvl w:val="1"/>
          <w:numId w:val="1"/>
        </w:numPr>
        <w:spacing w:after="120"/>
        <w:rPr>
          <w:rFonts w:asciiTheme="minorHAnsi" w:hAnsiTheme="minorHAnsi"/>
          <w:bCs/>
          <w:snapToGrid w:val="0"/>
        </w:rPr>
      </w:pPr>
      <w:r w:rsidRPr="002B4AB6">
        <w:rPr>
          <w:rFonts w:asciiTheme="minorHAnsi" w:hAnsiTheme="minorHAnsi"/>
          <w:bCs/>
          <w:snapToGrid w:val="0"/>
        </w:rPr>
        <w:t>The</w:t>
      </w:r>
      <w:r w:rsidR="00921608" w:rsidRPr="002B4AB6">
        <w:rPr>
          <w:rFonts w:asciiTheme="minorHAnsi" w:hAnsiTheme="minorHAnsi"/>
          <w:bCs/>
          <w:snapToGrid w:val="0"/>
        </w:rPr>
        <w:t>re was no hearing for this item</w:t>
      </w:r>
      <w:r w:rsidRPr="002B4AB6">
        <w:rPr>
          <w:rFonts w:asciiTheme="minorHAnsi" w:hAnsiTheme="minorHAnsi"/>
          <w:bCs/>
          <w:snapToGrid w:val="0"/>
        </w:rPr>
        <w:t>.</w:t>
      </w:r>
    </w:p>
    <w:p w:rsidR="0065124D" w:rsidRPr="002B4AB6" w:rsidRDefault="0065124D" w:rsidP="0065124D">
      <w:pPr>
        <w:pStyle w:val="4-SubsectionHeading"/>
        <w:rPr>
          <w:snapToGrid w:val="0"/>
        </w:rPr>
      </w:pPr>
      <w:r w:rsidRPr="002B4AB6">
        <w:rPr>
          <w:snapToGrid w:val="0"/>
        </w:rPr>
        <w:t>Consumer comments</w:t>
      </w:r>
    </w:p>
    <w:p w:rsidR="0065124D" w:rsidRPr="00492CD9" w:rsidRDefault="0065124D" w:rsidP="0065124D">
      <w:pPr>
        <w:numPr>
          <w:ilvl w:val="1"/>
          <w:numId w:val="1"/>
        </w:numPr>
        <w:spacing w:after="120"/>
        <w:rPr>
          <w:rFonts w:asciiTheme="minorHAnsi" w:hAnsiTheme="minorHAnsi"/>
          <w:bCs/>
          <w:snapToGrid w:val="0"/>
        </w:rPr>
      </w:pPr>
      <w:r w:rsidRPr="002B4AB6">
        <w:rPr>
          <w:rFonts w:asciiTheme="minorHAnsi" w:hAnsiTheme="minorHAnsi"/>
          <w:bCs/>
          <w:snapToGrid w:val="0"/>
        </w:rPr>
        <w:t>The PBAC noted and welcom</w:t>
      </w:r>
      <w:r w:rsidR="00835079" w:rsidRPr="002B4AB6">
        <w:rPr>
          <w:rFonts w:asciiTheme="minorHAnsi" w:hAnsiTheme="minorHAnsi"/>
          <w:bCs/>
          <w:snapToGrid w:val="0"/>
        </w:rPr>
        <w:t>ed the input from individuals (1), health care professionals (</w:t>
      </w:r>
      <w:r w:rsidR="00A626E8" w:rsidRPr="002B4AB6">
        <w:rPr>
          <w:rFonts w:asciiTheme="minorHAnsi" w:hAnsiTheme="minorHAnsi"/>
          <w:bCs/>
          <w:snapToGrid w:val="0"/>
        </w:rPr>
        <w:t>8</w:t>
      </w:r>
      <w:r w:rsidR="00835079" w:rsidRPr="002B4AB6">
        <w:rPr>
          <w:rFonts w:asciiTheme="minorHAnsi" w:hAnsiTheme="minorHAnsi"/>
          <w:bCs/>
          <w:snapToGrid w:val="0"/>
        </w:rPr>
        <w:t>) and organisations (2</w:t>
      </w:r>
      <w:r w:rsidRPr="002B4AB6">
        <w:rPr>
          <w:rFonts w:asciiTheme="minorHAnsi" w:hAnsiTheme="minorHAnsi"/>
          <w:bCs/>
          <w:snapToGrid w:val="0"/>
        </w:rPr>
        <w:t>) via the Consumer Comments facility on the PBS website</w:t>
      </w:r>
      <w:r w:rsidR="002B4AB6">
        <w:rPr>
          <w:rFonts w:asciiTheme="minorHAnsi" w:hAnsiTheme="minorHAnsi"/>
          <w:bCs/>
          <w:snapToGrid w:val="0"/>
        </w:rPr>
        <w:t xml:space="preserve">. </w:t>
      </w:r>
      <w:r w:rsidR="00D7280F" w:rsidRPr="002B4AB6">
        <w:t>The comments describe a high unmet need due to the poor prognosis for patients with PMBCL who fail to achieve a complete remission or who relapse after first line chemotherapy and rituximab. The comments also highlight that this is a rare disease that has a predilection for adolescents and young adults. Comments from Lymphoma Australia and Leukaemia Foundation reiterated the need for treatment for rare aggressive diseases such as R/R PMBCL.</w:t>
      </w:r>
    </w:p>
    <w:p w:rsidR="004230AF" w:rsidRPr="002B4AB6" w:rsidRDefault="004230AF" w:rsidP="0065124D">
      <w:pPr>
        <w:numPr>
          <w:ilvl w:val="1"/>
          <w:numId w:val="1"/>
        </w:numPr>
        <w:spacing w:after="120"/>
        <w:rPr>
          <w:rFonts w:asciiTheme="minorHAnsi" w:hAnsiTheme="minorHAnsi"/>
          <w:bCs/>
          <w:snapToGrid w:val="0"/>
        </w:rPr>
      </w:pPr>
      <w:r w:rsidRPr="002B4AB6">
        <w:rPr>
          <w:rFonts w:asciiTheme="minorHAnsi" w:hAnsiTheme="minorHAnsi"/>
          <w:bCs/>
          <w:snapToGrid w:val="0"/>
        </w:rPr>
        <w:t xml:space="preserve">The </w:t>
      </w:r>
      <w:r w:rsidR="001D472B" w:rsidRPr="002B4AB6">
        <w:rPr>
          <w:rFonts w:asciiTheme="minorHAnsi" w:hAnsiTheme="minorHAnsi"/>
          <w:bCs/>
          <w:snapToGrid w:val="0"/>
        </w:rPr>
        <w:t>P</w:t>
      </w:r>
      <w:r w:rsidRPr="002B4AB6">
        <w:rPr>
          <w:rFonts w:asciiTheme="minorHAnsi" w:hAnsiTheme="minorHAnsi"/>
          <w:bCs/>
          <w:snapToGrid w:val="0"/>
        </w:rPr>
        <w:t>BAC noted that a letter from a group of eight haematologists estimated 15 patients per year would be eligible for treatment</w:t>
      </w:r>
      <w:r w:rsidR="00D87589" w:rsidRPr="002B4AB6">
        <w:rPr>
          <w:rFonts w:asciiTheme="minorHAnsi" w:hAnsiTheme="minorHAnsi"/>
          <w:bCs/>
          <w:snapToGrid w:val="0"/>
        </w:rPr>
        <w:t xml:space="preserve"> in Australia</w:t>
      </w:r>
      <w:r w:rsidRPr="002B4AB6">
        <w:rPr>
          <w:rFonts w:asciiTheme="minorHAnsi" w:hAnsiTheme="minorHAnsi"/>
          <w:bCs/>
          <w:snapToGrid w:val="0"/>
        </w:rPr>
        <w:t xml:space="preserve">. </w:t>
      </w:r>
    </w:p>
    <w:p w:rsidR="00DC3DFF" w:rsidRPr="002B4AB6" w:rsidRDefault="00DC3DFF" w:rsidP="00DC3DFF">
      <w:pPr>
        <w:pStyle w:val="4-SubsectionHeading"/>
      </w:pPr>
      <w:r w:rsidRPr="002B4AB6">
        <w:lastRenderedPageBreak/>
        <w:t>Clinical studies</w:t>
      </w:r>
      <w:bookmarkEnd w:id="14"/>
      <w:bookmarkEnd w:id="15"/>
    </w:p>
    <w:p w:rsidR="00DC3DFF" w:rsidRPr="002B4AB6" w:rsidRDefault="00DC3DFF" w:rsidP="00DC3DFF">
      <w:pPr>
        <w:pStyle w:val="3-BodyText"/>
      </w:pPr>
      <w:r w:rsidRPr="002B4AB6">
        <w:rPr>
          <w:snapToGrid/>
        </w:rPr>
        <w:t xml:space="preserve">The </w:t>
      </w:r>
      <w:r w:rsidR="008E64A9" w:rsidRPr="002B4AB6">
        <w:rPr>
          <w:snapToGrid/>
        </w:rPr>
        <w:t>re</w:t>
      </w:r>
      <w:r w:rsidRPr="002B4AB6">
        <w:rPr>
          <w:snapToGrid/>
        </w:rPr>
        <w:t xml:space="preserve">submission was based on two single-arm studies for pembrolizumab (KN013 and updated KN170 data) and two retrospective observational single-arm studies for SOC therapies (Kuruvilla 2008 and Vardhana 2018). </w:t>
      </w:r>
      <w:r w:rsidRPr="002B4AB6">
        <w:t xml:space="preserve">The inclusion of Kuruvilla 2008 in the evaluation as supporting evidence for current clinical practice was not considered to be informative as the salvage regimens did not contain rituximab. There </w:t>
      </w:r>
      <w:r w:rsidR="003B2D83" w:rsidRPr="002B4AB6">
        <w:t>were</w:t>
      </w:r>
      <w:r w:rsidRPr="002B4AB6">
        <w:t xml:space="preserve"> no new data from KN</w:t>
      </w:r>
      <w:r w:rsidR="00B12452" w:rsidRPr="002B4AB6">
        <w:t>01</w:t>
      </w:r>
      <w:r w:rsidRPr="002B4AB6">
        <w:t>3, which ha</w:t>
      </w:r>
      <w:r w:rsidR="005F4331" w:rsidRPr="002B4AB6">
        <w:t>d</w:t>
      </w:r>
      <w:r w:rsidRPr="002B4AB6">
        <w:t xml:space="preserve"> already been considered by the PBAC. Essentially, the additional evidence in the resubmission was based on a naïve indirect comparison between the following two studies:</w:t>
      </w:r>
    </w:p>
    <w:p w:rsidR="00DC3DFF" w:rsidRPr="002B4AB6" w:rsidRDefault="00DC3DFF" w:rsidP="0068475F">
      <w:pPr>
        <w:pStyle w:val="3-BodyText"/>
        <w:numPr>
          <w:ilvl w:val="0"/>
          <w:numId w:val="9"/>
        </w:numPr>
        <w:ind w:left="1148" w:hanging="420"/>
      </w:pPr>
      <w:r w:rsidRPr="002B4AB6">
        <w:t xml:space="preserve">Pembrolizumab: Updated KN170 data (data cut-off 28 May 2019; Median duration of follow-up 22.3 months). </w:t>
      </w:r>
      <w:r w:rsidR="00B674B3" w:rsidRPr="002B4AB6">
        <w:t>This was a Phase II, single-arm, open label, multicentre prospective study (2014-2017) of pembrolizumab (200 mg Q3W</w:t>
      </w:r>
      <w:r w:rsidR="00E6430E" w:rsidRPr="002B4AB6">
        <w:t>)</w:t>
      </w:r>
      <w:r w:rsidR="00B674B3" w:rsidRPr="002B4AB6">
        <w:t xml:space="preserve"> designed to determine the </w:t>
      </w:r>
      <w:r w:rsidR="00243689" w:rsidRPr="002B4AB6">
        <w:t>overall response rate (</w:t>
      </w:r>
      <w:r w:rsidR="00B674B3" w:rsidRPr="002B4AB6">
        <w:t>ORR</w:t>
      </w:r>
      <w:r w:rsidR="00243689" w:rsidRPr="002B4AB6">
        <w:t>)</w:t>
      </w:r>
      <w:r w:rsidR="00B674B3" w:rsidRPr="002B4AB6">
        <w:t xml:space="preserve"> in heavily </w:t>
      </w:r>
      <w:r w:rsidR="00A67C32" w:rsidRPr="002B4AB6">
        <w:t>pre-treated</w:t>
      </w:r>
      <w:r w:rsidR="00B674B3" w:rsidRPr="002B4AB6">
        <w:t xml:space="preserve"> patients (median prior lines of therapy = 3; range 2 – 8) with R/R PMBCL (N=53). The secondary efficacy outcomes were </w:t>
      </w:r>
      <w:r w:rsidR="009A12B3" w:rsidRPr="002B4AB6">
        <w:t>progression free survival (</w:t>
      </w:r>
      <w:r w:rsidR="00B674B3" w:rsidRPr="002B4AB6">
        <w:t>PFS</w:t>
      </w:r>
      <w:r w:rsidR="009A12B3" w:rsidRPr="002B4AB6">
        <w:t>)</w:t>
      </w:r>
      <w:r w:rsidR="00B674B3" w:rsidRPr="002B4AB6">
        <w:t xml:space="preserve">, </w:t>
      </w:r>
      <w:r w:rsidR="009A12B3" w:rsidRPr="002B4AB6">
        <w:t>overall survival (</w:t>
      </w:r>
      <w:r w:rsidR="00B674B3" w:rsidRPr="002B4AB6">
        <w:t>OS</w:t>
      </w:r>
      <w:r w:rsidR="009A12B3" w:rsidRPr="002B4AB6">
        <w:t>)</w:t>
      </w:r>
      <w:r w:rsidR="00B674B3" w:rsidRPr="002B4AB6">
        <w:t>, disease control rate, duration of response, safety and tolerability</w:t>
      </w:r>
      <w:r w:rsidRPr="002B4AB6">
        <w:t xml:space="preserve">; and </w:t>
      </w:r>
    </w:p>
    <w:p w:rsidR="00DC3DFF" w:rsidRPr="002B4AB6" w:rsidRDefault="00BB326B" w:rsidP="0068475F">
      <w:pPr>
        <w:pStyle w:val="3-BodyText"/>
        <w:numPr>
          <w:ilvl w:val="0"/>
          <w:numId w:val="9"/>
        </w:numPr>
        <w:ind w:left="1148" w:hanging="420"/>
      </w:pPr>
      <w:r w:rsidRPr="002B4AB6">
        <w:t>SOC: Vardhana</w:t>
      </w:r>
      <w:r w:rsidR="00DC3DFF" w:rsidRPr="002B4AB6">
        <w:t xml:space="preserve"> 2018 (Median follow-up 4.8 years). This was a retrospective single arm study (1989 – 2014) assessing the outcomes of patients with R/R PMBCL who were administered second</w:t>
      </w:r>
      <w:r w:rsidR="001862B3" w:rsidRPr="002B4AB6">
        <w:t xml:space="preserve"> </w:t>
      </w:r>
      <w:r w:rsidR="00DC3DFF" w:rsidRPr="002B4AB6">
        <w:t>line chemotherapy (all patients had disease progression after front line anthracycline-based chemotherapy) with intent to consolidate with ASCT</w:t>
      </w:r>
      <w:r w:rsidR="00DC3DFF" w:rsidRPr="002B4AB6">
        <w:rPr>
          <w:rStyle w:val="FootnoteReference"/>
        </w:rPr>
        <w:footnoteReference w:id="5"/>
      </w:r>
      <w:r w:rsidR="00DC3DFF" w:rsidRPr="002B4AB6">
        <w:t xml:space="preserve"> (N = 60). The outcomes from subgroups of Vardhana 2018 were used as input to inform the SOC arm of the economic evaluation</w:t>
      </w:r>
      <w:r w:rsidR="00D770CB" w:rsidRPr="002B4AB6">
        <w:t>.</w:t>
      </w:r>
    </w:p>
    <w:p w:rsidR="00DC3DFF" w:rsidRPr="002B4AB6" w:rsidRDefault="00BB3A3F" w:rsidP="00DC3DFF">
      <w:pPr>
        <w:pStyle w:val="3-BodyText"/>
      </w:pPr>
      <w:r w:rsidRPr="00492CD9">
        <w:t>T</w:t>
      </w:r>
      <w:r w:rsidR="00DC3DFF" w:rsidRPr="002B4AB6">
        <w:t xml:space="preserve">he KN013 and Kuruvilla </w:t>
      </w:r>
      <w:r w:rsidR="00B674B3" w:rsidRPr="002B4AB6">
        <w:t xml:space="preserve">2008 </w:t>
      </w:r>
      <w:r w:rsidR="00DC3DFF" w:rsidRPr="002B4AB6">
        <w:t>studies</w:t>
      </w:r>
      <w:r w:rsidR="003961B2" w:rsidRPr="002B4AB6">
        <w:t xml:space="preserve"> included in the previous submission</w:t>
      </w:r>
      <w:r w:rsidR="00DC3DFF" w:rsidRPr="002B4AB6">
        <w:t xml:space="preserve"> d</w:t>
      </w:r>
      <w:r w:rsidR="00CA1A41" w:rsidRPr="002B4AB6">
        <w:t>id</w:t>
      </w:r>
      <w:r w:rsidR="00DC3DFF" w:rsidRPr="002B4AB6">
        <w:t xml:space="preserve"> not form the key evidence for the economic evaluation</w:t>
      </w:r>
      <w:r w:rsidR="00B43C56" w:rsidRPr="002B4AB6">
        <w:t xml:space="preserve"> but were retained as part of the overall evidence in the resubmission</w:t>
      </w:r>
      <w:r w:rsidR="003961B2" w:rsidRPr="002B4AB6">
        <w:t>.</w:t>
      </w:r>
    </w:p>
    <w:p w:rsidR="00DC3DFF" w:rsidRPr="002B4AB6" w:rsidRDefault="00DC3DFF" w:rsidP="00DC3DFF">
      <w:pPr>
        <w:pStyle w:val="3-BodyText"/>
      </w:pPr>
      <w:r w:rsidRPr="002B4AB6">
        <w:rPr>
          <w:snapToGrid/>
        </w:rPr>
        <w:t xml:space="preserve">Details of the studies presented in the </w:t>
      </w:r>
      <w:r w:rsidR="00CA1A41" w:rsidRPr="002B4AB6">
        <w:rPr>
          <w:snapToGrid/>
        </w:rPr>
        <w:t>re</w:t>
      </w:r>
      <w:r w:rsidRPr="002B4AB6">
        <w:rPr>
          <w:snapToGrid/>
        </w:rPr>
        <w:t>submission are provided in the table below.</w:t>
      </w:r>
    </w:p>
    <w:p w:rsidR="00DC3DFF" w:rsidRPr="002B4AB6" w:rsidRDefault="00DC3DFF" w:rsidP="00315D1C">
      <w:pPr>
        <w:pStyle w:val="TableFigureHeading"/>
        <w:keepLines/>
        <w:widowControl w:val="0"/>
        <w:rPr>
          <w:rStyle w:val="CommentReference"/>
          <w:rFonts w:cs="Arial"/>
          <w:b/>
          <w:bCs w:val="0"/>
          <w:snapToGrid w:val="0"/>
          <w:szCs w:val="24"/>
        </w:rPr>
      </w:pPr>
      <w:r w:rsidRPr="002B4AB6">
        <w:lastRenderedPageBreak/>
        <w:t xml:space="preserve">Table </w:t>
      </w:r>
      <w:r w:rsidR="002B39A5" w:rsidRPr="000829C9">
        <w:t>3</w:t>
      </w:r>
      <w:r w:rsidRPr="002B4AB6">
        <w:t xml:space="preserve">: </w:t>
      </w:r>
      <w:r w:rsidRPr="002B4AB6">
        <w:rPr>
          <w:rStyle w:val="CommentReference"/>
          <w:b/>
          <w:szCs w:val="24"/>
        </w:rPr>
        <w:t xml:space="preserve">Studies and associated reports presented in the </w:t>
      </w:r>
      <w:r w:rsidR="00CA1A41" w:rsidRPr="002B4AB6">
        <w:rPr>
          <w:rStyle w:val="CommentReference"/>
          <w:b/>
          <w:szCs w:val="24"/>
        </w:rPr>
        <w:t>re</w:t>
      </w:r>
      <w:r w:rsidRPr="002B4AB6">
        <w:rPr>
          <w:rStyle w:val="CommentReference"/>
          <w:b/>
          <w:szCs w:val="24"/>
        </w:rPr>
        <w:t>submission</w:t>
      </w:r>
    </w:p>
    <w:tbl>
      <w:tblPr>
        <w:tblStyle w:val="TableGrid1"/>
        <w:tblW w:w="5000" w:type="pct"/>
        <w:tblLook w:val="01E0" w:firstRow="1" w:lastRow="1" w:firstColumn="1" w:lastColumn="1" w:noHBand="0" w:noVBand="0"/>
        <w:tblCaption w:val="Table 3: Studies and associated reports presented in the resubmission"/>
      </w:tblPr>
      <w:tblGrid>
        <w:gridCol w:w="1436"/>
        <w:gridCol w:w="4656"/>
        <w:gridCol w:w="2925"/>
      </w:tblGrid>
      <w:tr w:rsidR="00DC3DFF" w:rsidRPr="002B4AB6" w:rsidTr="000A199D">
        <w:trPr>
          <w:tblHeader/>
        </w:trPr>
        <w:tc>
          <w:tcPr>
            <w:tcW w:w="796" w:type="pct"/>
            <w:tcBorders>
              <w:bottom w:val="single" w:sz="4" w:space="0" w:color="auto"/>
            </w:tcBorders>
          </w:tcPr>
          <w:p w:rsidR="00DC3DFF" w:rsidRPr="00492CD9" w:rsidRDefault="00DC3DFF" w:rsidP="00315D1C">
            <w:pPr>
              <w:pStyle w:val="Tabletext"/>
              <w:keepNext/>
              <w:keepLines/>
              <w:widowControl w:val="0"/>
              <w:rPr>
                <w:b/>
              </w:rPr>
            </w:pPr>
            <w:r w:rsidRPr="00492CD9">
              <w:rPr>
                <w:b/>
              </w:rPr>
              <w:t>Trial ID</w:t>
            </w:r>
          </w:p>
        </w:tc>
        <w:tc>
          <w:tcPr>
            <w:tcW w:w="2582" w:type="pct"/>
            <w:tcBorders>
              <w:bottom w:val="single" w:sz="4" w:space="0" w:color="auto"/>
            </w:tcBorders>
          </w:tcPr>
          <w:p w:rsidR="00DC3DFF" w:rsidRPr="002B4AB6" w:rsidRDefault="00DC3DFF" w:rsidP="00315D1C">
            <w:pPr>
              <w:pStyle w:val="Tabletext"/>
              <w:keepNext/>
              <w:keepLines/>
              <w:widowControl w:val="0"/>
              <w:rPr>
                <w:b/>
              </w:rPr>
            </w:pPr>
            <w:r w:rsidRPr="002B4AB6">
              <w:rPr>
                <w:b/>
              </w:rPr>
              <w:t>Protocol title/ Publication title</w:t>
            </w:r>
          </w:p>
        </w:tc>
        <w:tc>
          <w:tcPr>
            <w:tcW w:w="1622" w:type="pct"/>
            <w:tcBorders>
              <w:bottom w:val="single" w:sz="4" w:space="0" w:color="auto"/>
            </w:tcBorders>
          </w:tcPr>
          <w:p w:rsidR="00DC3DFF" w:rsidRPr="002B4AB6" w:rsidRDefault="00DC3DFF" w:rsidP="00315D1C">
            <w:pPr>
              <w:pStyle w:val="Tabletext"/>
              <w:keepNext/>
              <w:keepLines/>
              <w:widowControl w:val="0"/>
              <w:rPr>
                <w:b/>
              </w:rPr>
            </w:pPr>
            <w:r w:rsidRPr="002B4AB6">
              <w:rPr>
                <w:b/>
              </w:rPr>
              <w:t>Publication citation</w:t>
            </w:r>
          </w:p>
        </w:tc>
      </w:tr>
      <w:tr w:rsidR="00DC3DFF" w:rsidRPr="002B4AB6" w:rsidTr="00B81F20">
        <w:tc>
          <w:tcPr>
            <w:tcW w:w="5000" w:type="pct"/>
            <w:gridSpan w:val="3"/>
            <w:tcBorders>
              <w:bottom w:val="single" w:sz="4" w:space="0" w:color="auto"/>
            </w:tcBorders>
          </w:tcPr>
          <w:p w:rsidR="00DC3DFF" w:rsidRPr="002B4AB6" w:rsidRDefault="00DC3DFF" w:rsidP="00315D1C">
            <w:pPr>
              <w:pStyle w:val="Tabletext"/>
              <w:keepNext/>
              <w:keepLines/>
              <w:widowControl w:val="0"/>
            </w:pPr>
            <w:r w:rsidRPr="002B4AB6">
              <w:t>Pembrolizumab</w:t>
            </w:r>
          </w:p>
        </w:tc>
      </w:tr>
      <w:tr w:rsidR="003961B2" w:rsidRPr="002B4AB6" w:rsidTr="00B81F20">
        <w:trPr>
          <w:trHeight w:val="637"/>
        </w:trPr>
        <w:tc>
          <w:tcPr>
            <w:tcW w:w="796" w:type="pct"/>
            <w:tcBorders>
              <w:bottom w:val="nil"/>
            </w:tcBorders>
          </w:tcPr>
          <w:p w:rsidR="003961B2" w:rsidRPr="002B4AB6" w:rsidRDefault="003961B2" w:rsidP="00315D1C">
            <w:pPr>
              <w:pStyle w:val="Tabletext"/>
              <w:keepNext/>
              <w:keepLines/>
              <w:widowControl w:val="0"/>
            </w:pPr>
            <w:r w:rsidRPr="002B4AB6">
              <w:t>Keynote-013</w:t>
            </w:r>
          </w:p>
          <w:p w:rsidR="003961B2" w:rsidRPr="002B4AB6" w:rsidRDefault="003961B2" w:rsidP="00315D1C">
            <w:pPr>
              <w:pStyle w:val="Tabletext"/>
              <w:keepNext/>
              <w:keepLines/>
              <w:widowControl w:val="0"/>
            </w:pPr>
            <w:r w:rsidRPr="002B4AB6">
              <w:t>(KN013)</w:t>
            </w:r>
          </w:p>
        </w:tc>
        <w:tc>
          <w:tcPr>
            <w:tcW w:w="2582" w:type="pct"/>
            <w:tcBorders>
              <w:bottom w:val="nil"/>
            </w:tcBorders>
          </w:tcPr>
          <w:p w:rsidR="003961B2" w:rsidRPr="002B4AB6" w:rsidRDefault="003961B2" w:rsidP="00315D1C">
            <w:pPr>
              <w:pStyle w:val="Tabletext"/>
              <w:keepNext/>
              <w:keepLines/>
              <w:widowControl w:val="0"/>
            </w:pPr>
            <w:r w:rsidRPr="002B4AB6">
              <w:t>A Phase Ib Multi-Cohort Trial of MK-3475 (pembrolizumab) in Patients with Hematologic Malignancies. P013V01.</w:t>
            </w:r>
          </w:p>
          <w:p w:rsidR="003961B2" w:rsidRPr="002B4AB6" w:rsidRDefault="003961B2" w:rsidP="00315D1C">
            <w:pPr>
              <w:pStyle w:val="Tabletext"/>
              <w:keepNext/>
              <w:keepLines/>
              <w:widowControl w:val="0"/>
            </w:pPr>
            <w:r w:rsidRPr="002B4AB6">
              <w:t xml:space="preserve">Zinzani, P. L., Ribrag, V., Moskowitz, C. H., Michot, J., Kuruvilla, J., Balakumaran, A., Zhang, Y., Chlosta, S., Shipp, M. A., and Armand, P. Safety and tolerability of pembrolizumab in patients with relapsed/refractory primary mediastinal large B-cell lymphoma. </w:t>
            </w:r>
          </w:p>
          <w:p w:rsidR="003961B2" w:rsidRPr="002B4AB6" w:rsidRDefault="003961B2" w:rsidP="00315D1C">
            <w:pPr>
              <w:pStyle w:val="Tabletext"/>
              <w:keepNext/>
              <w:keepLines/>
              <w:widowControl w:val="0"/>
            </w:pPr>
            <w:r w:rsidRPr="002B4AB6">
              <w:t>Ribrag et al. An open-label, multicohort Phase Ib trial of pembrolizumab (MK-3475) for advanced hematologic malignancies: KEYNOTE-013.</w:t>
            </w:r>
          </w:p>
        </w:tc>
        <w:tc>
          <w:tcPr>
            <w:tcW w:w="1622" w:type="pct"/>
          </w:tcPr>
          <w:p w:rsidR="003961B2" w:rsidRPr="002B4AB6" w:rsidRDefault="003961B2" w:rsidP="00315D1C">
            <w:pPr>
              <w:pStyle w:val="Tabletext"/>
              <w:keepNext/>
              <w:keepLines/>
              <w:widowControl w:val="0"/>
            </w:pPr>
            <w:r w:rsidRPr="002B4AB6">
              <w:t>CSR, 29 September 2017</w:t>
            </w:r>
          </w:p>
          <w:p w:rsidR="003961B2" w:rsidRPr="002B4AB6" w:rsidRDefault="003961B2" w:rsidP="00315D1C">
            <w:pPr>
              <w:pStyle w:val="Tabletext"/>
              <w:keepNext/>
              <w:keepLines/>
              <w:widowControl w:val="0"/>
            </w:pPr>
            <w:r w:rsidRPr="002B4AB6">
              <w:t>Blood 2017; 130(3): 267-270</w:t>
            </w:r>
            <w:r w:rsidR="002B4AB6">
              <w:t xml:space="preserve">. </w:t>
            </w:r>
          </w:p>
          <w:p w:rsidR="003961B2" w:rsidRPr="002B4AB6" w:rsidRDefault="00BA669D" w:rsidP="00315D1C">
            <w:pPr>
              <w:pStyle w:val="Tabletext"/>
              <w:keepNext/>
              <w:keepLines/>
              <w:widowControl w:val="0"/>
            </w:pPr>
            <w:r w:rsidRPr="00492CD9">
              <w:t>Journal for Immun</w:t>
            </w:r>
            <w:r w:rsidR="003961B2" w:rsidRPr="002B4AB6">
              <w:t>oTherapy of Cancer 2015; 3: (Supplement 2).</w:t>
            </w:r>
          </w:p>
        </w:tc>
      </w:tr>
      <w:tr w:rsidR="00DC3DFF" w:rsidRPr="002B4AB6" w:rsidTr="00B81F20">
        <w:trPr>
          <w:trHeight w:val="637"/>
        </w:trPr>
        <w:tc>
          <w:tcPr>
            <w:tcW w:w="796" w:type="pct"/>
            <w:tcBorders>
              <w:bottom w:val="nil"/>
            </w:tcBorders>
          </w:tcPr>
          <w:p w:rsidR="00DC3DFF" w:rsidRPr="002B4AB6" w:rsidRDefault="00DC3DFF" w:rsidP="00315D1C">
            <w:pPr>
              <w:pStyle w:val="Tabletext"/>
              <w:keepNext/>
              <w:keepLines/>
              <w:widowControl w:val="0"/>
            </w:pPr>
            <w:r w:rsidRPr="002B4AB6">
              <w:t>Keynote – 170</w:t>
            </w:r>
          </w:p>
          <w:p w:rsidR="00DC3DFF" w:rsidRPr="002B4AB6" w:rsidRDefault="00DC3DFF" w:rsidP="00315D1C">
            <w:pPr>
              <w:pStyle w:val="Tabletext"/>
              <w:keepNext/>
              <w:keepLines/>
              <w:widowControl w:val="0"/>
            </w:pPr>
            <w:r w:rsidRPr="002B4AB6">
              <w:t>(KN170)</w:t>
            </w:r>
          </w:p>
        </w:tc>
        <w:tc>
          <w:tcPr>
            <w:tcW w:w="2582" w:type="pct"/>
            <w:tcBorders>
              <w:bottom w:val="nil"/>
            </w:tcBorders>
          </w:tcPr>
          <w:p w:rsidR="00DC3DFF" w:rsidRPr="002B4AB6" w:rsidRDefault="00DC3DFF" w:rsidP="00315D1C">
            <w:pPr>
              <w:pStyle w:val="Tabletext"/>
              <w:keepNext/>
              <w:keepLines/>
              <w:widowControl w:val="0"/>
            </w:pPr>
            <w:r w:rsidRPr="002B4AB6">
              <w:t>A Phase II Study of Pembrolizumab (MK-3475) in Patients with Relapsed or Refractory Primary Mediastinal Large B-cell Lymphoma (R/R PMBCL) or Relapsed or Refractory Richter Syndrome (rrRS).</w:t>
            </w:r>
          </w:p>
        </w:tc>
        <w:tc>
          <w:tcPr>
            <w:tcW w:w="1622" w:type="pct"/>
            <w:vMerge w:val="restart"/>
          </w:tcPr>
          <w:p w:rsidR="00DC3DFF" w:rsidRPr="002B4AB6" w:rsidRDefault="00DC3DFF" w:rsidP="00315D1C">
            <w:pPr>
              <w:pStyle w:val="Tabletext"/>
              <w:keepNext/>
              <w:keepLines/>
              <w:widowControl w:val="0"/>
            </w:pPr>
            <w:r w:rsidRPr="002B4AB6">
              <w:t>KN170 Efficacy Update Report, 19 January 2018.</w:t>
            </w:r>
          </w:p>
          <w:p w:rsidR="00DC3DFF" w:rsidRPr="002B4AB6" w:rsidRDefault="00DC3DFF" w:rsidP="00315D1C">
            <w:pPr>
              <w:pStyle w:val="Tabletext"/>
              <w:keepNext/>
              <w:keepLines/>
              <w:widowControl w:val="0"/>
            </w:pPr>
            <w:r w:rsidRPr="002B4AB6">
              <w:t>KN170 Safety Update Report, 19 January 2018</w:t>
            </w:r>
          </w:p>
          <w:p w:rsidR="00DC3DFF" w:rsidRPr="002B4AB6" w:rsidRDefault="00DC3DFF" w:rsidP="00315D1C">
            <w:pPr>
              <w:pStyle w:val="Tabletext"/>
              <w:keepNext/>
              <w:keepLines/>
              <w:widowControl w:val="0"/>
            </w:pPr>
            <w:r w:rsidRPr="002B4AB6">
              <w:rPr>
                <w:u w:val="single"/>
              </w:rPr>
              <w:t>KN170 Efficacy Update Report, 31 July 2019</w:t>
            </w:r>
          </w:p>
        </w:tc>
      </w:tr>
      <w:tr w:rsidR="00DC3DFF" w:rsidRPr="002B4AB6" w:rsidTr="00B81F20">
        <w:tc>
          <w:tcPr>
            <w:tcW w:w="796" w:type="pct"/>
            <w:tcBorders>
              <w:top w:val="nil"/>
              <w:bottom w:val="nil"/>
            </w:tcBorders>
          </w:tcPr>
          <w:p w:rsidR="00DC3DFF" w:rsidRPr="002B4AB6" w:rsidRDefault="00DC3DFF" w:rsidP="00315D1C">
            <w:pPr>
              <w:pStyle w:val="Tabletext"/>
              <w:keepNext/>
              <w:keepLines/>
              <w:widowControl w:val="0"/>
            </w:pPr>
          </w:p>
        </w:tc>
        <w:tc>
          <w:tcPr>
            <w:tcW w:w="2582" w:type="pct"/>
            <w:tcBorders>
              <w:top w:val="nil"/>
              <w:bottom w:val="nil"/>
            </w:tcBorders>
          </w:tcPr>
          <w:p w:rsidR="00DC3DFF" w:rsidRPr="002B4AB6" w:rsidRDefault="00DC3DFF" w:rsidP="00315D1C">
            <w:pPr>
              <w:pStyle w:val="Tabletext"/>
              <w:keepNext/>
              <w:keepLines/>
              <w:widowControl w:val="0"/>
            </w:pPr>
          </w:p>
        </w:tc>
        <w:tc>
          <w:tcPr>
            <w:tcW w:w="1622" w:type="pct"/>
            <w:vMerge/>
          </w:tcPr>
          <w:p w:rsidR="00DC3DFF" w:rsidRPr="002B4AB6" w:rsidRDefault="00DC3DFF" w:rsidP="00315D1C">
            <w:pPr>
              <w:pStyle w:val="Tabletext"/>
              <w:keepNext/>
              <w:keepLines/>
              <w:widowControl w:val="0"/>
            </w:pPr>
          </w:p>
        </w:tc>
      </w:tr>
      <w:tr w:rsidR="00DC3DFF" w:rsidRPr="002B4AB6" w:rsidTr="00B81F20">
        <w:tc>
          <w:tcPr>
            <w:tcW w:w="796" w:type="pct"/>
            <w:tcBorders>
              <w:top w:val="nil"/>
              <w:bottom w:val="nil"/>
            </w:tcBorders>
          </w:tcPr>
          <w:p w:rsidR="00DC3DFF" w:rsidRPr="002B4AB6" w:rsidRDefault="00DC3DFF" w:rsidP="00315D1C">
            <w:pPr>
              <w:pStyle w:val="Tabletext"/>
              <w:keepNext/>
              <w:keepLines/>
              <w:widowControl w:val="0"/>
            </w:pPr>
          </w:p>
        </w:tc>
        <w:tc>
          <w:tcPr>
            <w:tcW w:w="2582" w:type="pct"/>
            <w:tcBorders>
              <w:top w:val="nil"/>
              <w:bottom w:val="nil"/>
            </w:tcBorders>
          </w:tcPr>
          <w:p w:rsidR="00DC3DFF" w:rsidRPr="002B4AB6" w:rsidRDefault="00DC3DFF" w:rsidP="00315D1C">
            <w:pPr>
              <w:pStyle w:val="Tabletext"/>
              <w:keepNext/>
              <w:keepLines/>
              <w:widowControl w:val="0"/>
            </w:pPr>
          </w:p>
        </w:tc>
        <w:tc>
          <w:tcPr>
            <w:tcW w:w="1622" w:type="pct"/>
            <w:vMerge/>
            <w:tcBorders>
              <w:bottom w:val="nil"/>
            </w:tcBorders>
          </w:tcPr>
          <w:p w:rsidR="00DC3DFF" w:rsidRPr="002B4AB6" w:rsidRDefault="00DC3DFF" w:rsidP="00315D1C">
            <w:pPr>
              <w:pStyle w:val="Tabletext"/>
              <w:keepNext/>
              <w:keepLines/>
              <w:widowControl w:val="0"/>
              <w:rPr>
                <w:u w:val="single"/>
              </w:rPr>
            </w:pPr>
          </w:p>
        </w:tc>
      </w:tr>
      <w:tr w:rsidR="00DC3DFF" w:rsidRPr="002B4AB6" w:rsidTr="00B81F20">
        <w:tc>
          <w:tcPr>
            <w:tcW w:w="796" w:type="pct"/>
            <w:tcBorders>
              <w:top w:val="nil"/>
              <w:bottom w:val="nil"/>
            </w:tcBorders>
          </w:tcPr>
          <w:p w:rsidR="00DC3DFF" w:rsidRPr="002B4AB6" w:rsidRDefault="00DC3DFF" w:rsidP="00315D1C">
            <w:pPr>
              <w:pStyle w:val="Tabletext"/>
              <w:keepNext/>
              <w:keepLines/>
              <w:widowControl w:val="0"/>
            </w:pPr>
          </w:p>
        </w:tc>
        <w:tc>
          <w:tcPr>
            <w:tcW w:w="2582" w:type="pct"/>
            <w:tcBorders>
              <w:top w:val="nil"/>
              <w:bottom w:val="nil"/>
            </w:tcBorders>
          </w:tcPr>
          <w:p w:rsidR="00DC3DFF" w:rsidRPr="002B4AB6" w:rsidRDefault="00DC3DFF" w:rsidP="00315D1C">
            <w:pPr>
              <w:pStyle w:val="Tabletext"/>
              <w:keepNext/>
              <w:keepLines/>
              <w:widowControl w:val="0"/>
            </w:pPr>
          </w:p>
          <w:p w:rsidR="00DC3DFF" w:rsidRPr="002B4AB6" w:rsidRDefault="00DC3DFF" w:rsidP="00315D1C">
            <w:pPr>
              <w:pStyle w:val="Tabletext"/>
              <w:keepNext/>
              <w:keepLines/>
              <w:widowControl w:val="0"/>
            </w:pPr>
            <w:r w:rsidRPr="002B4AB6">
              <w:t xml:space="preserve">Michot et al. KEYNOTE-170: Phase II Study of Pembrolizumab in Patients with Relapsed/Refractory Primary Mediastinal Large B Cell Lymphoma (R/R PMBCL) or relapsed or refractory Richter syndrome (rrRS). </w:t>
            </w:r>
          </w:p>
        </w:tc>
        <w:tc>
          <w:tcPr>
            <w:tcW w:w="1622" w:type="pct"/>
            <w:tcBorders>
              <w:top w:val="nil"/>
              <w:bottom w:val="nil"/>
            </w:tcBorders>
          </w:tcPr>
          <w:p w:rsidR="00DC3DFF" w:rsidRPr="002B4AB6" w:rsidRDefault="00DC3DFF" w:rsidP="00315D1C">
            <w:pPr>
              <w:pStyle w:val="Tabletext"/>
              <w:keepNext/>
              <w:keepLines/>
              <w:widowControl w:val="0"/>
            </w:pPr>
          </w:p>
          <w:p w:rsidR="00DC3DFF" w:rsidRPr="002B4AB6" w:rsidRDefault="00DC3DFF" w:rsidP="00315D1C">
            <w:pPr>
              <w:pStyle w:val="Tabletext"/>
              <w:keepNext/>
              <w:keepLines/>
              <w:widowControl w:val="0"/>
            </w:pPr>
            <w:r w:rsidRPr="002B4AB6">
              <w:rPr>
                <w:i/>
              </w:rPr>
              <w:t>Journal for ImmunoTherapy of Cancer</w:t>
            </w:r>
            <w:r w:rsidRPr="002B4AB6">
              <w:t xml:space="preserve"> 2016; 4 (Supplement 1).</w:t>
            </w:r>
          </w:p>
        </w:tc>
      </w:tr>
      <w:tr w:rsidR="00DC3DFF" w:rsidRPr="002B4AB6" w:rsidTr="00B81F20">
        <w:tc>
          <w:tcPr>
            <w:tcW w:w="796" w:type="pct"/>
            <w:tcBorders>
              <w:top w:val="nil"/>
              <w:bottom w:val="nil"/>
            </w:tcBorders>
          </w:tcPr>
          <w:p w:rsidR="00DC3DFF" w:rsidRPr="002B4AB6" w:rsidRDefault="00DC3DFF" w:rsidP="00315D1C">
            <w:pPr>
              <w:pStyle w:val="Tabletext"/>
              <w:keepNext/>
              <w:keepLines/>
              <w:widowControl w:val="0"/>
            </w:pPr>
          </w:p>
        </w:tc>
        <w:tc>
          <w:tcPr>
            <w:tcW w:w="2582" w:type="pct"/>
            <w:tcBorders>
              <w:top w:val="nil"/>
              <w:bottom w:val="nil"/>
            </w:tcBorders>
          </w:tcPr>
          <w:p w:rsidR="00DC3DFF" w:rsidRPr="002B4AB6" w:rsidRDefault="00DC3DFF" w:rsidP="00315D1C">
            <w:pPr>
              <w:pStyle w:val="Tabletext"/>
              <w:keepNext/>
              <w:keepLines/>
              <w:widowControl w:val="0"/>
            </w:pPr>
          </w:p>
          <w:p w:rsidR="00DC3DFF" w:rsidRPr="002B4AB6" w:rsidRDefault="00DC3DFF" w:rsidP="00315D1C">
            <w:pPr>
              <w:pStyle w:val="Tabletext"/>
              <w:keepNext/>
              <w:keepLines/>
              <w:widowControl w:val="0"/>
            </w:pPr>
            <w:r w:rsidRPr="002B4AB6">
              <w:t xml:space="preserve">Michot et al. Pembrolizumab in patients with relapsed/refractory primary mediastinal large B-cell lymphoma (R/R PMBCL) or relapsed or refractory Richter syndrome (rrRS): Phase 2 KEYNOTE-170 study. </w:t>
            </w:r>
          </w:p>
        </w:tc>
        <w:tc>
          <w:tcPr>
            <w:tcW w:w="1622" w:type="pct"/>
            <w:tcBorders>
              <w:top w:val="nil"/>
              <w:bottom w:val="nil"/>
            </w:tcBorders>
          </w:tcPr>
          <w:p w:rsidR="00DC3DFF" w:rsidRPr="002B4AB6" w:rsidRDefault="00DC3DFF" w:rsidP="00315D1C">
            <w:pPr>
              <w:pStyle w:val="Tabletext"/>
              <w:keepNext/>
              <w:keepLines/>
              <w:widowControl w:val="0"/>
              <w:rPr>
                <w:i/>
              </w:rPr>
            </w:pPr>
          </w:p>
          <w:p w:rsidR="00DC3DFF" w:rsidRPr="002B4AB6" w:rsidRDefault="00DC3DFF" w:rsidP="00315D1C">
            <w:pPr>
              <w:pStyle w:val="Tabletext"/>
              <w:keepNext/>
              <w:keepLines/>
              <w:widowControl w:val="0"/>
            </w:pPr>
            <w:r w:rsidRPr="002B4AB6">
              <w:rPr>
                <w:i/>
              </w:rPr>
              <w:t>Annals of Oncology</w:t>
            </w:r>
            <w:r w:rsidRPr="002B4AB6">
              <w:t xml:space="preserve"> 2016; Volume 27, Issue suppl_6, 944TiP.</w:t>
            </w:r>
          </w:p>
        </w:tc>
      </w:tr>
      <w:tr w:rsidR="00DC3DFF" w:rsidRPr="002B4AB6" w:rsidTr="00B81F20">
        <w:tc>
          <w:tcPr>
            <w:tcW w:w="796" w:type="pct"/>
            <w:tcBorders>
              <w:top w:val="nil"/>
            </w:tcBorders>
          </w:tcPr>
          <w:p w:rsidR="00DC3DFF" w:rsidRPr="002B4AB6" w:rsidRDefault="00DC3DFF" w:rsidP="00315D1C">
            <w:pPr>
              <w:pStyle w:val="Tabletext"/>
              <w:keepNext/>
              <w:keepLines/>
              <w:widowControl w:val="0"/>
            </w:pPr>
          </w:p>
        </w:tc>
        <w:tc>
          <w:tcPr>
            <w:tcW w:w="2582" w:type="pct"/>
            <w:tcBorders>
              <w:top w:val="nil"/>
            </w:tcBorders>
          </w:tcPr>
          <w:p w:rsidR="00DC3DFF" w:rsidRPr="002B4AB6" w:rsidRDefault="00DC3DFF" w:rsidP="00315D1C">
            <w:pPr>
              <w:pStyle w:val="Tabletext"/>
              <w:keepNext/>
              <w:keepLines/>
              <w:widowControl w:val="0"/>
            </w:pPr>
          </w:p>
          <w:p w:rsidR="00DC3DFF" w:rsidRPr="002B4AB6" w:rsidRDefault="00DC3DFF" w:rsidP="00315D1C">
            <w:pPr>
              <w:pStyle w:val="Tabletext"/>
              <w:keepNext/>
              <w:keepLines/>
              <w:widowControl w:val="0"/>
            </w:pPr>
            <w:r w:rsidRPr="002B4AB6">
              <w:t xml:space="preserve">Zinzani et al. Efficacy and Safety of Pembrolizumab in Relapsed/Refractory Primary Mediastinal Large B-cell Lymphoma (R/R PMBCL): Interim analysis of the KEYNOTE-170 Phase 2 Trial. </w:t>
            </w:r>
          </w:p>
        </w:tc>
        <w:tc>
          <w:tcPr>
            <w:tcW w:w="1622" w:type="pct"/>
            <w:tcBorders>
              <w:top w:val="nil"/>
            </w:tcBorders>
          </w:tcPr>
          <w:p w:rsidR="00DC3DFF" w:rsidRPr="002B4AB6" w:rsidRDefault="00DC3DFF" w:rsidP="00315D1C">
            <w:pPr>
              <w:pStyle w:val="Tabletext"/>
              <w:keepNext/>
              <w:keepLines/>
              <w:widowControl w:val="0"/>
              <w:rPr>
                <w:i/>
              </w:rPr>
            </w:pPr>
          </w:p>
          <w:p w:rsidR="00DC3DFF" w:rsidRPr="002B4AB6" w:rsidRDefault="00DC3DFF" w:rsidP="00315D1C">
            <w:pPr>
              <w:pStyle w:val="Tabletext"/>
              <w:keepNext/>
              <w:keepLines/>
              <w:widowControl w:val="0"/>
            </w:pPr>
            <w:r w:rsidRPr="002B4AB6">
              <w:rPr>
                <w:i/>
              </w:rPr>
              <w:t>Hematological Oncology</w:t>
            </w:r>
            <w:r w:rsidRPr="002B4AB6">
              <w:t xml:space="preserve"> 2170; 35 (Supplement 2).</w:t>
            </w:r>
          </w:p>
        </w:tc>
      </w:tr>
      <w:tr w:rsidR="00DC3DFF" w:rsidRPr="002B4AB6" w:rsidTr="00B81F20">
        <w:tc>
          <w:tcPr>
            <w:tcW w:w="5000" w:type="pct"/>
            <w:gridSpan w:val="3"/>
            <w:tcBorders>
              <w:top w:val="nil"/>
            </w:tcBorders>
          </w:tcPr>
          <w:p w:rsidR="00DC3DFF" w:rsidRPr="002B4AB6" w:rsidRDefault="00DC3DFF" w:rsidP="00315D1C">
            <w:pPr>
              <w:pStyle w:val="Tabletext"/>
              <w:keepNext/>
              <w:keepLines/>
              <w:widowControl w:val="0"/>
              <w:rPr>
                <w:i/>
              </w:rPr>
            </w:pPr>
            <w:r w:rsidRPr="002B4AB6">
              <w:t>Salvage chemotherapy as standard of care (SOC)</w:t>
            </w:r>
          </w:p>
        </w:tc>
      </w:tr>
      <w:tr w:rsidR="003961B2" w:rsidRPr="002B4AB6" w:rsidTr="00B81F20">
        <w:tc>
          <w:tcPr>
            <w:tcW w:w="796" w:type="pct"/>
          </w:tcPr>
          <w:p w:rsidR="003961B2" w:rsidRPr="002B4AB6" w:rsidRDefault="003961B2" w:rsidP="00315D1C">
            <w:pPr>
              <w:pStyle w:val="Tabletext"/>
              <w:keepNext/>
              <w:keepLines/>
              <w:widowControl w:val="0"/>
            </w:pPr>
            <w:r w:rsidRPr="002B4AB6">
              <w:t>Kuruvilla 2008</w:t>
            </w:r>
          </w:p>
        </w:tc>
        <w:tc>
          <w:tcPr>
            <w:tcW w:w="2582" w:type="pct"/>
          </w:tcPr>
          <w:p w:rsidR="003961B2" w:rsidRPr="002B4AB6" w:rsidRDefault="003961B2" w:rsidP="00315D1C">
            <w:pPr>
              <w:pStyle w:val="Tabletext"/>
              <w:keepNext/>
              <w:keepLines/>
              <w:widowControl w:val="0"/>
            </w:pPr>
            <w:r w:rsidRPr="002B4AB6">
              <w:t>Kuruvilla, J., Pintilie, M., Tsang, R., Nagy, T., Keating, A. and Crump, M. Salvage chemotherapy and autologous stem cell transplantation are inferior for relapsed or refractory primary mediastinal large B-cell lymphoma compared with diffuse large B-cell lymphoma.</w:t>
            </w:r>
          </w:p>
        </w:tc>
        <w:tc>
          <w:tcPr>
            <w:tcW w:w="1622" w:type="pct"/>
          </w:tcPr>
          <w:p w:rsidR="003961B2" w:rsidRPr="002B4AB6" w:rsidRDefault="003961B2" w:rsidP="00315D1C">
            <w:pPr>
              <w:pStyle w:val="Tabletext"/>
              <w:keepNext/>
              <w:keepLines/>
              <w:widowControl w:val="0"/>
              <w:rPr>
                <w:i/>
                <w:u w:val="single"/>
              </w:rPr>
            </w:pPr>
            <w:r w:rsidRPr="002B4AB6">
              <w:rPr>
                <w:szCs w:val="18"/>
              </w:rPr>
              <w:t>Leukemia and Lymphoma 2008; 49(7): pp.1329-1336</w:t>
            </w:r>
          </w:p>
        </w:tc>
      </w:tr>
      <w:tr w:rsidR="00DC3DFF" w:rsidRPr="002B4AB6" w:rsidTr="00B81F20">
        <w:tc>
          <w:tcPr>
            <w:tcW w:w="796" w:type="pct"/>
          </w:tcPr>
          <w:p w:rsidR="00DC3DFF" w:rsidRPr="002B4AB6" w:rsidRDefault="00813B24" w:rsidP="00315D1C">
            <w:pPr>
              <w:pStyle w:val="Tabletext"/>
              <w:keepNext/>
              <w:keepLines/>
              <w:widowControl w:val="0"/>
              <w:rPr>
                <w:u w:val="single"/>
              </w:rPr>
            </w:pPr>
            <w:r w:rsidRPr="002B4AB6">
              <w:rPr>
                <w:u w:val="single"/>
              </w:rPr>
              <w:t>Vardhana 2018</w:t>
            </w:r>
          </w:p>
        </w:tc>
        <w:tc>
          <w:tcPr>
            <w:tcW w:w="2582" w:type="pct"/>
          </w:tcPr>
          <w:p w:rsidR="00DC3DFF" w:rsidRPr="002B4AB6" w:rsidRDefault="00DC3DFF" w:rsidP="00315D1C">
            <w:pPr>
              <w:pStyle w:val="Tabletext"/>
              <w:keepNext/>
              <w:keepLines/>
              <w:widowControl w:val="0"/>
              <w:rPr>
                <w:u w:val="single"/>
              </w:rPr>
            </w:pPr>
            <w:r w:rsidRPr="002B4AB6">
              <w:rPr>
                <w:u w:val="single"/>
              </w:rPr>
              <w:t xml:space="preserve">Vardhana et al. Outcomes of Relapsed and Refractory Primary Mediastinal (Thymic) Large B Cell Lymphoma Treated with Second-Line Therapy and Intent to Transplant. </w:t>
            </w:r>
          </w:p>
        </w:tc>
        <w:tc>
          <w:tcPr>
            <w:tcW w:w="1622" w:type="pct"/>
          </w:tcPr>
          <w:p w:rsidR="00DC3DFF" w:rsidRPr="002B4AB6" w:rsidRDefault="00DC3DFF" w:rsidP="00315D1C">
            <w:pPr>
              <w:pStyle w:val="Tabletext"/>
              <w:keepNext/>
              <w:keepLines/>
              <w:widowControl w:val="0"/>
              <w:rPr>
                <w:u w:val="single"/>
              </w:rPr>
            </w:pPr>
            <w:r w:rsidRPr="002B4AB6">
              <w:rPr>
                <w:i/>
                <w:u w:val="single"/>
              </w:rPr>
              <w:t xml:space="preserve">Biology of Blood and Marrow Transplantation </w:t>
            </w:r>
            <w:r w:rsidRPr="002B4AB6">
              <w:rPr>
                <w:u w:val="single"/>
              </w:rPr>
              <w:t>2018; 24 (10), pp. 2133-2138. </w:t>
            </w:r>
          </w:p>
        </w:tc>
      </w:tr>
    </w:tbl>
    <w:p w:rsidR="00DC3DFF" w:rsidRPr="002B4AB6" w:rsidRDefault="00DC3DFF" w:rsidP="00315D1C">
      <w:pPr>
        <w:pStyle w:val="TableFigureFooter"/>
        <w:keepNext/>
        <w:keepLines/>
        <w:widowControl w:val="0"/>
      </w:pPr>
      <w:r w:rsidRPr="002B4AB6">
        <w:t>Source: Modified from Tables 2.2.1 and 2.2.2, pp29-31 of the resubmission.</w:t>
      </w:r>
    </w:p>
    <w:p w:rsidR="00DC3DFF" w:rsidRPr="002B4AB6" w:rsidRDefault="00DC3DFF" w:rsidP="00315D1C">
      <w:pPr>
        <w:pStyle w:val="TableFigureFooter"/>
        <w:keepNext/>
        <w:keepLines/>
        <w:widowControl w:val="0"/>
      </w:pPr>
      <w:r w:rsidRPr="002B4AB6">
        <w:rPr>
          <w:u w:val="single"/>
        </w:rPr>
        <w:t>Underlined represents additional evidence (updated efficacy for KN170 for the May 2019 data cut-off and a</w:t>
      </w:r>
      <w:r w:rsidR="003961B2" w:rsidRPr="002B4AB6">
        <w:rPr>
          <w:u w:val="single"/>
        </w:rPr>
        <w:t xml:space="preserve">n additional </w:t>
      </w:r>
      <w:r w:rsidRPr="002B4AB6">
        <w:rPr>
          <w:u w:val="single"/>
        </w:rPr>
        <w:t>study for SOC by Vardhana et al (2018)</w:t>
      </w:r>
      <w:r w:rsidRPr="002B4AB6">
        <w:t>).</w:t>
      </w:r>
    </w:p>
    <w:p w:rsidR="00DC3DFF" w:rsidRPr="002B4AB6" w:rsidRDefault="00DC3DFF" w:rsidP="00DC3DFF">
      <w:pPr>
        <w:pStyle w:val="TableFigureFooter"/>
        <w:rPr>
          <w:sz w:val="20"/>
        </w:rPr>
      </w:pPr>
    </w:p>
    <w:p w:rsidR="00DC3DFF" w:rsidRPr="002B4AB6" w:rsidRDefault="00DC3DFF" w:rsidP="00DC3DFF">
      <w:pPr>
        <w:pStyle w:val="3-BodyText"/>
      </w:pPr>
      <w:r w:rsidRPr="002B4AB6">
        <w:t xml:space="preserve">The key features of the included evidence are summarised in the table below. </w:t>
      </w:r>
    </w:p>
    <w:p w:rsidR="00DC3DFF" w:rsidRPr="002B4AB6" w:rsidRDefault="00DC3DFF" w:rsidP="00DC3DFF">
      <w:pPr>
        <w:pStyle w:val="TableFigureHeading"/>
        <w:rPr>
          <w:rStyle w:val="CommentReference"/>
          <w:b/>
          <w:szCs w:val="24"/>
        </w:rPr>
      </w:pPr>
      <w:r w:rsidRPr="002B4AB6">
        <w:lastRenderedPageBreak/>
        <w:t xml:space="preserve">Table </w:t>
      </w:r>
      <w:r w:rsidR="002B39A5" w:rsidRPr="000829C9">
        <w:t>4</w:t>
      </w:r>
      <w:r w:rsidRPr="002B4AB6">
        <w:t xml:space="preserve">: </w:t>
      </w:r>
      <w:r w:rsidRPr="002B4AB6">
        <w:rPr>
          <w:rStyle w:val="CommentReference"/>
          <w:b/>
          <w:szCs w:val="24"/>
        </w:rPr>
        <w:t xml:space="preserve">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10"/>
        <w:gridCol w:w="853"/>
        <w:gridCol w:w="1426"/>
        <w:gridCol w:w="817"/>
        <w:gridCol w:w="2393"/>
        <w:gridCol w:w="896"/>
        <w:gridCol w:w="1322"/>
      </w:tblGrid>
      <w:tr w:rsidR="00DC3DFF" w:rsidRPr="002B4AB6" w:rsidTr="004B699C">
        <w:trPr>
          <w:tblHeader/>
        </w:trPr>
        <w:tc>
          <w:tcPr>
            <w:tcW w:w="726" w:type="pct"/>
            <w:shd w:val="clear" w:color="auto" w:fill="auto"/>
            <w:vAlign w:val="center"/>
          </w:tcPr>
          <w:p w:rsidR="00DC3DFF" w:rsidRPr="00492CD9" w:rsidRDefault="00DC3DFF" w:rsidP="004B699C">
            <w:pPr>
              <w:pStyle w:val="In-tableHeading"/>
              <w:rPr>
                <w:lang w:val="en-AU"/>
              </w:rPr>
            </w:pPr>
            <w:r w:rsidRPr="00492CD9">
              <w:rPr>
                <w:lang w:val="en-AU"/>
              </w:rPr>
              <w:t>Study</w:t>
            </w:r>
          </w:p>
        </w:tc>
        <w:tc>
          <w:tcPr>
            <w:tcW w:w="473" w:type="pct"/>
            <w:shd w:val="clear" w:color="auto" w:fill="auto"/>
            <w:vAlign w:val="center"/>
          </w:tcPr>
          <w:p w:rsidR="00DC3DFF" w:rsidRPr="002B4AB6" w:rsidRDefault="00DC3DFF" w:rsidP="004B699C">
            <w:pPr>
              <w:pStyle w:val="In-tableHeading"/>
              <w:jc w:val="center"/>
              <w:rPr>
                <w:lang w:val="en-AU"/>
              </w:rPr>
            </w:pPr>
            <w:r w:rsidRPr="002B4AB6">
              <w:rPr>
                <w:lang w:val="en-AU"/>
              </w:rPr>
              <w:t>N</w:t>
            </w:r>
          </w:p>
        </w:tc>
        <w:tc>
          <w:tcPr>
            <w:tcW w:w="791" w:type="pct"/>
            <w:shd w:val="clear" w:color="auto" w:fill="auto"/>
            <w:vAlign w:val="center"/>
          </w:tcPr>
          <w:p w:rsidR="00DC3DFF" w:rsidRPr="002B4AB6" w:rsidRDefault="00DC3DFF" w:rsidP="004B699C">
            <w:pPr>
              <w:pStyle w:val="In-tableHeading"/>
              <w:jc w:val="center"/>
              <w:rPr>
                <w:lang w:val="en-AU"/>
              </w:rPr>
            </w:pPr>
            <w:r w:rsidRPr="002B4AB6">
              <w:rPr>
                <w:lang w:val="en-AU"/>
              </w:rPr>
              <w:t>Design/ duration</w:t>
            </w:r>
          </w:p>
        </w:tc>
        <w:tc>
          <w:tcPr>
            <w:tcW w:w="453" w:type="pct"/>
            <w:shd w:val="clear" w:color="auto" w:fill="auto"/>
            <w:vAlign w:val="center"/>
          </w:tcPr>
          <w:p w:rsidR="00DC3DFF" w:rsidRPr="002B4AB6" w:rsidRDefault="00DC3DFF" w:rsidP="004B699C">
            <w:pPr>
              <w:pStyle w:val="In-tableHeading"/>
              <w:jc w:val="center"/>
              <w:rPr>
                <w:vertAlign w:val="superscript"/>
                <w:lang w:val="en-AU"/>
              </w:rPr>
            </w:pPr>
            <w:r w:rsidRPr="002B4AB6">
              <w:rPr>
                <w:lang w:val="en-AU"/>
              </w:rPr>
              <w:t>Risk of bias</w:t>
            </w:r>
            <w:r w:rsidR="000840B4" w:rsidRPr="002B4AB6">
              <w:rPr>
                <w:vertAlign w:val="superscript"/>
                <w:lang w:val="en-AU"/>
              </w:rPr>
              <w:t>a</w:t>
            </w:r>
          </w:p>
        </w:tc>
        <w:tc>
          <w:tcPr>
            <w:tcW w:w="1327" w:type="pct"/>
            <w:shd w:val="clear" w:color="auto" w:fill="auto"/>
            <w:vAlign w:val="center"/>
          </w:tcPr>
          <w:p w:rsidR="00DC3DFF" w:rsidRPr="002B4AB6" w:rsidRDefault="00DC3DFF" w:rsidP="004B699C">
            <w:pPr>
              <w:pStyle w:val="In-tableHeading"/>
              <w:jc w:val="center"/>
              <w:rPr>
                <w:lang w:val="en-AU"/>
              </w:rPr>
            </w:pPr>
            <w:r w:rsidRPr="002B4AB6">
              <w:rPr>
                <w:lang w:val="en-AU"/>
              </w:rPr>
              <w:t>Patient population</w:t>
            </w:r>
          </w:p>
        </w:tc>
        <w:tc>
          <w:tcPr>
            <w:tcW w:w="497" w:type="pct"/>
            <w:shd w:val="clear" w:color="auto" w:fill="auto"/>
            <w:vAlign w:val="center"/>
          </w:tcPr>
          <w:p w:rsidR="00DC3DFF" w:rsidRPr="002B4AB6" w:rsidRDefault="00DC3DFF" w:rsidP="004B699C">
            <w:pPr>
              <w:pStyle w:val="In-tableHeading"/>
              <w:jc w:val="center"/>
              <w:rPr>
                <w:lang w:val="en-AU"/>
              </w:rPr>
            </w:pPr>
            <w:r w:rsidRPr="002B4AB6">
              <w:rPr>
                <w:lang w:val="en-AU"/>
              </w:rPr>
              <w:t>Outcomes</w:t>
            </w:r>
          </w:p>
        </w:tc>
        <w:tc>
          <w:tcPr>
            <w:tcW w:w="733" w:type="pct"/>
            <w:shd w:val="clear" w:color="auto" w:fill="auto"/>
            <w:vAlign w:val="center"/>
          </w:tcPr>
          <w:p w:rsidR="00DC3DFF" w:rsidRPr="002B4AB6" w:rsidRDefault="00DC3DFF" w:rsidP="004B699C">
            <w:pPr>
              <w:pStyle w:val="In-tableHeading"/>
              <w:jc w:val="center"/>
              <w:rPr>
                <w:lang w:val="en-AU"/>
              </w:rPr>
            </w:pPr>
            <w:r w:rsidRPr="002B4AB6">
              <w:rPr>
                <w:lang w:val="en-AU"/>
              </w:rPr>
              <w:t>Use in modelled evaluation</w:t>
            </w:r>
          </w:p>
        </w:tc>
      </w:tr>
      <w:tr w:rsidR="00DC3DFF" w:rsidRPr="002B4AB6" w:rsidTr="004B699C">
        <w:tc>
          <w:tcPr>
            <w:tcW w:w="5000" w:type="pct"/>
            <w:gridSpan w:val="7"/>
            <w:shd w:val="clear" w:color="auto" w:fill="auto"/>
            <w:vAlign w:val="center"/>
          </w:tcPr>
          <w:p w:rsidR="00DC3DFF" w:rsidRPr="002B4AB6" w:rsidRDefault="00DC3DFF" w:rsidP="004B699C">
            <w:pPr>
              <w:pStyle w:val="In-tableHeading"/>
              <w:rPr>
                <w:lang w:val="en-AU"/>
              </w:rPr>
            </w:pPr>
            <w:r w:rsidRPr="002B4AB6">
              <w:rPr>
                <w:lang w:val="en-AU"/>
              </w:rPr>
              <w:t>Pembrolizumab</w:t>
            </w:r>
          </w:p>
        </w:tc>
      </w:tr>
      <w:tr w:rsidR="000840B4" w:rsidRPr="002B4AB6" w:rsidTr="004B699C">
        <w:tc>
          <w:tcPr>
            <w:tcW w:w="726" w:type="pct"/>
            <w:shd w:val="clear" w:color="auto" w:fill="auto"/>
            <w:vAlign w:val="center"/>
          </w:tcPr>
          <w:p w:rsidR="000840B4" w:rsidRPr="002B4AB6" w:rsidRDefault="000840B4" w:rsidP="003961B2">
            <w:pPr>
              <w:pStyle w:val="TableText0"/>
            </w:pPr>
            <w:r w:rsidRPr="000829C9">
              <w:t>KN013</w:t>
            </w:r>
          </w:p>
        </w:tc>
        <w:tc>
          <w:tcPr>
            <w:tcW w:w="473" w:type="pct"/>
            <w:shd w:val="clear" w:color="auto" w:fill="auto"/>
            <w:vAlign w:val="center"/>
          </w:tcPr>
          <w:p w:rsidR="000840B4" w:rsidRPr="002B4AB6" w:rsidRDefault="000840B4" w:rsidP="003961B2">
            <w:pPr>
              <w:pStyle w:val="TableText0"/>
              <w:jc w:val="center"/>
            </w:pPr>
            <w:r w:rsidRPr="000829C9">
              <w:t>21</w:t>
            </w:r>
          </w:p>
        </w:tc>
        <w:tc>
          <w:tcPr>
            <w:tcW w:w="791" w:type="pct"/>
            <w:shd w:val="clear" w:color="auto" w:fill="auto"/>
            <w:vAlign w:val="center"/>
          </w:tcPr>
          <w:p w:rsidR="000840B4" w:rsidRPr="000829C9" w:rsidRDefault="000840B4" w:rsidP="003961B2">
            <w:pPr>
              <w:pStyle w:val="Tabletext"/>
              <w:keepNext/>
              <w:keepLines/>
            </w:pPr>
            <w:r w:rsidRPr="000829C9">
              <w:t>Single-arm, OL, Phase I, MC.</w:t>
            </w:r>
          </w:p>
          <w:p w:rsidR="000840B4" w:rsidRPr="002B4AB6" w:rsidRDefault="000840B4" w:rsidP="00315D1C">
            <w:pPr>
              <w:pStyle w:val="TableText0"/>
            </w:pPr>
            <w:r w:rsidRPr="000829C9">
              <w:t>Median follow-up 17.1 months</w:t>
            </w:r>
          </w:p>
        </w:tc>
        <w:tc>
          <w:tcPr>
            <w:tcW w:w="453" w:type="pct"/>
            <w:vMerge w:val="restart"/>
            <w:shd w:val="clear" w:color="auto" w:fill="auto"/>
            <w:vAlign w:val="center"/>
          </w:tcPr>
          <w:p w:rsidR="000840B4" w:rsidRPr="002B4AB6" w:rsidRDefault="000840B4" w:rsidP="003961B2">
            <w:pPr>
              <w:pStyle w:val="TableText0"/>
              <w:jc w:val="center"/>
            </w:pPr>
          </w:p>
          <w:p w:rsidR="000840B4" w:rsidRPr="00492CD9" w:rsidRDefault="000840B4" w:rsidP="004B699C">
            <w:pPr>
              <w:pStyle w:val="TableText0"/>
              <w:jc w:val="center"/>
            </w:pPr>
            <w:r w:rsidRPr="00492CD9">
              <w:t>High</w:t>
            </w:r>
          </w:p>
        </w:tc>
        <w:tc>
          <w:tcPr>
            <w:tcW w:w="1327" w:type="pct"/>
            <w:shd w:val="clear" w:color="auto" w:fill="auto"/>
            <w:vAlign w:val="center"/>
          </w:tcPr>
          <w:p w:rsidR="000840B4" w:rsidRPr="000829C9" w:rsidRDefault="000840B4" w:rsidP="003961B2">
            <w:pPr>
              <w:pStyle w:val="Tabletext"/>
              <w:keepNext/>
              <w:keepLines/>
            </w:pPr>
            <w:r w:rsidRPr="000829C9">
              <w:t xml:space="preserve">Age 18 years and older; R/R PMBCL; </w:t>
            </w:r>
          </w:p>
          <w:p w:rsidR="000840B4" w:rsidRPr="000829C9" w:rsidRDefault="000840B4" w:rsidP="003961B2">
            <w:pPr>
              <w:pStyle w:val="Tabletext"/>
              <w:keepNext/>
              <w:keepLines/>
            </w:pPr>
            <w:r w:rsidRPr="000829C9">
              <w:t xml:space="preserve">ineligible for or refused ASCT (100% at baseline); </w:t>
            </w:r>
          </w:p>
          <w:p w:rsidR="000840B4" w:rsidRPr="000829C9" w:rsidRDefault="000840B4" w:rsidP="003961B2">
            <w:pPr>
              <w:pStyle w:val="Tabletext"/>
              <w:keepNext/>
              <w:keepLines/>
            </w:pPr>
            <w:r w:rsidRPr="000829C9">
              <w:t xml:space="preserve">prior transplant status (38.1%); </w:t>
            </w:r>
          </w:p>
          <w:p w:rsidR="000840B4" w:rsidRPr="000829C9" w:rsidRDefault="000840B4" w:rsidP="003961B2">
            <w:pPr>
              <w:pStyle w:val="Tabletext"/>
              <w:keepNext/>
              <w:keepLines/>
            </w:pPr>
            <w:r w:rsidRPr="000829C9">
              <w:t>prior rituximab therapy (95.2%);</w:t>
            </w:r>
          </w:p>
          <w:p w:rsidR="000840B4" w:rsidRPr="002B4AB6" w:rsidRDefault="000840B4" w:rsidP="003961B2">
            <w:pPr>
              <w:pStyle w:val="TableText0"/>
            </w:pPr>
            <w:r w:rsidRPr="000829C9">
              <w:t>median number of prior therapy lines = 3 [range: 2-9].</w:t>
            </w:r>
          </w:p>
        </w:tc>
        <w:tc>
          <w:tcPr>
            <w:tcW w:w="497" w:type="pct"/>
            <w:shd w:val="clear" w:color="auto" w:fill="auto"/>
            <w:vAlign w:val="center"/>
          </w:tcPr>
          <w:p w:rsidR="000840B4" w:rsidRPr="002B4AB6" w:rsidRDefault="000840B4" w:rsidP="003961B2">
            <w:pPr>
              <w:pStyle w:val="TableText0"/>
              <w:jc w:val="center"/>
            </w:pPr>
            <w:r w:rsidRPr="000829C9">
              <w:t>ORR (CR, PR), DoR, PFS, OS</w:t>
            </w:r>
          </w:p>
        </w:tc>
        <w:tc>
          <w:tcPr>
            <w:tcW w:w="733" w:type="pct"/>
            <w:shd w:val="clear" w:color="auto" w:fill="auto"/>
            <w:vAlign w:val="center"/>
          </w:tcPr>
          <w:p w:rsidR="000840B4" w:rsidRPr="002B4AB6" w:rsidRDefault="000840B4" w:rsidP="003961B2">
            <w:pPr>
              <w:pStyle w:val="TableText0"/>
              <w:jc w:val="center"/>
            </w:pPr>
            <w:r w:rsidRPr="000829C9">
              <w:t>Not used</w:t>
            </w:r>
          </w:p>
        </w:tc>
      </w:tr>
      <w:tr w:rsidR="000840B4" w:rsidRPr="002B4AB6" w:rsidTr="004B699C">
        <w:tc>
          <w:tcPr>
            <w:tcW w:w="726" w:type="pct"/>
            <w:shd w:val="clear" w:color="auto" w:fill="auto"/>
            <w:vAlign w:val="center"/>
          </w:tcPr>
          <w:p w:rsidR="000840B4" w:rsidRPr="002B4AB6" w:rsidRDefault="000840B4" w:rsidP="004B699C">
            <w:pPr>
              <w:pStyle w:val="TableText0"/>
            </w:pPr>
            <w:r w:rsidRPr="002B4AB6">
              <w:t>KN170</w:t>
            </w:r>
          </w:p>
        </w:tc>
        <w:tc>
          <w:tcPr>
            <w:tcW w:w="473" w:type="pct"/>
            <w:shd w:val="clear" w:color="auto" w:fill="auto"/>
            <w:vAlign w:val="center"/>
          </w:tcPr>
          <w:p w:rsidR="000840B4" w:rsidRPr="002B4AB6" w:rsidRDefault="000840B4" w:rsidP="004B699C">
            <w:pPr>
              <w:pStyle w:val="TableText0"/>
              <w:jc w:val="center"/>
            </w:pPr>
            <w:r w:rsidRPr="002B4AB6">
              <w:t>53</w:t>
            </w:r>
          </w:p>
        </w:tc>
        <w:tc>
          <w:tcPr>
            <w:tcW w:w="791" w:type="pct"/>
            <w:shd w:val="clear" w:color="auto" w:fill="auto"/>
            <w:vAlign w:val="center"/>
          </w:tcPr>
          <w:p w:rsidR="000840B4" w:rsidRPr="002B4AB6" w:rsidRDefault="000840B4" w:rsidP="00315D1C">
            <w:pPr>
              <w:pStyle w:val="TableText0"/>
            </w:pPr>
            <w:r w:rsidRPr="002B4AB6">
              <w:t>Single-arm, OL, Phase II, MC</w:t>
            </w:r>
            <w:r w:rsidRPr="002B4AB6">
              <w:br/>
              <w:t>Median follow-up</w:t>
            </w:r>
            <w:r w:rsidRPr="002B4AB6">
              <w:br/>
              <w:t>22.3 mths*</w:t>
            </w:r>
          </w:p>
        </w:tc>
        <w:tc>
          <w:tcPr>
            <w:tcW w:w="453" w:type="pct"/>
            <w:vMerge/>
            <w:shd w:val="clear" w:color="auto" w:fill="auto"/>
            <w:vAlign w:val="center"/>
          </w:tcPr>
          <w:p w:rsidR="000840B4" w:rsidRPr="002B4AB6" w:rsidRDefault="000840B4" w:rsidP="004B699C">
            <w:pPr>
              <w:pStyle w:val="TableText0"/>
              <w:jc w:val="center"/>
            </w:pPr>
          </w:p>
        </w:tc>
        <w:tc>
          <w:tcPr>
            <w:tcW w:w="1327" w:type="pct"/>
            <w:shd w:val="clear" w:color="auto" w:fill="auto"/>
            <w:vAlign w:val="center"/>
          </w:tcPr>
          <w:p w:rsidR="000840B4" w:rsidRPr="002B4AB6" w:rsidRDefault="000840B4" w:rsidP="00AC064F">
            <w:pPr>
              <w:pStyle w:val="TableText0"/>
            </w:pPr>
            <w:r w:rsidRPr="002B4AB6">
              <w:t>Adult R/R PMBCL; ineligible for or refused ASCT (100% at baseline)</w:t>
            </w:r>
            <w:r w:rsidRPr="002B4AB6">
              <w:rPr>
                <w:szCs w:val="22"/>
                <w:lang w:eastAsia="en-US"/>
              </w:rPr>
              <w:t xml:space="preserve"> </w:t>
            </w:r>
            <w:r w:rsidRPr="002B4AB6">
              <w:t xml:space="preserve">prior transplant status (38.1%); </w:t>
            </w:r>
            <w:r w:rsidRPr="002B4AB6">
              <w:br/>
              <w:t>prior rituximab therapy (95.2%); median number of prior therapy lines = 3 [range: 2-8].</w:t>
            </w:r>
          </w:p>
        </w:tc>
        <w:tc>
          <w:tcPr>
            <w:tcW w:w="497" w:type="pct"/>
            <w:shd w:val="clear" w:color="auto" w:fill="auto"/>
            <w:vAlign w:val="center"/>
          </w:tcPr>
          <w:p w:rsidR="000840B4" w:rsidRPr="002B4AB6" w:rsidRDefault="000840B4" w:rsidP="004B699C">
            <w:pPr>
              <w:pStyle w:val="TableText0"/>
              <w:jc w:val="center"/>
            </w:pPr>
            <w:r w:rsidRPr="002B4AB6">
              <w:t>ORR, OS, PFS</w:t>
            </w:r>
          </w:p>
        </w:tc>
        <w:tc>
          <w:tcPr>
            <w:tcW w:w="733" w:type="pct"/>
            <w:shd w:val="clear" w:color="auto" w:fill="auto"/>
            <w:vAlign w:val="center"/>
          </w:tcPr>
          <w:p w:rsidR="000840B4" w:rsidRPr="002B4AB6" w:rsidRDefault="000840B4" w:rsidP="004B699C">
            <w:pPr>
              <w:pStyle w:val="TableText0"/>
              <w:jc w:val="center"/>
            </w:pPr>
            <w:r w:rsidRPr="002B4AB6">
              <w:t>Used</w:t>
            </w:r>
          </w:p>
        </w:tc>
      </w:tr>
      <w:tr w:rsidR="00DC3DFF" w:rsidRPr="002B4AB6" w:rsidTr="004B699C">
        <w:tc>
          <w:tcPr>
            <w:tcW w:w="5000" w:type="pct"/>
            <w:gridSpan w:val="7"/>
            <w:shd w:val="clear" w:color="auto" w:fill="auto"/>
            <w:vAlign w:val="center"/>
          </w:tcPr>
          <w:p w:rsidR="00DC3DFF" w:rsidRPr="002B4AB6" w:rsidRDefault="00DC3DFF" w:rsidP="004B699C">
            <w:pPr>
              <w:pStyle w:val="In-tableHeading"/>
              <w:rPr>
                <w:lang w:val="en-AU"/>
              </w:rPr>
            </w:pPr>
            <w:r w:rsidRPr="002B4AB6">
              <w:rPr>
                <w:lang w:val="en-AU"/>
              </w:rPr>
              <w:t>SOC therapies</w:t>
            </w:r>
          </w:p>
        </w:tc>
      </w:tr>
      <w:tr w:rsidR="000840B4" w:rsidRPr="002B4AB6" w:rsidTr="004B699C">
        <w:tc>
          <w:tcPr>
            <w:tcW w:w="726" w:type="pct"/>
            <w:shd w:val="clear" w:color="auto" w:fill="auto"/>
            <w:vAlign w:val="center"/>
          </w:tcPr>
          <w:p w:rsidR="000840B4" w:rsidRPr="002B4AB6" w:rsidRDefault="000840B4" w:rsidP="003961B2">
            <w:pPr>
              <w:pStyle w:val="TableText0"/>
            </w:pPr>
            <w:r w:rsidRPr="000829C9">
              <w:t>Kuruvilla 2008</w:t>
            </w:r>
          </w:p>
        </w:tc>
        <w:tc>
          <w:tcPr>
            <w:tcW w:w="473" w:type="pct"/>
            <w:shd w:val="clear" w:color="auto" w:fill="auto"/>
            <w:vAlign w:val="center"/>
          </w:tcPr>
          <w:p w:rsidR="000840B4" w:rsidRPr="002B4AB6" w:rsidRDefault="000840B4" w:rsidP="003961B2">
            <w:pPr>
              <w:pStyle w:val="TableText0"/>
              <w:jc w:val="center"/>
            </w:pPr>
            <w:r w:rsidRPr="000829C9">
              <w:t>37</w:t>
            </w:r>
          </w:p>
        </w:tc>
        <w:tc>
          <w:tcPr>
            <w:tcW w:w="791" w:type="pct"/>
            <w:shd w:val="clear" w:color="auto" w:fill="auto"/>
            <w:vAlign w:val="center"/>
          </w:tcPr>
          <w:p w:rsidR="000840B4" w:rsidRPr="000829C9" w:rsidRDefault="000840B4" w:rsidP="003961B2">
            <w:pPr>
              <w:pStyle w:val="Tabletext"/>
              <w:keepNext/>
              <w:keepLines/>
            </w:pPr>
            <w:r w:rsidRPr="000829C9">
              <w:t>Retrospective, cohort observational, single-arm, OL</w:t>
            </w:r>
          </w:p>
          <w:p w:rsidR="000840B4" w:rsidRPr="000829C9" w:rsidRDefault="000840B4" w:rsidP="003961B2">
            <w:pPr>
              <w:pStyle w:val="Tabletext"/>
              <w:keepNext/>
              <w:keepLines/>
            </w:pPr>
            <w:r w:rsidRPr="000829C9">
              <w:t>Subgroup of post ASCT (n=8)</w:t>
            </w:r>
          </w:p>
          <w:p w:rsidR="000840B4" w:rsidRPr="002B4AB6" w:rsidRDefault="000840B4" w:rsidP="003961B2">
            <w:pPr>
              <w:pStyle w:val="TableText0"/>
            </w:pPr>
            <w:r w:rsidRPr="000829C9">
              <w:t>Median follow-up post ASCT 1.8 years</w:t>
            </w:r>
          </w:p>
        </w:tc>
        <w:tc>
          <w:tcPr>
            <w:tcW w:w="453" w:type="pct"/>
            <w:vMerge w:val="restart"/>
            <w:shd w:val="clear" w:color="auto" w:fill="auto"/>
            <w:vAlign w:val="center"/>
          </w:tcPr>
          <w:p w:rsidR="000840B4" w:rsidRPr="002B4AB6" w:rsidRDefault="000840B4" w:rsidP="003961B2">
            <w:pPr>
              <w:pStyle w:val="TableText0"/>
              <w:jc w:val="center"/>
            </w:pPr>
          </w:p>
          <w:p w:rsidR="000840B4" w:rsidRPr="00492CD9" w:rsidRDefault="000840B4" w:rsidP="004B699C">
            <w:pPr>
              <w:pStyle w:val="TableText0"/>
              <w:jc w:val="center"/>
            </w:pPr>
            <w:r w:rsidRPr="00492CD9">
              <w:t>High</w:t>
            </w:r>
          </w:p>
        </w:tc>
        <w:tc>
          <w:tcPr>
            <w:tcW w:w="1327" w:type="pct"/>
            <w:shd w:val="clear" w:color="auto" w:fill="auto"/>
            <w:vAlign w:val="center"/>
          </w:tcPr>
          <w:p w:rsidR="000840B4" w:rsidRPr="000829C9" w:rsidRDefault="000840B4" w:rsidP="003961B2">
            <w:pPr>
              <w:pStyle w:val="Tabletext"/>
              <w:keepNext/>
              <w:keepLines/>
            </w:pPr>
            <w:r w:rsidRPr="000829C9">
              <w:t xml:space="preserve">Age 18 years and older; R/R PMBCL to one prior chemotherapy; </w:t>
            </w:r>
          </w:p>
          <w:p w:rsidR="000840B4" w:rsidRPr="000829C9" w:rsidRDefault="000840B4" w:rsidP="003961B2">
            <w:pPr>
              <w:pStyle w:val="Tabletext"/>
              <w:keepNext/>
              <w:keepLines/>
            </w:pPr>
            <w:r w:rsidRPr="000829C9">
              <w:t xml:space="preserve">referred for salvage chemotherapy and subsequent ASCT (no prior transplant); </w:t>
            </w:r>
          </w:p>
          <w:p w:rsidR="000840B4" w:rsidRPr="000829C9" w:rsidRDefault="000840B4" w:rsidP="003961B2">
            <w:pPr>
              <w:pStyle w:val="Tabletext"/>
              <w:keepNext/>
              <w:keepLines/>
            </w:pPr>
            <w:r w:rsidRPr="000829C9">
              <w:t>prior rituximab therapy (3%).</w:t>
            </w:r>
          </w:p>
          <w:p w:rsidR="000840B4" w:rsidRPr="002B4AB6" w:rsidRDefault="000840B4" w:rsidP="003961B2">
            <w:pPr>
              <w:pStyle w:val="TableText0"/>
            </w:pPr>
            <w:r w:rsidRPr="000829C9">
              <w:t>Patients referred for salvage chemotherapy and ASCT between 1995-2004</w:t>
            </w:r>
          </w:p>
        </w:tc>
        <w:tc>
          <w:tcPr>
            <w:tcW w:w="497" w:type="pct"/>
            <w:shd w:val="clear" w:color="auto" w:fill="auto"/>
            <w:vAlign w:val="center"/>
          </w:tcPr>
          <w:p w:rsidR="000840B4" w:rsidRPr="000829C9" w:rsidRDefault="000840B4" w:rsidP="003961B2">
            <w:pPr>
              <w:pStyle w:val="Tabletext"/>
              <w:keepNext/>
              <w:keepLines/>
            </w:pPr>
            <w:r w:rsidRPr="000829C9">
              <w:t>ORR (CR, CRu, PR), OS.</w:t>
            </w:r>
          </w:p>
          <w:p w:rsidR="000840B4" w:rsidRPr="000829C9" w:rsidRDefault="000840B4" w:rsidP="003961B2">
            <w:pPr>
              <w:pStyle w:val="Tabletext"/>
              <w:keepNext/>
              <w:keepLines/>
            </w:pPr>
          </w:p>
          <w:p w:rsidR="000840B4" w:rsidRPr="002B4AB6" w:rsidRDefault="000840B4" w:rsidP="003961B2">
            <w:pPr>
              <w:pStyle w:val="TableText0"/>
            </w:pPr>
            <w:r w:rsidRPr="000829C9">
              <w:t>Subgroup of post ASCT patients: PFS and OS.</w:t>
            </w:r>
          </w:p>
        </w:tc>
        <w:tc>
          <w:tcPr>
            <w:tcW w:w="733" w:type="pct"/>
            <w:shd w:val="clear" w:color="auto" w:fill="auto"/>
            <w:vAlign w:val="center"/>
          </w:tcPr>
          <w:p w:rsidR="000840B4" w:rsidRPr="002B4AB6" w:rsidRDefault="000840B4" w:rsidP="003961B2">
            <w:pPr>
              <w:pStyle w:val="TableText0"/>
              <w:jc w:val="center"/>
            </w:pPr>
            <w:r w:rsidRPr="000829C9">
              <w:t>OS Used</w:t>
            </w:r>
          </w:p>
        </w:tc>
      </w:tr>
      <w:tr w:rsidR="000840B4" w:rsidRPr="002B4AB6" w:rsidTr="004B699C">
        <w:tc>
          <w:tcPr>
            <w:tcW w:w="726" w:type="pct"/>
            <w:shd w:val="clear" w:color="auto" w:fill="auto"/>
            <w:vAlign w:val="center"/>
          </w:tcPr>
          <w:p w:rsidR="000840B4" w:rsidRPr="002B4AB6" w:rsidRDefault="000840B4" w:rsidP="004B699C">
            <w:pPr>
              <w:pStyle w:val="TableText0"/>
            </w:pPr>
            <w:r w:rsidRPr="002B4AB6">
              <w:t>Vardhana 2018</w:t>
            </w:r>
          </w:p>
        </w:tc>
        <w:tc>
          <w:tcPr>
            <w:tcW w:w="473" w:type="pct"/>
            <w:shd w:val="clear" w:color="auto" w:fill="auto"/>
            <w:vAlign w:val="center"/>
          </w:tcPr>
          <w:p w:rsidR="000840B4" w:rsidRPr="002B4AB6" w:rsidRDefault="000840B4" w:rsidP="004B699C">
            <w:pPr>
              <w:pStyle w:val="TableText0"/>
              <w:jc w:val="center"/>
            </w:pPr>
            <w:r w:rsidRPr="002B4AB6">
              <w:t>60</w:t>
            </w:r>
          </w:p>
        </w:tc>
        <w:tc>
          <w:tcPr>
            <w:tcW w:w="791" w:type="pct"/>
            <w:shd w:val="clear" w:color="auto" w:fill="auto"/>
            <w:vAlign w:val="center"/>
          </w:tcPr>
          <w:p w:rsidR="000840B4" w:rsidRPr="002B4AB6" w:rsidRDefault="000840B4" w:rsidP="004B699C">
            <w:pPr>
              <w:pStyle w:val="TableText0"/>
            </w:pPr>
            <w:r w:rsidRPr="002B4AB6">
              <w:t xml:space="preserve">Single-arm, retrospective, </w:t>
            </w:r>
            <w:r w:rsidRPr="002B4AB6">
              <w:br/>
              <w:t>Median follow-up  57.6 months (4.8 years)</w:t>
            </w:r>
          </w:p>
        </w:tc>
        <w:tc>
          <w:tcPr>
            <w:tcW w:w="453" w:type="pct"/>
            <w:vMerge/>
            <w:shd w:val="clear" w:color="auto" w:fill="auto"/>
            <w:vAlign w:val="center"/>
          </w:tcPr>
          <w:p w:rsidR="000840B4" w:rsidRPr="002B4AB6" w:rsidRDefault="000840B4" w:rsidP="004B699C">
            <w:pPr>
              <w:pStyle w:val="TableText0"/>
              <w:jc w:val="center"/>
            </w:pPr>
          </w:p>
        </w:tc>
        <w:tc>
          <w:tcPr>
            <w:tcW w:w="1327" w:type="pct"/>
            <w:shd w:val="clear" w:color="auto" w:fill="auto"/>
            <w:vAlign w:val="center"/>
          </w:tcPr>
          <w:p w:rsidR="000840B4" w:rsidRPr="002B4AB6" w:rsidRDefault="000840B4" w:rsidP="004B699C">
            <w:pPr>
              <w:pStyle w:val="TableText0"/>
            </w:pPr>
            <w:r w:rsidRPr="002B4AB6">
              <w:t>R/R PMBCL who were administered second</w:t>
            </w:r>
            <w:r w:rsidR="001862B3" w:rsidRPr="002B4AB6">
              <w:t xml:space="preserve"> </w:t>
            </w:r>
            <w:r w:rsidRPr="002B4AB6">
              <w:t>line chemotherapy, with intent to consolidate with ASCT. All patients had disease progression after front line anthracycline-based chemotherapy.</w:t>
            </w:r>
          </w:p>
          <w:p w:rsidR="000840B4" w:rsidRPr="002B4AB6" w:rsidRDefault="000840B4" w:rsidP="004B699C">
            <w:pPr>
              <w:pStyle w:val="TableText0"/>
            </w:pPr>
            <w:r w:rsidRPr="002B4AB6">
              <w:t>Prior rituximab therapy (40%)</w:t>
            </w:r>
          </w:p>
        </w:tc>
        <w:tc>
          <w:tcPr>
            <w:tcW w:w="497" w:type="pct"/>
            <w:shd w:val="clear" w:color="auto" w:fill="auto"/>
            <w:vAlign w:val="center"/>
          </w:tcPr>
          <w:p w:rsidR="000840B4" w:rsidRPr="002B4AB6" w:rsidRDefault="000840B4" w:rsidP="004B699C">
            <w:pPr>
              <w:pStyle w:val="TableText0"/>
            </w:pPr>
            <w:r w:rsidRPr="002B4AB6">
              <w:t>ORR, OS</w:t>
            </w:r>
          </w:p>
        </w:tc>
        <w:tc>
          <w:tcPr>
            <w:tcW w:w="733" w:type="pct"/>
            <w:shd w:val="clear" w:color="auto" w:fill="auto"/>
            <w:vAlign w:val="center"/>
          </w:tcPr>
          <w:p w:rsidR="000840B4" w:rsidRPr="002B4AB6" w:rsidRDefault="000840B4" w:rsidP="004B699C">
            <w:pPr>
              <w:pStyle w:val="TableText0"/>
              <w:jc w:val="center"/>
            </w:pPr>
            <w:r w:rsidRPr="002B4AB6">
              <w:t>Used**</w:t>
            </w:r>
          </w:p>
        </w:tc>
      </w:tr>
    </w:tbl>
    <w:p w:rsidR="00DC3DFF" w:rsidRPr="002B4AB6" w:rsidRDefault="00DC3DFF" w:rsidP="00DC3DFF">
      <w:pPr>
        <w:pStyle w:val="TableFigureFooter"/>
      </w:pPr>
      <w:r w:rsidRPr="002B4AB6">
        <w:t xml:space="preserve">Source: Sections 2.3-2.4 of the </w:t>
      </w:r>
      <w:r w:rsidR="00E36970" w:rsidRPr="002B4AB6">
        <w:t>re</w:t>
      </w:r>
      <w:r w:rsidRPr="002B4AB6">
        <w:t>submission.</w:t>
      </w:r>
    </w:p>
    <w:p w:rsidR="00DC3DFF" w:rsidRPr="002B4AB6" w:rsidRDefault="000840B4" w:rsidP="00DC3DFF">
      <w:pPr>
        <w:pStyle w:val="TableFigureFooter"/>
      </w:pPr>
      <w:r w:rsidRPr="002B4AB6">
        <w:rPr>
          <w:vertAlign w:val="superscript"/>
        </w:rPr>
        <w:t>a</w:t>
      </w:r>
      <w:r w:rsidR="0050535E" w:rsidRPr="002B4AB6">
        <w:rPr>
          <w:vertAlign w:val="superscript"/>
        </w:rPr>
        <w:t xml:space="preserve"> </w:t>
      </w:r>
      <w:r w:rsidRPr="002B4AB6">
        <w:t xml:space="preserve">Risk of bias in the context of a naïve indirect comparison between the single arm studies. </w:t>
      </w:r>
      <w:r w:rsidR="00DC3DFF" w:rsidRPr="002B4AB6">
        <w:t>MC = multi-centre; OL = open label; R/R PMBCL = relapsed or refractory primary mediastinal large B-cell lymphoma; ORR = overall response rate; ASCT = autologous stem cell transplant</w:t>
      </w:r>
      <w:r w:rsidR="00243689" w:rsidRPr="002B4AB6">
        <w:t>ation</w:t>
      </w:r>
      <w:r w:rsidR="00DC3DFF" w:rsidRPr="002B4AB6">
        <w:t xml:space="preserve">; OS = overall survival; PFS = progression-free survival. </w:t>
      </w:r>
    </w:p>
    <w:p w:rsidR="00567555" w:rsidRPr="002B4AB6" w:rsidRDefault="00567555" w:rsidP="00DC3DFF">
      <w:pPr>
        <w:pStyle w:val="TableFigureFooter"/>
      </w:pPr>
      <w:r w:rsidRPr="002B4AB6">
        <w:t xml:space="preserve">* Median follow up </w:t>
      </w:r>
      <w:r w:rsidR="00A957F9" w:rsidRPr="002B4AB6">
        <w:t xml:space="preserve">for the resubmission was 22.3 months for data cut-off 28 May 2019. The November 2018 submission had a </w:t>
      </w:r>
      <w:r w:rsidRPr="002B4AB6">
        <w:t xml:space="preserve">median follow up of </w:t>
      </w:r>
      <w:r w:rsidR="00A957F9" w:rsidRPr="002B4AB6">
        <w:t>9.7 months based on data cut-off 19 January 2018.</w:t>
      </w:r>
    </w:p>
    <w:p w:rsidR="00DC3DFF" w:rsidRPr="002B4AB6" w:rsidRDefault="00DC3DFF" w:rsidP="00DC3DFF">
      <w:pPr>
        <w:pStyle w:val="TableFigureFooter"/>
      </w:pPr>
      <w:r w:rsidRPr="002B4AB6">
        <w:t>*</w:t>
      </w:r>
      <w:r w:rsidR="00567555" w:rsidRPr="002B4AB6">
        <w:t>*</w:t>
      </w:r>
      <w:r w:rsidRPr="002B4AB6">
        <w:t xml:space="preserve">The outcomes from subgroups of </w:t>
      </w:r>
      <w:r w:rsidR="00813B24" w:rsidRPr="002B4AB6">
        <w:t>Vardhana 2018</w:t>
      </w:r>
      <w:r w:rsidRPr="002B4AB6">
        <w:t xml:space="preserve"> were used as input to inform the SOC arm of the economic evaluation.</w:t>
      </w:r>
    </w:p>
    <w:p w:rsidR="00851D0A" w:rsidRPr="002B4AB6" w:rsidRDefault="00DC3DFF" w:rsidP="00243689">
      <w:pPr>
        <w:pStyle w:val="3-BodyText"/>
      </w:pPr>
      <w:r w:rsidRPr="002B4AB6">
        <w:t xml:space="preserve">The </w:t>
      </w:r>
      <w:r w:rsidR="00B674B3" w:rsidRPr="002B4AB6">
        <w:t xml:space="preserve">basis of the clinical </w:t>
      </w:r>
      <w:r w:rsidRPr="002B4AB6">
        <w:t xml:space="preserve">evidence </w:t>
      </w:r>
      <w:r w:rsidR="00B674B3" w:rsidRPr="002B4AB6">
        <w:t>wa</w:t>
      </w:r>
      <w:r w:rsidRPr="002B4AB6">
        <w:t xml:space="preserve">s a naïve indirect comparison between the pembrolizumab and SOC single arm studies with no </w:t>
      </w:r>
      <w:r w:rsidR="00243689" w:rsidRPr="002B4AB6">
        <w:t xml:space="preserve">available </w:t>
      </w:r>
      <w:r w:rsidRPr="002B4AB6">
        <w:t>common reference</w:t>
      </w:r>
      <w:r w:rsidR="00243689" w:rsidRPr="002B4AB6">
        <w:t xml:space="preserve"> for adjustment</w:t>
      </w:r>
      <w:r w:rsidRPr="002B4AB6">
        <w:t>.</w:t>
      </w:r>
      <w:r w:rsidR="00243689" w:rsidRPr="002B4AB6">
        <w:t xml:space="preserve"> No </w:t>
      </w:r>
      <w:r w:rsidR="00243689" w:rsidRPr="002B4AB6">
        <w:rPr>
          <w:szCs w:val="18"/>
        </w:rPr>
        <w:t>formal indirect analyses were presented.</w:t>
      </w:r>
      <w:r w:rsidRPr="002B4AB6">
        <w:t xml:space="preserve"> In addition, there </w:t>
      </w:r>
      <w:r w:rsidR="00243689" w:rsidRPr="002B4AB6">
        <w:t xml:space="preserve">was substantial clinical heterogeneity between the studies </w:t>
      </w:r>
      <w:r w:rsidR="00B674B3" w:rsidRPr="002B4AB6">
        <w:t xml:space="preserve">in terms of </w:t>
      </w:r>
      <w:r w:rsidR="00243689" w:rsidRPr="002B4AB6">
        <w:t xml:space="preserve">prior </w:t>
      </w:r>
      <w:r w:rsidRPr="002B4AB6">
        <w:t xml:space="preserve">lines of therapy, durations of </w:t>
      </w:r>
      <w:r w:rsidR="005100CF" w:rsidRPr="002B4AB6">
        <w:t>follow-up</w:t>
      </w:r>
      <w:r w:rsidRPr="002B4AB6">
        <w:t>, and disease characteristics</w:t>
      </w:r>
      <w:r w:rsidR="00243689" w:rsidRPr="002B4AB6">
        <w:t xml:space="preserve"> at baseline</w:t>
      </w:r>
      <w:r w:rsidRPr="002B4AB6">
        <w:t xml:space="preserve">. </w:t>
      </w:r>
      <w:r w:rsidR="00243689" w:rsidRPr="002B4AB6">
        <w:t>There were also</w:t>
      </w:r>
      <w:r w:rsidRPr="002B4AB6">
        <w:t xml:space="preserve"> applicability concerns </w:t>
      </w:r>
      <w:r w:rsidR="00243689" w:rsidRPr="002B4AB6">
        <w:t>regarding</w:t>
      </w:r>
      <w:r w:rsidRPr="002B4AB6">
        <w:t xml:space="preserve"> the studies and the target PBS population</w:t>
      </w:r>
      <w:r w:rsidR="00243689" w:rsidRPr="002B4AB6">
        <w:t>. For all intents and purposes</w:t>
      </w:r>
      <w:r w:rsidRPr="002B4AB6">
        <w:t xml:space="preserve">, the risk of bias </w:t>
      </w:r>
      <w:r w:rsidR="0097599E" w:rsidRPr="002B4AB6">
        <w:t xml:space="preserve">associated with the evidence used in the </w:t>
      </w:r>
      <w:r w:rsidR="0097599E" w:rsidRPr="002B4AB6">
        <w:lastRenderedPageBreak/>
        <w:t xml:space="preserve">resubmission to support the clinical claim was </w:t>
      </w:r>
      <w:r w:rsidRPr="002B4AB6">
        <w:t>considered high.</w:t>
      </w:r>
      <w:r w:rsidR="00F037CD" w:rsidRPr="002B4AB6">
        <w:t xml:space="preserve"> </w:t>
      </w:r>
      <w:r w:rsidR="001E290E" w:rsidRPr="002B4AB6">
        <w:t xml:space="preserve">The pre-PBAC response argued that there are inherent challenges in conducting clinical trials in rare diseases, and </w:t>
      </w:r>
      <w:r w:rsidR="00C60737" w:rsidRPr="002B4AB6">
        <w:t>this</w:t>
      </w:r>
      <w:r w:rsidR="001E290E" w:rsidRPr="002B4AB6">
        <w:t xml:space="preserve"> should be </w:t>
      </w:r>
      <w:r w:rsidR="00C60737" w:rsidRPr="002B4AB6">
        <w:t xml:space="preserve">considered </w:t>
      </w:r>
      <w:r w:rsidR="001E290E" w:rsidRPr="002B4AB6">
        <w:t>when evaluating pembrolizumab based on the available single arm evidence in R/R PMBCL</w:t>
      </w:r>
      <w:r w:rsidR="00C60737" w:rsidRPr="002B4AB6">
        <w:t>,</w:t>
      </w:r>
      <w:r w:rsidR="001E290E" w:rsidRPr="002B4AB6">
        <w:t xml:space="preserve"> </w:t>
      </w:r>
      <w:r w:rsidR="00C60737" w:rsidRPr="002B4AB6">
        <w:t>e</w:t>
      </w:r>
      <w:r w:rsidR="001E290E" w:rsidRPr="002B4AB6">
        <w:t xml:space="preserve">specially in the context of a patient population with uniformly poor outcomes. </w:t>
      </w:r>
    </w:p>
    <w:p w:rsidR="00471D99" w:rsidRPr="002B4AB6" w:rsidRDefault="003C7FBA" w:rsidP="006307E0">
      <w:pPr>
        <w:pStyle w:val="3-BodyText"/>
      </w:pPr>
      <w:bookmarkStart w:id="16" w:name="_Ref35347341"/>
      <w:r w:rsidRPr="002B4AB6">
        <w:t>The Pre-Sub-Committee Response (PSCR)</w:t>
      </w:r>
      <w:r w:rsidR="00C60737" w:rsidRPr="002B4AB6">
        <w:t xml:space="preserve"> </w:t>
      </w:r>
      <w:r w:rsidRPr="002B4AB6">
        <w:t xml:space="preserve">stated that the </w:t>
      </w:r>
      <w:r w:rsidR="00F037CD" w:rsidRPr="002B4AB6">
        <w:t xml:space="preserve">patient populations in Vardhana </w:t>
      </w:r>
      <w:r w:rsidRPr="002B4AB6">
        <w:t xml:space="preserve">2018 </w:t>
      </w:r>
      <w:r w:rsidR="00F037CD" w:rsidRPr="002B4AB6">
        <w:t xml:space="preserve">and KN170 </w:t>
      </w:r>
      <w:r w:rsidRPr="002B4AB6">
        <w:t>are different to the point of being mutually exclusive – with Vardhana 2018 only including patients eligible for transplant and KN170 only including patients who were not eligible for transplant</w:t>
      </w:r>
      <w:r w:rsidR="002B4AB6">
        <w:t xml:space="preserve">. </w:t>
      </w:r>
      <w:r w:rsidR="0093569A" w:rsidRPr="002B4AB6">
        <w:t xml:space="preserve">The ESC agreed with the PSCR and in addition noted the differences between Vardhana 2018 and KN170 in terms of prior lines of therapy. Vardhana 2018 excluded patients with more than 1 prior line of therapy </w:t>
      </w:r>
      <w:r w:rsidR="003568D4" w:rsidRPr="00492CD9">
        <w:t xml:space="preserve">whereas </w:t>
      </w:r>
      <w:r w:rsidR="0093569A" w:rsidRPr="002B4AB6">
        <w:t xml:space="preserve">the KN170 patient population was heavily pre-treated with a median of 3 prior lines of therapy. </w:t>
      </w:r>
      <w:r w:rsidR="00260996" w:rsidRPr="002B4AB6" w:rsidDel="005D73DF">
        <w:t>The ESC also noted differences in the proportion of patients pre-treated with rituximab be</w:t>
      </w:r>
      <w:r w:rsidR="00AE590E" w:rsidRPr="002B4AB6" w:rsidDel="005D73DF">
        <w:t>tween the KN170 study</w:t>
      </w:r>
      <w:r w:rsidR="00260996" w:rsidRPr="002B4AB6" w:rsidDel="005D73DF">
        <w:t xml:space="preserve"> (95.2% had received prior rituximab therapy) and Vardhana 2018 (40%). </w:t>
      </w:r>
      <w:r w:rsidR="00FF3E55" w:rsidRPr="002B4AB6" w:rsidDel="005D73DF">
        <w:t>The ESC recalled that there is evidence that rituximab has an incremental benefit in PMBCL in the fir</w:t>
      </w:r>
      <w:r w:rsidR="001862B3" w:rsidRPr="002B4AB6" w:rsidDel="005D73DF">
        <w:t xml:space="preserve">st </w:t>
      </w:r>
      <w:r w:rsidR="000B06FD" w:rsidRPr="002B4AB6" w:rsidDel="005D73DF">
        <w:t>line setting and in R/</w:t>
      </w:r>
      <w:r w:rsidR="0063001D" w:rsidRPr="002B4AB6" w:rsidDel="005D73DF">
        <w:t xml:space="preserve">R </w:t>
      </w:r>
      <w:r w:rsidR="000B06FD" w:rsidRPr="002B4AB6" w:rsidDel="005D73DF">
        <w:t>DLBCL</w:t>
      </w:r>
      <w:r w:rsidR="00FF3E55" w:rsidRPr="002B4AB6" w:rsidDel="005D73DF">
        <w:t xml:space="preserve"> when used post-rituximab containing regimens (</w:t>
      </w:r>
      <w:r w:rsidR="00FF3E55" w:rsidRPr="002B4AB6" w:rsidDel="005D73DF">
        <w:rPr>
          <w:szCs w:val="18"/>
        </w:rPr>
        <w:t>paragraph 5.3, pembrolizumab PMBCL PSD, November 2018 PBAC meeting).</w:t>
      </w:r>
      <w:r w:rsidR="00FF3E55" w:rsidRPr="002B4AB6" w:rsidDel="005D73DF">
        <w:t xml:space="preserve"> </w:t>
      </w:r>
      <w:r w:rsidR="0093569A" w:rsidRPr="002B4AB6">
        <w:t xml:space="preserve">The ESC </w:t>
      </w:r>
      <w:r w:rsidR="003568D4" w:rsidRPr="002B4AB6">
        <w:t>advised</w:t>
      </w:r>
      <w:r w:rsidR="0093569A" w:rsidRPr="002B4AB6">
        <w:t xml:space="preserve"> that </w:t>
      </w:r>
      <w:r w:rsidR="003568D4" w:rsidRPr="002B4AB6">
        <w:t xml:space="preserve">due to </w:t>
      </w:r>
      <w:r w:rsidR="00851D0A" w:rsidRPr="002B4AB6">
        <w:t xml:space="preserve">the </w:t>
      </w:r>
      <w:r w:rsidR="0093569A" w:rsidRPr="002B4AB6">
        <w:t xml:space="preserve">differences in </w:t>
      </w:r>
      <w:r w:rsidR="003568D4" w:rsidRPr="002B4AB6">
        <w:t xml:space="preserve">the </w:t>
      </w:r>
      <w:r w:rsidR="0093569A" w:rsidRPr="002B4AB6">
        <w:t xml:space="preserve">patient populations </w:t>
      </w:r>
      <w:r w:rsidR="003568D4" w:rsidRPr="002B4AB6">
        <w:t xml:space="preserve">across KN170 and Vardhana 2018 the </w:t>
      </w:r>
      <w:r w:rsidR="00851D0A" w:rsidRPr="002B4AB6">
        <w:t xml:space="preserve">effectiveness and safety data </w:t>
      </w:r>
      <w:r w:rsidR="003568D4" w:rsidRPr="002B4AB6">
        <w:t>from these studies were not directly comparable.</w:t>
      </w:r>
      <w:r w:rsidR="00851D0A" w:rsidRPr="002B4AB6">
        <w:t xml:space="preserve"> </w:t>
      </w:r>
      <w:bookmarkEnd w:id="16"/>
    </w:p>
    <w:p w:rsidR="00881790" w:rsidRPr="002B4AB6" w:rsidRDefault="00881790" w:rsidP="000B06FD">
      <w:pPr>
        <w:pStyle w:val="3-BodyText"/>
      </w:pPr>
      <w:r w:rsidRPr="002B4AB6">
        <w:t xml:space="preserve">The ESC noted that the requested target PBS population was broader than </w:t>
      </w:r>
      <w:r w:rsidR="00FF3E55" w:rsidRPr="002B4AB6">
        <w:t xml:space="preserve">both </w:t>
      </w:r>
      <w:r w:rsidRPr="002B4AB6">
        <w:t xml:space="preserve">the KN170 </w:t>
      </w:r>
      <w:r w:rsidR="00FF3E55" w:rsidRPr="002B4AB6">
        <w:t xml:space="preserve">and Vardhana 2018 </w:t>
      </w:r>
      <w:r w:rsidR="00260996" w:rsidRPr="002B4AB6">
        <w:t>patient population</w:t>
      </w:r>
      <w:r w:rsidR="00FF3E55" w:rsidRPr="002B4AB6">
        <w:t>s</w:t>
      </w:r>
      <w:r w:rsidRPr="002B4AB6">
        <w:t xml:space="preserve">. </w:t>
      </w:r>
      <w:r w:rsidR="0074457D" w:rsidRPr="002B4AB6">
        <w:t xml:space="preserve">The ESC noted the </w:t>
      </w:r>
      <w:r w:rsidR="006904C3" w:rsidRPr="002B4AB6">
        <w:t>PBS population</w:t>
      </w:r>
      <w:r w:rsidR="0074457D" w:rsidRPr="002B4AB6">
        <w:t xml:space="preserve"> outlined in the restriction proposed by the </w:t>
      </w:r>
      <w:r w:rsidR="00B454CA" w:rsidRPr="002B4AB6">
        <w:t xml:space="preserve">ESC </w:t>
      </w:r>
      <w:r w:rsidR="0074457D" w:rsidRPr="002B4AB6">
        <w:t>Committee (see paragraph 3.</w:t>
      </w:r>
      <w:r w:rsidR="00B454CA" w:rsidRPr="002B4AB6">
        <w:t>3</w:t>
      </w:r>
      <w:r w:rsidR="0074457D" w:rsidRPr="002B4AB6">
        <w:t>)</w:t>
      </w:r>
      <w:r w:rsidR="006904C3" w:rsidRPr="002B4AB6">
        <w:t xml:space="preserve"> would include patients with 1 prior line of therapy if primary refractory or otherwise a minimum of 2 prior lines of therapy</w:t>
      </w:r>
      <w:r w:rsidR="002B4AB6">
        <w:t xml:space="preserve">. </w:t>
      </w:r>
      <w:r w:rsidRPr="002B4AB6">
        <w:t>KN170 did not enrol patients who were refractory to one prior line of therapy (i.e. it only enrolled patients who had received at least two prior lines of therapy). This was previously considered reasonable by the PBAC given the clinical need in this population (</w:t>
      </w:r>
      <w:r w:rsidRPr="00492CD9">
        <w:rPr>
          <w:szCs w:val="18"/>
        </w:rPr>
        <w:t xml:space="preserve">paragraph 2.5, pembrolizumab PMBCL PSD, November 2018 PBAC meeting). In contrast, </w:t>
      </w:r>
      <w:r w:rsidR="0074457D" w:rsidRPr="002B4AB6">
        <w:rPr>
          <w:szCs w:val="18"/>
        </w:rPr>
        <w:t>the ESC considered</w:t>
      </w:r>
      <w:r w:rsidR="006904C3" w:rsidRPr="002B4AB6">
        <w:rPr>
          <w:szCs w:val="18"/>
        </w:rPr>
        <w:t xml:space="preserve"> that </w:t>
      </w:r>
      <w:r w:rsidRPr="002B4AB6">
        <w:rPr>
          <w:szCs w:val="18"/>
        </w:rPr>
        <w:t xml:space="preserve">Vardhana </w:t>
      </w:r>
      <w:r w:rsidR="0074457D" w:rsidRPr="002B4AB6">
        <w:rPr>
          <w:szCs w:val="18"/>
        </w:rPr>
        <w:t xml:space="preserve">2018 </w:t>
      </w:r>
      <w:r w:rsidR="00FF3E55" w:rsidRPr="002B4AB6">
        <w:rPr>
          <w:szCs w:val="18"/>
        </w:rPr>
        <w:t>wa</w:t>
      </w:r>
      <w:r w:rsidR="00260996" w:rsidRPr="002B4AB6">
        <w:rPr>
          <w:szCs w:val="18"/>
        </w:rPr>
        <w:t xml:space="preserve">s a fair </w:t>
      </w:r>
      <w:r w:rsidR="000B06FD" w:rsidRPr="002B4AB6">
        <w:rPr>
          <w:szCs w:val="18"/>
        </w:rPr>
        <w:t xml:space="preserve">comparator for the </w:t>
      </w:r>
      <w:r w:rsidR="00260996" w:rsidRPr="002B4AB6">
        <w:rPr>
          <w:szCs w:val="18"/>
        </w:rPr>
        <w:t>first line salvage chemotherapy population included in the proposed PBS restriction but not for the more heavily pre-treated population</w:t>
      </w:r>
      <w:r w:rsidR="000B06FD" w:rsidRPr="002B4AB6">
        <w:rPr>
          <w:szCs w:val="18"/>
        </w:rPr>
        <w:t xml:space="preserve"> encompassed by the restriction</w:t>
      </w:r>
      <w:r w:rsidR="00260996" w:rsidRPr="002B4AB6">
        <w:rPr>
          <w:szCs w:val="18"/>
        </w:rPr>
        <w:t xml:space="preserve">. </w:t>
      </w:r>
    </w:p>
    <w:p w:rsidR="001D7B07" w:rsidRPr="002B4AB6" w:rsidRDefault="00B175E0" w:rsidP="001D7B07">
      <w:pPr>
        <w:pStyle w:val="3-BodyText"/>
      </w:pPr>
      <w:r w:rsidRPr="002B4AB6">
        <w:rPr>
          <w:szCs w:val="18"/>
        </w:rPr>
        <w:t>The evidence of effectiveness for the SOC arm of the economic evaluation was based on</w:t>
      </w:r>
      <w:r w:rsidR="00DC3DFF" w:rsidRPr="002B4AB6">
        <w:rPr>
          <w:szCs w:val="18"/>
        </w:rPr>
        <w:t xml:space="preserve"> small subgroups</w:t>
      </w:r>
      <w:r w:rsidR="0097599E" w:rsidRPr="002B4AB6">
        <w:rPr>
          <w:szCs w:val="18"/>
        </w:rPr>
        <w:t xml:space="preserve"> (or cohorts)</w:t>
      </w:r>
      <w:r w:rsidR="00DC3DFF" w:rsidRPr="002B4AB6">
        <w:rPr>
          <w:szCs w:val="18"/>
        </w:rPr>
        <w:t xml:space="preserve"> </w:t>
      </w:r>
      <w:r w:rsidRPr="002B4AB6">
        <w:rPr>
          <w:szCs w:val="18"/>
        </w:rPr>
        <w:t xml:space="preserve">of patients </w:t>
      </w:r>
      <w:r w:rsidR="0097599E" w:rsidRPr="002B4AB6">
        <w:rPr>
          <w:szCs w:val="18"/>
        </w:rPr>
        <w:t xml:space="preserve">from Vardhana 2018 </w:t>
      </w:r>
      <w:r w:rsidRPr="002B4AB6">
        <w:rPr>
          <w:szCs w:val="18"/>
        </w:rPr>
        <w:t xml:space="preserve">who experienced </w:t>
      </w:r>
      <w:r w:rsidR="00807F61" w:rsidRPr="002B4AB6">
        <w:rPr>
          <w:szCs w:val="18"/>
        </w:rPr>
        <w:t>uniformly poor</w:t>
      </w:r>
      <w:r w:rsidRPr="002B4AB6">
        <w:rPr>
          <w:szCs w:val="18"/>
        </w:rPr>
        <w:t xml:space="preserve"> outcomes. There was </w:t>
      </w:r>
      <w:r w:rsidR="00DC3DFF" w:rsidRPr="002B4AB6">
        <w:rPr>
          <w:szCs w:val="18"/>
        </w:rPr>
        <w:t xml:space="preserve">a high risk of selection bias </w:t>
      </w:r>
      <w:r w:rsidRPr="002B4AB6">
        <w:rPr>
          <w:szCs w:val="18"/>
        </w:rPr>
        <w:t xml:space="preserve">with this approach </w:t>
      </w:r>
      <w:r w:rsidR="00DC3DFF" w:rsidRPr="002B4AB6">
        <w:rPr>
          <w:szCs w:val="18"/>
        </w:rPr>
        <w:t>that likely favoured pembrolizumab.</w:t>
      </w:r>
      <w:r w:rsidR="001D7B07" w:rsidRPr="002B4AB6">
        <w:t xml:space="preserve"> </w:t>
      </w:r>
    </w:p>
    <w:p w:rsidR="00DC3DFF" w:rsidRPr="002B4AB6" w:rsidRDefault="00DC3DFF" w:rsidP="00DC3DFF">
      <w:pPr>
        <w:pStyle w:val="4-SubsectionHeading"/>
      </w:pPr>
      <w:bookmarkStart w:id="17" w:name="_Toc22897641"/>
      <w:bookmarkStart w:id="18" w:name="_Toc30503045"/>
      <w:r w:rsidRPr="002B4AB6">
        <w:t>Comparative effectiveness</w:t>
      </w:r>
      <w:bookmarkEnd w:id="17"/>
      <w:bookmarkEnd w:id="18"/>
    </w:p>
    <w:p w:rsidR="00DC3DFF" w:rsidRPr="002B4AB6" w:rsidRDefault="00DC3DFF" w:rsidP="005F4331">
      <w:pPr>
        <w:pStyle w:val="3-BodyText"/>
      </w:pPr>
      <w:r w:rsidRPr="002B4AB6">
        <w:t xml:space="preserve">The resubmission noted that the key differences from the previous submission for effectiveness </w:t>
      </w:r>
      <w:r w:rsidR="00C60737" w:rsidRPr="002B4AB6">
        <w:t>were</w:t>
      </w:r>
      <w:r w:rsidRPr="002B4AB6">
        <w:t>:</w:t>
      </w:r>
    </w:p>
    <w:p w:rsidR="00DC3DFF" w:rsidRPr="002B4AB6" w:rsidRDefault="00DC3DFF" w:rsidP="0068475F">
      <w:pPr>
        <w:pStyle w:val="3-BodyText"/>
        <w:numPr>
          <w:ilvl w:val="0"/>
          <w:numId w:val="9"/>
        </w:numPr>
        <w:ind w:left="1148" w:hanging="420"/>
      </w:pPr>
      <w:r w:rsidRPr="002B4AB6">
        <w:lastRenderedPageBreak/>
        <w:t xml:space="preserve">Updated efficacy data from KN170: New data cut-off May 2019 (median duration of follow-up 22.3 months) vs. </w:t>
      </w:r>
      <w:r w:rsidR="008F726D" w:rsidRPr="002B4AB6">
        <w:t>January</w:t>
      </w:r>
      <w:r w:rsidRPr="002B4AB6">
        <w:t xml:space="preserve"> 2018 data cut-off in the previous submission (median duration of follow-up 9.7 months); and</w:t>
      </w:r>
    </w:p>
    <w:p w:rsidR="00DC3DFF" w:rsidRPr="002B4AB6" w:rsidRDefault="00DC3DFF" w:rsidP="0068475F">
      <w:pPr>
        <w:pStyle w:val="3-BodyText"/>
        <w:numPr>
          <w:ilvl w:val="0"/>
          <w:numId w:val="9"/>
        </w:numPr>
        <w:ind w:left="1148" w:hanging="420"/>
      </w:pPr>
      <w:r w:rsidRPr="002B4AB6">
        <w:t>Inclusion of Vardhana 2018 as evi</w:t>
      </w:r>
      <w:r w:rsidR="00B85735" w:rsidRPr="002B4AB6">
        <w:t>dence of effectiveness for SOC.</w:t>
      </w:r>
    </w:p>
    <w:p w:rsidR="00DC3DFF" w:rsidRPr="002B4AB6" w:rsidRDefault="00BB326B" w:rsidP="00DC3DFF">
      <w:pPr>
        <w:pStyle w:val="3-BodyText"/>
      </w:pPr>
      <w:r w:rsidRPr="002B4AB6">
        <w:t>ORR</w:t>
      </w:r>
      <w:r w:rsidR="00DC3DFF" w:rsidRPr="002B4AB6">
        <w:t xml:space="preserve"> </w:t>
      </w:r>
      <w:r w:rsidR="007C1816" w:rsidRPr="002B4AB6">
        <w:t xml:space="preserve">results </w:t>
      </w:r>
      <w:r w:rsidR="00DC3DFF" w:rsidRPr="002B4AB6">
        <w:t xml:space="preserve">from KN170 and Vardhana 2018 </w:t>
      </w:r>
      <w:r w:rsidR="00E44692" w:rsidRPr="002B4AB6">
        <w:t xml:space="preserve">(whole study population) </w:t>
      </w:r>
      <w:r w:rsidR="00DC3DFF" w:rsidRPr="002B4AB6">
        <w:t xml:space="preserve">are </w:t>
      </w:r>
      <w:r w:rsidR="007C1816" w:rsidRPr="002B4AB6">
        <w:t>summarised in the table below</w:t>
      </w:r>
      <w:r w:rsidR="00DC3DFF" w:rsidRPr="002B4AB6">
        <w:t>.</w:t>
      </w:r>
    </w:p>
    <w:p w:rsidR="00DC3DFF" w:rsidRPr="002B4AB6" w:rsidRDefault="00DC3DFF" w:rsidP="00DC3DFF">
      <w:pPr>
        <w:pStyle w:val="TableFigureHeading"/>
      </w:pPr>
      <w:r w:rsidRPr="002B4AB6">
        <w:t xml:space="preserve">Table </w:t>
      </w:r>
      <w:r w:rsidR="002B39A5" w:rsidRPr="00956A61">
        <w:t>5</w:t>
      </w:r>
      <w:r w:rsidRPr="002B4AB6">
        <w:t>: Results of ORR in the KN170 and Vardhana 2018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651"/>
        <w:gridCol w:w="2793"/>
        <w:gridCol w:w="1764"/>
      </w:tblGrid>
      <w:tr w:rsidR="00DC3DFF" w:rsidRPr="002B4AB6" w:rsidTr="00BD7EBE">
        <w:trPr>
          <w:tblHeader/>
        </w:trPr>
        <w:tc>
          <w:tcPr>
            <w:tcW w:w="1003" w:type="pct"/>
            <w:vMerge w:val="restart"/>
            <w:vAlign w:val="center"/>
          </w:tcPr>
          <w:p w:rsidR="00DC3DFF" w:rsidRPr="002B4AB6" w:rsidRDefault="00DC3DFF" w:rsidP="004B699C">
            <w:pPr>
              <w:pStyle w:val="TableText0"/>
              <w:rPr>
                <w:b/>
              </w:rPr>
            </w:pPr>
            <w:r w:rsidRPr="00492CD9">
              <w:rPr>
                <w:b/>
              </w:rPr>
              <w:t>Re</w:t>
            </w:r>
            <w:r w:rsidRPr="002B4AB6">
              <w:rPr>
                <w:b/>
              </w:rPr>
              <w:t xml:space="preserve">sponse </w:t>
            </w:r>
          </w:p>
        </w:tc>
        <w:tc>
          <w:tcPr>
            <w:tcW w:w="3019" w:type="pct"/>
            <w:gridSpan w:val="2"/>
          </w:tcPr>
          <w:p w:rsidR="00271A44" w:rsidRPr="002B4AB6" w:rsidRDefault="00DC3DFF" w:rsidP="00C034F5">
            <w:pPr>
              <w:pStyle w:val="TableText0"/>
              <w:jc w:val="center"/>
              <w:rPr>
                <w:b/>
              </w:rPr>
            </w:pPr>
            <w:r w:rsidRPr="002B4AB6">
              <w:rPr>
                <w:b/>
              </w:rPr>
              <w:t>Pembrolizumab</w:t>
            </w:r>
            <w:r w:rsidR="00567555" w:rsidRPr="002B4AB6">
              <w:rPr>
                <w:b/>
              </w:rPr>
              <w:t xml:space="preserve"> KN170</w:t>
            </w:r>
          </w:p>
          <w:p w:rsidR="00DC3DFF" w:rsidRPr="002B4AB6" w:rsidRDefault="00DC3DFF" w:rsidP="004B699C">
            <w:pPr>
              <w:pStyle w:val="TableText0"/>
              <w:jc w:val="center"/>
              <w:rPr>
                <w:b/>
              </w:rPr>
            </w:pPr>
            <w:r w:rsidRPr="002B4AB6">
              <w:rPr>
                <w:b/>
              </w:rPr>
              <w:t xml:space="preserve">N = 53 </w:t>
            </w:r>
          </w:p>
          <w:p w:rsidR="00DC3DFF" w:rsidRPr="002B4AB6" w:rsidRDefault="00C034F5" w:rsidP="00567555">
            <w:pPr>
              <w:pStyle w:val="TableText0"/>
              <w:jc w:val="center"/>
              <w:rPr>
                <w:b/>
              </w:rPr>
            </w:pPr>
            <w:r w:rsidRPr="002B4AB6">
              <w:rPr>
                <w:b/>
              </w:rPr>
              <w:t xml:space="preserve">(Post </w:t>
            </w:r>
            <w:r w:rsidR="00DC3DFF" w:rsidRPr="002B4AB6">
              <w:rPr>
                <w:b/>
              </w:rPr>
              <w:t xml:space="preserve">≥ 2 lines </w:t>
            </w:r>
            <w:r w:rsidRPr="002B4AB6">
              <w:rPr>
                <w:b/>
              </w:rPr>
              <w:t>of therapy)</w:t>
            </w:r>
          </w:p>
        </w:tc>
        <w:tc>
          <w:tcPr>
            <w:tcW w:w="978" w:type="pct"/>
            <w:vMerge w:val="restart"/>
          </w:tcPr>
          <w:p w:rsidR="00DC3DFF" w:rsidRPr="002B4AB6" w:rsidRDefault="00567555" w:rsidP="004B699C">
            <w:pPr>
              <w:pStyle w:val="TableText0"/>
              <w:jc w:val="center"/>
              <w:rPr>
                <w:b/>
              </w:rPr>
            </w:pPr>
            <w:r w:rsidRPr="002B4AB6">
              <w:rPr>
                <w:b/>
              </w:rPr>
              <w:t>SOC</w:t>
            </w:r>
          </w:p>
          <w:p w:rsidR="00271A44" w:rsidRPr="002B4AB6" w:rsidRDefault="00C034F5" w:rsidP="00C034F5">
            <w:pPr>
              <w:pStyle w:val="TableText0"/>
              <w:jc w:val="center"/>
              <w:rPr>
                <w:b/>
              </w:rPr>
            </w:pPr>
            <w:r w:rsidRPr="002B4AB6">
              <w:rPr>
                <w:b/>
              </w:rPr>
              <w:t>Vardhana 2018</w:t>
            </w:r>
          </w:p>
          <w:p w:rsidR="00DC3DFF" w:rsidRPr="002B4AB6" w:rsidRDefault="00DC3DFF" w:rsidP="004B699C">
            <w:pPr>
              <w:pStyle w:val="TableText0"/>
              <w:jc w:val="center"/>
              <w:rPr>
                <w:b/>
              </w:rPr>
            </w:pPr>
            <w:r w:rsidRPr="002B4AB6">
              <w:rPr>
                <w:b/>
              </w:rPr>
              <w:t>N = 60</w:t>
            </w:r>
          </w:p>
          <w:p w:rsidR="00DC3DFF" w:rsidRPr="002B4AB6" w:rsidRDefault="00DC3DFF" w:rsidP="00BD7EBE">
            <w:pPr>
              <w:pStyle w:val="TableText0"/>
              <w:jc w:val="center"/>
              <w:rPr>
                <w:b/>
              </w:rPr>
            </w:pPr>
            <w:r w:rsidRPr="002B4AB6">
              <w:rPr>
                <w:b/>
              </w:rPr>
              <w:t>(</w:t>
            </w:r>
            <w:r w:rsidR="00F93840" w:rsidRPr="002B4AB6">
              <w:rPr>
                <w:b/>
              </w:rPr>
              <w:t>One prior line of therapy</w:t>
            </w:r>
            <w:r w:rsidR="00C034F5" w:rsidRPr="002B4AB6">
              <w:rPr>
                <w:b/>
              </w:rPr>
              <w:t>)</w:t>
            </w:r>
            <w:r w:rsidR="00C034F5" w:rsidRPr="002B4AB6">
              <w:rPr>
                <w:b/>
              </w:rPr>
              <w:br/>
            </w:r>
            <w:r w:rsidRPr="002B4AB6">
              <w:rPr>
                <w:b/>
              </w:rPr>
              <w:t xml:space="preserve"> Median </w:t>
            </w:r>
            <w:r w:rsidR="005100CF" w:rsidRPr="002B4AB6">
              <w:rPr>
                <w:b/>
              </w:rPr>
              <w:t>follow-up</w:t>
            </w:r>
            <w:r w:rsidRPr="002B4AB6">
              <w:rPr>
                <w:b/>
              </w:rPr>
              <w:t>: 57.6 months</w:t>
            </w:r>
          </w:p>
        </w:tc>
      </w:tr>
      <w:tr w:rsidR="00DC3DFF" w:rsidRPr="002B4AB6" w:rsidTr="00BD7EBE">
        <w:trPr>
          <w:tblHeader/>
        </w:trPr>
        <w:tc>
          <w:tcPr>
            <w:tcW w:w="1003" w:type="pct"/>
            <w:vMerge/>
            <w:vAlign w:val="center"/>
          </w:tcPr>
          <w:p w:rsidR="00DC3DFF" w:rsidRPr="002B4AB6" w:rsidRDefault="00DC3DFF" w:rsidP="004B699C">
            <w:pPr>
              <w:pStyle w:val="TableText0"/>
              <w:rPr>
                <w:b/>
              </w:rPr>
            </w:pPr>
          </w:p>
        </w:tc>
        <w:tc>
          <w:tcPr>
            <w:tcW w:w="1470" w:type="pct"/>
            <w:shd w:val="clear" w:color="auto" w:fill="B8CCE4" w:themeFill="accent1" w:themeFillTint="66"/>
          </w:tcPr>
          <w:p w:rsidR="00DC3DFF" w:rsidRPr="002B4AB6" w:rsidRDefault="00DC3DFF" w:rsidP="004B699C">
            <w:pPr>
              <w:pStyle w:val="TableText0"/>
              <w:jc w:val="center"/>
              <w:rPr>
                <w:b/>
              </w:rPr>
            </w:pPr>
            <w:r w:rsidRPr="002B4AB6">
              <w:rPr>
                <w:b/>
              </w:rPr>
              <w:t>Previous PBAC consideration (November 2018)</w:t>
            </w:r>
          </w:p>
          <w:p w:rsidR="00DC3DFF" w:rsidRPr="002B4AB6" w:rsidRDefault="00DC3DFF" w:rsidP="004B699C">
            <w:pPr>
              <w:pStyle w:val="TableText0"/>
              <w:jc w:val="center"/>
              <w:rPr>
                <w:b/>
              </w:rPr>
            </w:pPr>
            <w:r w:rsidRPr="002B4AB6">
              <w:rPr>
                <w:b/>
              </w:rPr>
              <w:t>Data cut-off 19 January 2018</w:t>
            </w:r>
          </w:p>
          <w:p w:rsidR="00067521" w:rsidRPr="002B4AB6" w:rsidRDefault="00067521" w:rsidP="00567555">
            <w:pPr>
              <w:pStyle w:val="TableText0"/>
              <w:jc w:val="center"/>
              <w:rPr>
                <w:b/>
              </w:rPr>
            </w:pPr>
            <w:r w:rsidRPr="002B4AB6">
              <w:rPr>
                <w:b/>
              </w:rPr>
              <w:t>Median follow-up 9.7 months</w:t>
            </w:r>
          </w:p>
        </w:tc>
        <w:tc>
          <w:tcPr>
            <w:tcW w:w="1549" w:type="pct"/>
          </w:tcPr>
          <w:p w:rsidR="00DC3DFF" w:rsidRPr="002B4AB6" w:rsidRDefault="00DC3DFF" w:rsidP="004B699C">
            <w:pPr>
              <w:pStyle w:val="TableText0"/>
              <w:jc w:val="center"/>
              <w:rPr>
                <w:b/>
              </w:rPr>
            </w:pPr>
            <w:r w:rsidRPr="002B4AB6">
              <w:rPr>
                <w:b/>
              </w:rPr>
              <w:t>Resubmission for PBAC consideration (March 2020)</w:t>
            </w:r>
          </w:p>
          <w:p w:rsidR="00DC3DFF" w:rsidRPr="002B4AB6" w:rsidRDefault="00DC3DFF" w:rsidP="004B699C">
            <w:pPr>
              <w:pStyle w:val="TableText0"/>
              <w:jc w:val="center"/>
              <w:rPr>
                <w:b/>
              </w:rPr>
            </w:pPr>
            <w:r w:rsidRPr="002B4AB6">
              <w:rPr>
                <w:b/>
              </w:rPr>
              <w:t>Data cut-off 28 May 2019</w:t>
            </w:r>
          </w:p>
          <w:p w:rsidR="00DC3DFF" w:rsidRPr="002B4AB6" w:rsidRDefault="00DC3DFF" w:rsidP="00567555">
            <w:pPr>
              <w:pStyle w:val="TableText0"/>
              <w:jc w:val="center"/>
              <w:rPr>
                <w:b/>
              </w:rPr>
            </w:pPr>
            <w:r w:rsidRPr="002B4AB6">
              <w:rPr>
                <w:b/>
              </w:rPr>
              <w:t xml:space="preserve">Median </w:t>
            </w:r>
            <w:r w:rsidR="005100CF" w:rsidRPr="002B4AB6">
              <w:rPr>
                <w:b/>
              </w:rPr>
              <w:t>follow-up</w:t>
            </w:r>
            <w:r w:rsidRPr="002B4AB6">
              <w:rPr>
                <w:b/>
              </w:rPr>
              <w:t xml:space="preserve"> 22.3 months</w:t>
            </w:r>
          </w:p>
        </w:tc>
        <w:tc>
          <w:tcPr>
            <w:tcW w:w="978" w:type="pct"/>
            <w:vMerge/>
          </w:tcPr>
          <w:p w:rsidR="00DC3DFF" w:rsidRPr="002B4AB6" w:rsidRDefault="00DC3DFF" w:rsidP="004B699C">
            <w:pPr>
              <w:pStyle w:val="TableText0"/>
              <w:jc w:val="center"/>
              <w:rPr>
                <w:b/>
              </w:rPr>
            </w:pPr>
          </w:p>
        </w:tc>
      </w:tr>
      <w:tr w:rsidR="00DC3DFF" w:rsidRPr="002B4AB6" w:rsidTr="00BD7EBE">
        <w:tc>
          <w:tcPr>
            <w:tcW w:w="1003" w:type="pct"/>
            <w:vAlign w:val="center"/>
          </w:tcPr>
          <w:p w:rsidR="00DC3DFF" w:rsidRPr="002B4AB6" w:rsidRDefault="00DC3DFF" w:rsidP="004B699C">
            <w:pPr>
              <w:pStyle w:val="TableText0"/>
            </w:pPr>
            <w:r w:rsidRPr="002B4AB6">
              <w:t>Complete response, n (%), [95%CI]</w:t>
            </w:r>
          </w:p>
        </w:tc>
        <w:tc>
          <w:tcPr>
            <w:tcW w:w="1470" w:type="pct"/>
            <w:shd w:val="clear" w:color="auto" w:fill="B8CCE4" w:themeFill="accent1" w:themeFillTint="66"/>
          </w:tcPr>
          <w:p w:rsidR="00DC3DFF" w:rsidRPr="002B4AB6" w:rsidRDefault="00DC3DFF" w:rsidP="004B699C">
            <w:pPr>
              <w:pStyle w:val="TableText0"/>
              <w:jc w:val="center"/>
            </w:pPr>
            <w:r w:rsidRPr="002B4AB6">
              <w:t>6 (11.3),</w:t>
            </w:r>
          </w:p>
          <w:p w:rsidR="00DC3DFF" w:rsidRPr="002B4AB6" w:rsidRDefault="00DC3DFF" w:rsidP="004B699C">
            <w:pPr>
              <w:pStyle w:val="TableText0"/>
              <w:jc w:val="center"/>
            </w:pPr>
            <w:r w:rsidRPr="002B4AB6">
              <w:t>[4.3, 23.0]</w:t>
            </w:r>
          </w:p>
        </w:tc>
        <w:tc>
          <w:tcPr>
            <w:tcW w:w="1549" w:type="pct"/>
          </w:tcPr>
          <w:p w:rsidR="00DC3DFF" w:rsidRPr="002B4AB6" w:rsidRDefault="00DC3DFF" w:rsidP="004B699C">
            <w:pPr>
              <w:pStyle w:val="TableText0"/>
              <w:jc w:val="center"/>
            </w:pPr>
            <w:r w:rsidRPr="002B4AB6">
              <w:t>10 (18.9),</w:t>
            </w:r>
          </w:p>
          <w:p w:rsidR="00DC3DFF" w:rsidRPr="002B4AB6" w:rsidRDefault="00DC3DFF" w:rsidP="004B699C">
            <w:pPr>
              <w:pStyle w:val="TableText0"/>
              <w:jc w:val="center"/>
            </w:pPr>
            <w:r w:rsidRPr="002B4AB6">
              <w:t>[9.4, 32.0]</w:t>
            </w:r>
          </w:p>
        </w:tc>
        <w:tc>
          <w:tcPr>
            <w:tcW w:w="978" w:type="pct"/>
          </w:tcPr>
          <w:p w:rsidR="00DC3DFF" w:rsidRPr="002B4AB6" w:rsidRDefault="00DC3DFF" w:rsidP="004B699C">
            <w:pPr>
              <w:pStyle w:val="TableText0"/>
              <w:jc w:val="center"/>
            </w:pPr>
            <w:r w:rsidRPr="002B4AB6">
              <w:t>24 (40.0),</w:t>
            </w:r>
          </w:p>
          <w:p w:rsidR="00DC3DFF" w:rsidRPr="002B4AB6" w:rsidRDefault="00DC3DFF" w:rsidP="004B699C">
            <w:pPr>
              <w:pStyle w:val="TableText0"/>
              <w:jc w:val="center"/>
            </w:pPr>
            <w:r w:rsidRPr="002B4AB6">
              <w:t>[NR]</w:t>
            </w:r>
          </w:p>
        </w:tc>
      </w:tr>
      <w:tr w:rsidR="00DC3DFF" w:rsidRPr="002B4AB6" w:rsidTr="00BD7EBE">
        <w:tc>
          <w:tcPr>
            <w:tcW w:w="1003" w:type="pct"/>
            <w:vAlign w:val="center"/>
          </w:tcPr>
          <w:p w:rsidR="00DC3DFF" w:rsidRPr="002B4AB6" w:rsidRDefault="00DC3DFF" w:rsidP="004B699C">
            <w:pPr>
              <w:pStyle w:val="TableText0"/>
            </w:pPr>
            <w:r w:rsidRPr="002B4AB6">
              <w:t>Partial response, n (%), [95%CI]</w:t>
            </w:r>
          </w:p>
        </w:tc>
        <w:tc>
          <w:tcPr>
            <w:tcW w:w="1470" w:type="pct"/>
            <w:shd w:val="clear" w:color="auto" w:fill="B8CCE4" w:themeFill="accent1" w:themeFillTint="66"/>
          </w:tcPr>
          <w:p w:rsidR="00DC3DFF" w:rsidRPr="002B4AB6" w:rsidRDefault="00DC3DFF" w:rsidP="004B699C">
            <w:pPr>
              <w:pStyle w:val="TableText0"/>
              <w:jc w:val="center"/>
            </w:pPr>
            <w:r w:rsidRPr="002B4AB6">
              <w:t>18 (34),</w:t>
            </w:r>
          </w:p>
          <w:p w:rsidR="00DC3DFF" w:rsidRPr="002B4AB6" w:rsidRDefault="00DC3DFF" w:rsidP="004B699C">
            <w:pPr>
              <w:pStyle w:val="TableText0"/>
              <w:jc w:val="center"/>
            </w:pPr>
            <w:r w:rsidRPr="002B4AB6">
              <w:t>[21.5, 48.3]</w:t>
            </w:r>
          </w:p>
        </w:tc>
        <w:tc>
          <w:tcPr>
            <w:tcW w:w="1549" w:type="pct"/>
          </w:tcPr>
          <w:p w:rsidR="00DC3DFF" w:rsidRPr="002B4AB6" w:rsidRDefault="00DC3DFF" w:rsidP="004B699C">
            <w:pPr>
              <w:pStyle w:val="TableText0"/>
              <w:jc w:val="center"/>
            </w:pPr>
            <w:r w:rsidRPr="002B4AB6">
              <w:t>14 (26.4),</w:t>
            </w:r>
          </w:p>
          <w:p w:rsidR="00DC3DFF" w:rsidRPr="002B4AB6" w:rsidRDefault="00DC3DFF" w:rsidP="004B699C">
            <w:pPr>
              <w:pStyle w:val="TableText0"/>
              <w:jc w:val="center"/>
            </w:pPr>
            <w:r w:rsidRPr="002B4AB6">
              <w:t>[15.3, 40.3]</w:t>
            </w:r>
          </w:p>
        </w:tc>
        <w:tc>
          <w:tcPr>
            <w:tcW w:w="978" w:type="pct"/>
          </w:tcPr>
          <w:p w:rsidR="00DC3DFF" w:rsidRPr="002B4AB6" w:rsidRDefault="00DC3DFF" w:rsidP="004B699C">
            <w:pPr>
              <w:pStyle w:val="TableText0"/>
              <w:jc w:val="center"/>
            </w:pPr>
            <w:r w:rsidRPr="002B4AB6">
              <w:t>15 (25.0),</w:t>
            </w:r>
          </w:p>
          <w:p w:rsidR="00DC3DFF" w:rsidRPr="002B4AB6" w:rsidRDefault="00DC3DFF" w:rsidP="004B699C">
            <w:pPr>
              <w:pStyle w:val="TableText0"/>
              <w:jc w:val="center"/>
            </w:pPr>
            <w:r w:rsidRPr="002B4AB6">
              <w:t>[NR]</w:t>
            </w:r>
          </w:p>
        </w:tc>
      </w:tr>
      <w:tr w:rsidR="00DC3DFF" w:rsidRPr="002B4AB6" w:rsidTr="00BD7EBE">
        <w:tc>
          <w:tcPr>
            <w:tcW w:w="1003" w:type="pct"/>
            <w:vAlign w:val="center"/>
          </w:tcPr>
          <w:p w:rsidR="00DC3DFF" w:rsidRPr="002B4AB6" w:rsidRDefault="00DC3DFF" w:rsidP="004B699C">
            <w:pPr>
              <w:pStyle w:val="TableText0"/>
            </w:pPr>
            <w:r w:rsidRPr="002B4AB6">
              <w:t>ORR (CR +PR), n (%), [95%CI]</w:t>
            </w:r>
          </w:p>
        </w:tc>
        <w:tc>
          <w:tcPr>
            <w:tcW w:w="1470" w:type="pct"/>
            <w:shd w:val="clear" w:color="auto" w:fill="B8CCE4" w:themeFill="accent1" w:themeFillTint="66"/>
          </w:tcPr>
          <w:p w:rsidR="00DC3DFF" w:rsidRPr="002B4AB6" w:rsidRDefault="00DC3DFF" w:rsidP="004B699C">
            <w:pPr>
              <w:pStyle w:val="TableText0"/>
              <w:jc w:val="center"/>
            </w:pPr>
            <w:r w:rsidRPr="002B4AB6">
              <w:t>24 (45.3),</w:t>
            </w:r>
          </w:p>
          <w:p w:rsidR="00DC3DFF" w:rsidRPr="002B4AB6" w:rsidRDefault="00DC3DFF" w:rsidP="004B699C">
            <w:pPr>
              <w:pStyle w:val="TableText0"/>
              <w:jc w:val="center"/>
            </w:pPr>
            <w:r w:rsidRPr="002B4AB6">
              <w:t>[31.6, 59.6]</w:t>
            </w:r>
          </w:p>
        </w:tc>
        <w:tc>
          <w:tcPr>
            <w:tcW w:w="1549" w:type="pct"/>
          </w:tcPr>
          <w:p w:rsidR="00DC3DFF" w:rsidRPr="002B4AB6" w:rsidRDefault="00DC3DFF" w:rsidP="004B699C">
            <w:pPr>
              <w:pStyle w:val="TableText0"/>
              <w:jc w:val="center"/>
            </w:pPr>
            <w:r w:rsidRPr="002B4AB6">
              <w:t>24 (45.3),</w:t>
            </w:r>
          </w:p>
          <w:p w:rsidR="00DC3DFF" w:rsidRPr="002B4AB6" w:rsidRDefault="00DC3DFF" w:rsidP="004B699C">
            <w:pPr>
              <w:pStyle w:val="TableText0"/>
              <w:jc w:val="center"/>
            </w:pPr>
            <w:r w:rsidRPr="002B4AB6">
              <w:t>[31.6, 59.6]</w:t>
            </w:r>
          </w:p>
        </w:tc>
        <w:tc>
          <w:tcPr>
            <w:tcW w:w="978" w:type="pct"/>
          </w:tcPr>
          <w:p w:rsidR="00DC3DFF" w:rsidRPr="002B4AB6" w:rsidRDefault="00DC3DFF" w:rsidP="004B699C">
            <w:pPr>
              <w:pStyle w:val="TableText0"/>
              <w:jc w:val="center"/>
            </w:pPr>
            <w:r w:rsidRPr="002B4AB6">
              <w:t>39 (65.0),</w:t>
            </w:r>
          </w:p>
          <w:p w:rsidR="00DC3DFF" w:rsidRPr="002B4AB6" w:rsidRDefault="00DC3DFF" w:rsidP="004B699C">
            <w:pPr>
              <w:pStyle w:val="TableText0"/>
              <w:jc w:val="center"/>
            </w:pPr>
            <w:r w:rsidRPr="002B4AB6">
              <w:t>[NR]</w:t>
            </w:r>
          </w:p>
        </w:tc>
      </w:tr>
      <w:tr w:rsidR="00DC3DFF" w:rsidRPr="002B4AB6" w:rsidTr="00BD7EBE">
        <w:tc>
          <w:tcPr>
            <w:tcW w:w="1003" w:type="pct"/>
            <w:vAlign w:val="center"/>
          </w:tcPr>
          <w:p w:rsidR="00DC3DFF" w:rsidRPr="002B4AB6" w:rsidRDefault="00DC3DFF" w:rsidP="004B699C">
            <w:pPr>
              <w:pStyle w:val="TableText0"/>
            </w:pPr>
            <w:r w:rsidRPr="002B4AB6">
              <w:t>Stable Disease, n (%), [95%CI]</w:t>
            </w:r>
          </w:p>
        </w:tc>
        <w:tc>
          <w:tcPr>
            <w:tcW w:w="1470" w:type="pct"/>
            <w:shd w:val="clear" w:color="auto" w:fill="B8CCE4" w:themeFill="accent1" w:themeFillTint="66"/>
          </w:tcPr>
          <w:p w:rsidR="00DC3DFF" w:rsidRPr="002B4AB6" w:rsidRDefault="00DC3DFF" w:rsidP="004B699C">
            <w:pPr>
              <w:pStyle w:val="TableText0"/>
              <w:jc w:val="center"/>
            </w:pPr>
            <w:r w:rsidRPr="002B4AB6">
              <w:t>5 (9.4),</w:t>
            </w:r>
          </w:p>
          <w:p w:rsidR="00DC3DFF" w:rsidRPr="002B4AB6" w:rsidRDefault="00DC3DFF" w:rsidP="004B699C">
            <w:pPr>
              <w:pStyle w:val="TableText0"/>
              <w:jc w:val="center"/>
            </w:pPr>
            <w:r w:rsidRPr="002B4AB6">
              <w:t>[3.1, 20.7]</w:t>
            </w:r>
          </w:p>
        </w:tc>
        <w:tc>
          <w:tcPr>
            <w:tcW w:w="1549" w:type="pct"/>
          </w:tcPr>
          <w:p w:rsidR="00DC3DFF" w:rsidRPr="002B4AB6" w:rsidRDefault="00DC3DFF" w:rsidP="004B699C">
            <w:pPr>
              <w:pStyle w:val="TableText0"/>
              <w:jc w:val="center"/>
            </w:pPr>
            <w:r w:rsidRPr="002B4AB6">
              <w:t>5 (9.4),</w:t>
            </w:r>
          </w:p>
          <w:p w:rsidR="00DC3DFF" w:rsidRPr="002B4AB6" w:rsidRDefault="00DC3DFF" w:rsidP="004B699C">
            <w:pPr>
              <w:pStyle w:val="TableText0"/>
              <w:jc w:val="center"/>
            </w:pPr>
            <w:r w:rsidRPr="002B4AB6">
              <w:t>[3.1, 20.7]</w:t>
            </w:r>
          </w:p>
        </w:tc>
        <w:tc>
          <w:tcPr>
            <w:tcW w:w="978" w:type="pct"/>
          </w:tcPr>
          <w:p w:rsidR="00DC3DFF" w:rsidRPr="002B4AB6" w:rsidRDefault="00DC3DFF" w:rsidP="004B699C">
            <w:pPr>
              <w:pStyle w:val="TableText0"/>
              <w:jc w:val="center"/>
            </w:pPr>
            <w:r w:rsidRPr="002B4AB6">
              <w:t>7 (12.0),</w:t>
            </w:r>
          </w:p>
          <w:p w:rsidR="00DC3DFF" w:rsidRPr="002B4AB6" w:rsidRDefault="00DC3DFF" w:rsidP="004B699C">
            <w:pPr>
              <w:pStyle w:val="TableText0"/>
              <w:jc w:val="center"/>
            </w:pPr>
            <w:r w:rsidRPr="002B4AB6">
              <w:t>[NR]</w:t>
            </w:r>
          </w:p>
        </w:tc>
      </w:tr>
      <w:tr w:rsidR="00DC3DFF" w:rsidRPr="002B4AB6" w:rsidTr="00BD7EBE">
        <w:tc>
          <w:tcPr>
            <w:tcW w:w="1003" w:type="pct"/>
            <w:vAlign w:val="center"/>
          </w:tcPr>
          <w:p w:rsidR="00DC3DFF" w:rsidRPr="002B4AB6" w:rsidRDefault="00DC3DFF" w:rsidP="004B699C">
            <w:pPr>
              <w:pStyle w:val="TableText0"/>
            </w:pPr>
            <w:r w:rsidRPr="002B4AB6">
              <w:t>Progressive disease, n (%), [95%CI]</w:t>
            </w:r>
          </w:p>
        </w:tc>
        <w:tc>
          <w:tcPr>
            <w:tcW w:w="1470" w:type="pct"/>
            <w:shd w:val="clear" w:color="auto" w:fill="B8CCE4" w:themeFill="accent1" w:themeFillTint="66"/>
          </w:tcPr>
          <w:p w:rsidR="00DC3DFF" w:rsidRPr="002B4AB6" w:rsidRDefault="00DC3DFF" w:rsidP="004B699C">
            <w:pPr>
              <w:pStyle w:val="TableText0"/>
              <w:jc w:val="center"/>
            </w:pPr>
            <w:r w:rsidRPr="002B4AB6">
              <w:t>12 (22.6),</w:t>
            </w:r>
          </w:p>
          <w:p w:rsidR="00DC3DFF" w:rsidRPr="002B4AB6" w:rsidRDefault="00DC3DFF" w:rsidP="004B699C">
            <w:pPr>
              <w:pStyle w:val="TableText0"/>
              <w:jc w:val="center"/>
            </w:pPr>
            <w:r w:rsidRPr="002B4AB6">
              <w:t>[12.3, 36.2]</w:t>
            </w:r>
          </w:p>
        </w:tc>
        <w:tc>
          <w:tcPr>
            <w:tcW w:w="1549" w:type="pct"/>
          </w:tcPr>
          <w:p w:rsidR="00DC3DFF" w:rsidRPr="002B4AB6" w:rsidRDefault="00DC3DFF" w:rsidP="004B699C">
            <w:pPr>
              <w:pStyle w:val="TableText0"/>
              <w:jc w:val="center"/>
            </w:pPr>
            <w:r w:rsidRPr="002B4AB6">
              <w:t>12 (22.6),</w:t>
            </w:r>
          </w:p>
          <w:p w:rsidR="00DC3DFF" w:rsidRPr="002B4AB6" w:rsidRDefault="00DC3DFF" w:rsidP="004B699C">
            <w:pPr>
              <w:pStyle w:val="TableText0"/>
              <w:jc w:val="center"/>
            </w:pPr>
            <w:r w:rsidRPr="002B4AB6">
              <w:t>[12.3, 36.2]</w:t>
            </w:r>
          </w:p>
        </w:tc>
        <w:tc>
          <w:tcPr>
            <w:tcW w:w="978" w:type="pct"/>
          </w:tcPr>
          <w:p w:rsidR="00DC3DFF" w:rsidRPr="002B4AB6" w:rsidRDefault="00DC3DFF" w:rsidP="004B699C">
            <w:pPr>
              <w:pStyle w:val="TableText0"/>
              <w:jc w:val="center"/>
            </w:pPr>
            <w:r w:rsidRPr="002B4AB6">
              <w:t>14 (23.0),</w:t>
            </w:r>
          </w:p>
          <w:p w:rsidR="00DC3DFF" w:rsidRPr="002B4AB6" w:rsidRDefault="00DC3DFF" w:rsidP="004B699C">
            <w:pPr>
              <w:pStyle w:val="TableText0"/>
              <w:jc w:val="center"/>
            </w:pPr>
            <w:r w:rsidRPr="002B4AB6">
              <w:t>[NR]</w:t>
            </w:r>
          </w:p>
        </w:tc>
      </w:tr>
      <w:tr w:rsidR="00DC3DFF" w:rsidRPr="002B4AB6" w:rsidTr="00BD7EBE">
        <w:tc>
          <w:tcPr>
            <w:tcW w:w="1003" w:type="pct"/>
            <w:vAlign w:val="center"/>
          </w:tcPr>
          <w:p w:rsidR="00DC3DFF" w:rsidRPr="002B4AB6" w:rsidRDefault="00DC3DFF" w:rsidP="004B699C">
            <w:pPr>
              <w:pStyle w:val="TableText0"/>
              <w:rPr>
                <w:vertAlign w:val="superscript"/>
              </w:rPr>
            </w:pPr>
            <w:r w:rsidRPr="002B4AB6">
              <w:t>No Assessment/</w:t>
            </w:r>
            <w:r w:rsidRPr="002B4AB6">
              <w:rPr>
                <w:rFonts w:cs="Times New Roman"/>
              </w:rPr>
              <w:t>Non-evaluable*, n (%), [95%CI]</w:t>
            </w:r>
          </w:p>
        </w:tc>
        <w:tc>
          <w:tcPr>
            <w:tcW w:w="1470" w:type="pct"/>
            <w:shd w:val="clear" w:color="auto" w:fill="B8CCE4" w:themeFill="accent1" w:themeFillTint="66"/>
          </w:tcPr>
          <w:p w:rsidR="00DC3DFF" w:rsidRPr="002B4AB6" w:rsidRDefault="00DC3DFF" w:rsidP="004B699C">
            <w:pPr>
              <w:pStyle w:val="TableText0"/>
              <w:jc w:val="center"/>
            </w:pPr>
            <w:r w:rsidRPr="002B4AB6">
              <w:t>12 (22.6),</w:t>
            </w:r>
          </w:p>
          <w:p w:rsidR="00DC3DFF" w:rsidRPr="002B4AB6" w:rsidRDefault="00DC3DFF" w:rsidP="004B699C">
            <w:pPr>
              <w:pStyle w:val="TableText0"/>
              <w:jc w:val="center"/>
              <w:rPr>
                <w:vertAlign w:val="superscript"/>
              </w:rPr>
            </w:pPr>
            <w:r w:rsidRPr="002B4AB6">
              <w:t>[12.3, 36.2]</w:t>
            </w:r>
          </w:p>
        </w:tc>
        <w:tc>
          <w:tcPr>
            <w:tcW w:w="1549" w:type="pct"/>
          </w:tcPr>
          <w:p w:rsidR="00DC3DFF" w:rsidRPr="002B4AB6" w:rsidRDefault="00DC3DFF" w:rsidP="004B699C">
            <w:pPr>
              <w:pStyle w:val="TableText0"/>
              <w:jc w:val="center"/>
            </w:pPr>
            <w:r w:rsidRPr="002B4AB6">
              <w:t>12 (22.6),</w:t>
            </w:r>
          </w:p>
          <w:p w:rsidR="00DC3DFF" w:rsidRPr="002B4AB6" w:rsidRDefault="00DC3DFF" w:rsidP="004B699C">
            <w:pPr>
              <w:pStyle w:val="TableText0"/>
              <w:jc w:val="center"/>
              <w:rPr>
                <w:sz w:val="18"/>
                <w:vertAlign w:val="superscript"/>
              </w:rPr>
            </w:pPr>
            <w:r w:rsidRPr="002B4AB6">
              <w:t>[12.3, 36.2]</w:t>
            </w:r>
          </w:p>
        </w:tc>
        <w:tc>
          <w:tcPr>
            <w:tcW w:w="978" w:type="pct"/>
          </w:tcPr>
          <w:p w:rsidR="00DC3DFF" w:rsidRPr="002B4AB6" w:rsidRDefault="00DC3DFF" w:rsidP="004B699C">
            <w:pPr>
              <w:pStyle w:val="TableText0"/>
              <w:jc w:val="center"/>
            </w:pPr>
            <w:r w:rsidRPr="002B4AB6">
              <w:t>0 (0),</w:t>
            </w:r>
          </w:p>
          <w:p w:rsidR="00DC3DFF" w:rsidRPr="002B4AB6" w:rsidRDefault="00DC3DFF" w:rsidP="004B699C">
            <w:pPr>
              <w:pStyle w:val="TableText0"/>
              <w:jc w:val="center"/>
            </w:pPr>
            <w:r w:rsidRPr="002B4AB6">
              <w:t>[NR]</w:t>
            </w:r>
          </w:p>
        </w:tc>
      </w:tr>
    </w:tbl>
    <w:p w:rsidR="00DC3DFF" w:rsidRPr="002B4AB6" w:rsidRDefault="00DC3DFF" w:rsidP="00DC3DFF">
      <w:pPr>
        <w:rPr>
          <w:rFonts w:ascii="Arial Narrow" w:hAnsi="Arial Narrow"/>
          <w:sz w:val="18"/>
        </w:rPr>
      </w:pPr>
      <w:r w:rsidRPr="002B4AB6">
        <w:rPr>
          <w:rFonts w:ascii="Arial Narrow" w:hAnsi="Arial Narrow"/>
          <w:sz w:val="18"/>
        </w:rPr>
        <w:t>Sources: KN170 effi</w:t>
      </w:r>
      <w:r w:rsidR="00715FB5" w:rsidRPr="002B4AB6">
        <w:rPr>
          <w:rFonts w:ascii="Arial Narrow" w:hAnsi="Arial Narrow"/>
          <w:sz w:val="18"/>
        </w:rPr>
        <w:t xml:space="preserve">cacy update report (24 months); </w:t>
      </w:r>
      <w:r w:rsidRPr="002B4AB6">
        <w:rPr>
          <w:rFonts w:ascii="Arial Narrow" w:hAnsi="Arial Narrow"/>
          <w:sz w:val="18"/>
        </w:rPr>
        <w:t>Table 5, Paragraph 6.14</w:t>
      </w:r>
      <w:r w:rsidR="009C331F" w:rsidRPr="002B4AB6">
        <w:rPr>
          <w:rFonts w:ascii="Arial Narrow" w:hAnsi="Arial Narrow"/>
          <w:sz w:val="18"/>
        </w:rPr>
        <w:t>, Pembrolizumab PMBCL PSD, Nov 2018 PBAC meeting</w:t>
      </w:r>
      <w:r w:rsidR="00715FB5" w:rsidRPr="002B4AB6">
        <w:rPr>
          <w:rFonts w:ascii="Arial Narrow" w:hAnsi="Arial Narrow"/>
          <w:sz w:val="18"/>
        </w:rPr>
        <w:t xml:space="preserve">; </w:t>
      </w:r>
      <w:r w:rsidRPr="002B4AB6">
        <w:rPr>
          <w:rFonts w:ascii="Arial Narrow" w:hAnsi="Arial Narrow"/>
          <w:sz w:val="18"/>
        </w:rPr>
        <w:t>Table 2.5-1, p46 of the resubmission</w:t>
      </w:r>
      <w:r w:rsidR="00715FB5" w:rsidRPr="002B4AB6">
        <w:rPr>
          <w:rFonts w:ascii="Arial Narrow" w:hAnsi="Arial Narrow"/>
          <w:sz w:val="18"/>
        </w:rPr>
        <w:t>;</w:t>
      </w:r>
      <w:r w:rsidRPr="002B4AB6">
        <w:rPr>
          <w:rFonts w:ascii="Arial Narrow" w:hAnsi="Arial Narrow"/>
          <w:sz w:val="18"/>
        </w:rPr>
        <w:t xml:space="preserve"> Table 2, p2135 of the </w:t>
      </w:r>
      <w:r w:rsidR="00813B24" w:rsidRPr="002B4AB6">
        <w:rPr>
          <w:rFonts w:ascii="Arial Narrow" w:hAnsi="Arial Narrow"/>
          <w:sz w:val="18"/>
        </w:rPr>
        <w:t>Vardhana 2018</w:t>
      </w:r>
      <w:r w:rsidRPr="002B4AB6">
        <w:rPr>
          <w:rFonts w:ascii="Arial Narrow" w:hAnsi="Arial Narrow"/>
          <w:sz w:val="18"/>
        </w:rPr>
        <w:t xml:space="preserve"> publication</w:t>
      </w:r>
    </w:p>
    <w:p w:rsidR="00DC3DFF" w:rsidRPr="002B4AB6" w:rsidRDefault="00DC3DFF" w:rsidP="00DC3DFF">
      <w:pPr>
        <w:rPr>
          <w:rStyle w:val="TableFigureFooterChar"/>
          <w:rFonts w:eastAsia="Calibri"/>
        </w:rPr>
      </w:pPr>
      <w:r w:rsidRPr="002B4AB6">
        <w:rPr>
          <w:rStyle w:val="TableFigureFooterChar"/>
          <w:rFonts w:eastAsia="Calibri"/>
        </w:rPr>
        <w:t>CI = confidence interval; CR = complete response; n = number of participants with event; ORR = overall response rate; PR = partial response; NR = not reported; SOC = standard of care (ICE (ifosfamide, carboplatin, etoposide) chemotherapy was administered either with or without rituximab); Q3W = once every 3 weeks.</w:t>
      </w:r>
    </w:p>
    <w:p w:rsidR="00DC3DFF" w:rsidRPr="002B4AB6" w:rsidRDefault="00DC3DFF" w:rsidP="00DC3DFF">
      <w:pPr>
        <w:rPr>
          <w:rFonts w:ascii="Arial Narrow" w:hAnsi="Arial Narrow"/>
          <w:sz w:val="18"/>
        </w:rPr>
      </w:pPr>
      <w:r w:rsidRPr="002B4AB6">
        <w:rPr>
          <w:rFonts w:ascii="Arial Narrow" w:hAnsi="Arial Narrow"/>
          <w:sz w:val="18"/>
        </w:rPr>
        <w:t>*</w:t>
      </w:r>
      <w:r w:rsidR="00567555" w:rsidRPr="002B4AB6">
        <w:rPr>
          <w:rFonts w:ascii="Arial Narrow" w:hAnsi="Arial Narrow"/>
          <w:sz w:val="18"/>
        </w:rPr>
        <w:t xml:space="preserve"> </w:t>
      </w:r>
      <w:r w:rsidRPr="002B4AB6">
        <w:rPr>
          <w:rFonts w:ascii="Arial Narrow" w:hAnsi="Arial Narrow"/>
          <w:sz w:val="18"/>
        </w:rPr>
        <w:t>Non-Evaluable includes subjects with insufficient data for assessment of response.</w:t>
      </w:r>
    </w:p>
    <w:p w:rsidR="00DC3DFF" w:rsidRPr="002B4AB6" w:rsidRDefault="00DC3DFF" w:rsidP="00DC3DFF">
      <w:pPr>
        <w:rPr>
          <w:rFonts w:ascii="Arial Narrow" w:hAnsi="Arial Narrow"/>
          <w:sz w:val="18"/>
        </w:rPr>
      </w:pPr>
      <w:r w:rsidRPr="002B4AB6">
        <w:rPr>
          <w:rFonts w:ascii="Arial Narrow" w:hAnsi="Arial Narrow"/>
          <w:sz w:val="18"/>
        </w:rPr>
        <w:t>Results that have previously been seen by the PBAC are blue highlighted.</w:t>
      </w:r>
    </w:p>
    <w:p w:rsidR="00DC3DFF" w:rsidRPr="002B4AB6" w:rsidRDefault="00DC3DFF" w:rsidP="00DC3DFF">
      <w:pPr>
        <w:pStyle w:val="TableFigureFooter"/>
      </w:pPr>
    </w:p>
    <w:p w:rsidR="00350BE9" w:rsidRPr="002B4AB6" w:rsidRDefault="00F25B48" w:rsidP="00350BE9">
      <w:pPr>
        <w:pStyle w:val="3-BodyText"/>
      </w:pPr>
      <w:r w:rsidRPr="002B4AB6">
        <w:t>The ESC noted that c</w:t>
      </w:r>
      <w:r w:rsidR="00350BE9" w:rsidRPr="002B4AB6">
        <w:t xml:space="preserve">ompared to </w:t>
      </w:r>
      <w:r w:rsidRPr="002B4AB6">
        <w:t xml:space="preserve">the KN170 </w:t>
      </w:r>
      <w:r w:rsidR="00350BE9" w:rsidRPr="002B4AB6">
        <w:t xml:space="preserve">data presented in the previous submission (January 2018 data cut-off), four patients who originally experienced a partial response (PR), were subsequently determined to have a complete response (CR) for the May 2019 data cut-off (18.9%). However, the </w:t>
      </w:r>
      <w:r w:rsidRPr="002B4AB6">
        <w:t xml:space="preserve">ESC noted the </w:t>
      </w:r>
      <w:r w:rsidR="00350BE9" w:rsidRPr="002B4AB6">
        <w:t>overall ORR results remained the same (45.3%)</w:t>
      </w:r>
      <w:r w:rsidR="00730EAD" w:rsidRPr="002B4AB6">
        <w:t xml:space="preserve"> with these more mature data</w:t>
      </w:r>
      <w:r w:rsidR="00350BE9" w:rsidRPr="002B4AB6">
        <w:t>.</w:t>
      </w:r>
      <w:r w:rsidR="00174A4A" w:rsidRPr="002B4AB6">
        <w:t xml:space="preserve"> </w:t>
      </w:r>
      <w:r w:rsidR="00E85698" w:rsidRPr="002B4AB6">
        <w:t>The</w:t>
      </w:r>
      <w:r w:rsidR="00991818" w:rsidRPr="002B4AB6">
        <w:t xml:space="preserve"> </w:t>
      </w:r>
      <w:r w:rsidR="00CB78B2" w:rsidRPr="002B4AB6">
        <w:t xml:space="preserve">PBAC agreed with the </w:t>
      </w:r>
      <w:r w:rsidR="00CB53CB" w:rsidRPr="002B4AB6">
        <w:t xml:space="preserve">ESC that the </w:t>
      </w:r>
      <w:r w:rsidR="002B014D" w:rsidRPr="002B4AB6">
        <w:t xml:space="preserve">proportion of patients with an ORR in </w:t>
      </w:r>
      <w:r w:rsidR="00CB53CB" w:rsidRPr="002B4AB6">
        <w:t xml:space="preserve">KN170 </w:t>
      </w:r>
      <w:r w:rsidR="002B014D" w:rsidRPr="002B4AB6">
        <w:t>was</w:t>
      </w:r>
      <w:r w:rsidR="00CB53CB" w:rsidRPr="002B4AB6">
        <w:t xml:space="preserve"> higher than previously reported in studies with a distinct PMBCL analysis of a heavily pre-treated population.</w:t>
      </w:r>
      <w:r w:rsidR="00CB53CB" w:rsidRPr="002B4AB6">
        <w:rPr>
          <w:rStyle w:val="FootnoteReference"/>
        </w:rPr>
        <w:footnoteReference w:id="6"/>
      </w:r>
    </w:p>
    <w:p w:rsidR="00350BE9" w:rsidRPr="002B4AB6" w:rsidRDefault="00350BE9" w:rsidP="00350BE9">
      <w:pPr>
        <w:pStyle w:val="3-BodyText"/>
      </w:pPr>
      <w:r w:rsidRPr="002B4AB6">
        <w:lastRenderedPageBreak/>
        <w:t>Noting the naïve nature of the comparison and the earlier baseline treatment setting in Vardhana 2018, compared to KN170 (second line vs. a median of 3 prior therapies (range 2-8), respectively), response rates were higher in Vardhana 2018 with 39 of 60 patients (ORR = 65%) experiencing either a PR (15%) or a CR (40%) to second line salvage therapy.</w:t>
      </w:r>
      <w:r w:rsidR="00174A4A" w:rsidRPr="00492CD9">
        <w:t xml:space="preserve"> </w:t>
      </w:r>
      <w:r w:rsidR="00730EAD" w:rsidRPr="002B4AB6">
        <w:t xml:space="preserve">The ESC reiterated that meaningful comparisons between Vardhana 2018 and KN170 were limited by the differences in the patient populations of these studies (see paragraph </w:t>
      </w:r>
      <w:r w:rsidR="002B39A5" w:rsidRPr="002B4AB6">
        <w:t>6.9</w:t>
      </w:r>
      <w:r w:rsidR="00730EAD" w:rsidRPr="002B4AB6">
        <w:t xml:space="preserve">). </w:t>
      </w:r>
    </w:p>
    <w:p w:rsidR="00E21C13" w:rsidRPr="002B4AB6" w:rsidRDefault="00E21C13" w:rsidP="00E21C13">
      <w:pPr>
        <w:pStyle w:val="3-BodyText"/>
      </w:pPr>
      <w:r w:rsidRPr="00492CD9">
        <w:t>ORR results for KN013 (overall results and results for t</w:t>
      </w:r>
      <w:r w:rsidRPr="002B4AB6">
        <w:t>he 200 mg dose subgroup (n=11)), and Kuruvilla 2008 are summarised in the table below.</w:t>
      </w:r>
    </w:p>
    <w:p w:rsidR="00E21C13" w:rsidRPr="002B4AB6" w:rsidRDefault="00E21C13" w:rsidP="00E21C13">
      <w:pPr>
        <w:pStyle w:val="TableFigureHeading"/>
        <w:rPr>
          <w:rStyle w:val="CommentReference"/>
          <w:b/>
          <w:szCs w:val="24"/>
        </w:rPr>
      </w:pPr>
      <w:bookmarkStart w:id="19" w:name="_Ref29815598"/>
      <w:r w:rsidRPr="002B4AB6">
        <w:rPr>
          <w:rStyle w:val="CommentReference"/>
          <w:b/>
          <w:szCs w:val="24"/>
        </w:rPr>
        <w:t xml:space="preserve">Table </w:t>
      </w:r>
      <w:r w:rsidR="002B39A5" w:rsidRPr="00956A61">
        <w:rPr>
          <w:rStyle w:val="CommentReference"/>
          <w:b/>
          <w:szCs w:val="24"/>
        </w:rPr>
        <w:t>6</w:t>
      </w:r>
      <w:bookmarkEnd w:id="19"/>
      <w:r w:rsidRPr="002B4AB6">
        <w:rPr>
          <w:rStyle w:val="CommentReference"/>
          <w:b/>
          <w:szCs w:val="24"/>
        </w:rPr>
        <w:t>: Results of ORR across the KN013 and Kuruvilla 2008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445"/>
        <w:gridCol w:w="2341"/>
        <w:gridCol w:w="1715"/>
      </w:tblGrid>
      <w:tr w:rsidR="00E21C13" w:rsidRPr="002B4AB6" w:rsidTr="002A69BB">
        <w:trPr>
          <w:tblHeader/>
        </w:trPr>
        <w:tc>
          <w:tcPr>
            <w:tcW w:w="1395" w:type="pct"/>
            <w:vMerge w:val="restart"/>
            <w:vAlign w:val="center"/>
          </w:tcPr>
          <w:p w:rsidR="00E21C13" w:rsidRPr="00492CD9" w:rsidRDefault="00E21C13" w:rsidP="00B100A4">
            <w:pPr>
              <w:keepNext/>
              <w:keepLines/>
              <w:jc w:val="left"/>
              <w:rPr>
                <w:rFonts w:ascii="Arial Narrow" w:hAnsi="Arial Narrow" w:cs="Times New Roman"/>
                <w:b/>
                <w:sz w:val="20"/>
                <w:szCs w:val="20"/>
              </w:rPr>
            </w:pPr>
            <w:r w:rsidRPr="00492CD9">
              <w:rPr>
                <w:rFonts w:ascii="Arial Narrow" w:hAnsi="Arial Narrow" w:cs="Times New Roman"/>
                <w:b/>
                <w:sz w:val="20"/>
                <w:szCs w:val="20"/>
              </w:rPr>
              <w:t>Outcome/Trial ID</w:t>
            </w:r>
          </w:p>
        </w:tc>
        <w:tc>
          <w:tcPr>
            <w:tcW w:w="2654" w:type="pct"/>
            <w:gridSpan w:val="2"/>
            <w:shd w:val="clear" w:color="auto" w:fill="B8CCE4" w:themeFill="accent1" w:themeFillTint="66"/>
            <w:vAlign w:val="center"/>
          </w:tcPr>
          <w:p w:rsidR="00E21C13" w:rsidRPr="002B4AB6" w:rsidRDefault="00E21C13" w:rsidP="00B100A4">
            <w:pPr>
              <w:keepNext/>
              <w:keepLines/>
              <w:jc w:val="center"/>
              <w:rPr>
                <w:rFonts w:ascii="Arial Narrow" w:hAnsi="Arial Narrow" w:cs="Times New Roman"/>
                <w:b/>
                <w:sz w:val="20"/>
                <w:szCs w:val="20"/>
              </w:rPr>
            </w:pPr>
            <w:r w:rsidRPr="002B4AB6">
              <w:rPr>
                <w:rFonts w:ascii="Arial Narrow" w:hAnsi="Arial Narrow" w:cs="Times New Roman"/>
                <w:b/>
                <w:sz w:val="20"/>
                <w:szCs w:val="20"/>
              </w:rPr>
              <w:t>Pembrolizumab</w:t>
            </w:r>
          </w:p>
          <w:p w:rsidR="00E21C13" w:rsidRPr="002B4AB6" w:rsidRDefault="00E21C13" w:rsidP="00B100A4">
            <w:pPr>
              <w:keepNext/>
              <w:keepLines/>
              <w:jc w:val="center"/>
              <w:rPr>
                <w:rFonts w:ascii="Arial Narrow" w:hAnsi="Arial Narrow" w:cs="Times New Roman"/>
                <w:b/>
                <w:sz w:val="20"/>
                <w:szCs w:val="20"/>
              </w:rPr>
            </w:pPr>
            <w:r w:rsidRPr="002B4AB6">
              <w:rPr>
                <w:rFonts w:ascii="Arial Narrow" w:hAnsi="Arial Narrow" w:cs="Times New Roman"/>
                <w:b/>
                <w:sz w:val="20"/>
                <w:szCs w:val="20"/>
              </w:rPr>
              <w:t>KN013</w:t>
            </w:r>
          </w:p>
        </w:tc>
        <w:tc>
          <w:tcPr>
            <w:tcW w:w="951" w:type="pct"/>
            <w:vMerge w:val="restart"/>
            <w:shd w:val="clear" w:color="auto" w:fill="B8CCE4" w:themeFill="accent1" w:themeFillTint="66"/>
          </w:tcPr>
          <w:p w:rsidR="00E21C13" w:rsidRPr="002B4AB6" w:rsidRDefault="00E21C13" w:rsidP="00B100A4">
            <w:pPr>
              <w:keepNext/>
              <w:keepLines/>
              <w:jc w:val="center"/>
              <w:rPr>
                <w:rFonts w:ascii="Arial Narrow" w:hAnsi="Arial Narrow" w:cs="Times New Roman"/>
                <w:b/>
                <w:sz w:val="20"/>
                <w:szCs w:val="20"/>
              </w:rPr>
            </w:pPr>
            <w:r w:rsidRPr="002B4AB6">
              <w:rPr>
                <w:rFonts w:ascii="Arial Narrow" w:hAnsi="Arial Narrow" w:cs="Times New Roman"/>
                <w:b/>
                <w:sz w:val="20"/>
                <w:szCs w:val="20"/>
              </w:rPr>
              <w:t>SOC</w:t>
            </w:r>
          </w:p>
          <w:p w:rsidR="00E21C13" w:rsidRPr="002B4AB6" w:rsidRDefault="00E21C13" w:rsidP="00B100A4">
            <w:pPr>
              <w:keepNext/>
              <w:keepLines/>
              <w:jc w:val="center"/>
              <w:rPr>
                <w:rFonts w:ascii="Arial Narrow" w:hAnsi="Arial Narrow" w:cs="Times New Roman"/>
                <w:b/>
                <w:sz w:val="20"/>
                <w:szCs w:val="20"/>
              </w:rPr>
            </w:pPr>
            <w:r w:rsidRPr="002B4AB6">
              <w:rPr>
                <w:rFonts w:ascii="Arial Narrow" w:hAnsi="Arial Narrow" w:cs="Times New Roman"/>
                <w:b/>
                <w:sz w:val="20"/>
                <w:szCs w:val="20"/>
              </w:rPr>
              <w:t>(Kuruvilla 2008)</w:t>
            </w:r>
          </w:p>
          <w:p w:rsidR="00E21C13" w:rsidRPr="002B4AB6" w:rsidRDefault="00E21C13" w:rsidP="00B100A4">
            <w:pPr>
              <w:keepNext/>
              <w:keepLines/>
              <w:jc w:val="center"/>
              <w:rPr>
                <w:rFonts w:ascii="Arial Narrow" w:hAnsi="Arial Narrow" w:cs="Times New Roman"/>
                <w:b/>
                <w:sz w:val="20"/>
                <w:szCs w:val="20"/>
              </w:rPr>
            </w:pPr>
            <w:r w:rsidRPr="002B4AB6">
              <w:rPr>
                <w:rFonts w:ascii="Arial Narrow" w:hAnsi="Arial Narrow" w:cs="Times New Roman"/>
                <w:b/>
                <w:sz w:val="20"/>
                <w:szCs w:val="20"/>
              </w:rPr>
              <w:t>N = 37</w:t>
            </w:r>
          </w:p>
        </w:tc>
      </w:tr>
      <w:tr w:rsidR="00E21C13" w:rsidRPr="002B4AB6" w:rsidTr="002A69BB">
        <w:trPr>
          <w:tblHeader/>
        </w:trPr>
        <w:tc>
          <w:tcPr>
            <w:tcW w:w="1395" w:type="pct"/>
            <w:vMerge/>
            <w:vAlign w:val="center"/>
          </w:tcPr>
          <w:p w:rsidR="00E21C13" w:rsidRPr="002B4AB6" w:rsidRDefault="00E21C13" w:rsidP="00B100A4">
            <w:pPr>
              <w:keepNext/>
              <w:keepLines/>
              <w:jc w:val="left"/>
              <w:rPr>
                <w:rFonts w:ascii="Arial Narrow" w:hAnsi="Arial Narrow" w:cs="Times New Roman"/>
                <w:b/>
                <w:sz w:val="20"/>
                <w:szCs w:val="20"/>
              </w:rPr>
            </w:pPr>
          </w:p>
        </w:tc>
        <w:tc>
          <w:tcPr>
            <w:tcW w:w="1356" w:type="pct"/>
            <w:shd w:val="clear" w:color="auto" w:fill="B8CCE4" w:themeFill="accent1" w:themeFillTint="66"/>
            <w:vAlign w:val="center"/>
          </w:tcPr>
          <w:p w:rsidR="00E21C13" w:rsidRPr="002B4AB6" w:rsidRDefault="00E21C13" w:rsidP="00B100A4">
            <w:pPr>
              <w:keepNext/>
              <w:keepLines/>
              <w:jc w:val="center"/>
              <w:rPr>
                <w:rFonts w:ascii="Arial Narrow" w:hAnsi="Arial Narrow" w:cs="Times New Roman"/>
                <w:b/>
                <w:sz w:val="20"/>
                <w:szCs w:val="20"/>
              </w:rPr>
            </w:pPr>
            <w:r w:rsidRPr="002B4AB6">
              <w:rPr>
                <w:rFonts w:ascii="Arial Narrow" w:hAnsi="Arial Narrow" w:cs="Times New Roman"/>
                <w:b/>
                <w:sz w:val="20"/>
                <w:szCs w:val="20"/>
              </w:rPr>
              <w:t>Total</w:t>
            </w:r>
          </w:p>
          <w:p w:rsidR="00E21C13" w:rsidRPr="002B4AB6" w:rsidRDefault="00E21C13" w:rsidP="00B100A4">
            <w:pPr>
              <w:keepNext/>
              <w:keepLines/>
              <w:jc w:val="center"/>
              <w:rPr>
                <w:rFonts w:ascii="Arial Narrow" w:hAnsi="Arial Narrow" w:cs="Times New Roman"/>
                <w:b/>
                <w:sz w:val="20"/>
                <w:szCs w:val="20"/>
              </w:rPr>
            </w:pPr>
            <w:r w:rsidRPr="002B4AB6">
              <w:rPr>
                <w:rFonts w:ascii="Arial Narrow" w:hAnsi="Arial Narrow" w:cs="Times New Roman"/>
                <w:b/>
                <w:sz w:val="20"/>
                <w:szCs w:val="20"/>
              </w:rPr>
              <w:t>N = 21</w:t>
            </w:r>
          </w:p>
        </w:tc>
        <w:tc>
          <w:tcPr>
            <w:tcW w:w="1298" w:type="pct"/>
            <w:shd w:val="clear" w:color="auto" w:fill="B8CCE4" w:themeFill="accent1" w:themeFillTint="66"/>
            <w:vAlign w:val="center"/>
          </w:tcPr>
          <w:p w:rsidR="00E21C13" w:rsidRPr="002B4AB6" w:rsidRDefault="00E21C13" w:rsidP="00B100A4">
            <w:pPr>
              <w:pStyle w:val="Tabletext"/>
              <w:keepNext/>
              <w:keepLines/>
              <w:jc w:val="center"/>
              <w:rPr>
                <w:b/>
                <w:szCs w:val="20"/>
              </w:rPr>
            </w:pPr>
            <w:r w:rsidRPr="002B4AB6">
              <w:rPr>
                <w:b/>
                <w:szCs w:val="20"/>
              </w:rPr>
              <w:t>200 mg Q3W</w:t>
            </w:r>
          </w:p>
          <w:p w:rsidR="00E21C13" w:rsidRPr="002B4AB6" w:rsidRDefault="00E21C13" w:rsidP="00B100A4">
            <w:pPr>
              <w:pStyle w:val="Tabletext"/>
              <w:keepNext/>
              <w:keepLines/>
              <w:jc w:val="center"/>
              <w:rPr>
                <w:b/>
                <w:szCs w:val="20"/>
              </w:rPr>
            </w:pPr>
            <w:r w:rsidRPr="002B4AB6">
              <w:rPr>
                <w:b/>
                <w:szCs w:val="20"/>
              </w:rPr>
              <w:t>N = 11</w:t>
            </w:r>
          </w:p>
        </w:tc>
        <w:tc>
          <w:tcPr>
            <w:tcW w:w="951" w:type="pct"/>
            <w:vMerge/>
            <w:shd w:val="clear" w:color="auto" w:fill="B8CCE4" w:themeFill="accent1" w:themeFillTint="66"/>
          </w:tcPr>
          <w:p w:rsidR="00E21C13" w:rsidRPr="002B4AB6" w:rsidRDefault="00E21C13" w:rsidP="00B100A4">
            <w:pPr>
              <w:keepNext/>
              <w:keepLines/>
              <w:jc w:val="center"/>
              <w:rPr>
                <w:rFonts w:ascii="Arial Narrow" w:hAnsi="Arial Narrow" w:cs="Times New Roman"/>
                <w:b/>
                <w:sz w:val="20"/>
                <w:szCs w:val="20"/>
              </w:rPr>
            </w:pPr>
          </w:p>
        </w:tc>
      </w:tr>
      <w:tr w:rsidR="00E21C13" w:rsidRPr="002B4AB6" w:rsidTr="002A69BB">
        <w:tc>
          <w:tcPr>
            <w:tcW w:w="1395" w:type="pct"/>
            <w:vAlign w:val="center"/>
          </w:tcPr>
          <w:p w:rsidR="00E21C13" w:rsidRPr="002B4AB6" w:rsidRDefault="00E21C13" w:rsidP="00B100A4">
            <w:pPr>
              <w:keepNext/>
              <w:keepLines/>
              <w:jc w:val="left"/>
              <w:rPr>
                <w:rFonts w:ascii="Arial Narrow" w:hAnsi="Arial Narrow" w:cs="Times New Roman"/>
                <w:sz w:val="20"/>
                <w:szCs w:val="20"/>
              </w:rPr>
            </w:pPr>
            <w:r w:rsidRPr="002B4AB6">
              <w:rPr>
                <w:rFonts w:ascii="Arial Narrow" w:hAnsi="Arial Narrow" w:cs="Times New Roman"/>
                <w:sz w:val="20"/>
                <w:szCs w:val="20"/>
              </w:rPr>
              <w:t>Complete response, n (%), [95%CI]</w:t>
            </w:r>
          </w:p>
        </w:tc>
        <w:tc>
          <w:tcPr>
            <w:tcW w:w="1356" w:type="pct"/>
            <w:shd w:val="clear" w:color="auto" w:fill="B8CCE4" w:themeFill="accent1" w:themeFillTint="66"/>
          </w:tcPr>
          <w:p w:rsidR="00E21C13" w:rsidRPr="002B4AB6" w:rsidRDefault="00E21C13" w:rsidP="00350BE9">
            <w:pPr>
              <w:pStyle w:val="TableText0"/>
              <w:jc w:val="center"/>
            </w:pPr>
            <w:r w:rsidRPr="002B4AB6">
              <w:t>7 (33.3) [14.6-57.0]</w:t>
            </w:r>
          </w:p>
        </w:tc>
        <w:tc>
          <w:tcPr>
            <w:tcW w:w="1298" w:type="pct"/>
            <w:shd w:val="clear" w:color="auto" w:fill="B8CCE4" w:themeFill="accent1" w:themeFillTint="66"/>
          </w:tcPr>
          <w:p w:rsidR="00E21C13" w:rsidRPr="002B4AB6" w:rsidRDefault="00E21C13" w:rsidP="00350BE9">
            <w:pPr>
              <w:pStyle w:val="TableText0"/>
              <w:jc w:val="center"/>
            </w:pPr>
            <w:r w:rsidRPr="002B4AB6">
              <w:t>4 (36.4), [10.9,69.2]</w:t>
            </w:r>
          </w:p>
        </w:tc>
        <w:tc>
          <w:tcPr>
            <w:tcW w:w="951" w:type="pct"/>
            <w:shd w:val="clear" w:color="auto" w:fill="B8CCE4" w:themeFill="accent1" w:themeFillTint="66"/>
          </w:tcPr>
          <w:p w:rsidR="00E21C13" w:rsidRPr="002B4AB6" w:rsidRDefault="00E21C13" w:rsidP="00350BE9">
            <w:pPr>
              <w:pStyle w:val="TableText0"/>
              <w:jc w:val="center"/>
            </w:pPr>
            <w:r w:rsidRPr="002B4AB6">
              <w:t>1 (3), [NR]</w:t>
            </w:r>
          </w:p>
        </w:tc>
      </w:tr>
      <w:tr w:rsidR="00E21C13" w:rsidRPr="002B4AB6" w:rsidTr="002A69BB">
        <w:tc>
          <w:tcPr>
            <w:tcW w:w="1395" w:type="pct"/>
            <w:vAlign w:val="center"/>
          </w:tcPr>
          <w:p w:rsidR="00E21C13" w:rsidRPr="002B4AB6" w:rsidRDefault="00E21C13" w:rsidP="00B100A4">
            <w:pPr>
              <w:keepNext/>
              <w:keepLines/>
              <w:jc w:val="left"/>
              <w:rPr>
                <w:rFonts w:ascii="Arial Narrow" w:hAnsi="Arial Narrow" w:cs="Times New Roman"/>
                <w:sz w:val="20"/>
                <w:szCs w:val="20"/>
              </w:rPr>
            </w:pPr>
            <w:r w:rsidRPr="002B4AB6">
              <w:rPr>
                <w:rFonts w:ascii="Arial Narrow" w:hAnsi="Arial Narrow" w:cs="Times New Roman"/>
                <w:sz w:val="20"/>
                <w:szCs w:val="20"/>
              </w:rPr>
              <w:t>Partial response, n (%), [95%CI]</w:t>
            </w:r>
          </w:p>
        </w:tc>
        <w:tc>
          <w:tcPr>
            <w:tcW w:w="1356" w:type="pct"/>
            <w:shd w:val="clear" w:color="auto" w:fill="B8CCE4" w:themeFill="accent1" w:themeFillTint="66"/>
          </w:tcPr>
          <w:p w:rsidR="00E21C13" w:rsidRPr="002B4AB6" w:rsidRDefault="00E21C13" w:rsidP="00350BE9">
            <w:pPr>
              <w:pStyle w:val="TableText0"/>
              <w:jc w:val="center"/>
            </w:pPr>
            <w:r w:rsidRPr="002B4AB6">
              <w:t>3 (14.3) [3.0, 36.3]</w:t>
            </w:r>
          </w:p>
        </w:tc>
        <w:tc>
          <w:tcPr>
            <w:tcW w:w="1298" w:type="pct"/>
            <w:shd w:val="clear" w:color="auto" w:fill="B8CCE4" w:themeFill="accent1" w:themeFillTint="66"/>
          </w:tcPr>
          <w:p w:rsidR="00E21C13" w:rsidRPr="002B4AB6" w:rsidRDefault="00E21C13" w:rsidP="00350BE9">
            <w:pPr>
              <w:pStyle w:val="TableText0"/>
              <w:jc w:val="center"/>
            </w:pPr>
            <w:r w:rsidRPr="002B4AB6">
              <w:t>1 (9.1), [0.2,41.3]</w:t>
            </w:r>
          </w:p>
        </w:tc>
        <w:tc>
          <w:tcPr>
            <w:tcW w:w="951" w:type="pct"/>
            <w:shd w:val="clear" w:color="auto" w:fill="B8CCE4" w:themeFill="accent1" w:themeFillTint="66"/>
          </w:tcPr>
          <w:p w:rsidR="00E21C13" w:rsidRPr="002B4AB6" w:rsidRDefault="00E21C13" w:rsidP="00350BE9">
            <w:pPr>
              <w:pStyle w:val="TableText0"/>
              <w:jc w:val="center"/>
            </w:pPr>
            <w:r w:rsidRPr="002B4AB6">
              <w:t>18 (34), [NR]</w:t>
            </w:r>
          </w:p>
        </w:tc>
      </w:tr>
      <w:tr w:rsidR="00E21C13" w:rsidRPr="002B4AB6" w:rsidTr="002A69BB">
        <w:tc>
          <w:tcPr>
            <w:tcW w:w="1395" w:type="pct"/>
            <w:vAlign w:val="center"/>
          </w:tcPr>
          <w:p w:rsidR="00E21C13" w:rsidRPr="002B4AB6" w:rsidRDefault="00E21C13" w:rsidP="00B100A4">
            <w:pPr>
              <w:keepNext/>
              <w:keepLines/>
              <w:jc w:val="left"/>
              <w:rPr>
                <w:rFonts w:ascii="Arial Narrow" w:hAnsi="Arial Narrow" w:cs="Times New Roman"/>
                <w:sz w:val="20"/>
                <w:szCs w:val="20"/>
              </w:rPr>
            </w:pPr>
            <w:r w:rsidRPr="002B4AB6">
              <w:rPr>
                <w:rFonts w:ascii="Arial Narrow" w:hAnsi="Arial Narrow" w:cs="Times New Roman"/>
                <w:sz w:val="20"/>
                <w:szCs w:val="20"/>
              </w:rPr>
              <w:t>ORR (CR +PR), n (%), [95%CI]</w:t>
            </w:r>
          </w:p>
        </w:tc>
        <w:tc>
          <w:tcPr>
            <w:tcW w:w="1356" w:type="pct"/>
            <w:shd w:val="clear" w:color="auto" w:fill="B8CCE4" w:themeFill="accent1" w:themeFillTint="66"/>
          </w:tcPr>
          <w:p w:rsidR="00E21C13" w:rsidRPr="002B4AB6" w:rsidRDefault="00E21C13" w:rsidP="00350BE9">
            <w:pPr>
              <w:pStyle w:val="TableText0"/>
              <w:jc w:val="center"/>
            </w:pPr>
            <w:r w:rsidRPr="002B4AB6">
              <w:t xml:space="preserve">10 (47.6) </w:t>
            </w:r>
          </w:p>
          <w:p w:rsidR="00E21C13" w:rsidRPr="002B4AB6" w:rsidRDefault="00E21C13" w:rsidP="00350BE9">
            <w:pPr>
              <w:pStyle w:val="TableText0"/>
              <w:jc w:val="center"/>
            </w:pPr>
            <w:r w:rsidRPr="002B4AB6">
              <w:t>[25.7, 70.2]</w:t>
            </w:r>
          </w:p>
        </w:tc>
        <w:tc>
          <w:tcPr>
            <w:tcW w:w="1298" w:type="pct"/>
            <w:shd w:val="clear" w:color="auto" w:fill="B8CCE4" w:themeFill="accent1" w:themeFillTint="66"/>
          </w:tcPr>
          <w:p w:rsidR="00E21C13" w:rsidRPr="002B4AB6" w:rsidRDefault="00E21C13" w:rsidP="00350BE9">
            <w:pPr>
              <w:pStyle w:val="TableText0"/>
              <w:jc w:val="center"/>
            </w:pPr>
            <w:r w:rsidRPr="002B4AB6">
              <w:t>5 (45.5),</w:t>
            </w:r>
          </w:p>
          <w:p w:rsidR="00E21C13" w:rsidRPr="002B4AB6" w:rsidRDefault="00E21C13" w:rsidP="00350BE9">
            <w:pPr>
              <w:pStyle w:val="TableText0"/>
              <w:jc w:val="center"/>
            </w:pPr>
            <w:r w:rsidRPr="002B4AB6">
              <w:t>[16.7, 76.6]</w:t>
            </w:r>
          </w:p>
        </w:tc>
        <w:tc>
          <w:tcPr>
            <w:tcW w:w="951" w:type="pct"/>
            <w:shd w:val="clear" w:color="auto" w:fill="B8CCE4" w:themeFill="accent1" w:themeFillTint="66"/>
          </w:tcPr>
          <w:p w:rsidR="00E21C13" w:rsidRPr="002B4AB6" w:rsidRDefault="00E21C13" w:rsidP="00350BE9">
            <w:pPr>
              <w:pStyle w:val="TableText0"/>
              <w:jc w:val="center"/>
            </w:pPr>
            <w:r w:rsidRPr="002B4AB6">
              <w:t>9 (25), [11, 39]</w:t>
            </w:r>
          </w:p>
        </w:tc>
      </w:tr>
      <w:tr w:rsidR="00E21C13" w:rsidRPr="002B4AB6" w:rsidTr="002A69BB">
        <w:tc>
          <w:tcPr>
            <w:tcW w:w="1395" w:type="pct"/>
            <w:vAlign w:val="center"/>
          </w:tcPr>
          <w:p w:rsidR="00E21C13" w:rsidRPr="002B4AB6" w:rsidRDefault="00E21C13" w:rsidP="00B100A4">
            <w:pPr>
              <w:keepNext/>
              <w:keepLines/>
              <w:jc w:val="left"/>
              <w:rPr>
                <w:rFonts w:ascii="Arial Narrow" w:hAnsi="Arial Narrow" w:cs="Times New Roman"/>
                <w:sz w:val="20"/>
                <w:szCs w:val="20"/>
              </w:rPr>
            </w:pPr>
            <w:r w:rsidRPr="002B4AB6">
              <w:rPr>
                <w:rFonts w:ascii="Arial Narrow" w:hAnsi="Arial Narrow" w:cs="Times New Roman"/>
                <w:sz w:val="20"/>
                <w:szCs w:val="20"/>
              </w:rPr>
              <w:t>Stable Disease, n (%), [95%CI]</w:t>
            </w:r>
          </w:p>
        </w:tc>
        <w:tc>
          <w:tcPr>
            <w:tcW w:w="1356" w:type="pct"/>
            <w:shd w:val="clear" w:color="auto" w:fill="B8CCE4" w:themeFill="accent1" w:themeFillTint="66"/>
          </w:tcPr>
          <w:p w:rsidR="00E21C13" w:rsidRPr="002B4AB6" w:rsidRDefault="00E21C13" w:rsidP="00350BE9">
            <w:pPr>
              <w:pStyle w:val="TableText0"/>
              <w:jc w:val="center"/>
            </w:pPr>
            <w:r w:rsidRPr="002B4AB6">
              <w:t>5 (23.8) [8.2, 47.2]</w:t>
            </w:r>
          </w:p>
        </w:tc>
        <w:tc>
          <w:tcPr>
            <w:tcW w:w="1298" w:type="pct"/>
            <w:shd w:val="clear" w:color="auto" w:fill="B8CCE4" w:themeFill="accent1" w:themeFillTint="66"/>
          </w:tcPr>
          <w:p w:rsidR="00E21C13" w:rsidRPr="002B4AB6" w:rsidRDefault="00E21C13" w:rsidP="00350BE9">
            <w:pPr>
              <w:pStyle w:val="TableText0"/>
              <w:jc w:val="center"/>
            </w:pPr>
            <w:r w:rsidRPr="002B4AB6">
              <w:t>1 (9.1),</w:t>
            </w:r>
          </w:p>
          <w:p w:rsidR="00E21C13" w:rsidRPr="002B4AB6" w:rsidRDefault="00E21C13" w:rsidP="00350BE9">
            <w:pPr>
              <w:pStyle w:val="TableText0"/>
              <w:jc w:val="center"/>
            </w:pPr>
            <w:r w:rsidRPr="002B4AB6">
              <w:t>[0.2, 41.3]</w:t>
            </w:r>
          </w:p>
        </w:tc>
        <w:tc>
          <w:tcPr>
            <w:tcW w:w="951" w:type="pct"/>
            <w:shd w:val="clear" w:color="auto" w:fill="B8CCE4" w:themeFill="accent1" w:themeFillTint="66"/>
          </w:tcPr>
          <w:p w:rsidR="00E21C13" w:rsidRPr="002B4AB6" w:rsidRDefault="00E21C13" w:rsidP="00350BE9">
            <w:pPr>
              <w:pStyle w:val="TableText0"/>
              <w:jc w:val="center"/>
            </w:pPr>
            <w:r w:rsidRPr="002B4AB6">
              <w:t xml:space="preserve">5 (14), [NR]  </w:t>
            </w:r>
          </w:p>
        </w:tc>
      </w:tr>
      <w:tr w:rsidR="00E21C13" w:rsidRPr="002B4AB6" w:rsidTr="002A69BB">
        <w:tc>
          <w:tcPr>
            <w:tcW w:w="1395" w:type="pct"/>
            <w:vAlign w:val="center"/>
          </w:tcPr>
          <w:p w:rsidR="00E21C13" w:rsidRPr="002B4AB6" w:rsidRDefault="00E21C13" w:rsidP="00B100A4">
            <w:pPr>
              <w:keepNext/>
              <w:keepLines/>
              <w:jc w:val="left"/>
              <w:rPr>
                <w:rFonts w:ascii="Arial Narrow" w:hAnsi="Arial Narrow" w:cs="Times New Roman"/>
                <w:b/>
                <w:sz w:val="20"/>
                <w:szCs w:val="20"/>
              </w:rPr>
            </w:pPr>
            <w:r w:rsidRPr="002B4AB6">
              <w:rPr>
                <w:rFonts w:ascii="Arial Narrow" w:hAnsi="Arial Narrow" w:cs="Times New Roman"/>
                <w:sz w:val="20"/>
                <w:szCs w:val="20"/>
              </w:rPr>
              <w:t>Progressive disease, n (%), [95%CI]</w:t>
            </w:r>
          </w:p>
        </w:tc>
        <w:tc>
          <w:tcPr>
            <w:tcW w:w="1356" w:type="pct"/>
            <w:shd w:val="clear" w:color="auto" w:fill="B8CCE4" w:themeFill="accent1" w:themeFillTint="66"/>
          </w:tcPr>
          <w:p w:rsidR="00E21C13" w:rsidRPr="002B4AB6" w:rsidRDefault="00E21C13" w:rsidP="00350BE9">
            <w:pPr>
              <w:pStyle w:val="TableText0"/>
              <w:jc w:val="center"/>
            </w:pPr>
            <w:r w:rsidRPr="002B4AB6">
              <w:t>4 (19) [5.4, 41.9]</w:t>
            </w:r>
          </w:p>
        </w:tc>
        <w:tc>
          <w:tcPr>
            <w:tcW w:w="1298" w:type="pct"/>
            <w:shd w:val="clear" w:color="auto" w:fill="B8CCE4" w:themeFill="accent1" w:themeFillTint="66"/>
          </w:tcPr>
          <w:p w:rsidR="00E21C13" w:rsidRPr="002B4AB6" w:rsidRDefault="00E21C13" w:rsidP="00350BE9">
            <w:pPr>
              <w:pStyle w:val="TableText0"/>
              <w:jc w:val="center"/>
            </w:pPr>
            <w:r w:rsidRPr="002B4AB6">
              <w:t>3 (27.3),</w:t>
            </w:r>
          </w:p>
          <w:p w:rsidR="00E21C13" w:rsidRPr="002B4AB6" w:rsidRDefault="00E21C13" w:rsidP="00350BE9">
            <w:pPr>
              <w:pStyle w:val="TableText0"/>
              <w:jc w:val="center"/>
            </w:pPr>
            <w:r w:rsidRPr="002B4AB6">
              <w:t>[6.0, 61.0]</w:t>
            </w:r>
          </w:p>
        </w:tc>
        <w:tc>
          <w:tcPr>
            <w:tcW w:w="951" w:type="pct"/>
            <w:shd w:val="clear" w:color="auto" w:fill="B8CCE4" w:themeFill="accent1" w:themeFillTint="66"/>
          </w:tcPr>
          <w:p w:rsidR="00E21C13" w:rsidRPr="002B4AB6" w:rsidRDefault="00E21C13" w:rsidP="00350BE9">
            <w:pPr>
              <w:pStyle w:val="TableText0"/>
              <w:jc w:val="center"/>
            </w:pPr>
            <w:r w:rsidRPr="002B4AB6">
              <w:t>22 (61), [NR]</w:t>
            </w:r>
          </w:p>
        </w:tc>
      </w:tr>
      <w:tr w:rsidR="00E21C13" w:rsidRPr="002B4AB6" w:rsidTr="002A69BB">
        <w:tc>
          <w:tcPr>
            <w:tcW w:w="1395" w:type="pct"/>
            <w:vAlign w:val="center"/>
          </w:tcPr>
          <w:p w:rsidR="00E21C13" w:rsidRPr="002B4AB6" w:rsidRDefault="00E21C13" w:rsidP="00B100A4">
            <w:pPr>
              <w:keepNext/>
              <w:keepLines/>
              <w:jc w:val="left"/>
              <w:rPr>
                <w:rFonts w:ascii="Arial Narrow" w:hAnsi="Arial Narrow" w:cs="Times New Roman"/>
                <w:b/>
                <w:sz w:val="20"/>
                <w:szCs w:val="20"/>
              </w:rPr>
            </w:pPr>
            <w:r w:rsidRPr="002B4AB6">
              <w:rPr>
                <w:rFonts w:ascii="Arial Narrow" w:hAnsi="Arial Narrow" w:cs="Times New Roman"/>
                <w:sz w:val="20"/>
                <w:szCs w:val="20"/>
              </w:rPr>
              <w:t>Non-evaluable, n (%), [95%CI]</w:t>
            </w:r>
          </w:p>
        </w:tc>
        <w:tc>
          <w:tcPr>
            <w:tcW w:w="1356" w:type="pct"/>
            <w:shd w:val="clear" w:color="auto" w:fill="B8CCE4" w:themeFill="accent1" w:themeFillTint="66"/>
          </w:tcPr>
          <w:p w:rsidR="00E21C13" w:rsidRPr="002B4AB6" w:rsidRDefault="00E21C13" w:rsidP="00350BE9">
            <w:pPr>
              <w:pStyle w:val="TableText0"/>
              <w:jc w:val="center"/>
            </w:pPr>
            <w:r w:rsidRPr="002B4AB6">
              <w:t>1 (4.8) [0.1, 23.8]</w:t>
            </w:r>
          </w:p>
        </w:tc>
        <w:tc>
          <w:tcPr>
            <w:tcW w:w="1298" w:type="pct"/>
            <w:shd w:val="clear" w:color="auto" w:fill="B8CCE4" w:themeFill="accent1" w:themeFillTint="66"/>
          </w:tcPr>
          <w:p w:rsidR="00E21C13" w:rsidRPr="002B4AB6" w:rsidRDefault="00E21C13" w:rsidP="00350BE9">
            <w:pPr>
              <w:pStyle w:val="TableText0"/>
              <w:jc w:val="center"/>
            </w:pPr>
            <w:r w:rsidRPr="002B4AB6">
              <w:t>1 (9.1),</w:t>
            </w:r>
          </w:p>
          <w:p w:rsidR="00E21C13" w:rsidRPr="002B4AB6" w:rsidRDefault="00E21C13" w:rsidP="00350BE9">
            <w:pPr>
              <w:pStyle w:val="TableText0"/>
              <w:jc w:val="center"/>
            </w:pPr>
            <w:r w:rsidRPr="002B4AB6">
              <w:t>[0.2, 41.3]</w:t>
            </w:r>
          </w:p>
        </w:tc>
        <w:tc>
          <w:tcPr>
            <w:tcW w:w="951" w:type="pct"/>
            <w:shd w:val="clear" w:color="auto" w:fill="B8CCE4" w:themeFill="accent1" w:themeFillTint="66"/>
          </w:tcPr>
          <w:p w:rsidR="00E21C13" w:rsidRPr="002B4AB6" w:rsidRDefault="00E21C13" w:rsidP="00350BE9">
            <w:pPr>
              <w:pStyle w:val="TableText0"/>
              <w:jc w:val="center"/>
            </w:pPr>
            <w:r w:rsidRPr="002B4AB6">
              <w:t xml:space="preserve">1 (3), [NR]  </w:t>
            </w:r>
          </w:p>
        </w:tc>
      </w:tr>
      <w:tr w:rsidR="00E21C13" w:rsidRPr="002B4AB6" w:rsidTr="002A69BB">
        <w:tc>
          <w:tcPr>
            <w:tcW w:w="1395" w:type="pct"/>
            <w:vAlign w:val="center"/>
          </w:tcPr>
          <w:p w:rsidR="00E21C13" w:rsidRPr="002B4AB6" w:rsidRDefault="00E21C13" w:rsidP="00B100A4">
            <w:pPr>
              <w:keepNext/>
              <w:keepLines/>
              <w:jc w:val="left"/>
              <w:rPr>
                <w:rFonts w:ascii="Arial Narrow" w:hAnsi="Arial Narrow" w:cs="Times New Roman"/>
                <w:sz w:val="20"/>
                <w:szCs w:val="20"/>
              </w:rPr>
            </w:pPr>
            <w:r w:rsidRPr="002B4AB6">
              <w:rPr>
                <w:rFonts w:ascii="Arial Narrow" w:hAnsi="Arial Narrow" w:cs="Times New Roman"/>
                <w:sz w:val="20"/>
                <w:szCs w:val="20"/>
              </w:rPr>
              <w:t>No Assessment, n (%), [95%CI]</w:t>
            </w:r>
          </w:p>
        </w:tc>
        <w:tc>
          <w:tcPr>
            <w:tcW w:w="1356" w:type="pct"/>
            <w:shd w:val="clear" w:color="auto" w:fill="B8CCE4" w:themeFill="accent1" w:themeFillTint="66"/>
          </w:tcPr>
          <w:p w:rsidR="00E21C13" w:rsidRPr="002B4AB6" w:rsidRDefault="00E21C13" w:rsidP="00350BE9">
            <w:pPr>
              <w:pStyle w:val="TableText0"/>
              <w:jc w:val="center"/>
            </w:pPr>
            <w:r w:rsidRPr="002B4AB6">
              <w:t>1 (4.8) [0.1, 23.8]</w:t>
            </w:r>
          </w:p>
        </w:tc>
        <w:tc>
          <w:tcPr>
            <w:tcW w:w="1298" w:type="pct"/>
            <w:shd w:val="clear" w:color="auto" w:fill="B8CCE4" w:themeFill="accent1" w:themeFillTint="66"/>
          </w:tcPr>
          <w:p w:rsidR="00E21C13" w:rsidRPr="002B4AB6" w:rsidRDefault="00E21C13" w:rsidP="00350BE9">
            <w:pPr>
              <w:pStyle w:val="TableText0"/>
              <w:jc w:val="center"/>
            </w:pPr>
            <w:r w:rsidRPr="002B4AB6">
              <w:t>1 (9.1),</w:t>
            </w:r>
          </w:p>
          <w:p w:rsidR="00E21C13" w:rsidRPr="002B4AB6" w:rsidRDefault="00E21C13" w:rsidP="00350BE9">
            <w:pPr>
              <w:pStyle w:val="TableText0"/>
              <w:jc w:val="center"/>
            </w:pPr>
            <w:r w:rsidRPr="002B4AB6">
              <w:t>[0.2, 41.3]</w:t>
            </w:r>
          </w:p>
        </w:tc>
        <w:tc>
          <w:tcPr>
            <w:tcW w:w="951" w:type="pct"/>
            <w:shd w:val="clear" w:color="auto" w:fill="B8CCE4" w:themeFill="accent1" w:themeFillTint="66"/>
          </w:tcPr>
          <w:p w:rsidR="00E21C13" w:rsidRPr="002B4AB6" w:rsidRDefault="00E21C13" w:rsidP="00350BE9">
            <w:pPr>
              <w:pStyle w:val="TableText0"/>
              <w:jc w:val="center"/>
            </w:pPr>
            <w:r w:rsidRPr="002B4AB6">
              <w:t>NA</w:t>
            </w:r>
          </w:p>
        </w:tc>
      </w:tr>
    </w:tbl>
    <w:p w:rsidR="00E21C13" w:rsidRPr="002B4AB6" w:rsidRDefault="00E21C13" w:rsidP="00E21C13">
      <w:pPr>
        <w:keepNext/>
        <w:keepLines/>
        <w:rPr>
          <w:rFonts w:ascii="Arial Narrow" w:hAnsi="Arial Narrow"/>
          <w:sz w:val="20"/>
        </w:rPr>
      </w:pPr>
      <w:r w:rsidRPr="002B4AB6">
        <w:rPr>
          <w:rFonts w:ascii="Arial Narrow" w:hAnsi="Arial Narrow"/>
          <w:sz w:val="18"/>
        </w:rPr>
        <w:t xml:space="preserve">Source: Table 5, Paragraph 6.14, Pembrolizumab PMBCL PBAC </w:t>
      </w:r>
      <w:r w:rsidR="00A65DD5">
        <w:rPr>
          <w:rFonts w:ascii="Arial Narrow" w:hAnsi="Arial Narrow"/>
          <w:sz w:val="18"/>
        </w:rPr>
        <w:t>PSD</w:t>
      </w:r>
      <w:r w:rsidRPr="002B4AB6">
        <w:rPr>
          <w:rFonts w:ascii="Arial Narrow" w:hAnsi="Arial Narrow"/>
          <w:sz w:val="18"/>
        </w:rPr>
        <w:t>, November 2018.</w:t>
      </w:r>
    </w:p>
    <w:p w:rsidR="002A69BB" w:rsidRPr="002B4AB6" w:rsidRDefault="00E21C13" w:rsidP="002A69BB">
      <w:pPr>
        <w:rPr>
          <w:rFonts w:ascii="Arial Narrow" w:hAnsi="Arial Narrow"/>
          <w:sz w:val="18"/>
        </w:rPr>
      </w:pPr>
      <w:r w:rsidRPr="002B4AB6">
        <w:rPr>
          <w:rFonts w:ascii="Arial Narrow" w:eastAsia="Calibri" w:hAnsi="Arial Narrow"/>
          <w:sz w:val="18"/>
        </w:rPr>
        <w:t>Abbreviations: CI = confidence interval; CR = complete response; n = number of participants with event; N = total participants in group; NA = not applicable; NR = not reported; ORR = overall response rate; PR = partial response; SOC = standard of care</w:t>
      </w:r>
      <w:r w:rsidR="002A69BB" w:rsidRPr="002B4AB6">
        <w:rPr>
          <w:rFonts w:ascii="Arial Narrow" w:hAnsi="Arial Narrow"/>
          <w:sz w:val="18"/>
        </w:rPr>
        <w:t xml:space="preserve"> </w:t>
      </w:r>
      <w:r w:rsidR="002A69BB" w:rsidRPr="002B4AB6">
        <w:rPr>
          <w:rFonts w:ascii="Arial Narrow" w:hAnsi="Arial Narrow"/>
          <w:sz w:val="18"/>
        </w:rPr>
        <w:br/>
        <w:t>Results that have previously been seen by the PBAC are blue highlighted.</w:t>
      </w:r>
    </w:p>
    <w:p w:rsidR="00DC3DFF" w:rsidRPr="002B4AB6" w:rsidRDefault="00DC3DFF" w:rsidP="00646950">
      <w:pPr>
        <w:pStyle w:val="3-BodyText"/>
        <w:spacing w:before="160"/>
      </w:pPr>
      <w:r w:rsidRPr="002B4AB6">
        <w:t xml:space="preserve">Results for PFS from </w:t>
      </w:r>
      <w:r w:rsidR="00F14AD8" w:rsidRPr="002B4AB6">
        <w:t>the pembrolizumab studies</w:t>
      </w:r>
      <w:r w:rsidR="009D04F4" w:rsidRPr="002B4AB6">
        <w:t xml:space="preserve"> </w:t>
      </w:r>
      <w:r w:rsidRPr="002B4AB6">
        <w:t xml:space="preserve">are presented below. </w:t>
      </w:r>
      <w:r w:rsidR="009D04F4" w:rsidRPr="002B4AB6">
        <w:rPr>
          <w:szCs w:val="20"/>
        </w:rPr>
        <w:t xml:space="preserve">The median PFS in KN013 was more than twice that observed in KN170. </w:t>
      </w:r>
      <w:r w:rsidRPr="002B4AB6">
        <w:t xml:space="preserve">Updated data </w:t>
      </w:r>
      <w:r w:rsidR="009D04F4" w:rsidRPr="002B4AB6">
        <w:t xml:space="preserve">from KN170, </w:t>
      </w:r>
      <w:r w:rsidRPr="002B4AB6">
        <w:t>corresponding to a median follow-up of 22.3 months</w:t>
      </w:r>
      <w:r w:rsidR="009D04F4" w:rsidRPr="002B4AB6">
        <w:t>,</w:t>
      </w:r>
      <w:r w:rsidRPr="002B4AB6">
        <w:t xml:space="preserve"> indicated that the median PFS </w:t>
      </w:r>
      <w:r w:rsidR="00A57E36" w:rsidRPr="002B4AB6">
        <w:t>based on the updated data was similar to that observed with the earlier data cut</w:t>
      </w:r>
      <w:r w:rsidRPr="002B4AB6">
        <w:t xml:space="preserve"> (5.5 months [95% CI: 2.8; 15.1] </w:t>
      </w:r>
      <w:r w:rsidR="00A57E36" w:rsidRPr="002B4AB6">
        <w:t>with updated data</w:t>
      </w:r>
      <w:r w:rsidRPr="002B4AB6">
        <w:t xml:space="preserve"> versus 4.7 months [95% CI: 2.8, 11]). The PFS results are difficult to interpret given the small number of patients and the lack of a control arm.</w:t>
      </w:r>
    </w:p>
    <w:p w:rsidR="00DC3DFF" w:rsidRPr="002B4AB6" w:rsidRDefault="00DC3DFF" w:rsidP="002A69BB">
      <w:pPr>
        <w:pStyle w:val="TableFigureHeading"/>
        <w:keepLines/>
      </w:pPr>
      <w:r w:rsidRPr="002B4AB6">
        <w:lastRenderedPageBreak/>
        <w:t xml:space="preserve">Table </w:t>
      </w:r>
      <w:r w:rsidR="002B39A5" w:rsidRPr="00956A61">
        <w:t>7</w:t>
      </w:r>
      <w:r w:rsidRPr="002B4AB6">
        <w:t xml:space="preserve">: Results of PFS in </w:t>
      </w:r>
      <w:r w:rsidR="00A25014" w:rsidRPr="002B4AB6">
        <w:t>the pembrolizumab</w:t>
      </w:r>
      <w:r w:rsidR="00F14AD8" w:rsidRPr="002B4AB6">
        <w:t xml:space="preserve"> </w:t>
      </w:r>
      <w:r w:rsidR="002A69BB" w:rsidRPr="002B4AB6">
        <w:t>studies</w:t>
      </w:r>
      <w:r w:rsidR="00420BA0" w:rsidRPr="002B4AB6">
        <w:t xml:space="preserve"> </w:t>
      </w:r>
      <w:r w:rsidR="00420BA0" w:rsidRPr="00492CD9">
        <w:rPr>
          <w:rStyle w:val="CommentReference"/>
          <w:b/>
          <w:szCs w:val="22"/>
        </w:rPr>
        <w:t>(KN013 and KN170)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1986"/>
        <w:gridCol w:w="2368"/>
        <w:gridCol w:w="2117"/>
      </w:tblGrid>
      <w:tr w:rsidR="00A25014" w:rsidRPr="002B4AB6" w:rsidTr="002A69BB">
        <w:trPr>
          <w:tblHeader/>
        </w:trPr>
        <w:tc>
          <w:tcPr>
            <w:tcW w:w="1412" w:type="pct"/>
            <w:vAlign w:val="center"/>
          </w:tcPr>
          <w:p w:rsidR="00A25014" w:rsidRPr="002B4AB6" w:rsidRDefault="00A25014" w:rsidP="002A69BB">
            <w:pPr>
              <w:pStyle w:val="Tabletext"/>
              <w:keepNext/>
              <w:keepLines/>
              <w:jc w:val="center"/>
              <w:rPr>
                <w:b/>
                <w:szCs w:val="20"/>
                <w:highlight w:val="yellow"/>
              </w:rPr>
            </w:pPr>
          </w:p>
        </w:tc>
        <w:tc>
          <w:tcPr>
            <w:tcW w:w="1101" w:type="pct"/>
            <w:shd w:val="clear" w:color="auto" w:fill="B8CCE4" w:themeFill="accent1" w:themeFillTint="66"/>
          </w:tcPr>
          <w:p w:rsidR="00A25014" w:rsidRPr="002B4AB6" w:rsidRDefault="00A25014" w:rsidP="002A69BB">
            <w:pPr>
              <w:pStyle w:val="TableText0"/>
              <w:keepLines/>
              <w:jc w:val="center"/>
              <w:rPr>
                <w:rFonts w:cs="Times New Roman"/>
                <w:b/>
                <w:szCs w:val="20"/>
              </w:rPr>
            </w:pPr>
            <w:r w:rsidRPr="002B4AB6">
              <w:rPr>
                <w:rFonts w:cs="Times New Roman"/>
                <w:b/>
                <w:szCs w:val="20"/>
              </w:rPr>
              <w:t>KN013</w:t>
            </w:r>
          </w:p>
          <w:p w:rsidR="00A25014" w:rsidRPr="002B4AB6" w:rsidRDefault="00A25014" w:rsidP="002A69BB">
            <w:pPr>
              <w:pStyle w:val="TableText0"/>
              <w:keepLines/>
              <w:jc w:val="center"/>
              <w:rPr>
                <w:rFonts w:cs="Times New Roman"/>
                <w:b/>
                <w:szCs w:val="20"/>
              </w:rPr>
            </w:pPr>
            <w:r w:rsidRPr="002B4AB6">
              <w:rPr>
                <w:rFonts w:cs="Times New Roman"/>
                <w:b/>
                <w:szCs w:val="20"/>
              </w:rPr>
              <w:t>N=21</w:t>
            </w:r>
          </w:p>
          <w:p w:rsidR="00051A9A" w:rsidRPr="002B4AB6" w:rsidRDefault="00051A9A" w:rsidP="002A69BB">
            <w:pPr>
              <w:pStyle w:val="TableText0"/>
              <w:keepLines/>
              <w:jc w:val="center"/>
              <w:rPr>
                <w:b/>
              </w:rPr>
            </w:pPr>
            <w:r w:rsidRPr="002B4AB6">
              <w:rPr>
                <w:b/>
              </w:rPr>
              <w:t>Data cut-off</w:t>
            </w:r>
          </w:p>
          <w:p w:rsidR="00051A9A" w:rsidRPr="002B4AB6" w:rsidRDefault="00051A9A" w:rsidP="002A69BB">
            <w:pPr>
              <w:pStyle w:val="TableText0"/>
              <w:keepLines/>
              <w:jc w:val="center"/>
              <w:rPr>
                <w:b/>
              </w:rPr>
            </w:pPr>
            <w:r w:rsidRPr="002B4AB6">
              <w:rPr>
                <w:b/>
              </w:rPr>
              <w:t>April 2017</w:t>
            </w:r>
          </w:p>
          <w:p w:rsidR="00A25014" w:rsidRPr="002B4AB6" w:rsidRDefault="00A25014" w:rsidP="002A69BB">
            <w:pPr>
              <w:pStyle w:val="TableText0"/>
              <w:keepLines/>
              <w:jc w:val="center"/>
              <w:rPr>
                <w:b/>
              </w:rPr>
            </w:pPr>
            <w:r w:rsidRPr="002B4AB6">
              <w:rPr>
                <w:b/>
              </w:rPr>
              <w:t>Median follow up 17.1 months</w:t>
            </w:r>
          </w:p>
        </w:tc>
        <w:tc>
          <w:tcPr>
            <w:tcW w:w="1313" w:type="pct"/>
            <w:shd w:val="clear" w:color="auto" w:fill="B8CCE4" w:themeFill="accent1" w:themeFillTint="66"/>
          </w:tcPr>
          <w:p w:rsidR="00070842" w:rsidRPr="002B4AB6" w:rsidRDefault="00070842" w:rsidP="002A69BB">
            <w:pPr>
              <w:pStyle w:val="TableText0"/>
              <w:keepLines/>
              <w:jc w:val="center"/>
              <w:rPr>
                <w:b/>
              </w:rPr>
            </w:pPr>
            <w:r w:rsidRPr="002B4AB6">
              <w:rPr>
                <w:b/>
              </w:rPr>
              <w:t>KN170</w:t>
            </w:r>
          </w:p>
          <w:p w:rsidR="00A25014" w:rsidRPr="002B4AB6" w:rsidRDefault="00A25014" w:rsidP="002A69BB">
            <w:pPr>
              <w:pStyle w:val="TableText0"/>
              <w:keepLines/>
              <w:jc w:val="center"/>
              <w:rPr>
                <w:b/>
              </w:rPr>
            </w:pPr>
            <w:r w:rsidRPr="002B4AB6">
              <w:rPr>
                <w:b/>
              </w:rPr>
              <w:t xml:space="preserve">Previous PBAC consideration </w:t>
            </w:r>
            <w:r w:rsidR="00420BA0" w:rsidRPr="002B4AB6">
              <w:rPr>
                <w:b/>
              </w:rPr>
              <w:br/>
            </w:r>
            <w:r w:rsidRPr="002B4AB6">
              <w:rPr>
                <w:b/>
              </w:rPr>
              <w:t>(November 2018)</w:t>
            </w:r>
          </w:p>
          <w:p w:rsidR="00A25014" w:rsidRPr="002B4AB6" w:rsidRDefault="00A25014" w:rsidP="002A69BB">
            <w:pPr>
              <w:pStyle w:val="Tabletext"/>
              <w:keepNext/>
              <w:keepLines/>
              <w:jc w:val="center"/>
              <w:rPr>
                <w:b/>
                <w:szCs w:val="20"/>
                <w:highlight w:val="yellow"/>
              </w:rPr>
            </w:pPr>
            <w:r w:rsidRPr="002B4AB6">
              <w:rPr>
                <w:b/>
              </w:rPr>
              <w:t>Data cut-off 19 January 2018</w:t>
            </w:r>
            <w:r w:rsidRPr="002B4AB6">
              <w:rPr>
                <w:b/>
              </w:rPr>
              <w:br/>
              <w:t>Median follow-up 9.7 months</w:t>
            </w:r>
          </w:p>
        </w:tc>
        <w:tc>
          <w:tcPr>
            <w:tcW w:w="1175" w:type="pct"/>
          </w:tcPr>
          <w:p w:rsidR="00070842" w:rsidRPr="002B4AB6" w:rsidRDefault="00070842" w:rsidP="002A69BB">
            <w:pPr>
              <w:pStyle w:val="TableText0"/>
              <w:keepLines/>
              <w:jc w:val="center"/>
              <w:rPr>
                <w:b/>
              </w:rPr>
            </w:pPr>
            <w:r w:rsidRPr="002B4AB6">
              <w:rPr>
                <w:b/>
              </w:rPr>
              <w:t>KN170</w:t>
            </w:r>
          </w:p>
          <w:p w:rsidR="00A25014" w:rsidRPr="002B4AB6" w:rsidRDefault="00A25014" w:rsidP="002A69BB">
            <w:pPr>
              <w:pStyle w:val="TableText0"/>
              <w:keepLines/>
              <w:jc w:val="center"/>
              <w:rPr>
                <w:b/>
              </w:rPr>
            </w:pPr>
            <w:r w:rsidRPr="002B4AB6">
              <w:rPr>
                <w:b/>
              </w:rPr>
              <w:t xml:space="preserve">Resubmission for PBAC consideration </w:t>
            </w:r>
            <w:r w:rsidR="00420BA0" w:rsidRPr="002B4AB6">
              <w:rPr>
                <w:b/>
              </w:rPr>
              <w:br/>
            </w:r>
            <w:r w:rsidRPr="002B4AB6">
              <w:rPr>
                <w:b/>
              </w:rPr>
              <w:t>(March 2020)</w:t>
            </w:r>
          </w:p>
          <w:p w:rsidR="00A25014" w:rsidRPr="002B4AB6" w:rsidRDefault="00A25014" w:rsidP="002A69BB">
            <w:pPr>
              <w:pStyle w:val="TableText0"/>
              <w:keepLines/>
              <w:jc w:val="center"/>
              <w:rPr>
                <w:b/>
              </w:rPr>
            </w:pPr>
            <w:r w:rsidRPr="002B4AB6">
              <w:rPr>
                <w:b/>
              </w:rPr>
              <w:t>Data cut-off 28 May 2019</w:t>
            </w:r>
          </w:p>
          <w:p w:rsidR="00A25014" w:rsidRPr="002B4AB6" w:rsidRDefault="00A25014" w:rsidP="002A69BB">
            <w:pPr>
              <w:pStyle w:val="TableText0"/>
              <w:keepLines/>
              <w:jc w:val="center"/>
              <w:rPr>
                <w:b/>
                <w:i/>
                <w:szCs w:val="20"/>
                <w:highlight w:val="yellow"/>
              </w:rPr>
            </w:pPr>
            <w:r w:rsidRPr="002B4AB6">
              <w:rPr>
                <w:b/>
              </w:rPr>
              <w:t>Median follow-up 22.3 months</w:t>
            </w:r>
          </w:p>
        </w:tc>
      </w:tr>
      <w:tr w:rsidR="00A25014" w:rsidRPr="002B4AB6" w:rsidTr="002A69BB">
        <w:tc>
          <w:tcPr>
            <w:tcW w:w="1412" w:type="pct"/>
          </w:tcPr>
          <w:p w:rsidR="00A25014" w:rsidRPr="002B4AB6" w:rsidRDefault="00A25014" w:rsidP="002A69BB">
            <w:pPr>
              <w:pStyle w:val="Tabletext"/>
              <w:keepNext/>
              <w:keepLines/>
              <w:rPr>
                <w:szCs w:val="20"/>
              </w:rPr>
            </w:pPr>
            <w:r w:rsidRPr="002B4AB6">
              <w:rPr>
                <w:szCs w:val="20"/>
              </w:rPr>
              <w:t>Number (%) of PFS Events</w:t>
            </w:r>
          </w:p>
        </w:tc>
        <w:tc>
          <w:tcPr>
            <w:tcW w:w="1101" w:type="pct"/>
            <w:shd w:val="clear" w:color="auto" w:fill="B8CCE4" w:themeFill="accent1" w:themeFillTint="66"/>
          </w:tcPr>
          <w:p w:rsidR="00A25014" w:rsidRPr="002B4AB6" w:rsidRDefault="00A25014" w:rsidP="002A69BB">
            <w:pPr>
              <w:pStyle w:val="Tabletext"/>
              <w:keepNext/>
              <w:keepLines/>
              <w:jc w:val="center"/>
            </w:pPr>
            <w:r w:rsidRPr="002B4AB6">
              <w:rPr>
                <w:snapToGrid/>
                <w:szCs w:val="20"/>
              </w:rPr>
              <w:t>11 (52.4)</w:t>
            </w:r>
          </w:p>
        </w:tc>
        <w:tc>
          <w:tcPr>
            <w:tcW w:w="1313" w:type="pct"/>
            <w:shd w:val="clear" w:color="auto" w:fill="B8CCE4" w:themeFill="accent1" w:themeFillTint="66"/>
          </w:tcPr>
          <w:p w:rsidR="00A25014" w:rsidRPr="002B4AB6" w:rsidRDefault="00A25014" w:rsidP="002A69BB">
            <w:pPr>
              <w:pStyle w:val="Tabletext"/>
              <w:keepNext/>
              <w:keepLines/>
              <w:jc w:val="center"/>
              <w:rPr>
                <w:szCs w:val="20"/>
              </w:rPr>
            </w:pPr>
            <w:r w:rsidRPr="002B4AB6">
              <w:t>33 (62.3)</w:t>
            </w:r>
          </w:p>
        </w:tc>
        <w:tc>
          <w:tcPr>
            <w:tcW w:w="1175" w:type="pct"/>
          </w:tcPr>
          <w:p w:rsidR="00A25014" w:rsidRPr="002B4AB6" w:rsidRDefault="00A25014" w:rsidP="002A69BB">
            <w:pPr>
              <w:pStyle w:val="Tabletext"/>
              <w:keepNext/>
              <w:keepLines/>
              <w:jc w:val="center"/>
              <w:rPr>
                <w:highlight w:val="yellow"/>
              </w:rPr>
            </w:pPr>
            <w:r w:rsidRPr="002B4AB6">
              <w:t>34 (64.2)</w:t>
            </w:r>
          </w:p>
        </w:tc>
      </w:tr>
      <w:tr w:rsidR="00051A9A" w:rsidRPr="002B4AB6" w:rsidTr="002A69BB">
        <w:trPr>
          <w:trHeight w:val="47"/>
        </w:trPr>
        <w:tc>
          <w:tcPr>
            <w:tcW w:w="1412" w:type="pct"/>
          </w:tcPr>
          <w:p w:rsidR="00051A9A" w:rsidRPr="002B4AB6" w:rsidRDefault="00051A9A" w:rsidP="002A69BB">
            <w:pPr>
              <w:pStyle w:val="Tabletext"/>
              <w:keepNext/>
              <w:keepLines/>
              <w:rPr>
                <w:szCs w:val="20"/>
              </w:rPr>
            </w:pPr>
            <w:r w:rsidRPr="002B4AB6">
              <w:rPr>
                <w:szCs w:val="20"/>
              </w:rPr>
              <w:t>Person-Months</w:t>
            </w:r>
          </w:p>
        </w:tc>
        <w:tc>
          <w:tcPr>
            <w:tcW w:w="1101" w:type="pct"/>
            <w:shd w:val="clear" w:color="auto" w:fill="B8CCE4" w:themeFill="accent1" w:themeFillTint="66"/>
          </w:tcPr>
          <w:p w:rsidR="00051A9A" w:rsidRPr="002B4AB6" w:rsidRDefault="00051A9A" w:rsidP="002A69BB">
            <w:pPr>
              <w:pStyle w:val="Tabletext"/>
              <w:keepNext/>
              <w:keepLines/>
              <w:jc w:val="center"/>
            </w:pPr>
            <w:r w:rsidRPr="002B4AB6">
              <w:t>209 (220)</w:t>
            </w:r>
          </w:p>
        </w:tc>
        <w:tc>
          <w:tcPr>
            <w:tcW w:w="1313" w:type="pct"/>
            <w:shd w:val="clear" w:color="auto" w:fill="B8CCE4" w:themeFill="accent1" w:themeFillTint="66"/>
          </w:tcPr>
          <w:p w:rsidR="00051A9A" w:rsidRPr="002B4AB6" w:rsidRDefault="00051A9A" w:rsidP="002A69BB">
            <w:pPr>
              <w:pStyle w:val="Tabletext"/>
              <w:keepNext/>
              <w:keepLines/>
              <w:jc w:val="center"/>
              <w:rPr>
                <w:szCs w:val="20"/>
              </w:rPr>
            </w:pPr>
            <w:r w:rsidRPr="002B4AB6">
              <w:t>341</w:t>
            </w:r>
          </w:p>
        </w:tc>
        <w:tc>
          <w:tcPr>
            <w:tcW w:w="1175" w:type="pct"/>
          </w:tcPr>
          <w:p w:rsidR="00051A9A" w:rsidRPr="002B4AB6" w:rsidRDefault="00051A9A" w:rsidP="002A69BB">
            <w:pPr>
              <w:pStyle w:val="Tabletext"/>
              <w:keepNext/>
              <w:keepLines/>
              <w:jc w:val="center"/>
              <w:rPr>
                <w:highlight w:val="yellow"/>
              </w:rPr>
            </w:pPr>
            <w:r w:rsidRPr="002B4AB6">
              <w:t>623</w:t>
            </w:r>
          </w:p>
        </w:tc>
      </w:tr>
      <w:tr w:rsidR="00051A9A" w:rsidRPr="002B4AB6" w:rsidTr="002A69BB">
        <w:tc>
          <w:tcPr>
            <w:tcW w:w="1412" w:type="pct"/>
          </w:tcPr>
          <w:p w:rsidR="00051A9A" w:rsidRPr="002B4AB6" w:rsidRDefault="00051A9A" w:rsidP="002A69BB">
            <w:pPr>
              <w:pStyle w:val="Tabletext"/>
              <w:keepNext/>
              <w:keepLines/>
              <w:rPr>
                <w:szCs w:val="20"/>
              </w:rPr>
            </w:pPr>
            <w:r w:rsidRPr="002B4AB6">
              <w:rPr>
                <w:szCs w:val="20"/>
              </w:rPr>
              <w:t>Event Rate/100 Person-Months (%)</w:t>
            </w:r>
          </w:p>
        </w:tc>
        <w:tc>
          <w:tcPr>
            <w:tcW w:w="1101" w:type="pct"/>
            <w:shd w:val="clear" w:color="auto" w:fill="B8CCE4" w:themeFill="accent1" w:themeFillTint="66"/>
          </w:tcPr>
          <w:p w:rsidR="00051A9A" w:rsidRPr="002B4AB6" w:rsidRDefault="00051A9A" w:rsidP="002A69BB">
            <w:pPr>
              <w:pStyle w:val="Tabletext"/>
              <w:keepNext/>
              <w:keepLines/>
              <w:jc w:val="center"/>
            </w:pPr>
            <w:r w:rsidRPr="002B4AB6">
              <w:t>5.3 (5)</w:t>
            </w:r>
          </w:p>
        </w:tc>
        <w:tc>
          <w:tcPr>
            <w:tcW w:w="1313" w:type="pct"/>
            <w:shd w:val="clear" w:color="auto" w:fill="B8CCE4" w:themeFill="accent1" w:themeFillTint="66"/>
          </w:tcPr>
          <w:p w:rsidR="00051A9A" w:rsidRPr="002B4AB6" w:rsidRDefault="00051A9A" w:rsidP="002A69BB">
            <w:pPr>
              <w:pStyle w:val="Tabletext"/>
              <w:keepNext/>
              <w:keepLines/>
              <w:jc w:val="center"/>
              <w:rPr>
                <w:szCs w:val="20"/>
              </w:rPr>
            </w:pPr>
            <w:r w:rsidRPr="002B4AB6">
              <w:t>9.7</w:t>
            </w:r>
          </w:p>
        </w:tc>
        <w:tc>
          <w:tcPr>
            <w:tcW w:w="1175" w:type="pct"/>
          </w:tcPr>
          <w:p w:rsidR="00051A9A" w:rsidRPr="002B4AB6" w:rsidRDefault="00051A9A" w:rsidP="002A69BB">
            <w:pPr>
              <w:pStyle w:val="Tabletext"/>
              <w:keepNext/>
              <w:keepLines/>
              <w:jc w:val="center"/>
              <w:rPr>
                <w:highlight w:val="yellow"/>
              </w:rPr>
            </w:pPr>
            <w:r w:rsidRPr="002B4AB6">
              <w:t>5.5</w:t>
            </w:r>
          </w:p>
        </w:tc>
      </w:tr>
      <w:tr w:rsidR="00051A9A" w:rsidRPr="002B4AB6" w:rsidTr="002A69BB">
        <w:tc>
          <w:tcPr>
            <w:tcW w:w="1412" w:type="pct"/>
          </w:tcPr>
          <w:p w:rsidR="00051A9A" w:rsidRPr="002B4AB6" w:rsidRDefault="00051A9A" w:rsidP="002A69BB">
            <w:pPr>
              <w:pStyle w:val="Tabletext"/>
              <w:keepNext/>
              <w:keepLines/>
              <w:rPr>
                <w:szCs w:val="20"/>
              </w:rPr>
            </w:pPr>
            <w:r w:rsidRPr="002B4AB6">
              <w:rPr>
                <w:szCs w:val="20"/>
              </w:rPr>
              <w:t>Median PFS (Months)</w:t>
            </w:r>
            <w:r w:rsidRPr="002B4AB6">
              <w:rPr>
                <w:szCs w:val="20"/>
                <w:vertAlign w:val="superscript"/>
              </w:rPr>
              <w:t>a</w:t>
            </w:r>
          </w:p>
        </w:tc>
        <w:tc>
          <w:tcPr>
            <w:tcW w:w="1101" w:type="pct"/>
            <w:shd w:val="clear" w:color="auto" w:fill="B8CCE4" w:themeFill="accent1" w:themeFillTint="66"/>
          </w:tcPr>
          <w:p w:rsidR="00051A9A" w:rsidRPr="002B4AB6" w:rsidRDefault="00051A9A" w:rsidP="002A69BB">
            <w:pPr>
              <w:pStyle w:val="Tabletext"/>
              <w:keepNext/>
              <w:keepLines/>
              <w:jc w:val="center"/>
            </w:pPr>
            <w:r w:rsidRPr="002B4AB6">
              <w:t>10.4 (14.4)</w:t>
            </w:r>
          </w:p>
        </w:tc>
        <w:tc>
          <w:tcPr>
            <w:tcW w:w="1313" w:type="pct"/>
            <w:shd w:val="clear" w:color="auto" w:fill="B8CCE4" w:themeFill="accent1" w:themeFillTint="66"/>
          </w:tcPr>
          <w:p w:rsidR="00051A9A" w:rsidRPr="002B4AB6" w:rsidRDefault="00051A9A" w:rsidP="002A69BB">
            <w:pPr>
              <w:pStyle w:val="Tabletext"/>
              <w:keepNext/>
              <w:keepLines/>
              <w:jc w:val="center"/>
              <w:rPr>
                <w:szCs w:val="20"/>
              </w:rPr>
            </w:pPr>
            <w:r w:rsidRPr="002B4AB6">
              <w:t>4.7</w:t>
            </w:r>
          </w:p>
        </w:tc>
        <w:tc>
          <w:tcPr>
            <w:tcW w:w="1175" w:type="pct"/>
          </w:tcPr>
          <w:p w:rsidR="00051A9A" w:rsidRPr="002B4AB6" w:rsidRDefault="00051A9A" w:rsidP="002A69BB">
            <w:pPr>
              <w:pStyle w:val="Tabletext"/>
              <w:keepNext/>
              <w:keepLines/>
              <w:jc w:val="center"/>
              <w:rPr>
                <w:highlight w:val="yellow"/>
              </w:rPr>
            </w:pPr>
            <w:r w:rsidRPr="002B4AB6">
              <w:t>5.5</w:t>
            </w:r>
          </w:p>
        </w:tc>
      </w:tr>
      <w:tr w:rsidR="00051A9A" w:rsidRPr="002B4AB6" w:rsidTr="002A69BB">
        <w:tc>
          <w:tcPr>
            <w:tcW w:w="1412" w:type="pct"/>
          </w:tcPr>
          <w:p w:rsidR="00051A9A" w:rsidRPr="002B4AB6" w:rsidRDefault="00051A9A" w:rsidP="002A69BB">
            <w:pPr>
              <w:pStyle w:val="Tabletext"/>
              <w:keepNext/>
              <w:keepLines/>
              <w:rPr>
                <w:szCs w:val="20"/>
              </w:rPr>
            </w:pPr>
            <w:r w:rsidRPr="002B4AB6">
              <w:rPr>
                <w:szCs w:val="20"/>
              </w:rPr>
              <w:t>95% CI for Median PFS</w:t>
            </w:r>
            <w:r w:rsidRPr="002B4AB6">
              <w:rPr>
                <w:szCs w:val="20"/>
                <w:vertAlign w:val="superscript"/>
              </w:rPr>
              <w:t xml:space="preserve"> a</w:t>
            </w:r>
            <w:r w:rsidRPr="002B4AB6">
              <w:rPr>
                <w:szCs w:val="20"/>
              </w:rPr>
              <w:t xml:space="preserve"> </w:t>
            </w:r>
          </w:p>
        </w:tc>
        <w:tc>
          <w:tcPr>
            <w:tcW w:w="1101" w:type="pct"/>
            <w:shd w:val="clear" w:color="auto" w:fill="B8CCE4" w:themeFill="accent1" w:themeFillTint="66"/>
          </w:tcPr>
          <w:p w:rsidR="00051A9A" w:rsidRPr="002B4AB6" w:rsidRDefault="00051A9A" w:rsidP="002A69BB">
            <w:pPr>
              <w:pStyle w:val="Tabletext"/>
              <w:keepNext/>
              <w:keepLines/>
              <w:jc w:val="center"/>
            </w:pPr>
            <w:r w:rsidRPr="002B4AB6">
              <w:t>(3.4, Not reached)</w:t>
            </w:r>
          </w:p>
          <w:p w:rsidR="00051A9A" w:rsidRPr="002B4AB6" w:rsidRDefault="00051A9A" w:rsidP="002A69BB">
            <w:pPr>
              <w:pStyle w:val="Tabletext"/>
              <w:keepNext/>
              <w:keepLines/>
              <w:jc w:val="center"/>
            </w:pPr>
            <w:r w:rsidRPr="002B4AB6">
              <w:t>(4.6, Not reached)</w:t>
            </w:r>
          </w:p>
        </w:tc>
        <w:tc>
          <w:tcPr>
            <w:tcW w:w="1313" w:type="pct"/>
            <w:shd w:val="clear" w:color="auto" w:fill="B8CCE4" w:themeFill="accent1" w:themeFillTint="66"/>
          </w:tcPr>
          <w:p w:rsidR="00051A9A" w:rsidRPr="002B4AB6" w:rsidRDefault="00051A9A" w:rsidP="002A69BB">
            <w:pPr>
              <w:pStyle w:val="Tabletext"/>
              <w:keepNext/>
              <w:keepLines/>
              <w:jc w:val="center"/>
              <w:rPr>
                <w:szCs w:val="20"/>
              </w:rPr>
            </w:pPr>
            <w:r w:rsidRPr="002B4AB6">
              <w:t>(2.8, 11.0)</w:t>
            </w:r>
          </w:p>
        </w:tc>
        <w:tc>
          <w:tcPr>
            <w:tcW w:w="1175" w:type="pct"/>
          </w:tcPr>
          <w:p w:rsidR="00051A9A" w:rsidRPr="002B4AB6" w:rsidRDefault="00051A9A" w:rsidP="002A69BB">
            <w:pPr>
              <w:pStyle w:val="Tabletext"/>
              <w:keepNext/>
              <w:keepLines/>
              <w:jc w:val="center"/>
              <w:rPr>
                <w:highlight w:val="yellow"/>
              </w:rPr>
            </w:pPr>
            <w:r w:rsidRPr="002B4AB6">
              <w:t>(2.8, 15.1)</w:t>
            </w:r>
          </w:p>
        </w:tc>
      </w:tr>
      <w:tr w:rsidR="00051A9A" w:rsidRPr="002B4AB6" w:rsidTr="002A69BB">
        <w:tc>
          <w:tcPr>
            <w:tcW w:w="1412" w:type="pct"/>
          </w:tcPr>
          <w:p w:rsidR="00051A9A" w:rsidRPr="002B4AB6" w:rsidRDefault="00051A9A" w:rsidP="002A69BB">
            <w:pPr>
              <w:pStyle w:val="Tabletext"/>
              <w:keepNext/>
              <w:keepLines/>
              <w:rPr>
                <w:szCs w:val="20"/>
              </w:rPr>
            </w:pPr>
            <w:r w:rsidRPr="002B4AB6">
              <w:rPr>
                <w:szCs w:val="20"/>
              </w:rPr>
              <w:t xml:space="preserve">PFS rate at 6 Months in % </w:t>
            </w:r>
            <w:r w:rsidRPr="002B4AB6">
              <w:rPr>
                <w:szCs w:val="20"/>
                <w:vertAlign w:val="superscript"/>
              </w:rPr>
              <w:t>a</w:t>
            </w:r>
            <w:r w:rsidRPr="002B4AB6">
              <w:rPr>
                <w:szCs w:val="20"/>
              </w:rPr>
              <w:t xml:space="preserve"> </w:t>
            </w:r>
          </w:p>
        </w:tc>
        <w:tc>
          <w:tcPr>
            <w:tcW w:w="1101" w:type="pct"/>
            <w:shd w:val="clear" w:color="auto" w:fill="B8CCE4" w:themeFill="accent1" w:themeFillTint="66"/>
          </w:tcPr>
          <w:p w:rsidR="00051A9A" w:rsidRPr="002B4AB6" w:rsidRDefault="00051A9A" w:rsidP="002A69BB">
            <w:pPr>
              <w:pStyle w:val="Tabletext"/>
              <w:keepNext/>
              <w:keepLines/>
              <w:jc w:val="center"/>
            </w:pPr>
            <w:r w:rsidRPr="002B4AB6">
              <w:t>64.3 (64.8)</w:t>
            </w:r>
          </w:p>
        </w:tc>
        <w:tc>
          <w:tcPr>
            <w:tcW w:w="1313" w:type="pct"/>
            <w:shd w:val="clear" w:color="auto" w:fill="B8CCE4" w:themeFill="accent1" w:themeFillTint="66"/>
          </w:tcPr>
          <w:p w:rsidR="00051A9A" w:rsidRPr="002B4AB6" w:rsidRDefault="00051A9A" w:rsidP="002A69BB">
            <w:pPr>
              <w:pStyle w:val="Tabletext"/>
              <w:keepNext/>
              <w:keepLines/>
              <w:jc w:val="center"/>
              <w:rPr>
                <w:szCs w:val="20"/>
              </w:rPr>
            </w:pPr>
            <w:r w:rsidRPr="002B4AB6">
              <w:t>44.8</w:t>
            </w:r>
          </w:p>
        </w:tc>
        <w:tc>
          <w:tcPr>
            <w:tcW w:w="1175" w:type="pct"/>
          </w:tcPr>
          <w:p w:rsidR="00051A9A" w:rsidRPr="002B4AB6" w:rsidRDefault="00051A9A" w:rsidP="002A69BB">
            <w:pPr>
              <w:pStyle w:val="Tabletext"/>
              <w:keepNext/>
              <w:keepLines/>
              <w:jc w:val="center"/>
              <w:rPr>
                <w:highlight w:val="yellow"/>
              </w:rPr>
            </w:pPr>
            <w:r w:rsidRPr="002B4AB6">
              <w:t>46.7</w:t>
            </w:r>
          </w:p>
        </w:tc>
      </w:tr>
      <w:tr w:rsidR="00051A9A" w:rsidRPr="002B4AB6" w:rsidTr="002A69BB">
        <w:tc>
          <w:tcPr>
            <w:tcW w:w="1412" w:type="pct"/>
          </w:tcPr>
          <w:p w:rsidR="00051A9A" w:rsidRPr="002B4AB6" w:rsidRDefault="00051A9A" w:rsidP="002A69BB">
            <w:pPr>
              <w:pStyle w:val="Tabletext"/>
              <w:keepNext/>
              <w:keepLines/>
              <w:rPr>
                <w:szCs w:val="20"/>
              </w:rPr>
            </w:pPr>
            <w:r w:rsidRPr="002B4AB6">
              <w:rPr>
                <w:szCs w:val="20"/>
              </w:rPr>
              <w:t xml:space="preserve">PFS rate at 12 Months in % </w:t>
            </w:r>
            <w:r w:rsidRPr="002B4AB6">
              <w:rPr>
                <w:szCs w:val="20"/>
                <w:vertAlign w:val="superscript"/>
              </w:rPr>
              <w:t>a</w:t>
            </w:r>
          </w:p>
        </w:tc>
        <w:tc>
          <w:tcPr>
            <w:tcW w:w="1101" w:type="pct"/>
            <w:shd w:val="clear" w:color="auto" w:fill="B8CCE4" w:themeFill="accent1" w:themeFillTint="66"/>
          </w:tcPr>
          <w:p w:rsidR="00051A9A" w:rsidRPr="002B4AB6" w:rsidRDefault="00051A9A" w:rsidP="002A69BB">
            <w:pPr>
              <w:pStyle w:val="Tabletext"/>
              <w:keepNext/>
              <w:keepLines/>
              <w:jc w:val="center"/>
            </w:pPr>
            <w:r w:rsidRPr="002B4AB6">
              <w:t>45.0 (51.8)</w:t>
            </w:r>
          </w:p>
        </w:tc>
        <w:tc>
          <w:tcPr>
            <w:tcW w:w="1313" w:type="pct"/>
            <w:shd w:val="clear" w:color="auto" w:fill="B8CCE4" w:themeFill="accent1" w:themeFillTint="66"/>
          </w:tcPr>
          <w:p w:rsidR="00051A9A" w:rsidRPr="002B4AB6" w:rsidRDefault="00051A9A" w:rsidP="002A69BB">
            <w:pPr>
              <w:pStyle w:val="Tabletext"/>
              <w:keepNext/>
              <w:keepLines/>
              <w:jc w:val="center"/>
              <w:rPr>
                <w:szCs w:val="20"/>
              </w:rPr>
            </w:pPr>
            <w:r w:rsidRPr="002B4AB6">
              <w:t>34.2</w:t>
            </w:r>
          </w:p>
        </w:tc>
        <w:tc>
          <w:tcPr>
            <w:tcW w:w="1175" w:type="pct"/>
          </w:tcPr>
          <w:p w:rsidR="00051A9A" w:rsidRPr="002B4AB6" w:rsidRDefault="00051A9A" w:rsidP="002A69BB">
            <w:pPr>
              <w:pStyle w:val="Tabletext"/>
              <w:keepNext/>
              <w:keepLines/>
              <w:jc w:val="center"/>
              <w:rPr>
                <w:highlight w:val="yellow"/>
              </w:rPr>
            </w:pPr>
            <w:r w:rsidRPr="002B4AB6">
              <w:t>38.4</w:t>
            </w:r>
          </w:p>
        </w:tc>
      </w:tr>
      <w:tr w:rsidR="00051A9A" w:rsidRPr="002B4AB6" w:rsidTr="002A69BB">
        <w:tc>
          <w:tcPr>
            <w:tcW w:w="1412" w:type="pct"/>
          </w:tcPr>
          <w:p w:rsidR="00051A9A" w:rsidRPr="002B4AB6" w:rsidRDefault="00051A9A" w:rsidP="002A69BB">
            <w:pPr>
              <w:pStyle w:val="Tabletext"/>
              <w:keepNext/>
              <w:keepLines/>
              <w:rPr>
                <w:szCs w:val="20"/>
              </w:rPr>
            </w:pPr>
            <w:r w:rsidRPr="002B4AB6">
              <w:rPr>
                <w:szCs w:val="20"/>
              </w:rPr>
              <w:t xml:space="preserve">PFS rate at 24 Months in % </w:t>
            </w:r>
            <w:r w:rsidRPr="002B4AB6">
              <w:rPr>
                <w:szCs w:val="20"/>
                <w:vertAlign w:val="superscript"/>
              </w:rPr>
              <w:t>a</w:t>
            </w:r>
          </w:p>
        </w:tc>
        <w:tc>
          <w:tcPr>
            <w:tcW w:w="1101" w:type="pct"/>
            <w:shd w:val="clear" w:color="auto" w:fill="B8CCE4" w:themeFill="accent1" w:themeFillTint="66"/>
          </w:tcPr>
          <w:p w:rsidR="00051A9A" w:rsidRPr="002B4AB6" w:rsidRDefault="00051A9A" w:rsidP="002A69BB">
            <w:pPr>
              <w:pStyle w:val="Tabletext"/>
              <w:keepNext/>
              <w:keepLines/>
              <w:jc w:val="center"/>
            </w:pPr>
            <w:r w:rsidRPr="002B4AB6">
              <w:t>Not reported</w:t>
            </w:r>
          </w:p>
        </w:tc>
        <w:tc>
          <w:tcPr>
            <w:tcW w:w="1313" w:type="pct"/>
            <w:shd w:val="clear" w:color="auto" w:fill="B8CCE4" w:themeFill="accent1" w:themeFillTint="66"/>
          </w:tcPr>
          <w:p w:rsidR="00051A9A" w:rsidRPr="002B4AB6" w:rsidRDefault="00051A9A" w:rsidP="002A69BB">
            <w:pPr>
              <w:pStyle w:val="Tabletext"/>
              <w:keepNext/>
              <w:keepLines/>
              <w:jc w:val="center"/>
            </w:pPr>
            <w:r w:rsidRPr="002B4AB6">
              <w:t>N/A</w:t>
            </w:r>
          </w:p>
        </w:tc>
        <w:tc>
          <w:tcPr>
            <w:tcW w:w="1175" w:type="pct"/>
          </w:tcPr>
          <w:p w:rsidR="00051A9A" w:rsidRPr="002B4AB6" w:rsidRDefault="00051A9A" w:rsidP="002A69BB">
            <w:pPr>
              <w:pStyle w:val="Tabletext"/>
              <w:keepNext/>
              <w:keepLines/>
              <w:jc w:val="center"/>
            </w:pPr>
            <w:r w:rsidRPr="002B4AB6">
              <w:t>36.3</w:t>
            </w:r>
          </w:p>
        </w:tc>
      </w:tr>
    </w:tbl>
    <w:p w:rsidR="00070842" w:rsidRPr="002B4AB6" w:rsidRDefault="00070842" w:rsidP="002A69BB">
      <w:pPr>
        <w:pStyle w:val="TableFooter"/>
        <w:keepNext/>
        <w:keepLines/>
        <w:rPr>
          <w:rFonts w:eastAsia="Calibri"/>
        </w:rPr>
      </w:pPr>
      <w:r w:rsidRPr="002B4AB6">
        <w:t xml:space="preserve">Source: </w:t>
      </w:r>
      <w:r w:rsidRPr="002B4AB6">
        <w:rPr>
          <w:szCs w:val="18"/>
        </w:rPr>
        <w:t xml:space="preserve">Table 6, p14 of the </w:t>
      </w:r>
      <w:r w:rsidRPr="002B4AB6">
        <w:t>KN170 efficacy update report (24 months), Table 2.5-2, p47 of the resubmission</w:t>
      </w:r>
      <w:r w:rsidRPr="002B4AB6">
        <w:rPr>
          <w:rFonts w:eastAsia="Calibri"/>
        </w:rPr>
        <w:t xml:space="preserve">, and </w:t>
      </w:r>
      <w:r w:rsidRPr="002B4AB6">
        <w:t>Section 11.1.3, Table 11.4, p14 of the KN013 CSR</w:t>
      </w:r>
    </w:p>
    <w:p w:rsidR="00447504" w:rsidRPr="002B4AB6" w:rsidRDefault="00447504" w:rsidP="002A69BB">
      <w:pPr>
        <w:pStyle w:val="TableFooter"/>
        <w:keepNext/>
        <w:keepLines/>
      </w:pPr>
      <w:r w:rsidRPr="002B4AB6">
        <w:rPr>
          <w:rFonts w:eastAsia="Calibri"/>
        </w:rPr>
        <w:t>CI = confidence interval; N/A = not available; PFS = progression free survival</w:t>
      </w:r>
    </w:p>
    <w:p w:rsidR="00070842" w:rsidRPr="002B4AB6" w:rsidRDefault="00070842" w:rsidP="002A69BB">
      <w:pPr>
        <w:pStyle w:val="TableFooter"/>
        <w:keepNext/>
        <w:keepLines/>
        <w:rPr>
          <w:rFonts w:eastAsia="Calibri"/>
        </w:rPr>
      </w:pPr>
      <w:r w:rsidRPr="002B4AB6">
        <w:t xml:space="preserve">Results were inconsistent between the resubmission and the KN013 CSR (data cut-off April 2017) which was the source for the resubmission. Data from the CSR have been italicised to enable a comparison with results in the resubmission (non-italicised). </w:t>
      </w:r>
    </w:p>
    <w:p w:rsidR="002A69BB" w:rsidRPr="002B4AB6" w:rsidRDefault="00070842" w:rsidP="002A69BB">
      <w:pPr>
        <w:pStyle w:val="TableFooter"/>
        <w:keepNext/>
        <w:keepLines/>
        <w:rPr>
          <w:rFonts w:eastAsia="Calibri"/>
        </w:rPr>
      </w:pPr>
      <w:r w:rsidRPr="002B4AB6">
        <w:rPr>
          <w:szCs w:val="20"/>
          <w:vertAlign w:val="superscript"/>
        </w:rPr>
        <w:t>a</w:t>
      </w:r>
      <w:r w:rsidRPr="002B4AB6">
        <w:rPr>
          <w:rFonts w:eastAsia="Calibri"/>
        </w:rPr>
        <w:t xml:space="preserve"> From product-limit (Kaplan-Meier) method for censored data.</w:t>
      </w:r>
      <w:r w:rsidR="002A69BB" w:rsidRPr="002B4AB6">
        <w:rPr>
          <w:rFonts w:eastAsia="Calibri"/>
        </w:rPr>
        <w:t xml:space="preserve"> </w:t>
      </w:r>
    </w:p>
    <w:p w:rsidR="00070842" w:rsidRPr="002B4AB6" w:rsidRDefault="00070842" w:rsidP="002A69BB">
      <w:pPr>
        <w:pStyle w:val="TableFooter"/>
        <w:keepNext/>
        <w:keepLines/>
        <w:rPr>
          <w:rFonts w:eastAsia="Calibri"/>
        </w:rPr>
      </w:pPr>
      <w:r w:rsidRPr="002B4AB6">
        <w:rPr>
          <w:rFonts w:eastAsia="Calibri"/>
        </w:rPr>
        <w:t>Results that have previously been seen by the PBAC are blue highlighted</w:t>
      </w:r>
    </w:p>
    <w:p w:rsidR="002A69BB" w:rsidRPr="002B4AB6" w:rsidRDefault="002A69BB" w:rsidP="002A69BB">
      <w:pPr>
        <w:pStyle w:val="TableFooter"/>
        <w:keepNext/>
        <w:keepLines/>
        <w:rPr>
          <w:rFonts w:eastAsia="Calibri"/>
        </w:rPr>
      </w:pPr>
    </w:p>
    <w:p w:rsidR="00DC3DFF" w:rsidRPr="002B4AB6" w:rsidRDefault="00DC3DFF" w:rsidP="00DC3DFF">
      <w:pPr>
        <w:pStyle w:val="3-BodyText"/>
      </w:pPr>
      <w:r w:rsidRPr="002B4AB6">
        <w:t>The updated Kaplan-Meier curve of PFS from KN170 is presented below.</w:t>
      </w:r>
    </w:p>
    <w:p w:rsidR="00DC3DFF" w:rsidRPr="002B4AB6" w:rsidRDefault="00DC3DFF" w:rsidP="00505063">
      <w:pPr>
        <w:pStyle w:val="TableFigureHeading"/>
        <w:spacing w:after="120"/>
        <w:rPr>
          <w:snapToGrid w:val="0"/>
        </w:rPr>
      </w:pPr>
      <w:r w:rsidRPr="002B4AB6">
        <w:t xml:space="preserve">Figure </w:t>
      </w:r>
      <w:r w:rsidR="002B39A5" w:rsidRPr="00956A61">
        <w:t>2</w:t>
      </w:r>
      <w:r w:rsidRPr="002B4AB6">
        <w:t>: PFS Kaplan-Meier curve from KN170 (May 2019 data cut-off)</w:t>
      </w:r>
    </w:p>
    <w:p w:rsidR="00DC3DFF" w:rsidRPr="002B4AB6" w:rsidRDefault="00DC3DFF" w:rsidP="00680215">
      <w:r w:rsidRPr="006F292D">
        <w:rPr>
          <w:noProof/>
        </w:rPr>
        <w:drawing>
          <wp:inline distT="0" distB="0" distL="0" distR="0" wp14:anchorId="650A0ABF" wp14:editId="130E7C23">
            <wp:extent cx="4993725" cy="3204926"/>
            <wp:effectExtent l="0" t="0" r="0" b="0"/>
            <wp:docPr id="4" name="Picture 4" title="Figure 2: PFS Kaplan-Meier curve from KN170 (May 2019 data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5102232" cy="3274565"/>
                    </a:xfrm>
                    <a:prstGeom prst="rect">
                      <a:avLst/>
                    </a:prstGeom>
                    <a:noFill/>
                    <a:ln>
                      <a:noFill/>
                    </a:ln>
                    <a:extLst>
                      <a:ext uri="{53640926-AAD7-44D8-BBD7-CCE9431645EC}">
                        <a14:shadowObscured xmlns:a14="http://schemas.microsoft.com/office/drawing/2010/main"/>
                      </a:ext>
                    </a:extLst>
                  </pic:spPr>
                </pic:pic>
              </a:graphicData>
            </a:graphic>
          </wp:inline>
        </w:drawing>
      </w:r>
    </w:p>
    <w:p w:rsidR="00DC3DFF" w:rsidRPr="002B4AB6" w:rsidRDefault="00DC3DFF" w:rsidP="00DC3DFF">
      <w:pPr>
        <w:rPr>
          <w:rStyle w:val="CommentReference"/>
          <w:b w:val="0"/>
          <w:sz w:val="18"/>
          <w:szCs w:val="18"/>
        </w:rPr>
      </w:pPr>
      <w:r w:rsidRPr="002B4AB6">
        <w:rPr>
          <w:rStyle w:val="CommentReference"/>
          <w:b w:val="0"/>
          <w:sz w:val="18"/>
          <w:szCs w:val="18"/>
        </w:rPr>
        <w:t>Source: Figure 2, p15 of the KN170 efficacy update report (24 months).</w:t>
      </w:r>
    </w:p>
    <w:p w:rsidR="00DC3DFF" w:rsidRPr="002B4AB6" w:rsidRDefault="00DC3DFF" w:rsidP="002A69BB">
      <w:pPr>
        <w:rPr>
          <w:rStyle w:val="CommentReference"/>
          <w:b w:val="0"/>
          <w:sz w:val="18"/>
          <w:szCs w:val="18"/>
        </w:rPr>
      </w:pPr>
      <w:r w:rsidRPr="00492CD9">
        <w:rPr>
          <w:rStyle w:val="CommentReference"/>
          <w:b w:val="0"/>
          <w:sz w:val="18"/>
          <w:szCs w:val="18"/>
        </w:rPr>
        <w:t>ASaT = All subjects as treated; IWG = International working group; PFS = progression free surv</w:t>
      </w:r>
      <w:r w:rsidRPr="002B4AB6">
        <w:rPr>
          <w:rStyle w:val="CommentReference"/>
          <w:b w:val="0"/>
          <w:sz w:val="18"/>
          <w:szCs w:val="18"/>
        </w:rPr>
        <w:t>ival</w:t>
      </w:r>
    </w:p>
    <w:p w:rsidR="00DC3DFF" w:rsidRPr="002B4AB6" w:rsidRDefault="00DC3DFF" w:rsidP="00DC3DFF">
      <w:pPr>
        <w:pStyle w:val="3-BodyText"/>
      </w:pPr>
      <w:r w:rsidRPr="002B4AB6">
        <w:lastRenderedPageBreak/>
        <w:t xml:space="preserve">OS results from the </w:t>
      </w:r>
      <w:r w:rsidR="00B86394" w:rsidRPr="002B4AB6">
        <w:t>pembrolizumab studies</w:t>
      </w:r>
      <w:r w:rsidR="002B014D" w:rsidRPr="002B4AB6">
        <w:t>, including the Kaplan-Meier curve for KN170,</w:t>
      </w:r>
      <w:r w:rsidR="00B86394" w:rsidRPr="002B4AB6">
        <w:t xml:space="preserve"> are presented below.</w:t>
      </w:r>
      <w:r w:rsidRPr="002B4AB6">
        <w:t xml:space="preserve"> </w:t>
      </w:r>
    </w:p>
    <w:p w:rsidR="00DC3DFF" w:rsidRPr="00492CD9" w:rsidRDefault="00DC3DFF" w:rsidP="00DC3DFF">
      <w:pPr>
        <w:pStyle w:val="TableFigureHeading"/>
      </w:pPr>
      <w:r w:rsidRPr="002B4AB6">
        <w:t xml:space="preserve">Table </w:t>
      </w:r>
      <w:r w:rsidR="002B39A5" w:rsidRPr="00956A61">
        <w:t>8</w:t>
      </w:r>
      <w:r w:rsidRPr="002B4AB6">
        <w:t xml:space="preserve">: </w:t>
      </w:r>
      <w:r w:rsidRPr="002B4AB6">
        <w:rPr>
          <w:rStyle w:val="CommentReference"/>
          <w:b/>
          <w:szCs w:val="22"/>
        </w:rPr>
        <w:t xml:space="preserve">Results of OS in </w:t>
      </w:r>
      <w:r w:rsidR="00F94D4F" w:rsidRPr="002B4AB6">
        <w:rPr>
          <w:rStyle w:val="CommentReference"/>
          <w:b/>
          <w:szCs w:val="22"/>
        </w:rPr>
        <w:t xml:space="preserve">pembrolizumab studies (KN013 and </w:t>
      </w:r>
      <w:r w:rsidRPr="002B4AB6">
        <w:rPr>
          <w:rStyle w:val="CommentReference"/>
          <w:b/>
          <w:szCs w:val="22"/>
        </w:rPr>
        <w:t>KN170</w:t>
      </w:r>
      <w:r w:rsidR="00F94D4F" w:rsidRPr="002B4AB6">
        <w:rPr>
          <w:rStyle w:val="CommentReference"/>
          <w:b/>
          <w:szCs w:val="22"/>
        </w:rPr>
        <w:t>)</w:t>
      </w:r>
      <w:r w:rsidRPr="002B4AB6">
        <w:rPr>
          <w:rStyle w:val="CommentReference"/>
          <w:b/>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2072"/>
        <w:gridCol w:w="2072"/>
        <w:gridCol w:w="2260"/>
      </w:tblGrid>
      <w:tr w:rsidR="00B86394" w:rsidRPr="002B4AB6" w:rsidTr="00566D3C">
        <w:trPr>
          <w:tblHeader/>
        </w:trPr>
        <w:tc>
          <w:tcPr>
            <w:tcW w:w="1449" w:type="pct"/>
            <w:vAlign w:val="center"/>
          </w:tcPr>
          <w:p w:rsidR="00B86394" w:rsidRPr="002B4AB6" w:rsidRDefault="00B86394" w:rsidP="004B699C">
            <w:pPr>
              <w:pStyle w:val="Tabletext"/>
              <w:jc w:val="center"/>
              <w:rPr>
                <w:b/>
                <w:szCs w:val="20"/>
                <w:highlight w:val="yellow"/>
              </w:rPr>
            </w:pPr>
          </w:p>
        </w:tc>
        <w:tc>
          <w:tcPr>
            <w:tcW w:w="1149" w:type="pct"/>
            <w:shd w:val="clear" w:color="auto" w:fill="B8CCE4" w:themeFill="accent1" w:themeFillTint="66"/>
          </w:tcPr>
          <w:p w:rsidR="00B86394" w:rsidRPr="002B4AB6" w:rsidRDefault="00B86394" w:rsidP="004B699C">
            <w:pPr>
              <w:pStyle w:val="TableText0"/>
              <w:jc w:val="center"/>
              <w:rPr>
                <w:b/>
              </w:rPr>
            </w:pPr>
            <w:r w:rsidRPr="002B4AB6">
              <w:rPr>
                <w:b/>
              </w:rPr>
              <w:t>KN013</w:t>
            </w:r>
          </w:p>
          <w:p w:rsidR="00B86394" w:rsidRPr="002B4AB6" w:rsidRDefault="00B86394" w:rsidP="00E42301">
            <w:pPr>
              <w:pStyle w:val="TableText0"/>
              <w:jc w:val="center"/>
              <w:rPr>
                <w:b/>
              </w:rPr>
            </w:pPr>
            <w:r w:rsidRPr="002B4AB6">
              <w:rPr>
                <w:b/>
              </w:rPr>
              <w:t xml:space="preserve">Data </w:t>
            </w:r>
            <w:r w:rsidR="00E42301" w:rsidRPr="002B4AB6">
              <w:rPr>
                <w:b/>
              </w:rPr>
              <w:t>c</w:t>
            </w:r>
            <w:r w:rsidRPr="002B4AB6">
              <w:rPr>
                <w:b/>
              </w:rPr>
              <w:t>ut-off A</w:t>
            </w:r>
            <w:r w:rsidR="00E42301" w:rsidRPr="002B4AB6">
              <w:rPr>
                <w:b/>
              </w:rPr>
              <w:t>pril</w:t>
            </w:r>
            <w:r w:rsidRPr="002B4AB6">
              <w:rPr>
                <w:b/>
              </w:rPr>
              <w:t xml:space="preserve"> 2017</w:t>
            </w:r>
          </w:p>
        </w:tc>
        <w:tc>
          <w:tcPr>
            <w:tcW w:w="1149" w:type="pct"/>
            <w:shd w:val="clear" w:color="auto" w:fill="B8CCE4" w:themeFill="accent1" w:themeFillTint="66"/>
          </w:tcPr>
          <w:p w:rsidR="00B86394" w:rsidRPr="002B4AB6" w:rsidRDefault="00B86394" w:rsidP="004B699C">
            <w:pPr>
              <w:pStyle w:val="TableText0"/>
              <w:jc w:val="center"/>
              <w:rPr>
                <w:b/>
              </w:rPr>
            </w:pPr>
            <w:r w:rsidRPr="002B4AB6">
              <w:rPr>
                <w:b/>
              </w:rPr>
              <w:t>KN170</w:t>
            </w:r>
          </w:p>
          <w:p w:rsidR="00B86394" w:rsidRPr="002B4AB6" w:rsidRDefault="00B86394" w:rsidP="004B699C">
            <w:pPr>
              <w:pStyle w:val="TableText0"/>
              <w:jc w:val="center"/>
              <w:rPr>
                <w:b/>
              </w:rPr>
            </w:pPr>
            <w:r w:rsidRPr="002B4AB6">
              <w:rPr>
                <w:b/>
              </w:rPr>
              <w:t>Previous PBAC consideration (November 2018)</w:t>
            </w:r>
          </w:p>
          <w:p w:rsidR="00B86394" w:rsidRPr="002B4AB6" w:rsidRDefault="00B86394" w:rsidP="00A957F9">
            <w:pPr>
              <w:pStyle w:val="Tabletext"/>
              <w:jc w:val="center"/>
              <w:rPr>
                <w:b/>
                <w:szCs w:val="20"/>
                <w:highlight w:val="yellow"/>
              </w:rPr>
            </w:pPr>
            <w:r w:rsidRPr="002B4AB6">
              <w:rPr>
                <w:b/>
              </w:rPr>
              <w:t>Data cut-off 19 January 2018</w:t>
            </w:r>
            <w:r w:rsidRPr="002B4AB6">
              <w:rPr>
                <w:b/>
              </w:rPr>
              <w:br/>
              <w:t>Median follow-up 9.7 months</w:t>
            </w:r>
          </w:p>
        </w:tc>
        <w:tc>
          <w:tcPr>
            <w:tcW w:w="1253" w:type="pct"/>
          </w:tcPr>
          <w:p w:rsidR="00B86394" w:rsidRPr="002B4AB6" w:rsidRDefault="00B86394" w:rsidP="004B699C">
            <w:pPr>
              <w:pStyle w:val="TableText0"/>
              <w:jc w:val="center"/>
              <w:rPr>
                <w:b/>
              </w:rPr>
            </w:pPr>
            <w:r w:rsidRPr="002B4AB6">
              <w:rPr>
                <w:b/>
              </w:rPr>
              <w:t>KN170</w:t>
            </w:r>
          </w:p>
          <w:p w:rsidR="00B86394" w:rsidRPr="002B4AB6" w:rsidRDefault="00B86394" w:rsidP="004B699C">
            <w:pPr>
              <w:pStyle w:val="TableText0"/>
              <w:jc w:val="center"/>
              <w:rPr>
                <w:b/>
              </w:rPr>
            </w:pPr>
            <w:r w:rsidRPr="002B4AB6">
              <w:rPr>
                <w:b/>
              </w:rPr>
              <w:t>Resubmission for PBAC consideration (March 2020)</w:t>
            </w:r>
          </w:p>
          <w:p w:rsidR="00B86394" w:rsidRPr="002B4AB6" w:rsidRDefault="00B86394" w:rsidP="004B699C">
            <w:pPr>
              <w:pStyle w:val="TableText0"/>
              <w:jc w:val="center"/>
              <w:rPr>
                <w:b/>
              </w:rPr>
            </w:pPr>
            <w:r w:rsidRPr="002B4AB6">
              <w:rPr>
                <w:b/>
              </w:rPr>
              <w:t>Data cut-off 28 May 2019</w:t>
            </w:r>
          </w:p>
          <w:p w:rsidR="00B86394" w:rsidRPr="002B4AB6" w:rsidRDefault="00B86394" w:rsidP="004B699C">
            <w:pPr>
              <w:pStyle w:val="Tabletext"/>
              <w:jc w:val="center"/>
              <w:rPr>
                <w:b/>
                <w:i/>
                <w:szCs w:val="20"/>
                <w:highlight w:val="yellow"/>
              </w:rPr>
            </w:pPr>
            <w:r w:rsidRPr="002B4AB6">
              <w:rPr>
                <w:b/>
              </w:rPr>
              <w:t>Median follow-up 22.3 months</w:t>
            </w:r>
          </w:p>
        </w:tc>
      </w:tr>
      <w:tr w:rsidR="00B86394" w:rsidRPr="002B4AB6" w:rsidTr="00566D3C">
        <w:tc>
          <w:tcPr>
            <w:tcW w:w="1449" w:type="pct"/>
          </w:tcPr>
          <w:p w:rsidR="00B86394" w:rsidRPr="002B4AB6" w:rsidRDefault="00B86394" w:rsidP="004B699C">
            <w:pPr>
              <w:pStyle w:val="Tabletext"/>
              <w:rPr>
                <w:szCs w:val="20"/>
              </w:rPr>
            </w:pPr>
            <w:r w:rsidRPr="002B4AB6">
              <w:rPr>
                <w:szCs w:val="20"/>
              </w:rPr>
              <w:t>Patients with event, Death n (%)</w:t>
            </w:r>
          </w:p>
        </w:tc>
        <w:tc>
          <w:tcPr>
            <w:tcW w:w="1149" w:type="pct"/>
            <w:shd w:val="clear" w:color="auto" w:fill="B8CCE4" w:themeFill="accent1" w:themeFillTint="66"/>
          </w:tcPr>
          <w:p w:rsidR="00B86394" w:rsidRPr="002B4AB6" w:rsidRDefault="00E42301" w:rsidP="004B699C">
            <w:pPr>
              <w:pStyle w:val="Tabletext"/>
              <w:jc w:val="center"/>
            </w:pPr>
            <w:r w:rsidRPr="002B4AB6">
              <w:t>8 (38.1)</w:t>
            </w:r>
          </w:p>
        </w:tc>
        <w:tc>
          <w:tcPr>
            <w:tcW w:w="1149" w:type="pct"/>
            <w:shd w:val="clear" w:color="auto" w:fill="B8CCE4" w:themeFill="accent1" w:themeFillTint="66"/>
          </w:tcPr>
          <w:p w:rsidR="00B86394" w:rsidRPr="002B4AB6" w:rsidRDefault="00B86394" w:rsidP="004B699C">
            <w:pPr>
              <w:pStyle w:val="Tabletext"/>
              <w:jc w:val="center"/>
              <w:rPr>
                <w:szCs w:val="20"/>
              </w:rPr>
            </w:pPr>
            <w:r w:rsidRPr="002B4AB6">
              <w:t>23 (43.4)</w:t>
            </w:r>
          </w:p>
        </w:tc>
        <w:tc>
          <w:tcPr>
            <w:tcW w:w="1253" w:type="pct"/>
          </w:tcPr>
          <w:p w:rsidR="00B86394" w:rsidRPr="002B4AB6" w:rsidRDefault="00B86394" w:rsidP="004B699C">
            <w:pPr>
              <w:pStyle w:val="Tabletext"/>
              <w:jc w:val="center"/>
              <w:rPr>
                <w:highlight w:val="yellow"/>
              </w:rPr>
            </w:pPr>
            <w:r w:rsidRPr="002B4AB6">
              <w:t>29 (54.7)</w:t>
            </w:r>
          </w:p>
        </w:tc>
      </w:tr>
      <w:tr w:rsidR="00B86394" w:rsidRPr="002B4AB6" w:rsidTr="00566D3C">
        <w:tc>
          <w:tcPr>
            <w:tcW w:w="1449" w:type="pct"/>
          </w:tcPr>
          <w:p w:rsidR="00B86394" w:rsidRPr="002B4AB6" w:rsidRDefault="00B86394" w:rsidP="004B699C">
            <w:pPr>
              <w:pStyle w:val="Tabletext"/>
              <w:rPr>
                <w:szCs w:val="20"/>
              </w:rPr>
            </w:pPr>
            <w:r w:rsidRPr="002B4AB6">
              <w:rPr>
                <w:szCs w:val="20"/>
              </w:rPr>
              <w:t>Median OS, months (95% CI)</w:t>
            </w:r>
            <w:r w:rsidRPr="002B4AB6">
              <w:rPr>
                <w:szCs w:val="20"/>
                <w:vertAlign w:val="superscript"/>
              </w:rPr>
              <w:t xml:space="preserve"> a</w:t>
            </w:r>
          </w:p>
        </w:tc>
        <w:tc>
          <w:tcPr>
            <w:tcW w:w="1149" w:type="pct"/>
            <w:shd w:val="clear" w:color="auto" w:fill="B8CCE4" w:themeFill="accent1" w:themeFillTint="66"/>
          </w:tcPr>
          <w:p w:rsidR="00B86394" w:rsidRPr="002B4AB6" w:rsidRDefault="00E42301" w:rsidP="004B699C">
            <w:pPr>
              <w:pStyle w:val="Tabletext"/>
              <w:jc w:val="center"/>
            </w:pPr>
            <w:r w:rsidRPr="002B4AB6">
              <w:t>Not reached</w:t>
            </w:r>
          </w:p>
        </w:tc>
        <w:tc>
          <w:tcPr>
            <w:tcW w:w="1149" w:type="pct"/>
            <w:shd w:val="clear" w:color="auto" w:fill="B8CCE4" w:themeFill="accent1" w:themeFillTint="66"/>
          </w:tcPr>
          <w:p w:rsidR="00B86394" w:rsidRPr="002B4AB6" w:rsidRDefault="00B86394" w:rsidP="004B699C">
            <w:pPr>
              <w:pStyle w:val="Tabletext"/>
              <w:jc w:val="center"/>
              <w:rPr>
                <w:szCs w:val="20"/>
              </w:rPr>
            </w:pPr>
            <w:r w:rsidRPr="002B4AB6">
              <w:t>Not reached</w:t>
            </w:r>
          </w:p>
        </w:tc>
        <w:tc>
          <w:tcPr>
            <w:tcW w:w="1253" w:type="pct"/>
          </w:tcPr>
          <w:p w:rsidR="00B86394" w:rsidRPr="002B4AB6" w:rsidRDefault="00B86394" w:rsidP="004B699C">
            <w:pPr>
              <w:pStyle w:val="Tabletext"/>
              <w:jc w:val="center"/>
              <w:rPr>
                <w:highlight w:val="yellow"/>
              </w:rPr>
            </w:pPr>
            <w:r w:rsidRPr="002B4AB6">
              <w:t>22.3</w:t>
            </w:r>
          </w:p>
        </w:tc>
      </w:tr>
      <w:tr w:rsidR="00B86394" w:rsidRPr="002B4AB6" w:rsidTr="00566D3C">
        <w:tc>
          <w:tcPr>
            <w:tcW w:w="1449" w:type="pct"/>
          </w:tcPr>
          <w:p w:rsidR="00B86394" w:rsidRPr="002B4AB6" w:rsidRDefault="00B86394" w:rsidP="004B699C">
            <w:pPr>
              <w:pStyle w:val="Tabletext"/>
              <w:rPr>
                <w:szCs w:val="20"/>
              </w:rPr>
            </w:pPr>
            <w:r w:rsidRPr="002B4AB6">
              <w:rPr>
                <w:szCs w:val="20"/>
              </w:rPr>
              <w:t>95% CI for Median OS</w:t>
            </w:r>
            <w:r w:rsidRPr="002B4AB6">
              <w:rPr>
                <w:szCs w:val="20"/>
                <w:vertAlign w:val="superscript"/>
              </w:rPr>
              <w:t xml:space="preserve"> a</w:t>
            </w:r>
            <w:r w:rsidRPr="002B4AB6">
              <w:rPr>
                <w:szCs w:val="20"/>
              </w:rPr>
              <w:t xml:space="preserve"> </w:t>
            </w:r>
          </w:p>
        </w:tc>
        <w:tc>
          <w:tcPr>
            <w:tcW w:w="1149" w:type="pct"/>
            <w:shd w:val="clear" w:color="auto" w:fill="B8CCE4" w:themeFill="accent1" w:themeFillTint="66"/>
          </w:tcPr>
          <w:p w:rsidR="00B86394" w:rsidRPr="002B4AB6" w:rsidRDefault="00E42301" w:rsidP="004B699C">
            <w:pPr>
              <w:pStyle w:val="Tabletext"/>
              <w:jc w:val="center"/>
            </w:pPr>
            <w:r w:rsidRPr="002B4AB6">
              <w:t>(4.9, Not reached)</w:t>
            </w:r>
          </w:p>
        </w:tc>
        <w:tc>
          <w:tcPr>
            <w:tcW w:w="1149" w:type="pct"/>
            <w:shd w:val="clear" w:color="auto" w:fill="B8CCE4" w:themeFill="accent1" w:themeFillTint="66"/>
          </w:tcPr>
          <w:p w:rsidR="00B86394" w:rsidRPr="002B4AB6" w:rsidRDefault="00B86394" w:rsidP="004B699C">
            <w:pPr>
              <w:pStyle w:val="Tabletext"/>
              <w:jc w:val="center"/>
              <w:rPr>
                <w:szCs w:val="20"/>
              </w:rPr>
            </w:pPr>
            <w:r w:rsidRPr="002B4AB6">
              <w:t>(7.3, Not reached)</w:t>
            </w:r>
          </w:p>
        </w:tc>
        <w:tc>
          <w:tcPr>
            <w:tcW w:w="1253" w:type="pct"/>
          </w:tcPr>
          <w:p w:rsidR="00B86394" w:rsidRPr="002B4AB6" w:rsidRDefault="00B86394" w:rsidP="004B699C">
            <w:pPr>
              <w:pStyle w:val="Tabletext"/>
              <w:jc w:val="center"/>
              <w:rPr>
                <w:highlight w:val="yellow"/>
              </w:rPr>
            </w:pPr>
            <w:r w:rsidRPr="002B4AB6">
              <w:t>(7.3, Not reached)</w:t>
            </w:r>
          </w:p>
        </w:tc>
      </w:tr>
      <w:tr w:rsidR="00B86394" w:rsidRPr="002B4AB6" w:rsidTr="00566D3C">
        <w:tc>
          <w:tcPr>
            <w:tcW w:w="1449" w:type="pct"/>
          </w:tcPr>
          <w:p w:rsidR="00B86394" w:rsidRPr="002B4AB6" w:rsidRDefault="00B86394" w:rsidP="004B699C">
            <w:pPr>
              <w:pStyle w:val="Tabletext"/>
              <w:rPr>
                <w:szCs w:val="20"/>
              </w:rPr>
            </w:pPr>
            <w:r w:rsidRPr="002B4AB6">
              <w:rPr>
                <w:szCs w:val="20"/>
              </w:rPr>
              <w:t xml:space="preserve">OS rate at 6 Months in % </w:t>
            </w:r>
            <w:r w:rsidRPr="002B4AB6">
              <w:rPr>
                <w:szCs w:val="20"/>
                <w:vertAlign w:val="superscript"/>
              </w:rPr>
              <w:t>a</w:t>
            </w:r>
            <w:r w:rsidRPr="002B4AB6">
              <w:rPr>
                <w:szCs w:val="20"/>
              </w:rPr>
              <w:t xml:space="preserve"> </w:t>
            </w:r>
          </w:p>
        </w:tc>
        <w:tc>
          <w:tcPr>
            <w:tcW w:w="1149" w:type="pct"/>
            <w:shd w:val="clear" w:color="auto" w:fill="B8CCE4" w:themeFill="accent1" w:themeFillTint="66"/>
          </w:tcPr>
          <w:p w:rsidR="00B86394" w:rsidRPr="002B4AB6" w:rsidRDefault="00E42301" w:rsidP="004B699C">
            <w:pPr>
              <w:pStyle w:val="Tabletext"/>
              <w:jc w:val="center"/>
            </w:pPr>
            <w:r w:rsidRPr="002B4AB6">
              <w:t>71.4%</w:t>
            </w:r>
          </w:p>
        </w:tc>
        <w:tc>
          <w:tcPr>
            <w:tcW w:w="1149" w:type="pct"/>
            <w:shd w:val="clear" w:color="auto" w:fill="B8CCE4" w:themeFill="accent1" w:themeFillTint="66"/>
          </w:tcPr>
          <w:p w:rsidR="00B86394" w:rsidRPr="002B4AB6" w:rsidRDefault="00B86394" w:rsidP="004B699C">
            <w:pPr>
              <w:pStyle w:val="Tabletext"/>
              <w:jc w:val="center"/>
              <w:rPr>
                <w:szCs w:val="20"/>
              </w:rPr>
            </w:pPr>
            <w:r w:rsidRPr="002B4AB6">
              <w:t>69.8</w:t>
            </w:r>
          </w:p>
        </w:tc>
        <w:tc>
          <w:tcPr>
            <w:tcW w:w="1253" w:type="pct"/>
          </w:tcPr>
          <w:p w:rsidR="00B86394" w:rsidRPr="002B4AB6" w:rsidRDefault="00B86394" w:rsidP="004B699C">
            <w:pPr>
              <w:pStyle w:val="Tabletext"/>
              <w:jc w:val="center"/>
              <w:rPr>
                <w:highlight w:val="yellow"/>
              </w:rPr>
            </w:pPr>
            <w:r w:rsidRPr="002B4AB6">
              <w:t>69.8</w:t>
            </w:r>
          </w:p>
        </w:tc>
      </w:tr>
      <w:tr w:rsidR="00B86394" w:rsidRPr="002B4AB6" w:rsidTr="00566D3C">
        <w:tc>
          <w:tcPr>
            <w:tcW w:w="1449" w:type="pct"/>
          </w:tcPr>
          <w:p w:rsidR="00B86394" w:rsidRPr="002B4AB6" w:rsidRDefault="00B86394" w:rsidP="004B699C">
            <w:pPr>
              <w:pStyle w:val="Tabletext"/>
              <w:rPr>
                <w:szCs w:val="20"/>
              </w:rPr>
            </w:pPr>
            <w:r w:rsidRPr="002B4AB6">
              <w:rPr>
                <w:szCs w:val="20"/>
              </w:rPr>
              <w:t xml:space="preserve">OS rate at 12 Months in % </w:t>
            </w:r>
            <w:r w:rsidRPr="002B4AB6">
              <w:rPr>
                <w:szCs w:val="20"/>
                <w:vertAlign w:val="superscript"/>
              </w:rPr>
              <w:t>a</w:t>
            </w:r>
          </w:p>
        </w:tc>
        <w:tc>
          <w:tcPr>
            <w:tcW w:w="1149" w:type="pct"/>
            <w:shd w:val="clear" w:color="auto" w:fill="B8CCE4" w:themeFill="accent1" w:themeFillTint="66"/>
          </w:tcPr>
          <w:p w:rsidR="00B86394" w:rsidRPr="002B4AB6" w:rsidRDefault="00E42301" w:rsidP="00E42301">
            <w:pPr>
              <w:pStyle w:val="Tabletext"/>
              <w:jc w:val="center"/>
            </w:pPr>
            <w:r w:rsidRPr="002B4AB6">
              <w:t>65.9%</w:t>
            </w:r>
          </w:p>
        </w:tc>
        <w:tc>
          <w:tcPr>
            <w:tcW w:w="1149" w:type="pct"/>
            <w:shd w:val="clear" w:color="auto" w:fill="B8CCE4" w:themeFill="accent1" w:themeFillTint="66"/>
          </w:tcPr>
          <w:p w:rsidR="00B86394" w:rsidRPr="002B4AB6" w:rsidRDefault="00B86394" w:rsidP="004B699C">
            <w:pPr>
              <w:pStyle w:val="Tabletext"/>
              <w:jc w:val="center"/>
              <w:rPr>
                <w:szCs w:val="20"/>
              </w:rPr>
            </w:pPr>
            <w:r w:rsidRPr="002B4AB6">
              <w:t>57.7</w:t>
            </w:r>
          </w:p>
        </w:tc>
        <w:tc>
          <w:tcPr>
            <w:tcW w:w="1253" w:type="pct"/>
          </w:tcPr>
          <w:p w:rsidR="00B86394" w:rsidRPr="002B4AB6" w:rsidRDefault="00B86394" w:rsidP="004B699C">
            <w:pPr>
              <w:pStyle w:val="Tabletext"/>
              <w:jc w:val="center"/>
              <w:rPr>
                <w:highlight w:val="yellow"/>
              </w:rPr>
            </w:pPr>
            <w:r w:rsidRPr="002B4AB6">
              <w:t>58.5</w:t>
            </w:r>
          </w:p>
        </w:tc>
      </w:tr>
      <w:tr w:rsidR="00B86394" w:rsidRPr="002B4AB6" w:rsidTr="00566D3C">
        <w:tc>
          <w:tcPr>
            <w:tcW w:w="1449" w:type="pct"/>
          </w:tcPr>
          <w:p w:rsidR="00B86394" w:rsidRPr="002B4AB6" w:rsidRDefault="00B86394" w:rsidP="004B699C">
            <w:pPr>
              <w:pStyle w:val="Tabletext"/>
              <w:rPr>
                <w:szCs w:val="20"/>
              </w:rPr>
            </w:pPr>
            <w:r w:rsidRPr="002B4AB6">
              <w:rPr>
                <w:szCs w:val="20"/>
              </w:rPr>
              <w:t xml:space="preserve">OS rate at 24 Months in % </w:t>
            </w:r>
            <w:r w:rsidRPr="002B4AB6">
              <w:rPr>
                <w:szCs w:val="20"/>
                <w:vertAlign w:val="superscript"/>
              </w:rPr>
              <w:t>a</w:t>
            </w:r>
          </w:p>
        </w:tc>
        <w:tc>
          <w:tcPr>
            <w:tcW w:w="1149" w:type="pct"/>
            <w:shd w:val="clear" w:color="auto" w:fill="B8CCE4" w:themeFill="accent1" w:themeFillTint="66"/>
          </w:tcPr>
          <w:p w:rsidR="00B86394" w:rsidRPr="002B4AB6" w:rsidRDefault="00E42301" w:rsidP="004B699C">
            <w:pPr>
              <w:pStyle w:val="Tabletext"/>
              <w:jc w:val="center"/>
            </w:pPr>
            <w:r w:rsidRPr="002B4AB6">
              <w:t>Not reported</w:t>
            </w:r>
          </w:p>
        </w:tc>
        <w:tc>
          <w:tcPr>
            <w:tcW w:w="1149" w:type="pct"/>
            <w:shd w:val="clear" w:color="auto" w:fill="B8CCE4" w:themeFill="accent1" w:themeFillTint="66"/>
          </w:tcPr>
          <w:p w:rsidR="00B86394" w:rsidRPr="002B4AB6" w:rsidRDefault="00B86394" w:rsidP="004B699C">
            <w:pPr>
              <w:pStyle w:val="Tabletext"/>
              <w:jc w:val="center"/>
            </w:pPr>
            <w:r w:rsidRPr="002B4AB6">
              <w:t>N/A</w:t>
            </w:r>
          </w:p>
        </w:tc>
        <w:tc>
          <w:tcPr>
            <w:tcW w:w="1253" w:type="pct"/>
          </w:tcPr>
          <w:p w:rsidR="00B86394" w:rsidRPr="002B4AB6" w:rsidRDefault="00B86394" w:rsidP="004B699C">
            <w:pPr>
              <w:pStyle w:val="Tabletext"/>
              <w:jc w:val="center"/>
            </w:pPr>
            <w:r w:rsidRPr="002B4AB6">
              <w:t>49.1</w:t>
            </w:r>
          </w:p>
        </w:tc>
      </w:tr>
    </w:tbl>
    <w:p w:rsidR="00DC3DFF" w:rsidRPr="002B4AB6" w:rsidRDefault="00DC3DFF" w:rsidP="006B1E28">
      <w:pPr>
        <w:pStyle w:val="TableFigureFooter"/>
        <w:rPr>
          <w:rFonts w:eastAsia="Calibri"/>
        </w:rPr>
      </w:pPr>
      <w:r w:rsidRPr="002B4AB6">
        <w:t xml:space="preserve">Source: </w:t>
      </w:r>
      <w:r w:rsidR="00E42301" w:rsidRPr="002B4AB6">
        <w:t xml:space="preserve">Table 11.5, p62 of the KN013 CSR, </w:t>
      </w:r>
      <w:r w:rsidRPr="002B4AB6">
        <w:rPr>
          <w:szCs w:val="18"/>
        </w:rPr>
        <w:t xml:space="preserve">Table 7, p16 of the </w:t>
      </w:r>
      <w:r w:rsidRPr="002B4AB6">
        <w:t xml:space="preserve">KN170 efficacy update report (24 months) accompanying the resubmission, and Table 8, Paragraph 6.19, Pembrolizumab </w:t>
      </w:r>
      <w:r w:rsidR="0050535E" w:rsidRPr="002B4AB6">
        <w:t xml:space="preserve">PMBCL </w:t>
      </w:r>
      <w:r w:rsidR="00AB2B04">
        <w:t>PSD</w:t>
      </w:r>
      <w:r w:rsidRPr="002B4AB6">
        <w:t>, November 2018.</w:t>
      </w:r>
      <w:r w:rsidRPr="002B4AB6">
        <w:rPr>
          <w:rFonts w:eastAsia="Calibri"/>
        </w:rPr>
        <w:t xml:space="preserve"> </w:t>
      </w:r>
    </w:p>
    <w:p w:rsidR="00DC3DFF" w:rsidRPr="002B4AB6" w:rsidRDefault="00DC3DFF" w:rsidP="006B1E28">
      <w:pPr>
        <w:pStyle w:val="TableFigureFooter"/>
        <w:rPr>
          <w:rFonts w:eastAsia="Calibri"/>
        </w:rPr>
      </w:pPr>
      <w:r w:rsidRPr="002B4AB6">
        <w:rPr>
          <w:rFonts w:eastAsia="Calibri"/>
        </w:rPr>
        <w:t>CI = confidence interval; N/A = not available; OS = overall survival.</w:t>
      </w:r>
    </w:p>
    <w:p w:rsidR="00DC3DFF" w:rsidRPr="002B4AB6" w:rsidRDefault="00DC3DFF" w:rsidP="006B1E28">
      <w:pPr>
        <w:pStyle w:val="TableFigureFooter"/>
        <w:rPr>
          <w:rFonts w:eastAsia="Calibri"/>
        </w:rPr>
      </w:pPr>
      <w:r w:rsidRPr="002B4AB6">
        <w:rPr>
          <w:szCs w:val="20"/>
          <w:vertAlign w:val="superscript"/>
        </w:rPr>
        <w:t>a</w:t>
      </w:r>
      <w:r w:rsidRPr="002B4AB6">
        <w:rPr>
          <w:rFonts w:eastAsia="Calibri"/>
        </w:rPr>
        <w:t xml:space="preserve"> From product-limit (Kaplan-Meier) method for censored data.</w:t>
      </w:r>
    </w:p>
    <w:p w:rsidR="00DC3DFF" w:rsidRPr="002B4AB6" w:rsidRDefault="00DC3DFF" w:rsidP="006B1E28">
      <w:pPr>
        <w:pStyle w:val="TableFigureFooter"/>
        <w:rPr>
          <w:rFonts w:eastAsia="Calibri"/>
        </w:rPr>
      </w:pPr>
      <w:r w:rsidRPr="002B4AB6">
        <w:rPr>
          <w:rFonts w:eastAsia="Calibri"/>
        </w:rPr>
        <w:t>Results that have previously been seen by the PBAC are blue highlighted.</w:t>
      </w:r>
    </w:p>
    <w:p w:rsidR="00DC3DFF" w:rsidRPr="002B4AB6" w:rsidRDefault="00DC3DFF" w:rsidP="00DC3DFF">
      <w:pPr>
        <w:pStyle w:val="Tabletext"/>
      </w:pPr>
    </w:p>
    <w:p w:rsidR="00DC3DFF" w:rsidRPr="002B4AB6" w:rsidRDefault="00DC3DFF" w:rsidP="00DC3DFF">
      <w:pPr>
        <w:pStyle w:val="TableFigureHeading"/>
      </w:pPr>
      <w:r w:rsidRPr="002B4AB6">
        <w:t xml:space="preserve">Figure </w:t>
      </w:r>
      <w:r w:rsidR="002B39A5" w:rsidRPr="00956A61">
        <w:t>3</w:t>
      </w:r>
      <w:r w:rsidRPr="002B4AB6">
        <w:t>: Overall survival Kaplan-Meier curve from KN170 (May 2019 data cut-off)</w:t>
      </w:r>
    </w:p>
    <w:p w:rsidR="00DC3DFF" w:rsidRPr="002B4AB6" w:rsidRDefault="00DC3DFF" w:rsidP="00DC3DFF">
      <w:pPr>
        <w:pStyle w:val="In-tableHeading"/>
        <w:rPr>
          <w:lang w:val="en-AU"/>
        </w:rPr>
      </w:pPr>
      <w:r w:rsidRPr="006F292D">
        <w:rPr>
          <w:noProof/>
          <w:lang w:val="en-AU"/>
        </w:rPr>
        <w:drawing>
          <wp:inline distT="0" distB="0" distL="0" distR="0" wp14:anchorId="557470D6" wp14:editId="6F19A4A5">
            <wp:extent cx="5713095" cy="3145536"/>
            <wp:effectExtent l="0" t="0" r="1905" b="0"/>
            <wp:docPr id="2" name="Picture 2" title="Figure 3: Overall survival Kaplan-Meier curve from KN170 (May 2019 data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6322" cy="3158325"/>
                    </a:xfrm>
                    <a:prstGeom prst="rect">
                      <a:avLst/>
                    </a:prstGeom>
                    <a:noFill/>
                  </pic:spPr>
                </pic:pic>
              </a:graphicData>
            </a:graphic>
          </wp:inline>
        </w:drawing>
      </w:r>
    </w:p>
    <w:p w:rsidR="00DC3DFF" w:rsidRPr="002B4AB6" w:rsidRDefault="00DC3DFF" w:rsidP="00DC3DFF">
      <w:pPr>
        <w:pStyle w:val="TableFigureFooter"/>
      </w:pPr>
      <w:r w:rsidRPr="002B4AB6">
        <w:t xml:space="preserve">Source: </w:t>
      </w:r>
      <w:r w:rsidRPr="002B4AB6">
        <w:rPr>
          <w:szCs w:val="18"/>
        </w:rPr>
        <w:t xml:space="preserve">Figure 3, p17 of the </w:t>
      </w:r>
      <w:r w:rsidRPr="002B4AB6">
        <w:t>KN170 efficacy update report (24 months) accompanying the resubmission</w:t>
      </w:r>
    </w:p>
    <w:p w:rsidR="00DC3DFF" w:rsidRPr="00492CD9" w:rsidRDefault="00DC3DFF" w:rsidP="00DC3DFF">
      <w:pPr>
        <w:pStyle w:val="Tabletext"/>
      </w:pPr>
    </w:p>
    <w:p w:rsidR="00DC3DFF" w:rsidRPr="002B4AB6" w:rsidRDefault="00DC3DFF" w:rsidP="00F51B65">
      <w:pPr>
        <w:pStyle w:val="3-BodyText"/>
      </w:pPr>
      <w:r w:rsidRPr="002B4AB6">
        <w:t xml:space="preserve">The median OS was not reached for the KN170 January 2018 data cut-off. The median OS </w:t>
      </w:r>
      <w:r w:rsidR="002B014D" w:rsidRPr="002B4AB6">
        <w:t>using the</w:t>
      </w:r>
      <w:r w:rsidRPr="002B4AB6">
        <w:t xml:space="preserve"> May 2019 data cut-off was 22.3 months (95% CI: 7.3 months, upper limit not reached). The OS rates at 6</w:t>
      </w:r>
      <w:r w:rsidR="00315D1C" w:rsidRPr="002B4AB6">
        <w:t xml:space="preserve">, </w:t>
      </w:r>
      <w:r w:rsidRPr="002B4AB6">
        <w:t>12</w:t>
      </w:r>
      <w:r w:rsidR="00315D1C" w:rsidRPr="002B4AB6">
        <w:t xml:space="preserve"> and 24</w:t>
      </w:r>
      <w:r w:rsidRPr="002B4AB6">
        <w:t xml:space="preserve"> months were 70%</w:t>
      </w:r>
      <w:r w:rsidR="00315D1C" w:rsidRPr="002B4AB6">
        <w:t xml:space="preserve">, </w:t>
      </w:r>
      <w:r w:rsidRPr="002B4AB6">
        <w:t>60%</w:t>
      </w:r>
      <w:r w:rsidR="00315D1C" w:rsidRPr="002B4AB6">
        <w:t xml:space="preserve"> and 49.1%</w:t>
      </w:r>
      <w:r w:rsidRPr="002B4AB6">
        <w:t xml:space="preserve">, </w:t>
      </w:r>
      <w:r w:rsidRPr="002B4AB6">
        <w:lastRenderedPageBreak/>
        <w:t>respectively</w:t>
      </w:r>
      <w:r w:rsidR="00315D1C" w:rsidRPr="002B4AB6">
        <w:t>.</w:t>
      </w:r>
      <w:r w:rsidR="001872B1" w:rsidRPr="002B4AB6">
        <w:t xml:space="preserve"> The ESC </w:t>
      </w:r>
      <w:r w:rsidR="00BA2548" w:rsidRPr="002B4AB6">
        <w:t>considered that the more mature data presented in the resubmission indicated</w:t>
      </w:r>
      <w:r w:rsidR="001872B1" w:rsidRPr="002B4AB6">
        <w:t xml:space="preserve"> that </w:t>
      </w:r>
      <w:r w:rsidR="005D7230" w:rsidRPr="002B4AB6">
        <w:t>the OS curve began to plateau at 18 months</w:t>
      </w:r>
      <w:r w:rsidR="00BA2548" w:rsidRPr="002B4AB6">
        <w:t>.</w:t>
      </w:r>
      <w:r w:rsidR="00715CC0" w:rsidRPr="002B4AB6">
        <w:t xml:space="preserve"> </w:t>
      </w:r>
    </w:p>
    <w:p w:rsidR="00DC3DFF" w:rsidRPr="002B4AB6" w:rsidRDefault="00DC3DFF" w:rsidP="00AB6391">
      <w:pPr>
        <w:pStyle w:val="3-BodyText"/>
      </w:pPr>
      <w:r w:rsidRPr="002B4AB6">
        <w:t xml:space="preserve">The median duration of follow-up for the whole </w:t>
      </w:r>
      <w:r w:rsidR="00E44692" w:rsidRPr="002B4AB6">
        <w:t xml:space="preserve">Vardhana 2018 </w:t>
      </w:r>
      <w:r w:rsidRPr="002B4AB6">
        <w:t xml:space="preserve">population (N = 60) was 4.8 years with an estimated 3-year OS rate of 61%. The Kaplan-Meier OS curve is presented below. </w:t>
      </w:r>
      <w:r w:rsidR="00AB6391" w:rsidRPr="002B4AB6">
        <w:t xml:space="preserve">For patients who proceeded to ASCT, the median follow-up from the date of SCT was 5.6 years. The estimated 3-year OS rate for these patients was 65%. </w:t>
      </w:r>
      <w:r w:rsidRPr="002B4AB6">
        <w:t>Not</w:t>
      </w:r>
      <w:r w:rsidR="00E44692" w:rsidRPr="002B4AB6">
        <w:t>e</w:t>
      </w:r>
      <w:r w:rsidRPr="002B4AB6">
        <w:t xml:space="preserve"> that the survival outcome from the whole population of Vard</w:t>
      </w:r>
      <w:r w:rsidR="00A0187F" w:rsidRPr="002B4AB6">
        <w:t>hana</w:t>
      </w:r>
      <w:r w:rsidRPr="002B4AB6">
        <w:t xml:space="preserve"> 2018 was not used in the </w:t>
      </w:r>
      <w:r w:rsidR="00E36970" w:rsidRPr="002B4AB6">
        <w:t>re</w:t>
      </w:r>
      <w:r w:rsidRPr="002B4AB6">
        <w:t>submission’s economic model.</w:t>
      </w:r>
    </w:p>
    <w:p w:rsidR="00DC3DFF" w:rsidRPr="002B4AB6" w:rsidRDefault="00B81F20" w:rsidP="00B81F20">
      <w:pPr>
        <w:pStyle w:val="TableFigureHeading"/>
        <w:rPr>
          <w:b w:val="0"/>
        </w:rPr>
      </w:pPr>
      <w:r w:rsidRPr="002B4AB6">
        <w:t xml:space="preserve">Figure </w:t>
      </w:r>
      <w:r w:rsidR="002B39A5" w:rsidRPr="00956A61">
        <w:t>4</w:t>
      </w:r>
      <w:r w:rsidRPr="002B4AB6">
        <w:t>: Vardhana 2018 - OS and EFS results for the whole population</w:t>
      </w:r>
    </w:p>
    <w:p w:rsidR="00DC3DFF" w:rsidRPr="002B4AB6" w:rsidRDefault="00DC3DFF" w:rsidP="00DC3DFF">
      <w:pPr>
        <w:pStyle w:val="3-BodyText"/>
        <w:numPr>
          <w:ilvl w:val="0"/>
          <w:numId w:val="0"/>
        </w:numPr>
        <w:ind w:left="720"/>
        <w:rPr>
          <w:i/>
        </w:rPr>
      </w:pPr>
      <w:r w:rsidRPr="002B4AB6">
        <w:rPr>
          <w:i/>
        </w:rPr>
        <w:t xml:space="preserve"> </w:t>
      </w:r>
      <w:r w:rsidRPr="006F292D">
        <w:rPr>
          <w:i/>
          <w:noProof/>
        </w:rPr>
        <w:drawing>
          <wp:inline distT="0" distB="0" distL="0" distR="0" wp14:anchorId="45CE4527" wp14:editId="153FC2B6">
            <wp:extent cx="4999355" cy="4578350"/>
            <wp:effectExtent l="0" t="0" r="0" b="0"/>
            <wp:docPr id="3" name="Picture 3" title="Figure 4: Vardhana 2018 - OS and EFS results for the whole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9355" cy="4578350"/>
                    </a:xfrm>
                    <a:prstGeom prst="rect">
                      <a:avLst/>
                    </a:prstGeom>
                    <a:noFill/>
                  </pic:spPr>
                </pic:pic>
              </a:graphicData>
            </a:graphic>
          </wp:inline>
        </w:drawing>
      </w:r>
    </w:p>
    <w:p w:rsidR="00DC3DFF" w:rsidRPr="002B4AB6" w:rsidRDefault="00DC3DFF" w:rsidP="00DC3DFF">
      <w:pPr>
        <w:pStyle w:val="TableFigureFooter"/>
      </w:pPr>
      <w:r w:rsidRPr="002B4AB6">
        <w:t xml:space="preserve">Source: Figure 2.5-6, p53 of the </w:t>
      </w:r>
      <w:r w:rsidR="00E36970" w:rsidRPr="002B4AB6">
        <w:t>re</w:t>
      </w:r>
      <w:r w:rsidRPr="002B4AB6">
        <w:t>submission.</w:t>
      </w:r>
    </w:p>
    <w:p w:rsidR="00DC3DFF" w:rsidRPr="00492CD9" w:rsidRDefault="00DC3DFF" w:rsidP="00DC3DFF">
      <w:pPr>
        <w:pStyle w:val="TableFigureFooter"/>
      </w:pPr>
      <w:r w:rsidRPr="00492CD9">
        <w:t>OS = overall survival; EFS = event free survival.</w:t>
      </w:r>
    </w:p>
    <w:p w:rsidR="00DC3DFF" w:rsidRPr="002B4AB6" w:rsidRDefault="00DC3DFF" w:rsidP="00DC3DFF">
      <w:pPr>
        <w:pStyle w:val="TableFigureFooter"/>
      </w:pPr>
      <w:r w:rsidRPr="002B4AB6">
        <w:t xml:space="preserve">EFS was defined from the starting second line treatment point until treatment failure, progression of disease, death from all causes, toxicity from </w:t>
      </w:r>
      <w:r w:rsidR="001E746A" w:rsidRPr="002B4AB6">
        <w:t xml:space="preserve">second line therapy </w:t>
      </w:r>
      <w:r w:rsidRPr="002B4AB6">
        <w:t xml:space="preserve">or </w:t>
      </w:r>
      <w:r w:rsidR="0076660D" w:rsidRPr="002B4AB6">
        <w:t>HDT-ASCT</w:t>
      </w:r>
      <w:r w:rsidRPr="002B4AB6">
        <w:t xml:space="preserve"> requiring treatment discontinuation, or secondary malignancy, whichever came first, and patients who did not experience any of these events were censored at the date of last follow-up.</w:t>
      </w:r>
    </w:p>
    <w:p w:rsidR="00D84FE3" w:rsidRPr="002B4AB6" w:rsidRDefault="00D84FE3">
      <w:pPr>
        <w:jc w:val="left"/>
        <w:rPr>
          <w:rFonts w:asciiTheme="minorHAnsi" w:hAnsiTheme="minorHAnsi"/>
          <w:snapToGrid w:val="0"/>
        </w:rPr>
      </w:pPr>
      <w:r w:rsidRPr="002B4AB6">
        <w:br w:type="page"/>
      </w:r>
    </w:p>
    <w:p w:rsidR="00952033" w:rsidRPr="002B4AB6" w:rsidRDefault="00DC3DFF" w:rsidP="00DC3DFF">
      <w:pPr>
        <w:pStyle w:val="3-BodyText"/>
      </w:pPr>
      <w:r w:rsidRPr="002B4AB6">
        <w:lastRenderedPageBreak/>
        <w:t xml:space="preserve">The </w:t>
      </w:r>
      <w:r w:rsidR="00A1347A" w:rsidRPr="002B4AB6">
        <w:t xml:space="preserve">starting </w:t>
      </w:r>
      <w:r w:rsidRPr="002B4AB6">
        <w:t>time point on which the definition of OS was based differed between the KN170 and Vardhana 2018 studies. In KN170, it was the time from the first pembrolizumab dose (third or later line therapy) to death, withdrawal of consent or end of study (whichever occurred first). In Vardhana 2018, it was time from first day of second line therapy to death.</w:t>
      </w:r>
    </w:p>
    <w:p w:rsidR="00952033" w:rsidRPr="002B4AB6" w:rsidRDefault="00871DF8" w:rsidP="00840317">
      <w:pPr>
        <w:pStyle w:val="3-BodyText"/>
      </w:pPr>
      <w:r w:rsidRPr="002B4AB6">
        <w:t>A comparison of</w:t>
      </w:r>
      <w:r w:rsidR="00952033" w:rsidRPr="002B4AB6">
        <w:t xml:space="preserve"> the number of SCTs post-treatment in the KN170 and Vardhana 2018 single arm studies, are summarised in</w:t>
      </w:r>
      <w:r w:rsidR="005A2FC6" w:rsidRPr="002B4AB6">
        <w:t xml:space="preserve"> </w:t>
      </w:r>
      <w:r w:rsidR="002B39A5" w:rsidRPr="002B4AB6">
        <w:t>Table 9</w:t>
      </w:r>
      <w:r w:rsidR="005A2FC6" w:rsidRPr="002B4AB6">
        <w:t>.</w:t>
      </w:r>
      <w:r w:rsidR="00840317" w:rsidRPr="002B4AB6">
        <w:t xml:space="preserve"> Acknowledging the limitations of cross study comparisons</w:t>
      </w:r>
      <w:r w:rsidR="004B1D31" w:rsidRPr="00492CD9">
        <w:t>,</w:t>
      </w:r>
      <w:r w:rsidR="00840317" w:rsidRPr="002B4AB6">
        <w:t xml:space="preserve"> and the fact that Vardhana specifically assessed transplant-eligible patients, a total of 4 patients (7.6%) in KN170 received SCT (of whom two had an </w:t>
      </w:r>
      <w:r w:rsidR="008F4DB8" w:rsidRPr="002B4AB6">
        <w:t>a</w:t>
      </w:r>
      <w:r w:rsidR="00840317" w:rsidRPr="002B4AB6">
        <w:t>lloSCT and two had</w:t>
      </w:r>
      <w:r w:rsidR="00973962" w:rsidRPr="002B4AB6">
        <w:t xml:space="preserve"> an</w:t>
      </w:r>
      <w:r w:rsidR="00840317" w:rsidRPr="002B4AB6">
        <w:t xml:space="preserve"> ASCT (3.8%)) compared with 51 patients (85%) in Vardhana 2018 (of whom all received ASCT).</w:t>
      </w:r>
      <w:r w:rsidR="005D1D82" w:rsidRPr="002B4AB6">
        <w:t xml:space="preserve"> </w:t>
      </w:r>
      <w:r w:rsidR="00501A0B" w:rsidRPr="002B4AB6">
        <w:t>The PSCR argued</w:t>
      </w:r>
      <w:r w:rsidR="00767237" w:rsidRPr="002B4AB6">
        <w:t xml:space="preserve"> that in order to proceed to transplant, the patient must have either a complete or partial response, and the data provided supports that at least some patients would be eligible for transplant following pembrolizumab. </w:t>
      </w:r>
      <w:r w:rsidR="005D1D82" w:rsidRPr="002B4AB6">
        <w:t xml:space="preserve">The ESC considered that the proportion of patients reported in the KN170 study is likely to be an underestimate of the proportion going to alloSCT in the Australian population. </w:t>
      </w:r>
    </w:p>
    <w:p w:rsidR="00952033" w:rsidRPr="002B4AB6" w:rsidRDefault="00952033" w:rsidP="00952033">
      <w:pPr>
        <w:pStyle w:val="TableFigureHeading"/>
      </w:pPr>
      <w:bookmarkStart w:id="20" w:name="_Ref29809928"/>
      <w:r w:rsidRPr="002B4AB6">
        <w:t xml:space="preserve">Table </w:t>
      </w:r>
      <w:r w:rsidR="002B39A5" w:rsidRPr="00956A61">
        <w:t>9</w:t>
      </w:r>
      <w:bookmarkEnd w:id="20"/>
      <w:r w:rsidRPr="002B4AB6">
        <w:t xml:space="preserve">: Number of SCTs post-treatment in the KN170 and Vardhana 2018 single arm studies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2671"/>
        <w:gridCol w:w="3967"/>
      </w:tblGrid>
      <w:tr w:rsidR="00952033" w:rsidRPr="002B4AB6" w:rsidTr="000F0DC5">
        <w:trPr>
          <w:trHeight w:val="666"/>
          <w:tblHeader/>
        </w:trPr>
        <w:tc>
          <w:tcPr>
            <w:tcW w:w="1319" w:type="pct"/>
            <w:vAlign w:val="center"/>
          </w:tcPr>
          <w:p w:rsidR="00952033" w:rsidRPr="00492CD9" w:rsidRDefault="00952033" w:rsidP="00B85735">
            <w:pPr>
              <w:keepNext/>
              <w:keepLines/>
              <w:jc w:val="left"/>
              <w:rPr>
                <w:rFonts w:ascii="Arial Narrow" w:hAnsi="Arial Narrow" w:cs="Times New Roman"/>
                <w:b/>
                <w:sz w:val="20"/>
                <w:szCs w:val="20"/>
              </w:rPr>
            </w:pPr>
            <w:r w:rsidRPr="00492CD9">
              <w:rPr>
                <w:rFonts w:ascii="Arial Narrow" w:hAnsi="Arial Narrow" w:cs="Times New Roman"/>
                <w:b/>
                <w:sz w:val="20"/>
                <w:szCs w:val="20"/>
              </w:rPr>
              <w:t>Outcome/Trial ID</w:t>
            </w:r>
          </w:p>
        </w:tc>
        <w:tc>
          <w:tcPr>
            <w:tcW w:w="1481" w:type="pct"/>
            <w:vAlign w:val="center"/>
          </w:tcPr>
          <w:p w:rsidR="00952033" w:rsidRPr="002B4AB6" w:rsidRDefault="00952033" w:rsidP="00B85735">
            <w:pPr>
              <w:keepNext/>
              <w:keepLines/>
              <w:jc w:val="center"/>
              <w:rPr>
                <w:rFonts w:ascii="Arial Narrow" w:hAnsi="Arial Narrow" w:cs="Times New Roman"/>
                <w:b/>
                <w:sz w:val="20"/>
                <w:szCs w:val="20"/>
                <w:u w:val="single"/>
              </w:rPr>
            </w:pPr>
            <w:r w:rsidRPr="002B4AB6">
              <w:rPr>
                <w:rFonts w:ascii="Arial Narrow" w:hAnsi="Arial Narrow" w:cs="Times New Roman"/>
                <w:b/>
                <w:sz w:val="20"/>
                <w:szCs w:val="20"/>
                <w:u w:val="single"/>
              </w:rPr>
              <w:t>Pembrolizumab KN170</w:t>
            </w:r>
          </w:p>
          <w:p w:rsidR="00952033" w:rsidRPr="002B4AB6" w:rsidRDefault="00952033" w:rsidP="00B85735">
            <w:pPr>
              <w:keepNext/>
              <w:keepLines/>
              <w:jc w:val="center"/>
              <w:rPr>
                <w:rFonts w:ascii="Arial Narrow" w:hAnsi="Arial Narrow" w:cs="Times New Roman"/>
                <w:b/>
                <w:sz w:val="20"/>
                <w:szCs w:val="20"/>
                <w:u w:val="single"/>
              </w:rPr>
            </w:pPr>
            <w:r w:rsidRPr="002B4AB6">
              <w:rPr>
                <w:rFonts w:ascii="Arial Narrow" w:hAnsi="Arial Narrow" w:cs="Times New Roman"/>
                <w:b/>
                <w:sz w:val="20"/>
                <w:szCs w:val="20"/>
                <w:u w:val="single"/>
              </w:rPr>
              <w:t>N = 53</w:t>
            </w:r>
          </w:p>
          <w:p w:rsidR="00952033" w:rsidRPr="002B4AB6" w:rsidRDefault="00952033" w:rsidP="00B85735">
            <w:pPr>
              <w:keepNext/>
              <w:keepLines/>
              <w:jc w:val="center"/>
              <w:rPr>
                <w:rFonts w:ascii="Arial Narrow" w:hAnsi="Arial Narrow" w:cs="Times New Roman"/>
                <w:b/>
                <w:sz w:val="20"/>
                <w:szCs w:val="20"/>
                <w:u w:val="single"/>
                <w:vertAlign w:val="superscript"/>
              </w:rPr>
            </w:pPr>
            <w:r w:rsidRPr="002B4AB6">
              <w:rPr>
                <w:rFonts w:ascii="Arial Narrow" w:hAnsi="Arial Narrow" w:cs="Times New Roman"/>
                <w:b/>
                <w:sz w:val="20"/>
                <w:szCs w:val="20"/>
                <w:u w:val="single"/>
              </w:rPr>
              <w:t>Median follow-up 12.5 months</w:t>
            </w:r>
            <w:r w:rsidRPr="002B4AB6">
              <w:rPr>
                <w:rFonts w:ascii="Arial Narrow" w:hAnsi="Arial Narrow" w:cs="Times New Roman"/>
                <w:b/>
                <w:sz w:val="20"/>
                <w:szCs w:val="20"/>
                <w:u w:val="single"/>
                <w:vertAlign w:val="superscript"/>
              </w:rPr>
              <w:t>a</w:t>
            </w:r>
          </w:p>
        </w:tc>
        <w:tc>
          <w:tcPr>
            <w:tcW w:w="2200" w:type="pct"/>
          </w:tcPr>
          <w:p w:rsidR="00952033" w:rsidRPr="002B4AB6" w:rsidRDefault="00952033" w:rsidP="00B85735">
            <w:pPr>
              <w:keepNext/>
              <w:keepLines/>
              <w:jc w:val="center"/>
              <w:rPr>
                <w:rFonts w:ascii="Arial Narrow" w:hAnsi="Arial Narrow" w:cs="Times New Roman"/>
                <w:b/>
                <w:sz w:val="20"/>
                <w:szCs w:val="20"/>
                <w:u w:val="single"/>
              </w:rPr>
            </w:pPr>
            <w:r w:rsidRPr="002B4AB6">
              <w:rPr>
                <w:rFonts w:ascii="Arial Narrow" w:hAnsi="Arial Narrow" w:cs="Times New Roman"/>
                <w:b/>
                <w:sz w:val="20"/>
                <w:szCs w:val="20"/>
                <w:u w:val="single"/>
              </w:rPr>
              <w:t>SOC (Vardhana 2018)</w:t>
            </w:r>
          </w:p>
          <w:p w:rsidR="00952033" w:rsidRPr="002B4AB6" w:rsidRDefault="00952033" w:rsidP="00B85735">
            <w:pPr>
              <w:keepNext/>
              <w:keepLines/>
              <w:jc w:val="center"/>
              <w:rPr>
                <w:rFonts w:ascii="Arial Narrow" w:hAnsi="Arial Narrow" w:cs="Times New Roman"/>
                <w:b/>
                <w:sz w:val="20"/>
                <w:szCs w:val="20"/>
                <w:u w:val="single"/>
              </w:rPr>
            </w:pPr>
            <w:r w:rsidRPr="002B4AB6">
              <w:rPr>
                <w:rFonts w:ascii="Arial Narrow" w:hAnsi="Arial Narrow" w:cs="Times New Roman"/>
                <w:b/>
                <w:sz w:val="20"/>
                <w:szCs w:val="20"/>
                <w:u w:val="single"/>
              </w:rPr>
              <w:t>N = 60</w:t>
            </w:r>
          </w:p>
          <w:p w:rsidR="00952033" w:rsidRPr="002B4AB6" w:rsidRDefault="00952033" w:rsidP="00B85735">
            <w:pPr>
              <w:keepNext/>
              <w:keepLines/>
              <w:jc w:val="center"/>
              <w:rPr>
                <w:rFonts w:ascii="Arial Narrow" w:hAnsi="Arial Narrow" w:cs="Times New Roman"/>
                <w:b/>
                <w:sz w:val="20"/>
                <w:szCs w:val="20"/>
                <w:u w:val="single"/>
              </w:rPr>
            </w:pPr>
            <w:r w:rsidRPr="002B4AB6">
              <w:rPr>
                <w:rFonts w:ascii="Arial Narrow" w:hAnsi="Arial Narrow" w:cs="Times New Roman"/>
                <w:b/>
                <w:sz w:val="20"/>
                <w:szCs w:val="20"/>
                <w:u w:val="single"/>
              </w:rPr>
              <w:t>Median follow-up 57.6 months (4.8 years)</w:t>
            </w:r>
          </w:p>
        </w:tc>
      </w:tr>
      <w:tr w:rsidR="00952033" w:rsidRPr="002B4AB6" w:rsidTr="000F0DC5">
        <w:trPr>
          <w:trHeight w:val="109"/>
        </w:trPr>
        <w:tc>
          <w:tcPr>
            <w:tcW w:w="1319" w:type="pct"/>
            <w:vAlign w:val="center"/>
          </w:tcPr>
          <w:p w:rsidR="00952033" w:rsidRPr="002B4AB6" w:rsidRDefault="00952033" w:rsidP="00B85735">
            <w:pPr>
              <w:keepNext/>
              <w:keepLines/>
              <w:jc w:val="left"/>
              <w:rPr>
                <w:rFonts w:ascii="Arial Narrow" w:hAnsi="Arial Narrow" w:cs="Times New Roman"/>
                <w:sz w:val="20"/>
                <w:szCs w:val="20"/>
              </w:rPr>
            </w:pPr>
            <w:r w:rsidRPr="002B4AB6">
              <w:rPr>
                <w:rFonts w:ascii="Arial Narrow" w:hAnsi="Arial Narrow" w:cs="Times New Roman"/>
                <w:sz w:val="20"/>
                <w:szCs w:val="20"/>
              </w:rPr>
              <w:t>Allogeneic SCT, n (%)</w:t>
            </w:r>
          </w:p>
        </w:tc>
        <w:tc>
          <w:tcPr>
            <w:tcW w:w="1481" w:type="pct"/>
          </w:tcPr>
          <w:p w:rsidR="00952033" w:rsidRPr="002B4AB6" w:rsidRDefault="00952033" w:rsidP="00B85735">
            <w:pPr>
              <w:keepNext/>
              <w:keepLines/>
              <w:jc w:val="center"/>
              <w:rPr>
                <w:rFonts w:ascii="Arial Narrow" w:hAnsi="Arial Narrow" w:cs="Times New Roman"/>
                <w:sz w:val="20"/>
                <w:szCs w:val="20"/>
                <w:u w:val="single"/>
                <w:vertAlign w:val="superscript"/>
              </w:rPr>
            </w:pPr>
            <w:r w:rsidRPr="002B4AB6">
              <w:rPr>
                <w:rFonts w:ascii="Arial Narrow" w:hAnsi="Arial Narrow" w:cs="Times New Roman"/>
                <w:sz w:val="20"/>
                <w:szCs w:val="20"/>
                <w:u w:val="single"/>
              </w:rPr>
              <w:t xml:space="preserve">2 (3.8%) </w:t>
            </w:r>
            <w:r w:rsidRPr="002B4AB6">
              <w:rPr>
                <w:rFonts w:ascii="Arial Narrow" w:hAnsi="Arial Narrow" w:cs="Times New Roman"/>
                <w:sz w:val="20"/>
                <w:szCs w:val="20"/>
                <w:u w:val="single"/>
                <w:vertAlign w:val="superscript"/>
              </w:rPr>
              <w:t>a</w:t>
            </w:r>
          </w:p>
        </w:tc>
        <w:tc>
          <w:tcPr>
            <w:tcW w:w="2200" w:type="pct"/>
          </w:tcPr>
          <w:p w:rsidR="00952033" w:rsidRPr="002B4AB6" w:rsidRDefault="00952033" w:rsidP="00B85735">
            <w:pPr>
              <w:keepNext/>
              <w:keepLines/>
              <w:jc w:val="center"/>
              <w:rPr>
                <w:rFonts w:ascii="Arial Narrow" w:hAnsi="Arial Narrow" w:cs="Times New Roman"/>
                <w:sz w:val="20"/>
                <w:szCs w:val="20"/>
                <w:u w:val="single"/>
              </w:rPr>
            </w:pPr>
            <w:r w:rsidRPr="002B4AB6">
              <w:rPr>
                <w:rFonts w:ascii="Arial Narrow" w:hAnsi="Arial Narrow" w:cs="Times New Roman"/>
                <w:sz w:val="20"/>
                <w:szCs w:val="20"/>
                <w:u w:val="single"/>
              </w:rPr>
              <w:t>0 (0%)</w:t>
            </w:r>
          </w:p>
        </w:tc>
      </w:tr>
      <w:tr w:rsidR="00952033" w:rsidRPr="002B4AB6" w:rsidTr="000F0DC5">
        <w:trPr>
          <w:trHeight w:val="141"/>
        </w:trPr>
        <w:tc>
          <w:tcPr>
            <w:tcW w:w="1319" w:type="pct"/>
            <w:vAlign w:val="center"/>
          </w:tcPr>
          <w:p w:rsidR="00952033" w:rsidRPr="002B4AB6" w:rsidRDefault="00952033" w:rsidP="00B85735">
            <w:pPr>
              <w:keepNext/>
              <w:keepLines/>
              <w:jc w:val="left"/>
              <w:rPr>
                <w:rFonts w:ascii="Arial Narrow" w:hAnsi="Arial Narrow" w:cs="Times New Roman"/>
                <w:sz w:val="20"/>
                <w:szCs w:val="20"/>
              </w:rPr>
            </w:pPr>
            <w:r w:rsidRPr="002B4AB6">
              <w:rPr>
                <w:rFonts w:ascii="Arial Narrow" w:hAnsi="Arial Narrow" w:cs="Times New Roman"/>
                <w:sz w:val="20"/>
                <w:szCs w:val="20"/>
              </w:rPr>
              <w:t>Autologous SCT, n (%)</w:t>
            </w:r>
          </w:p>
        </w:tc>
        <w:tc>
          <w:tcPr>
            <w:tcW w:w="1481" w:type="pct"/>
          </w:tcPr>
          <w:p w:rsidR="00952033" w:rsidRPr="002B4AB6" w:rsidRDefault="00952033" w:rsidP="00B85735">
            <w:pPr>
              <w:keepNext/>
              <w:keepLines/>
              <w:jc w:val="center"/>
              <w:rPr>
                <w:rFonts w:ascii="Arial Narrow" w:hAnsi="Arial Narrow" w:cs="Times New Roman"/>
                <w:sz w:val="20"/>
                <w:szCs w:val="20"/>
                <w:u w:val="single"/>
              </w:rPr>
            </w:pPr>
            <w:r w:rsidRPr="002B4AB6">
              <w:rPr>
                <w:rFonts w:ascii="Arial Narrow" w:hAnsi="Arial Narrow" w:cs="Times New Roman"/>
                <w:sz w:val="20"/>
                <w:szCs w:val="20"/>
                <w:u w:val="single"/>
              </w:rPr>
              <w:t>2 (3.8%)</w:t>
            </w:r>
            <w:r w:rsidRPr="002B4AB6">
              <w:rPr>
                <w:rFonts w:ascii="Arial Narrow" w:hAnsi="Arial Narrow" w:cs="Times New Roman"/>
                <w:sz w:val="20"/>
                <w:szCs w:val="20"/>
                <w:u w:val="single"/>
                <w:vertAlign w:val="superscript"/>
              </w:rPr>
              <w:t xml:space="preserve"> a</w:t>
            </w:r>
          </w:p>
        </w:tc>
        <w:tc>
          <w:tcPr>
            <w:tcW w:w="2200" w:type="pct"/>
          </w:tcPr>
          <w:p w:rsidR="00952033" w:rsidRPr="002B4AB6" w:rsidRDefault="00952033" w:rsidP="00B85735">
            <w:pPr>
              <w:keepNext/>
              <w:keepLines/>
              <w:jc w:val="center"/>
              <w:rPr>
                <w:rFonts w:ascii="Arial Narrow" w:hAnsi="Arial Narrow" w:cs="Times New Roman"/>
                <w:sz w:val="20"/>
                <w:szCs w:val="20"/>
                <w:u w:val="single"/>
              </w:rPr>
            </w:pPr>
            <w:r w:rsidRPr="002B4AB6">
              <w:rPr>
                <w:rFonts w:ascii="Arial Narrow" w:hAnsi="Arial Narrow" w:cs="Times New Roman"/>
                <w:sz w:val="20"/>
                <w:szCs w:val="20"/>
                <w:u w:val="single"/>
              </w:rPr>
              <w:t>51 (85.0%)</w:t>
            </w:r>
          </w:p>
        </w:tc>
      </w:tr>
      <w:tr w:rsidR="00952033" w:rsidRPr="002B4AB6" w:rsidTr="000F0DC5">
        <w:trPr>
          <w:trHeight w:val="201"/>
        </w:trPr>
        <w:tc>
          <w:tcPr>
            <w:tcW w:w="1319" w:type="pct"/>
            <w:vAlign w:val="center"/>
          </w:tcPr>
          <w:p w:rsidR="00952033" w:rsidRPr="002B4AB6" w:rsidRDefault="00952033" w:rsidP="00B85735">
            <w:pPr>
              <w:keepNext/>
              <w:keepLines/>
              <w:jc w:val="left"/>
              <w:rPr>
                <w:rFonts w:ascii="Arial Narrow" w:hAnsi="Arial Narrow" w:cs="Times New Roman"/>
                <w:sz w:val="20"/>
                <w:szCs w:val="20"/>
              </w:rPr>
            </w:pPr>
            <w:r w:rsidRPr="002B4AB6">
              <w:rPr>
                <w:rFonts w:ascii="Arial Narrow" w:hAnsi="Arial Narrow" w:cs="Times New Roman"/>
                <w:sz w:val="20"/>
                <w:szCs w:val="20"/>
              </w:rPr>
              <w:t>Total SCT, n (%)</w:t>
            </w:r>
          </w:p>
        </w:tc>
        <w:tc>
          <w:tcPr>
            <w:tcW w:w="1481" w:type="pct"/>
          </w:tcPr>
          <w:p w:rsidR="00952033" w:rsidRPr="002B4AB6" w:rsidRDefault="00952033" w:rsidP="00B85735">
            <w:pPr>
              <w:keepNext/>
              <w:keepLines/>
              <w:jc w:val="center"/>
              <w:rPr>
                <w:rFonts w:ascii="Arial Narrow" w:hAnsi="Arial Narrow" w:cs="Times New Roman"/>
                <w:sz w:val="20"/>
                <w:szCs w:val="20"/>
                <w:u w:val="single"/>
              </w:rPr>
            </w:pPr>
            <w:r w:rsidRPr="002B4AB6">
              <w:rPr>
                <w:rFonts w:ascii="Arial Narrow" w:hAnsi="Arial Narrow" w:cs="Times New Roman"/>
                <w:sz w:val="20"/>
                <w:szCs w:val="20"/>
                <w:u w:val="single"/>
              </w:rPr>
              <w:t>4 (7.6%)</w:t>
            </w:r>
            <w:r w:rsidRPr="002B4AB6">
              <w:rPr>
                <w:rFonts w:ascii="Arial Narrow" w:hAnsi="Arial Narrow" w:cs="Times New Roman"/>
                <w:sz w:val="20"/>
                <w:szCs w:val="20"/>
                <w:u w:val="single"/>
                <w:vertAlign w:val="superscript"/>
              </w:rPr>
              <w:t xml:space="preserve"> a</w:t>
            </w:r>
          </w:p>
        </w:tc>
        <w:tc>
          <w:tcPr>
            <w:tcW w:w="2200" w:type="pct"/>
          </w:tcPr>
          <w:p w:rsidR="00952033" w:rsidRPr="002B4AB6" w:rsidRDefault="00952033" w:rsidP="00B85735">
            <w:pPr>
              <w:keepNext/>
              <w:keepLines/>
              <w:jc w:val="center"/>
              <w:rPr>
                <w:rFonts w:ascii="Arial Narrow" w:hAnsi="Arial Narrow" w:cs="Times New Roman"/>
                <w:sz w:val="20"/>
                <w:szCs w:val="20"/>
                <w:u w:val="single"/>
              </w:rPr>
            </w:pPr>
            <w:r w:rsidRPr="002B4AB6">
              <w:rPr>
                <w:rFonts w:ascii="Arial Narrow" w:hAnsi="Arial Narrow" w:cs="Times New Roman"/>
                <w:sz w:val="20"/>
                <w:szCs w:val="20"/>
                <w:u w:val="single"/>
              </w:rPr>
              <w:t>51 (85.0%)</w:t>
            </w:r>
          </w:p>
        </w:tc>
      </w:tr>
    </w:tbl>
    <w:p w:rsidR="00952033" w:rsidRPr="002B4AB6" w:rsidRDefault="00952033" w:rsidP="00952033">
      <w:pPr>
        <w:keepNext/>
        <w:keepLines/>
        <w:rPr>
          <w:rFonts w:ascii="Arial Narrow" w:hAnsi="Arial Narrow"/>
          <w:sz w:val="20"/>
        </w:rPr>
      </w:pPr>
      <w:r w:rsidRPr="002B4AB6">
        <w:rPr>
          <w:rFonts w:ascii="Arial Narrow" w:hAnsi="Arial Narrow"/>
          <w:sz w:val="18"/>
        </w:rPr>
        <w:t>Source: Table 14.1, p87 of the KN170 July 2019 CSR and Table 1, p2135 of Vardhana 2018.</w:t>
      </w:r>
    </w:p>
    <w:p w:rsidR="00952033" w:rsidRPr="002B4AB6" w:rsidRDefault="00952033" w:rsidP="00952033">
      <w:pPr>
        <w:keepNext/>
        <w:keepLines/>
        <w:rPr>
          <w:rFonts w:ascii="Arial Narrow" w:eastAsia="Calibri" w:hAnsi="Arial Narrow"/>
          <w:sz w:val="18"/>
        </w:rPr>
      </w:pPr>
      <w:r w:rsidRPr="002B4AB6">
        <w:rPr>
          <w:rFonts w:ascii="Arial Narrow" w:eastAsia="Calibri" w:hAnsi="Arial Narrow"/>
          <w:sz w:val="18"/>
        </w:rPr>
        <w:t>n = number of participants with event; N = total participants in group; NR = not reported; SCT = stem cell therapy; SOC = standard of care.</w:t>
      </w:r>
    </w:p>
    <w:p w:rsidR="00952033" w:rsidRPr="002B4AB6" w:rsidRDefault="00952033" w:rsidP="005A2FC6">
      <w:pPr>
        <w:pStyle w:val="3-BodyText"/>
        <w:numPr>
          <w:ilvl w:val="0"/>
          <w:numId w:val="0"/>
        </w:numPr>
        <w:spacing w:after="0"/>
      </w:pPr>
      <w:r w:rsidRPr="002B4AB6">
        <w:rPr>
          <w:rFonts w:ascii="Arial Narrow" w:eastAsia="Calibri" w:hAnsi="Arial Narrow"/>
          <w:sz w:val="18"/>
          <w:vertAlign w:val="superscript"/>
        </w:rPr>
        <w:t>a</w:t>
      </w:r>
      <w:r w:rsidRPr="002B4AB6">
        <w:rPr>
          <w:rFonts w:ascii="Arial Narrow" w:eastAsia="Calibri" w:hAnsi="Arial Narrow"/>
          <w:sz w:val="18"/>
        </w:rPr>
        <w:t xml:space="preserve"> April 2018 was the most recent data cut-off for which SCT data </w:t>
      </w:r>
      <w:r w:rsidRPr="002B4AB6">
        <w:rPr>
          <w:rFonts w:ascii="Arial Narrow" w:eastAsia="Calibri" w:hAnsi="Arial Narrow"/>
          <w:sz w:val="18"/>
          <w:u w:val="single"/>
        </w:rPr>
        <w:t>were available</w:t>
      </w:r>
      <w:r w:rsidRPr="002B4AB6">
        <w:rPr>
          <w:rFonts w:ascii="Arial Narrow" w:eastAsia="Calibri" w:hAnsi="Arial Narrow"/>
          <w:sz w:val="18"/>
        </w:rPr>
        <w:t xml:space="preserve"> from KN170 correspondin</w:t>
      </w:r>
      <w:r w:rsidR="005A2FC6" w:rsidRPr="002B4AB6">
        <w:rPr>
          <w:rFonts w:ascii="Arial Narrow" w:eastAsia="Calibri" w:hAnsi="Arial Narrow"/>
          <w:sz w:val="18"/>
        </w:rPr>
        <w:t>g to a median follow-up of 12.5 m</w:t>
      </w:r>
      <w:r w:rsidRPr="002B4AB6">
        <w:rPr>
          <w:rFonts w:ascii="Arial Narrow" w:eastAsia="Calibri" w:hAnsi="Arial Narrow"/>
          <w:sz w:val="18"/>
        </w:rPr>
        <w:t xml:space="preserve">onths (0.1-25.6). It was unclear why three cases of allogeneic transplant (5.8%) were reported for the earlier </w:t>
      </w:r>
      <w:r w:rsidRPr="002B4AB6">
        <w:rPr>
          <w:rFonts w:ascii="Arial Narrow" w:eastAsia="Calibri" w:hAnsi="Arial Narrow"/>
          <w:sz w:val="18"/>
          <w:u w:val="single"/>
        </w:rPr>
        <w:t>January 2018</w:t>
      </w:r>
      <w:r w:rsidRPr="002B4AB6">
        <w:rPr>
          <w:rFonts w:ascii="Arial Narrow" w:eastAsia="Calibri" w:hAnsi="Arial Narrow"/>
          <w:sz w:val="18"/>
        </w:rPr>
        <w:t xml:space="preserve"> data cut-off presented in the KN170 safety update report accompanying the resubmission (Table 2.7.4-pmbcl, p45)</w:t>
      </w:r>
      <w:r w:rsidR="005A2FC6" w:rsidRPr="002B4AB6">
        <w:rPr>
          <w:rFonts w:ascii="Arial Narrow" w:eastAsia="Calibri" w:hAnsi="Arial Narrow"/>
          <w:sz w:val="18"/>
        </w:rPr>
        <w:t>.</w:t>
      </w:r>
    </w:p>
    <w:p w:rsidR="00DC3DFF" w:rsidRPr="002B4AB6" w:rsidRDefault="00DC3DFF" w:rsidP="005A2FC6">
      <w:pPr>
        <w:pStyle w:val="3-BodyText"/>
        <w:numPr>
          <w:ilvl w:val="0"/>
          <w:numId w:val="0"/>
        </w:numPr>
        <w:spacing w:after="0"/>
      </w:pPr>
    </w:p>
    <w:p w:rsidR="00705D11" w:rsidRPr="002B4AB6" w:rsidRDefault="00EE6220" w:rsidP="00705D11">
      <w:pPr>
        <w:pStyle w:val="3-BodyText"/>
      </w:pPr>
      <w:r w:rsidRPr="002B4AB6">
        <w:t>T</w:t>
      </w:r>
      <w:r w:rsidR="00271A44" w:rsidRPr="002B4AB6">
        <w:t>he resubmission argued that the study population of Vardhana 2018 was broader than the proposed PBS population, as it included a proportion of patients who underwent ASCT, and who had not relapsed by the end of follow-up. The resubmission noted that these patients would not be eligible to receive pembrolizumab</w:t>
      </w:r>
      <w:r w:rsidR="00CD4354" w:rsidRPr="002B4AB6">
        <w:t xml:space="preserve"> under the proposed PBS restriction</w:t>
      </w:r>
      <w:r w:rsidR="00C00FEA" w:rsidRPr="002B4AB6">
        <w:t>. To address this issue, the resubmission used OS data from</w:t>
      </w:r>
      <w:r w:rsidR="00271A44" w:rsidRPr="002B4AB6">
        <w:t xml:space="preserve"> subgroups</w:t>
      </w:r>
      <w:r w:rsidR="00C00FEA" w:rsidRPr="002B4AB6">
        <w:t xml:space="preserve"> of patients (or “proxies” for SOC) in </w:t>
      </w:r>
      <w:r w:rsidR="00271A44" w:rsidRPr="002B4AB6">
        <w:t>Vardhana 2018</w:t>
      </w:r>
      <w:r w:rsidR="00C00FEA" w:rsidRPr="002B4AB6">
        <w:t xml:space="preserve"> </w:t>
      </w:r>
      <w:r w:rsidR="00271A44" w:rsidRPr="002B4AB6">
        <w:t xml:space="preserve">to inform </w:t>
      </w:r>
      <w:r w:rsidR="00C00FEA" w:rsidRPr="002B4AB6">
        <w:t xml:space="preserve">the </w:t>
      </w:r>
      <w:r w:rsidR="00271A44" w:rsidRPr="002B4AB6">
        <w:t xml:space="preserve">OS benefit associated with the </w:t>
      </w:r>
      <w:r w:rsidR="00C00FEA" w:rsidRPr="002B4AB6">
        <w:t>comparator</w:t>
      </w:r>
      <w:r w:rsidR="00271A44" w:rsidRPr="002B4AB6">
        <w:t xml:space="preserve"> arm</w:t>
      </w:r>
      <w:r w:rsidR="00F75D04" w:rsidRPr="002B4AB6">
        <w:t xml:space="preserve"> (</w:t>
      </w:r>
      <w:r w:rsidR="008574E7" w:rsidRPr="002B4AB6">
        <w:t xml:space="preserve">see </w:t>
      </w:r>
      <w:r w:rsidR="002B39A5" w:rsidRPr="002B4AB6">
        <w:t xml:space="preserve">Table </w:t>
      </w:r>
      <w:r w:rsidR="002B39A5" w:rsidRPr="00956A61">
        <w:t>12</w:t>
      </w:r>
      <w:r w:rsidR="00705D11" w:rsidRPr="002B4AB6">
        <w:t>, Economic analysis).</w:t>
      </w:r>
      <w:r w:rsidR="00645B51" w:rsidRPr="002B4AB6">
        <w:t xml:space="preserve"> </w:t>
      </w:r>
    </w:p>
    <w:p w:rsidR="00100947" w:rsidRPr="002B4AB6" w:rsidRDefault="00705D11" w:rsidP="00DF69E8">
      <w:pPr>
        <w:pStyle w:val="3-BodyText"/>
      </w:pPr>
      <w:r w:rsidRPr="00492CD9">
        <w:t xml:space="preserve">The subgroup (Cohort C), which was used in the base case of the economic model, comprised of </w:t>
      </w:r>
      <w:r w:rsidR="00100947" w:rsidRPr="002B4AB6">
        <w:t>the following two cohorts:</w:t>
      </w:r>
    </w:p>
    <w:p w:rsidR="00100947" w:rsidRPr="002B4AB6" w:rsidRDefault="00705D11" w:rsidP="00476D0E">
      <w:pPr>
        <w:pStyle w:val="ListParagraph"/>
        <w:ind w:left="1134" w:hanging="425"/>
      </w:pPr>
      <w:r w:rsidRPr="002B4AB6">
        <w:t>patients who were refractory to salvage therapy but underwent ASCT</w:t>
      </w:r>
      <w:r w:rsidR="00F75D04" w:rsidRPr="002B4AB6">
        <w:t xml:space="preserve"> </w:t>
      </w:r>
      <w:r w:rsidR="00100947" w:rsidRPr="002B4AB6">
        <w:t>termed “</w:t>
      </w:r>
      <w:r w:rsidR="00F75D04" w:rsidRPr="002B4AB6">
        <w:t>Cohort A</w:t>
      </w:r>
      <w:r w:rsidR="00100947" w:rsidRPr="002B4AB6">
        <w:t>”</w:t>
      </w:r>
      <w:r w:rsidR="00F75D04" w:rsidRPr="002B4AB6">
        <w:t xml:space="preserve">: n=13; OS rate at 3 years 15% (2/13) </w:t>
      </w:r>
      <w:r w:rsidR="00F75D04" w:rsidRPr="002B4AB6">
        <w:rPr>
          <w:u w:val="single"/>
        </w:rPr>
        <w:t>and</w:t>
      </w:r>
      <w:r w:rsidR="00F75D04" w:rsidRPr="002B4AB6">
        <w:t xml:space="preserve"> </w:t>
      </w:r>
    </w:p>
    <w:p w:rsidR="00100947" w:rsidRPr="002B4AB6" w:rsidRDefault="00F75D04" w:rsidP="00476D0E">
      <w:pPr>
        <w:pStyle w:val="ListParagraph"/>
        <w:ind w:left="1134" w:hanging="425"/>
      </w:pPr>
      <w:r w:rsidRPr="002B4AB6">
        <w:t xml:space="preserve">patients who did not undergo ASCT </w:t>
      </w:r>
      <w:r w:rsidR="00100947" w:rsidRPr="002B4AB6">
        <w:t>termed “</w:t>
      </w:r>
      <w:r w:rsidRPr="002B4AB6">
        <w:t>Cohort B</w:t>
      </w:r>
      <w:r w:rsidR="00100947" w:rsidRPr="002B4AB6">
        <w:t>”</w:t>
      </w:r>
      <w:r w:rsidRPr="002B4AB6">
        <w:t xml:space="preserve">: n=9; OS rate at 3 years 22% (2/9). </w:t>
      </w:r>
    </w:p>
    <w:p w:rsidR="00616DFB" w:rsidRPr="002B4AB6" w:rsidRDefault="00F5071B" w:rsidP="00A67C32">
      <w:pPr>
        <w:pStyle w:val="3-BodyText"/>
      </w:pPr>
      <w:r w:rsidRPr="002B4AB6">
        <w:lastRenderedPageBreak/>
        <w:t xml:space="preserve">Thus, the base case of the economic model was informed by an OS rate at 3 years of 18% (4/22) in the SOC arm. </w:t>
      </w:r>
      <w:r w:rsidR="00066A00" w:rsidRPr="002B4AB6">
        <w:t xml:space="preserve">This compares with an OS rate at 3 years of 61% in the full study population of Vardhana 2018. Pembrolizumab data were immature at 3 years, but in KN170, the OS rate at 2 years was 49%. </w:t>
      </w:r>
      <w:r w:rsidR="00090E95" w:rsidRPr="002B4AB6">
        <w:t>The ESC</w:t>
      </w:r>
      <w:r w:rsidR="00CD57B2" w:rsidRPr="002B4AB6">
        <w:t xml:space="preserve"> </w:t>
      </w:r>
      <w:r w:rsidR="00616DFB" w:rsidRPr="002B4AB6">
        <w:t>noted the use of cohorts from Vardhana 2018 meant that survival data inform</w:t>
      </w:r>
      <w:r w:rsidR="00541F5E" w:rsidRPr="002B4AB6">
        <w:t>ing</w:t>
      </w:r>
      <w:r w:rsidR="00616DFB" w:rsidRPr="002B4AB6">
        <w:t xml:space="preserve"> SOC was based on a very small number of patients.</w:t>
      </w:r>
    </w:p>
    <w:p w:rsidR="00AE590E" w:rsidRPr="002B4AB6" w:rsidRDefault="00F75D04" w:rsidP="00066A00">
      <w:pPr>
        <w:pStyle w:val="3-BodyText"/>
      </w:pPr>
      <w:r w:rsidRPr="002B4AB6">
        <w:t>Of the 9 patients</w:t>
      </w:r>
      <w:r w:rsidR="00F5071B" w:rsidRPr="002B4AB6">
        <w:t xml:space="preserve"> in Cohort B</w:t>
      </w:r>
      <w:r w:rsidRPr="002B4AB6">
        <w:t xml:space="preserve">, 8 were refractory to second line chemotherapy. These subgroups </w:t>
      </w:r>
      <w:r w:rsidR="00CD4354" w:rsidRPr="002B4AB6">
        <w:t xml:space="preserve">were </w:t>
      </w:r>
      <w:r w:rsidRPr="002B4AB6">
        <w:t xml:space="preserve">therefore </w:t>
      </w:r>
      <w:r w:rsidR="009169C9" w:rsidRPr="002B4AB6">
        <w:t xml:space="preserve">predominantly </w:t>
      </w:r>
      <w:r w:rsidRPr="002B4AB6">
        <w:t xml:space="preserve">comprised of patients </w:t>
      </w:r>
      <w:r w:rsidR="00E76A93" w:rsidRPr="002B4AB6">
        <w:t xml:space="preserve">who were refractory to second line chemotherapy, </w:t>
      </w:r>
      <w:r w:rsidRPr="002B4AB6">
        <w:t xml:space="preserve">who experienced </w:t>
      </w:r>
      <w:r w:rsidR="00DE3AB6" w:rsidRPr="002B4AB6">
        <w:t xml:space="preserve">uniformly poor </w:t>
      </w:r>
      <w:r w:rsidRPr="002B4AB6">
        <w:t xml:space="preserve">outcomes in Vardhana 2018. The choice of these subgroups (or “cohorts”) introduced a high risk of selection bias which most likely favoured pembrolizumab (or likely underestimated </w:t>
      </w:r>
      <w:r w:rsidR="00A011D2" w:rsidRPr="002B4AB6">
        <w:t xml:space="preserve">the benefit of </w:t>
      </w:r>
      <w:r w:rsidRPr="002B4AB6">
        <w:t>standard practice).</w:t>
      </w:r>
      <w:r w:rsidR="000C1180" w:rsidRPr="002B4AB6">
        <w:t xml:space="preserve"> </w:t>
      </w:r>
      <w:r w:rsidR="00975C9F" w:rsidRPr="002B4AB6">
        <w:t>The</w:t>
      </w:r>
      <w:r w:rsidR="00AE590E" w:rsidRPr="002B4AB6">
        <w:t xml:space="preserve"> PSCR </w:t>
      </w:r>
      <w:r w:rsidR="00975C9F" w:rsidRPr="002B4AB6">
        <w:t xml:space="preserve">argued that </w:t>
      </w:r>
      <w:r w:rsidR="00AE590E" w:rsidRPr="002B4AB6">
        <w:t>the differences between the populations in Vardhana 2018 and KN170 (see paragrap</w:t>
      </w:r>
      <w:r w:rsidR="00B77BE4" w:rsidRPr="002B4AB6">
        <w:t xml:space="preserve">h </w:t>
      </w:r>
      <w:r w:rsidR="002B39A5" w:rsidRPr="002B4AB6">
        <w:t>6.9</w:t>
      </w:r>
      <w:r w:rsidR="00AE590E" w:rsidRPr="002B4AB6">
        <w:t xml:space="preserve">) meant the starting point for any comparison was highly biased against pembrolizumab. The </w:t>
      </w:r>
      <w:r w:rsidR="00F11BA8" w:rsidRPr="002B4AB6">
        <w:t>ESC</w:t>
      </w:r>
      <w:r w:rsidR="00AE590E" w:rsidRPr="002B4AB6">
        <w:t xml:space="preserve"> considered that the use of alternative Vardhana 2018 cohorts may have been more appropriate (see </w:t>
      </w:r>
      <w:r w:rsidR="00B77BE4" w:rsidRPr="002B4AB6">
        <w:t xml:space="preserve">paragraphs </w:t>
      </w:r>
      <w:r w:rsidR="002B39A5" w:rsidRPr="002B4AB6">
        <w:t>6.43</w:t>
      </w:r>
      <w:r w:rsidR="00B77BE4" w:rsidRPr="002B4AB6">
        <w:t>-</w:t>
      </w:r>
      <w:r w:rsidR="0041461C">
        <w:t>6.47</w:t>
      </w:r>
      <w:r w:rsidR="00AE590E" w:rsidRPr="002B4AB6">
        <w:t xml:space="preserve">). </w:t>
      </w:r>
    </w:p>
    <w:p w:rsidR="00EE23CE" w:rsidRPr="002B4AB6" w:rsidRDefault="00EE23CE" w:rsidP="00DF69E8">
      <w:pPr>
        <w:pStyle w:val="3-BodyText"/>
      </w:pPr>
      <w:r w:rsidRPr="002B4AB6">
        <w:t xml:space="preserve">The clinical data applied in the economic model is discussed in paragraphs </w:t>
      </w:r>
      <w:r w:rsidR="002B39A5" w:rsidRPr="002B4AB6">
        <w:t>6.43</w:t>
      </w:r>
      <w:r w:rsidR="000515E6" w:rsidRPr="002B4AB6">
        <w:t>-</w:t>
      </w:r>
      <w:r w:rsidR="002B39A5" w:rsidRPr="002B4AB6">
        <w:t>6.52</w:t>
      </w:r>
      <w:r w:rsidR="00DE63F4" w:rsidRPr="002B4AB6">
        <w:t>.</w:t>
      </w:r>
      <w:r w:rsidRPr="002B4AB6">
        <w:t xml:space="preserve"> </w:t>
      </w:r>
    </w:p>
    <w:p w:rsidR="00DC3DFF" w:rsidRPr="002B4AB6" w:rsidRDefault="00DC3DFF" w:rsidP="00DC3DFF">
      <w:pPr>
        <w:pStyle w:val="4-SubsectionHeading"/>
      </w:pPr>
      <w:bookmarkStart w:id="21" w:name="_Toc22897642"/>
      <w:bookmarkStart w:id="22" w:name="_Toc30503046"/>
      <w:r w:rsidRPr="002B4AB6">
        <w:t>Comparative harms</w:t>
      </w:r>
      <w:bookmarkEnd w:id="21"/>
      <w:bookmarkEnd w:id="22"/>
    </w:p>
    <w:p w:rsidR="00DC3DFF" w:rsidRPr="002B4AB6" w:rsidRDefault="00DC3DFF" w:rsidP="007A2111">
      <w:pPr>
        <w:pStyle w:val="3-BodyText"/>
      </w:pPr>
      <w:r w:rsidRPr="00492CD9">
        <w:t>The resubmission noted that 1) there were no changes to the safety data from the KN170 study, and 2) there were no safety data presented in Vardhana 2018.</w:t>
      </w:r>
      <w:r w:rsidR="007A2111" w:rsidRPr="002B4AB6">
        <w:t xml:space="preserve"> Kuruvilla did not report safety data but the authors noted that there were no treatment-related deaths and that there were cases of febrile neutropenia (without reporting the number of cases; p1330, Kuruvilla 2008).</w:t>
      </w:r>
    </w:p>
    <w:p w:rsidR="00DC3DFF" w:rsidRPr="002B4AB6" w:rsidRDefault="00006E66" w:rsidP="00DC3DFF">
      <w:pPr>
        <w:pStyle w:val="3-BodyText"/>
      </w:pPr>
      <w:r w:rsidRPr="002B4AB6">
        <w:t>Similar to the November 2018 submission</w:t>
      </w:r>
      <w:r w:rsidR="00285D85" w:rsidRPr="002B4AB6">
        <w:t>,</w:t>
      </w:r>
      <w:r w:rsidRPr="002B4AB6">
        <w:t xml:space="preserve"> the lack of safety data for SOC remained an issue in the resubmission. T</w:t>
      </w:r>
      <w:r w:rsidR="00DC3DFF" w:rsidRPr="002B4AB6">
        <w:t xml:space="preserve">he PBAC </w:t>
      </w:r>
      <w:r w:rsidRPr="002B4AB6">
        <w:t xml:space="preserve">previously </w:t>
      </w:r>
      <w:r w:rsidR="00DC3DFF" w:rsidRPr="002B4AB6">
        <w:t>noted that an assessment of comparative harms would have been informative</w:t>
      </w:r>
      <w:r w:rsidRPr="002B4AB6">
        <w:t xml:space="preserve"> and considered that it may be reasonable</w:t>
      </w:r>
      <w:r w:rsidR="00DC3DFF" w:rsidRPr="002B4AB6">
        <w:t xml:space="preserve"> to base the safety of currently used SOC chemotherapies on trials in other aggressive lymphomas given the small number of patients with R/R PMBCL</w:t>
      </w:r>
      <w:r w:rsidR="00CD4354" w:rsidRPr="002B4AB6">
        <w:t xml:space="preserve"> (</w:t>
      </w:r>
      <w:r w:rsidR="007A2111" w:rsidRPr="002B4AB6">
        <w:t>P</w:t>
      </w:r>
      <w:r w:rsidRPr="002B4AB6">
        <w:t>ara</w:t>
      </w:r>
      <w:r w:rsidR="00B254FC" w:rsidRPr="002B4AB6">
        <w:t>graph</w:t>
      </w:r>
      <w:r w:rsidRPr="002B4AB6">
        <w:t xml:space="preserve"> 7.7, pembrolizumab PMBCL PSD, November 2018 PBAC meeting</w:t>
      </w:r>
      <w:r w:rsidR="00CD4354" w:rsidRPr="002B4AB6">
        <w:t>)</w:t>
      </w:r>
      <w:r w:rsidR="00DC3DFF" w:rsidRPr="002B4AB6">
        <w:t>.</w:t>
      </w:r>
    </w:p>
    <w:p w:rsidR="002B2C07" w:rsidRPr="002B4AB6" w:rsidRDefault="002B2C07" w:rsidP="00DC3DFF">
      <w:pPr>
        <w:pStyle w:val="3-BodyText"/>
      </w:pPr>
      <w:r w:rsidRPr="002B4AB6">
        <w:t>The PSCR argued that the sponsor had taken a pragmatic approach to providing safety data for SOC and reviewed the PSDs for previous PBAC considerations and provided a summary of the adverse eve</w:t>
      </w:r>
      <w:r w:rsidR="007931F0" w:rsidRPr="002B4AB6">
        <w:t>nts reported (including a table adapted from the brentuximab vedotin PSD, March 2014 PBAC meeting)</w:t>
      </w:r>
      <w:r w:rsidR="002B4AB6">
        <w:t xml:space="preserve">. </w:t>
      </w:r>
    </w:p>
    <w:p w:rsidR="00DC3DFF" w:rsidRPr="002B4AB6" w:rsidRDefault="00DC3DFF" w:rsidP="00DC3DFF">
      <w:pPr>
        <w:pStyle w:val="3-BodyText"/>
      </w:pPr>
      <w:r w:rsidRPr="00492CD9">
        <w:t xml:space="preserve">The key adverse events (AEs) for the January 2018 data cut-off, </w:t>
      </w:r>
      <w:r w:rsidR="00CD4354" w:rsidRPr="002B4AB6">
        <w:t xml:space="preserve">which </w:t>
      </w:r>
      <w:r w:rsidRPr="002B4AB6">
        <w:t xml:space="preserve">have </w:t>
      </w:r>
      <w:r w:rsidR="00CD4354" w:rsidRPr="002B4AB6">
        <w:t xml:space="preserve">previously been </w:t>
      </w:r>
      <w:r w:rsidRPr="002B4AB6">
        <w:t xml:space="preserve">seen by the PBAC, are summarised below. More than half of patients in KN170 experienced drug-related AEs (56.6%), with a similar proportion experiencing Grade 3-5 AEs (approximately 60%). This is expected given the relapsed and refractory nature of heavily </w:t>
      </w:r>
      <w:r w:rsidR="00397A49" w:rsidRPr="002B4AB6">
        <w:t>pre-treated</w:t>
      </w:r>
      <w:r w:rsidRPr="002B4AB6">
        <w:t xml:space="preserve"> PMBCL in the KN170 study. There were four Grade 3-5 AEs that resulted in treatment discontinuation (one event each for cardiac tamponade, </w:t>
      </w:r>
      <w:r w:rsidRPr="002B4AB6">
        <w:lastRenderedPageBreak/>
        <w:t>myocardial infarction, aspergillus infection and an increased aspartate aminotransferase). The most common Grade 3-5 AE was neutropenia (n = 7 (13.2%)</w:t>
      </w:r>
      <w:r w:rsidR="00DE3AB6" w:rsidRPr="002B4AB6">
        <w:t>)</w:t>
      </w:r>
      <w:r w:rsidRPr="002B4AB6">
        <w:t>. There were no observed deaths related to AEs.</w:t>
      </w:r>
    </w:p>
    <w:p w:rsidR="009C331F" w:rsidRPr="002B4AB6" w:rsidRDefault="00DC3DFF" w:rsidP="009C331F">
      <w:pPr>
        <w:pStyle w:val="TableFigureHeading"/>
        <w:rPr>
          <w:rStyle w:val="CommentReference"/>
        </w:rPr>
      </w:pPr>
      <w:r w:rsidRPr="002B4AB6">
        <w:t xml:space="preserve">Table </w:t>
      </w:r>
      <w:r w:rsidR="002B39A5" w:rsidRPr="00956A61">
        <w:rPr>
          <w:rStyle w:val="CommentReference"/>
          <w:b/>
        </w:rPr>
        <w:t>10</w:t>
      </w:r>
      <w:r w:rsidRPr="002B4AB6">
        <w:rPr>
          <w:rStyle w:val="CommentReference"/>
          <w:b/>
        </w:rPr>
        <w:t xml:space="preserve">: </w:t>
      </w:r>
      <w:r w:rsidR="009C331F" w:rsidRPr="002B4AB6">
        <w:rPr>
          <w:rStyle w:val="CommentReference"/>
          <w:b/>
        </w:rPr>
        <w:t>Summary of key adverse events in the pembrolizumab studies (KN013 and KN170)</w:t>
      </w:r>
      <w:r w:rsidR="009C331F" w:rsidRPr="002B4AB6">
        <w:rPr>
          <w:rStyle w:val="CommentReference"/>
        </w:rPr>
        <w:t xml:space="preserve"> </w:t>
      </w:r>
    </w:p>
    <w:tbl>
      <w:tblPr>
        <w:tblStyle w:val="TableGrid22"/>
        <w:tblW w:w="4942" w:type="pct"/>
        <w:tblInd w:w="108" w:type="dxa"/>
        <w:tblLook w:val="04A0" w:firstRow="1" w:lastRow="0" w:firstColumn="1" w:lastColumn="0" w:noHBand="0" w:noVBand="1"/>
        <w:tblCaption w:val="Table 10: Summary of key adverse events in the pembrolizumab studies (KN013 and KN170) "/>
      </w:tblPr>
      <w:tblGrid>
        <w:gridCol w:w="4843"/>
        <w:gridCol w:w="2399"/>
        <w:gridCol w:w="1670"/>
      </w:tblGrid>
      <w:tr w:rsidR="009C331F" w:rsidRPr="002B4AB6" w:rsidTr="000A199D">
        <w:trPr>
          <w:trHeight w:val="465"/>
          <w:tblHeader/>
        </w:trPr>
        <w:tc>
          <w:tcPr>
            <w:tcW w:w="2716" w:type="pct"/>
          </w:tcPr>
          <w:p w:rsidR="009C331F" w:rsidRPr="00492CD9" w:rsidRDefault="009C331F" w:rsidP="00B85735">
            <w:pPr>
              <w:keepNext/>
              <w:rPr>
                <w:rFonts w:ascii="Arial Narrow" w:hAnsi="Arial Narrow"/>
                <w:b/>
                <w:sz w:val="20"/>
              </w:rPr>
            </w:pPr>
            <w:r w:rsidRPr="00492CD9">
              <w:rPr>
                <w:rFonts w:ascii="Arial Narrow" w:hAnsi="Arial Narrow"/>
                <w:b/>
                <w:sz w:val="20"/>
              </w:rPr>
              <w:t>Trial ID</w:t>
            </w:r>
          </w:p>
        </w:tc>
        <w:tc>
          <w:tcPr>
            <w:tcW w:w="1346" w:type="pct"/>
          </w:tcPr>
          <w:p w:rsidR="009C331F" w:rsidRPr="002B4AB6" w:rsidRDefault="009C331F" w:rsidP="00B85735">
            <w:pPr>
              <w:keepNext/>
              <w:jc w:val="center"/>
              <w:rPr>
                <w:rFonts w:ascii="Arial Narrow" w:hAnsi="Arial Narrow"/>
                <w:b/>
                <w:sz w:val="20"/>
              </w:rPr>
            </w:pPr>
            <w:r w:rsidRPr="002B4AB6">
              <w:rPr>
                <w:rFonts w:ascii="Arial Narrow" w:hAnsi="Arial Narrow"/>
                <w:b/>
                <w:sz w:val="20"/>
              </w:rPr>
              <w:t>KN013</w:t>
            </w:r>
          </w:p>
          <w:p w:rsidR="009C331F" w:rsidRPr="002B4AB6" w:rsidRDefault="009C331F" w:rsidP="00B85735">
            <w:pPr>
              <w:keepNext/>
              <w:jc w:val="center"/>
              <w:rPr>
                <w:rFonts w:ascii="Arial Narrow" w:hAnsi="Arial Narrow"/>
                <w:b/>
                <w:sz w:val="20"/>
              </w:rPr>
            </w:pPr>
            <w:r w:rsidRPr="002B4AB6">
              <w:rPr>
                <w:rFonts w:ascii="Arial Narrow" w:hAnsi="Arial Narrow"/>
                <w:b/>
                <w:sz w:val="20"/>
              </w:rPr>
              <w:t>N = 21</w:t>
            </w:r>
          </w:p>
        </w:tc>
        <w:tc>
          <w:tcPr>
            <w:tcW w:w="937" w:type="pct"/>
          </w:tcPr>
          <w:p w:rsidR="009C331F" w:rsidRPr="002B4AB6" w:rsidRDefault="009C331F" w:rsidP="00B85735">
            <w:pPr>
              <w:keepNext/>
              <w:jc w:val="center"/>
              <w:rPr>
                <w:rFonts w:ascii="Arial Narrow" w:hAnsi="Arial Narrow"/>
                <w:b/>
                <w:sz w:val="20"/>
              </w:rPr>
            </w:pPr>
            <w:r w:rsidRPr="002B4AB6">
              <w:rPr>
                <w:rFonts w:ascii="Arial Narrow" w:hAnsi="Arial Narrow"/>
                <w:b/>
                <w:sz w:val="20"/>
              </w:rPr>
              <w:t>KN170</w:t>
            </w:r>
          </w:p>
          <w:p w:rsidR="009C331F" w:rsidRPr="002B4AB6" w:rsidRDefault="009C331F" w:rsidP="00B85735">
            <w:pPr>
              <w:keepNext/>
              <w:jc w:val="center"/>
              <w:rPr>
                <w:rFonts w:ascii="Arial Narrow" w:hAnsi="Arial Narrow"/>
                <w:b/>
                <w:sz w:val="20"/>
              </w:rPr>
            </w:pPr>
            <w:r w:rsidRPr="002B4AB6">
              <w:rPr>
                <w:rFonts w:ascii="Arial Narrow" w:hAnsi="Arial Narrow"/>
                <w:b/>
                <w:sz w:val="20"/>
              </w:rPr>
              <w:t>N = 53</w:t>
            </w:r>
          </w:p>
        </w:tc>
      </w:tr>
      <w:tr w:rsidR="009C331F" w:rsidRPr="002B4AB6" w:rsidTr="00B85735">
        <w:trPr>
          <w:trHeight w:val="232"/>
        </w:trPr>
        <w:tc>
          <w:tcPr>
            <w:tcW w:w="2716" w:type="pct"/>
          </w:tcPr>
          <w:p w:rsidR="009C331F" w:rsidRPr="002B4AB6" w:rsidRDefault="009C331F" w:rsidP="00B85735">
            <w:pPr>
              <w:keepNext/>
              <w:rPr>
                <w:rFonts w:ascii="Arial Narrow" w:hAnsi="Arial Narrow"/>
                <w:sz w:val="20"/>
              </w:rPr>
            </w:pPr>
            <w:r w:rsidRPr="002B4AB6">
              <w:rPr>
                <w:rFonts w:ascii="Arial Narrow" w:hAnsi="Arial Narrow"/>
                <w:sz w:val="20"/>
              </w:rPr>
              <w:t>Any AE, n (%)</w:t>
            </w:r>
          </w:p>
        </w:tc>
        <w:tc>
          <w:tcPr>
            <w:tcW w:w="1346" w:type="pct"/>
          </w:tcPr>
          <w:p w:rsidR="009C331F" w:rsidRPr="002B4AB6" w:rsidRDefault="009C331F" w:rsidP="00B85735">
            <w:pPr>
              <w:keepNext/>
              <w:jc w:val="center"/>
              <w:rPr>
                <w:rFonts w:ascii="Arial Narrow" w:hAnsi="Arial Narrow"/>
                <w:sz w:val="20"/>
              </w:rPr>
            </w:pPr>
            <w:r w:rsidRPr="002B4AB6">
              <w:rPr>
                <w:rFonts w:ascii="Arial Narrow" w:hAnsi="Arial Narrow"/>
                <w:sz w:val="20"/>
              </w:rPr>
              <w:t>20 (95.2)</w:t>
            </w:r>
          </w:p>
        </w:tc>
        <w:tc>
          <w:tcPr>
            <w:tcW w:w="937" w:type="pct"/>
          </w:tcPr>
          <w:p w:rsidR="009C331F" w:rsidRPr="002B4AB6" w:rsidRDefault="009C331F" w:rsidP="00B85735">
            <w:pPr>
              <w:keepNext/>
              <w:jc w:val="center"/>
              <w:rPr>
                <w:rFonts w:ascii="Arial Narrow" w:hAnsi="Arial Narrow"/>
                <w:sz w:val="20"/>
              </w:rPr>
            </w:pPr>
            <w:r w:rsidRPr="002B4AB6">
              <w:rPr>
                <w:rFonts w:ascii="Arial Narrow" w:hAnsi="Arial Narrow"/>
                <w:sz w:val="20"/>
              </w:rPr>
              <w:t>49 (92.5)</w:t>
            </w:r>
          </w:p>
        </w:tc>
      </w:tr>
      <w:tr w:rsidR="009C331F" w:rsidRPr="002B4AB6" w:rsidTr="00B85735">
        <w:trPr>
          <w:trHeight w:val="232"/>
        </w:trPr>
        <w:tc>
          <w:tcPr>
            <w:tcW w:w="2716" w:type="pct"/>
          </w:tcPr>
          <w:p w:rsidR="009C331F" w:rsidRPr="002B4AB6" w:rsidRDefault="009C331F" w:rsidP="00B85735">
            <w:pPr>
              <w:keepNext/>
              <w:rPr>
                <w:rFonts w:ascii="Arial Narrow" w:hAnsi="Arial Narrow"/>
                <w:sz w:val="20"/>
              </w:rPr>
            </w:pPr>
            <w:r w:rsidRPr="002B4AB6">
              <w:rPr>
                <w:rFonts w:ascii="Arial Narrow" w:hAnsi="Arial Narrow"/>
                <w:sz w:val="20"/>
              </w:rPr>
              <w:t>Drug related AEs, n (%)</w:t>
            </w:r>
          </w:p>
        </w:tc>
        <w:tc>
          <w:tcPr>
            <w:tcW w:w="1346" w:type="pct"/>
          </w:tcPr>
          <w:p w:rsidR="009C331F" w:rsidRPr="002B4AB6" w:rsidRDefault="009C331F" w:rsidP="00B85735">
            <w:pPr>
              <w:keepNext/>
              <w:jc w:val="center"/>
              <w:rPr>
                <w:rFonts w:ascii="Arial Narrow" w:hAnsi="Arial Narrow"/>
                <w:sz w:val="20"/>
              </w:rPr>
            </w:pPr>
            <w:r w:rsidRPr="002B4AB6">
              <w:rPr>
                <w:rFonts w:ascii="Arial Narrow" w:hAnsi="Arial Narrow"/>
                <w:sz w:val="20"/>
              </w:rPr>
              <w:t>14 (66.7)</w:t>
            </w:r>
          </w:p>
        </w:tc>
        <w:tc>
          <w:tcPr>
            <w:tcW w:w="937" w:type="pct"/>
          </w:tcPr>
          <w:p w:rsidR="009C331F" w:rsidRPr="002B4AB6" w:rsidRDefault="009C331F" w:rsidP="00B85735">
            <w:pPr>
              <w:keepNext/>
              <w:jc w:val="center"/>
              <w:rPr>
                <w:rFonts w:ascii="Arial Narrow" w:hAnsi="Arial Narrow"/>
                <w:sz w:val="20"/>
              </w:rPr>
            </w:pPr>
            <w:r w:rsidRPr="002B4AB6">
              <w:rPr>
                <w:rFonts w:ascii="Arial Narrow" w:hAnsi="Arial Narrow"/>
                <w:sz w:val="20"/>
              </w:rPr>
              <w:t>30 (56.6)</w:t>
            </w:r>
          </w:p>
        </w:tc>
      </w:tr>
      <w:tr w:rsidR="009C331F" w:rsidRPr="002B4AB6" w:rsidTr="00B85735">
        <w:trPr>
          <w:trHeight w:val="232"/>
        </w:trPr>
        <w:tc>
          <w:tcPr>
            <w:tcW w:w="2716" w:type="pct"/>
          </w:tcPr>
          <w:p w:rsidR="009C331F" w:rsidRPr="002B4AB6" w:rsidRDefault="009C331F" w:rsidP="00B85735">
            <w:pPr>
              <w:keepNext/>
              <w:rPr>
                <w:rFonts w:ascii="Arial Narrow" w:hAnsi="Arial Narrow"/>
                <w:sz w:val="20"/>
              </w:rPr>
            </w:pPr>
            <w:r w:rsidRPr="002B4AB6">
              <w:rPr>
                <w:rFonts w:ascii="Arial Narrow" w:hAnsi="Arial Narrow"/>
                <w:sz w:val="20"/>
              </w:rPr>
              <w:t>Any SAE (Grade 3 -5), n (%)</w:t>
            </w:r>
          </w:p>
        </w:tc>
        <w:tc>
          <w:tcPr>
            <w:tcW w:w="1346" w:type="pct"/>
          </w:tcPr>
          <w:p w:rsidR="009C331F" w:rsidRPr="002B4AB6" w:rsidRDefault="009C331F" w:rsidP="00B85735">
            <w:pPr>
              <w:keepNext/>
              <w:jc w:val="center"/>
              <w:rPr>
                <w:rFonts w:ascii="Arial Narrow" w:hAnsi="Arial Narrow"/>
                <w:sz w:val="20"/>
              </w:rPr>
            </w:pPr>
            <w:r w:rsidRPr="002B4AB6">
              <w:rPr>
                <w:rFonts w:ascii="Arial Narrow" w:hAnsi="Arial Narrow"/>
                <w:sz w:val="20"/>
              </w:rPr>
              <w:t>8 (38.1)</w:t>
            </w:r>
          </w:p>
        </w:tc>
        <w:tc>
          <w:tcPr>
            <w:tcW w:w="937" w:type="pct"/>
          </w:tcPr>
          <w:p w:rsidR="009C331F" w:rsidRPr="002B4AB6" w:rsidRDefault="009C331F" w:rsidP="00B85735">
            <w:pPr>
              <w:keepNext/>
              <w:jc w:val="center"/>
              <w:rPr>
                <w:rFonts w:ascii="Arial Narrow" w:hAnsi="Arial Narrow"/>
                <w:sz w:val="20"/>
              </w:rPr>
            </w:pPr>
            <w:r w:rsidRPr="002B4AB6">
              <w:rPr>
                <w:rFonts w:ascii="Arial Narrow" w:hAnsi="Arial Narrow"/>
                <w:sz w:val="20"/>
              </w:rPr>
              <w:t>31 (58.5)</w:t>
            </w:r>
          </w:p>
        </w:tc>
      </w:tr>
      <w:tr w:rsidR="009C331F" w:rsidRPr="002B4AB6" w:rsidTr="00B85735">
        <w:trPr>
          <w:trHeight w:val="232"/>
        </w:trPr>
        <w:tc>
          <w:tcPr>
            <w:tcW w:w="2716" w:type="pct"/>
          </w:tcPr>
          <w:p w:rsidR="009C331F" w:rsidRPr="002B4AB6" w:rsidRDefault="009C331F" w:rsidP="00B85735">
            <w:pPr>
              <w:keepNext/>
              <w:rPr>
                <w:rFonts w:ascii="Arial Narrow" w:hAnsi="Arial Narrow"/>
                <w:sz w:val="20"/>
              </w:rPr>
            </w:pPr>
            <w:r w:rsidRPr="002B4AB6">
              <w:rPr>
                <w:rFonts w:ascii="Arial Narrow" w:hAnsi="Arial Narrow"/>
                <w:sz w:val="20"/>
              </w:rPr>
              <w:t>Any SAE (Grade 3-5) drug related, n (%)</w:t>
            </w:r>
          </w:p>
        </w:tc>
        <w:tc>
          <w:tcPr>
            <w:tcW w:w="1346" w:type="pct"/>
          </w:tcPr>
          <w:p w:rsidR="009C331F" w:rsidRPr="002B4AB6" w:rsidRDefault="009C331F" w:rsidP="00B85735">
            <w:pPr>
              <w:keepNext/>
              <w:jc w:val="center"/>
              <w:rPr>
                <w:rFonts w:ascii="Arial Narrow" w:hAnsi="Arial Narrow"/>
                <w:sz w:val="20"/>
              </w:rPr>
            </w:pPr>
            <w:r w:rsidRPr="002B4AB6">
              <w:rPr>
                <w:rFonts w:ascii="Arial Narrow" w:hAnsi="Arial Narrow"/>
                <w:sz w:val="20"/>
              </w:rPr>
              <w:t>5 (23.8)</w:t>
            </w:r>
          </w:p>
        </w:tc>
        <w:tc>
          <w:tcPr>
            <w:tcW w:w="937" w:type="pct"/>
          </w:tcPr>
          <w:p w:rsidR="009C331F" w:rsidRPr="002B4AB6" w:rsidRDefault="009C331F" w:rsidP="00B85735">
            <w:pPr>
              <w:keepNext/>
              <w:jc w:val="center"/>
              <w:rPr>
                <w:rFonts w:ascii="Arial Narrow" w:hAnsi="Arial Narrow"/>
                <w:sz w:val="20"/>
              </w:rPr>
            </w:pPr>
            <w:r w:rsidRPr="002B4AB6">
              <w:rPr>
                <w:rFonts w:ascii="Arial Narrow" w:hAnsi="Arial Narrow"/>
                <w:sz w:val="20"/>
              </w:rPr>
              <w:t>13 (24.5)</w:t>
            </w:r>
          </w:p>
        </w:tc>
      </w:tr>
      <w:tr w:rsidR="009C331F" w:rsidRPr="002B4AB6" w:rsidTr="00B85735">
        <w:trPr>
          <w:trHeight w:val="232"/>
        </w:trPr>
        <w:tc>
          <w:tcPr>
            <w:tcW w:w="2716" w:type="pct"/>
          </w:tcPr>
          <w:p w:rsidR="009C331F" w:rsidRPr="002B4AB6" w:rsidRDefault="009C331F" w:rsidP="00B85735">
            <w:pPr>
              <w:keepNext/>
              <w:rPr>
                <w:rFonts w:ascii="Arial Narrow" w:hAnsi="Arial Narrow"/>
                <w:sz w:val="20"/>
              </w:rPr>
            </w:pPr>
            <w:r w:rsidRPr="002B4AB6">
              <w:rPr>
                <w:rFonts w:ascii="Arial Narrow" w:hAnsi="Arial Narrow"/>
                <w:sz w:val="20"/>
              </w:rPr>
              <w:t>AE leading to discontinuation of treatment (any grade), n (%)</w:t>
            </w:r>
          </w:p>
        </w:tc>
        <w:tc>
          <w:tcPr>
            <w:tcW w:w="1346" w:type="pct"/>
          </w:tcPr>
          <w:p w:rsidR="009C331F" w:rsidRPr="002B4AB6" w:rsidRDefault="009C331F" w:rsidP="00B85735">
            <w:pPr>
              <w:keepNext/>
              <w:jc w:val="center"/>
              <w:rPr>
                <w:rFonts w:ascii="Arial Narrow" w:hAnsi="Arial Narrow"/>
                <w:sz w:val="20"/>
              </w:rPr>
            </w:pPr>
            <w:r w:rsidRPr="002B4AB6">
              <w:rPr>
                <w:rFonts w:ascii="Arial Narrow" w:hAnsi="Arial Narrow"/>
                <w:sz w:val="20"/>
              </w:rPr>
              <w:t>1 (4.8)</w:t>
            </w:r>
          </w:p>
        </w:tc>
        <w:tc>
          <w:tcPr>
            <w:tcW w:w="937" w:type="pct"/>
          </w:tcPr>
          <w:p w:rsidR="009C331F" w:rsidRPr="002B4AB6" w:rsidRDefault="009C331F" w:rsidP="00B85735">
            <w:pPr>
              <w:keepNext/>
              <w:jc w:val="center"/>
              <w:rPr>
                <w:rFonts w:ascii="Arial Narrow" w:hAnsi="Arial Narrow"/>
                <w:sz w:val="20"/>
              </w:rPr>
            </w:pPr>
            <w:r w:rsidRPr="002B4AB6">
              <w:rPr>
                <w:rFonts w:ascii="Arial Narrow" w:hAnsi="Arial Narrow"/>
                <w:sz w:val="20"/>
              </w:rPr>
              <w:t>4 (7.5)</w:t>
            </w:r>
          </w:p>
        </w:tc>
      </w:tr>
      <w:tr w:rsidR="009C331F" w:rsidRPr="002B4AB6" w:rsidTr="00B85735">
        <w:trPr>
          <w:trHeight w:val="232"/>
        </w:trPr>
        <w:tc>
          <w:tcPr>
            <w:tcW w:w="2716" w:type="pct"/>
          </w:tcPr>
          <w:p w:rsidR="009C331F" w:rsidRPr="002B4AB6" w:rsidRDefault="009C331F" w:rsidP="00B85735">
            <w:pPr>
              <w:keepNext/>
              <w:rPr>
                <w:rFonts w:ascii="Arial Narrow" w:hAnsi="Arial Narrow"/>
                <w:sz w:val="20"/>
              </w:rPr>
            </w:pPr>
            <w:r w:rsidRPr="002B4AB6">
              <w:rPr>
                <w:rFonts w:ascii="Arial Narrow" w:hAnsi="Arial Narrow"/>
                <w:sz w:val="20"/>
              </w:rPr>
              <w:t>AE resulting in death, n (%)</w:t>
            </w:r>
          </w:p>
        </w:tc>
        <w:tc>
          <w:tcPr>
            <w:tcW w:w="1346" w:type="pct"/>
          </w:tcPr>
          <w:p w:rsidR="009C331F" w:rsidRPr="002B4AB6" w:rsidRDefault="009C331F" w:rsidP="00B85735">
            <w:pPr>
              <w:keepNext/>
              <w:jc w:val="center"/>
              <w:rPr>
                <w:rFonts w:ascii="Arial Narrow" w:hAnsi="Arial Narrow"/>
                <w:sz w:val="20"/>
              </w:rPr>
            </w:pPr>
            <w:r w:rsidRPr="002B4AB6">
              <w:rPr>
                <w:rFonts w:ascii="Arial Narrow" w:hAnsi="Arial Narrow"/>
                <w:sz w:val="20"/>
              </w:rPr>
              <w:t>0</w:t>
            </w:r>
          </w:p>
        </w:tc>
        <w:tc>
          <w:tcPr>
            <w:tcW w:w="937" w:type="pct"/>
          </w:tcPr>
          <w:p w:rsidR="009C331F" w:rsidRPr="002B4AB6" w:rsidRDefault="009C331F" w:rsidP="00B85735">
            <w:pPr>
              <w:keepNext/>
              <w:jc w:val="center"/>
              <w:rPr>
                <w:rFonts w:ascii="Arial Narrow" w:hAnsi="Arial Narrow"/>
                <w:sz w:val="20"/>
              </w:rPr>
            </w:pPr>
            <w:r w:rsidRPr="002B4AB6">
              <w:rPr>
                <w:rFonts w:ascii="Arial Narrow" w:hAnsi="Arial Narrow"/>
                <w:sz w:val="20"/>
              </w:rPr>
              <w:t>0</w:t>
            </w:r>
          </w:p>
        </w:tc>
      </w:tr>
    </w:tbl>
    <w:p w:rsidR="00DC3DFF" w:rsidRPr="002B4AB6" w:rsidRDefault="00DC3DFF" w:rsidP="00397A49">
      <w:pPr>
        <w:pStyle w:val="TableFooter"/>
        <w:rPr>
          <w:rFonts w:eastAsia="Calibri"/>
        </w:rPr>
      </w:pPr>
      <w:r w:rsidRPr="002B4AB6">
        <w:t xml:space="preserve">Source: Table 9, Paragraph 6.23, </w:t>
      </w:r>
      <w:r w:rsidR="00E54D66" w:rsidRPr="002B4AB6">
        <w:t>6.07 p</w:t>
      </w:r>
      <w:r w:rsidR="00397A49" w:rsidRPr="002B4AB6">
        <w:t>embrolizumab</w:t>
      </w:r>
      <w:r w:rsidR="00397A49" w:rsidRPr="002B4AB6" w:rsidDel="00397A49">
        <w:t xml:space="preserve"> </w:t>
      </w:r>
      <w:r w:rsidR="00E54D66" w:rsidRPr="002B4AB6">
        <w:t xml:space="preserve">PMBCL PBAC </w:t>
      </w:r>
      <w:r w:rsidR="000D6C1B">
        <w:t>PSD</w:t>
      </w:r>
      <w:r w:rsidR="00E54D66" w:rsidRPr="002B4AB6">
        <w:t xml:space="preserve">, </w:t>
      </w:r>
      <w:r w:rsidRPr="002B4AB6">
        <w:t xml:space="preserve">November 2018 Meeting. </w:t>
      </w:r>
    </w:p>
    <w:p w:rsidR="00DC3DFF" w:rsidRPr="002B4AB6" w:rsidRDefault="00DC3DFF" w:rsidP="00DC3DFF">
      <w:pPr>
        <w:pStyle w:val="TableFooter"/>
        <w:rPr>
          <w:sz w:val="20"/>
        </w:rPr>
      </w:pPr>
      <w:r w:rsidRPr="002B4AB6">
        <w:rPr>
          <w:rFonts w:eastAsia="Calibri"/>
        </w:rPr>
        <w:t>AE = adverse events; n = number of participants reporting data; NR = not reported; SAE = serious adverse events; SOC = standard of care.</w:t>
      </w:r>
    </w:p>
    <w:p w:rsidR="00397A49" w:rsidRPr="002B4AB6" w:rsidRDefault="00DC3DFF" w:rsidP="00397A49">
      <w:pPr>
        <w:pStyle w:val="TableFooter"/>
        <w:rPr>
          <w:rFonts w:eastAsia="Calibri"/>
        </w:rPr>
      </w:pPr>
      <w:r w:rsidRPr="002B4AB6">
        <w:rPr>
          <w:rFonts w:eastAsia="Calibri"/>
          <w:vertAlign w:val="superscript"/>
        </w:rPr>
        <w:t>a</w:t>
      </w:r>
      <w:r w:rsidR="00397A49" w:rsidRPr="002B4AB6">
        <w:t xml:space="preserve"> Indicated as Grade 3-5 AEs from Tables 2.5-10 and 2.5-12, pp60 and 63 of the resubmission.</w:t>
      </w:r>
      <w:r w:rsidR="00397A49" w:rsidRPr="002B4AB6">
        <w:rPr>
          <w:rFonts w:eastAsia="Calibri"/>
        </w:rPr>
        <w:t xml:space="preserve"> </w:t>
      </w:r>
    </w:p>
    <w:p w:rsidR="00DC3DFF" w:rsidRPr="002B4AB6" w:rsidRDefault="00397A49" w:rsidP="00DC3DFF">
      <w:pPr>
        <w:pStyle w:val="TableFooter"/>
        <w:rPr>
          <w:rFonts w:eastAsia="Calibri"/>
        </w:rPr>
      </w:pPr>
      <w:r w:rsidRPr="002B4AB6">
        <w:rPr>
          <w:rFonts w:eastAsia="Calibri"/>
          <w:vertAlign w:val="superscript"/>
        </w:rPr>
        <w:t>b</w:t>
      </w:r>
      <w:r w:rsidR="00744CE9" w:rsidRPr="002B4AB6">
        <w:rPr>
          <w:rFonts w:eastAsia="Calibri"/>
          <w:vertAlign w:val="superscript"/>
        </w:rPr>
        <w:t xml:space="preserve"> </w:t>
      </w:r>
      <w:r w:rsidR="00DC3DFF" w:rsidRPr="002B4AB6">
        <w:rPr>
          <w:rFonts w:eastAsia="Calibri"/>
        </w:rPr>
        <w:t>Treatment discontinuation: cardiac tamponade, myocardial infarction, aspergillus infection and an increased aspartate aminotransferase</w:t>
      </w:r>
    </w:p>
    <w:p w:rsidR="00DC3DFF" w:rsidRPr="002B4AB6" w:rsidRDefault="00DC3DFF" w:rsidP="00DC3DFF">
      <w:pPr>
        <w:pStyle w:val="4-SubsectionHeading"/>
      </w:pPr>
      <w:bookmarkStart w:id="23" w:name="_Toc22897643"/>
      <w:bookmarkStart w:id="24" w:name="_Toc30503047"/>
      <w:r w:rsidRPr="002B4AB6">
        <w:t>Benefits/harms</w:t>
      </w:r>
      <w:bookmarkEnd w:id="23"/>
      <w:bookmarkEnd w:id="24"/>
    </w:p>
    <w:p w:rsidR="00DC3DFF" w:rsidRPr="002B4AB6" w:rsidRDefault="00DC3DFF" w:rsidP="00DC3DFF">
      <w:pPr>
        <w:pStyle w:val="3-BodyText"/>
      </w:pPr>
      <w:r w:rsidRPr="002B4AB6">
        <w:rPr>
          <w:rFonts w:cs="Calibri"/>
          <w:snapToGrid/>
        </w:rPr>
        <w:t xml:space="preserve">The naïve indirect comparison presented in the </w:t>
      </w:r>
      <w:r w:rsidR="00A011D2" w:rsidRPr="002B4AB6">
        <w:rPr>
          <w:rFonts w:cs="Calibri"/>
          <w:snapToGrid/>
        </w:rPr>
        <w:t>re</w:t>
      </w:r>
      <w:r w:rsidRPr="002B4AB6">
        <w:rPr>
          <w:rFonts w:cs="Calibri"/>
          <w:snapToGrid/>
        </w:rPr>
        <w:t>submission did not allow for a quantitative comparison of the benefits and harms of pembrolizumab with SOC. Accordingly, a benefits/harms table has not been presented.</w:t>
      </w:r>
    </w:p>
    <w:p w:rsidR="00DC3DFF" w:rsidRPr="002B4AB6" w:rsidRDefault="00DC3DFF" w:rsidP="00DC3DFF">
      <w:pPr>
        <w:pStyle w:val="4-SubsectionHeading"/>
      </w:pPr>
      <w:bookmarkStart w:id="25" w:name="_Toc22897644"/>
      <w:bookmarkStart w:id="26" w:name="_Toc30503048"/>
      <w:r w:rsidRPr="002B4AB6">
        <w:t>Clinical claim</w:t>
      </w:r>
      <w:bookmarkEnd w:id="25"/>
      <w:bookmarkEnd w:id="26"/>
    </w:p>
    <w:p w:rsidR="00DC3DFF" w:rsidRPr="002B4AB6" w:rsidRDefault="00DC3DFF" w:rsidP="00FC24B3">
      <w:pPr>
        <w:pStyle w:val="3-BodyText"/>
        <w:rPr>
          <w:rFonts w:eastAsia="Calibri"/>
        </w:rPr>
      </w:pPr>
      <w:bookmarkStart w:id="27" w:name="_Ref35349194"/>
      <w:r w:rsidRPr="002B4AB6">
        <w:rPr>
          <w:rFonts w:eastAsia="Calibri"/>
        </w:rPr>
        <w:t xml:space="preserve">The </w:t>
      </w:r>
      <w:r w:rsidR="00397A49" w:rsidRPr="002B4AB6">
        <w:rPr>
          <w:rFonts w:eastAsia="Calibri"/>
        </w:rPr>
        <w:t>resubmission</w:t>
      </w:r>
      <w:r w:rsidRPr="002B4AB6">
        <w:rPr>
          <w:rFonts w:eastAsia="Calibri"/>
        </w:rPr>
        <w:t xml:space="preserve"> described pembrolizumab as superior in terms of effectiveness and superior in terms of safety, compared with SOC, in patients with R/R PMBCL who are ineligible to receive or have failed ASCT. </w:t>
      </w:r>
      <w:r w:rsidR="00715FB5" w:rsidRPr="002B4AB6">
        <w:rPr>
          <w:rFonts w:eastAsia="Calibri"/>
        </w:rPr>
        <w:t xml:space="preserve">It was unclear whether this claim was based on outcomes from the whole Vardhana 2018 population or the selected subgroups used </w:t>
      </w:r>
      <w:r w:rsidR="001F0E0A" w:rsidRPr="002B4AB6">
        <w:rPr>
          <w:rFonts w:eastAsia="Calibri"/>
        </w:rPr>
        <w:t>in the economic analysis.</w:t>
      </w:r>
      <w:bookmarkEnd w:id="27"/>
    </w:p>
    <w:p w:rsidR="00FC24B3" w:rsidRPr="002B4AB6" w:rsidRDefault="00DC3DFF" w:rsidP="008F2424">
      <w:pPr>
        <w:pStyle w:val="3-BodyText"/>
        <w:rPr>
          <w:rFonts w:eastAsia="Calibri"/>
        </w:rPr>
      </w:pPr>
      <w:r w:rsidRPr="002B4AB6">
        <w:rPr>
          <w:rFonts w:eastAsia="Calibri"/>
        </w:rPr>
        <w:t xml:space="preserve">The incremental effectiveness and safety associated with pembrolizumab over SOC, could not be quantified, or assessed descriptively in a confident manner from the evidence available in the resubmission. The evidence was </w:t>
      </w:r>
      <w:r w:rsidR="0036007B" w:rsidRPr="002B4AB6">
        <w:rPr>
          <w:rFonts w:eastAsia="Calibri"/>
        </w:rPr>
        <w:t xml:space="preserve">based on </w:t>
      </w:r>
      <w:r w:rsidRPr="002B4AB6">
        <w:rPr>
          <w:rFonts w:eastAsia="Calibri"/>
        </w:rPr>
        <w:t>a naïve indirect comparison between pembrolizumab and SOC using two single arm studies, with no formal statistical analysis conducted, and with important clinical heterogeneity between the studies and the proposed Australian setting.</w:t>
      </w:r>
      <w:r w:rsidR="0036007B" w:rsidRPr="002B4AB6">
        <w:rPr>
          <w:rFonts w:eastAsia="Calibri"/>
        </w:rPr>
        <w:t xml:space="preserve"> </w:t>
      </w:r>
    </w:p>
    <w:p w:rsidR="00FC24B3" w:rsidRPr="002B4AB6" w:rsidRDefault="00FC24B3" w:rsidP="00FC24B3">
      <w:pPr>
        <w:pStyle w:val="3-BodyText"/>
        <w:rPr>
          <w:rFonts w:eastAsia="Calibri"/>
        </w:rPr>
      </w:pPr>
      <w:r w:rsidRPr="002B4AB6">
        <w:rPr>
          <w:rFonts w:eastAsia="Calibri"/>
        </w:rPr>
        <w:t xml:space="preserve">Acknowledging the limitations of the KN170 data the ESC advised that pembrolizumab appears to show effectiveness in the </w:t>
      </w:r>
      <w:r w:rsidR="005A55AE" w:rsidRPr="002B4AB6">
        <w:rPr>
          <w:rFonts w:eastAsia="Calibri"/>
        </w:rPr>
        <w:t xml:space="preserve">R/R PMBCL </w:t>
      </w:r>
      <w:r w:rsidR="001862B3" w:rsidRPr="002B4AB6">
        <w:rPr>
          <w:rFonts w:eastAsia="Calibri"/>
        </w:rPr>
        <w:t xml:space="preserve">third </w:t>
      </w:r>
      <w:r w:rsidRPr="002B4AB6">
        <w:rPr>
          <w:rFonts w:eastAsia="Calibri"/>
        </w:rPr>
        <w:t xml:space="preserve">line treatment setting where patients may have no other potentially curable options available. Given that PMBCL is a relatively rare condition the ESC considered that more robust pembrolizumab clinical trial data is unlikely to be forthcoming. </w:t>
      </w:r>
    </w:p>
    <w:p w:rsidR="00FC24B3" w:rsidRPr="002B4AB6" w:rsidRDefault="00FC24B3" w:rsidP="00FC24B3">
      <w:pPr>
        <w:pStyle w:val="3-BodyText"/>
        <w:rPr>
          <w:rFonts w:eastAsia="Calibri"/>
        </w:rPr>
      </w:pPr>
      <w:r w:rsidRPr="002B4AB6">
        <w:rPr>
          <w:rFonts w:eastAsia="Calibri"/>
        </w:rPr>
        <w:t xml:space="preserve">The superior comparative effectiveness claim was however considered by ESC to be highly uncertain based on the evidence provided as the KN170 and Vardhana 2018 studies were conducted in different R/R PMBCL populations. In addition to not reflecting the KN170 population, the ESC suggested the Vardhana 2018 study </w:t>
      </w:r>
      <w:r w:rsidR="00786CC7" w:rsidRPr="002B4AB6">
        <w:rPr>
          <w:rFonts w:eastAsia="Calibri"/>
        </w:rPr>
        <w:t xml:space="preserve">population </w:t>
      </w:r>
      <w:r w:rsidRPr="002B4AB6">
        <w:rPr>
          <w:rFonts w:eastAsia="Calibri"/>
        </w:rPr>
        <w:t>did not reflect</w:t>
      </w:r>
      <w:r w:rsidR="00786CC7" w:rsidRPr="002B4AB6">
        <w:rPr>
          <w:rFonts w:eastAsia="Calibri"/>
        </w:rPr>
        <w:t xml:space="preserve"> that of</w:t>
      </w:r>
      <w:r w:rsidRPr="002B4AB6">
        <w:rPr>
          <w:rFonts w:eastAsia="Calibri"/>
        </w:rPr>
        <w:t xml:space="preserve"> the broader proposed Australian setting. The ESC </w:t>
      </w:r>
      <w:r w:rsidRPr="002B4AB6">
        <w:rPr>
          <w:rFonts w:eastAsia="Calibri"/>
        </w:rPr>
        <w:lastRenderedPageBreak/>
        <w:t>advised that more robust comparative data was not currently available and was unlikely to become available due to the small number of patients with R/R PMBCL</w:t>
      </w:r>
      <w:r w:rsidR="002B4AB6">
        <w:rPr>
          <w:rFonts w:eastAsia="Calibri"/>
        </w:rPr>
        <w:t xml:space="preserve">. </w:t>
      </w:r>
    </w:p>
    <w:p w:rsidR="005F7588" w:rsidRPr="002B4AB6" w:rsidRDefault="004D22DC" w:rsidP="008F2424">
      <w:pPr>
        <w:pStyle w:val="3-BodyText"/>
        <w:rPr>
          <w:rFonts w:eastAsia="Calibri"/>
        </w:rPr>
      </w:pPr>
      <w:r w:rsidRPr="00492CD9">
        <w:rPr>
          <w:rFonts w:eastAsia="Calibri"/>
        </w:rPr>
        <w:t>T</w:t>
      </w:r>
      <w:r w:rsidR="0036007B" w:rsidRPr="00492CD9">
        <w:rPr>
          <w:rFonts w:eastAsia="Calibri"/>
        </w:rPr>
        <w:t>he resubmission used outcome data fr</w:t>
      </w:r>
      <w:r w:rsidR="0036007B" w:rsidRPr="002B4AB6">
        <w:rPr>
          <w:rFonts w:eastAsia="Calibri"/>
        </w:rPr>
        <w:t xml:space="preserve">om subgroups in Vardhana 2018, which </w:t>
      </w:r>
      <w:r w:rsidR="009C19A1" w:rsidRPr="002B4AB6">
        <w:rPr>
          <w:rFonts w:eastAsia="Calibri"/>
        </w:rPr>
        <w:t xml:space="preserve">was </w:t>
      </w:r>
      <w:r w:rsidR="0036007B" w:rsidRPr="002B4AB6">
        <w:rPr>
          <w:rFonts w:eastAsia="Calibri"/>
        </w:rPr>
        <w:t xml:space="preserve">comprised almost entirely of patients who were refractory to second line therapy, to represent the effectiveness of SOC. </w:t>
      </w:r>
      <w:r w:rsidR="008F2424" w:rsidRPr="002B4AB6">
        <w:rPr>
          <w:rFonts w:eastAsia="Calibri"/>
        </w:rPr>
        <w:t>These patients experienced poor</w:t>
      </w:r>
      <w:r w:rsidR="00AB6391" w:rsidRPr="002B4AB6">
        <w:rPr>
          <w:rFonts w:eastAsia="Calibri"/>
        </w:rPr>
        <w:t>er</w:t>
      </w:r>
      <w:r w:rsidR="008F2424" w:rsidRPr="002B4AB6">
        <w:rPr>
          <w:rFonts w:eastAsia="Calibri"/>
        </w:rPr>
        <w:t xml:space="preserve"> outcomes </w:t>
      </w:r>
      <w:r w:rsidR="00AB6391" w:rsidRPr="002B4AB6">
        <w:rPr>
          <w:rFonts w:eastAsia="Calibri"/>
        </w:rPr>
        <w:t xml:space="preserve">compared to the whole study cohort </w:t>
      </w:r>
      <w:r w:rsidR="008F2424" w:rsidRPr="002B4AB6">
        <w:rPr>
          <w:rFonts w:eastAsia="Calibri"/>
        </w:rPr>
        <w:t xml:space="preserve">as response to second line therapy was the single greatest predictor of OS in Vardhana 2018. </w:t>
      </w:r>
      <w:r w:rsidR="00FC24B3" w:rsidRPr="002B4AB6">
        <w:rPr>
          <w:rFonts w:eastAsia="Calibri"/>
        </w:rPr>
        <w:t>The ESC agreed with the evaluation that t</w:t>
      </w:r>
      <w:r w:rsidR="008F2424" w:rsidRPr="002B4AB6">
        <w:rPr>
          <w:rFonts w:eastAsia="Calibri"/>
        </w:rPr>
        <w:t xml:space="preserve">his approach </w:t>
      </w:r>
      <w:r w:rsidR="001F0E0A" w:rsidRPr="002B4AB6">
        <w:rPr>
          <w:rFonts w:eastAsia="Calibri"/>
        </w:rPr>
        <w:t>was</w:t>
      </w:r>
      <w:r w:rsidR="008F2424" w:rsidRPr="002B4AB6">
        <w:rPr>
          <w:rFonts w:eastAsia="Calibri"/>
        </w:rPr>
        <w:t xml:space="preserve"> likely to </w:t>
      </w:r>
      <w:r w:rsidR="001F0E0A" w:rsidRPr="002B4AB6">
        <w:rPr>
          <w:rFonts w:eastAsia="Calibri"/>
        </w:rPr>
        <w:t xml:space="preserve">have </w:t>
      </w:r>
      <w:r w:rsidR="008F2424" w:rsidRPr="002B4AB6">
        <w:rPr>
          <w:rFonts w:eastAsia="Calibri"/>
        </w:rPr>
        <w:t>underestimate</w:t>
      </w:r>
      <w:r w:rsidR="001F0E0A" w:rsidRPr="002B4AB6">
        <w:rPr>
          <w:rFonts w:eastAsia="Calibri"/>
        </w:rPr>
        <w:t>d</w:t>
      </w:r>
      <w:r w:rsidR="008F2424" w:rsidRPr="002B4AB6">
        <w:rPr>
          <w:rFonts w:eastAsia="Calibri"/>
        </w:rPr>
        <w:t xml:space="preserve"> the effectiveness of standard practice.</w:t>
      </w:r>
    </w:p>
    <w:p w:rsidR="00FC24B3" w:rsidRPr="002B4AB6" w:rsidRDefault="00BD7A8E" w:rsidP="008F2424">
      <w:pPr>
        <w:pStyle w:val="3-BodyText"/>
        <w:rPr>
          <w:rFonts w:eastAsia="Calibri"/>
        </w:rPr>
      </w:pPr>
      <w:r w:rsidRPr="002B4AB6">
        <w:rPr>
          <w:rFonts w:eastAsia="Calibri"/>
        </w:rPr>
        <w:t xml:space="preserve">The ESC considered that AE data from the KN013 and KN170 studies add to the body of evidence regarding the toxicity profile of pembrolizumab. However, the </w:t>
      </w:r>
      <w:r w:rsidR="00AD4393" w:rsidRPr="002B4AB6">
        <w:rPr>
          <w:rFonts w:eastAsia="Calibri"/>
        </w:rPr>
        <w:t xml:space="preserve">ESC agreed with the evaluation </w:t>
      </w:r>
      <w:r w:rsidRPr="002B4AB6">
        <w:rPr>
          <w:rFonts w:eastAsia="Calibri"/>
        </w:rPr>
        <w:t xml:space="preserve">that the comparative safety claim was unable to be quantified </w:t>
      </w:r>
      <w:r w:rsidR="007931F0" w:rsidRPr="002B4AB6">
        <w:rPr>
          <w:rFonts w:eastAsia="Calibri"/>
        </w:rPr>
        <w:t>from the evidence presented in the resubmission</w:t>
      </w:r>
      <w:r w:rsidRPr="002B4AB6">
        <w:rPr>
          <w:rFonts w:eastAsia="Calibri"/>
        </w:rPr>
        <w:t xml:space="preserve">. </w:t>
      </w:r>
    </w:p>
    <w:p w:rsidR="0065124D" w:rsidRPr="002B4AB6" w:rsidRDefault="0065124D" w:rsidP="0065124D">
      <w:pPr>
        <w:pStyle w:val="3-BodyText"/>
        <w:rPr>
          <w:lang w:eastAsia="en-US"/>
        </w:rPr>
      </w:pPr>
      <w:r w:rsidRPr="002B4AB6">
        <w:rPr>
          <w:lang w:eastAsia="en-US"/>
        </w:rPr>
        <w:t xml:space="preserve">The PBAC considered that the claim of superior comparative effectiveness </w:t>
      </w:r>
      <w:r w:rsidR="002842E3" w:rsidRPr="002B4AB6">
        <w:rPr>
          <w:lang w:eastAsia="en-US"/>
        </w:rPr>
        <w:t xml:space="preserve">was </w:t>
      </w:r>
      <w:r w:rsidR="00ED775C" w:rsidRPr="002B4AB6">
        <w:rPr>
          <w:lang w:eastAsia="en-US"/>
        </w:rPr>
        <w:t>uncertain but likely reasonable in the context of</w:t>
      </w:r>
      <w:r w:rsidR="003D3A16" w:rsidRPr="002B4AB6">
        <w:rPr>
          <w:lang w:eastAsia="en-US"/>
        </w:rPr>
        <w:t xml:space="preserve"> this </w:t>
      </w:r>
      <w:r w:rsidR="006A1C01">
        <w:rPr>
          <w:lang w:eastAsia="en-US"/>
        </w:rPr>
        <w:t>being</w:t>
      </w:r>
      <w:r w:rsidR="007435AD">
        <w:rPr>
          <w:lang w:eastAsia="en-US"/>
        </w:rPr>
        <w:t xml:space="preserve"> </w:t>
      </w:r>
      <w:r w:rsidR="003D3A16" w:rsidRPr="002B4AB6">
        <w:rPr>
          <w:lang w:eastAsia="en-US"/>
        </w:rPr>
        <w:t xml:space="preserve">a rare sub-type of nHL with a low incidence. </w:t>
      </w:r>
    </w:p>
    <w:p w:rsidR="00B764F9" w:rsidRPr="002B4AB6" w:rsidRDefault="00B764F9" w:rsidP="001727F1">
      <w:pPr>
        <w:widowControl w:val="0"/>
        <w:numPr>
          <w:ilvl w:val="1"/>
          <w:numId w:val="1"/>
        </w:numPr>
        <w:spacing w:after="120"/>
      </w:pPr>
      <w:r w:rsidRPr="002B4AB6">
        <w:t xml:space="preserve">The PBAC considered although the claim of superior comparative safety may be reasonable the magnitude of any benefit could not be quantified as there was no safety data presented in Vardhana 2018. </w:t>
      </w:r>
    </w:p>
    <w:p w:rsidR="00ED3B16" w:rsidRPr="002B4AB6" w:rsidRDefault="00ED3B16" w:rsidP="00ED3B16">
      <w:pPr>
        <w:pStyle w:val="4-SubsectionHeading"/>
      </w:pPr>
      <w:bookmarkStart w:id="28" w:name="_Toc22897645"/>
      <w:bookmarkStart w:id="29" w:name="_Toc30503049"/>
      <w:bookmarkStart w:id="30" w:name="_Toc22897646"/>
      <w:bookmarkStart w:id="31" w:name="_Toc26972360"/>
      <w:r w:rsidRPr="002B4AB6">
        <w:t>Economic analysis</w:t>
      </w:r>
      <w:bookmarkEnd w:id="28"/>
      <w:bookmarkEnd w:id="29"/>
      <w:r w:rsidRPr="002B4AB6">
        <w:t xml:space="preserve"> </w:t>
      </w:r>
    </w:p>
    <w:p w:rsidR="00ED3B16" w:rsidRPr="002B4AB6" w:rsidRDefault="00ED3B16" w:rsidP="00ED3B16">
      <w:pPr>
        <w:pStyle w:val="3-BodyText"/>
        <w:rPr>
          <w:bCs/>
        </w:rPr>
      </w:pPr>
      <w:r w:rsidRPr="002B4AB6">
        <w:rPr>
          <w:bCs/>
        </w:rPr>
        <w:t>The resubmission presented a modelled economic evaluation based on a naive indirect comparison of a single arm study (KN170) and a retrospective cohort study (Vardhana 2018). The type of economic evaluation presented was a cost-utility analysis. The key components of the economic evaluation, as summarised below, were unchanged from those in the November 2018 submission.</w:t>
      </w:r>
    </w:p>
    <w:p w:rsidR="00ED3B16" w:rsidRPr="002B4AB6" w:rsidRDefault="00ED3B16" w:rsidP="00ED3B16">
      <w:pPr>
        <w:pStyle w:val="TableFigureHeading"/>
        <w:rPr>
          <w:rStyle w:val="CommentReference"/>
          <w:b/>
          <w:szCs w:val="24"/>
        </w:rPr>
      </w:pPr>
      <w:r w:rsidRPr="002B4AB6">
        <w:lastRenderedPageBreak/>
        <w:t xml:space="preserve">Table </w:t>
      </w:r>
      <w:r w:rsidR="002B39A5" w:rsidRPr="00956A61">
        <w:t>11</w:t>
      </w:r>
      <w:r w:rsidRPr="002B4AB6">
        <w:t xml:space="preserve">: </w:t>
      </w:r>
      <w:r w:rsidRPr="002B4AB6">
        <w:rPr>
          <w:rStyle w:val="CommentReference"/>
          <w:b/>
          <w:szCs w:val="24"/>
        </w:rPr>
        <w:t>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6499"/>
      </w:tblGrid>
      <w:tr w:rsidR="00ED3B16" w:rsidRPr="002B4AB6" w:rsidTr="00064F3F">
        <w:trPr>
          <w:tblHeader/>
        </w:trPr>
        <w:tc>
          <w:tcPr>
            <w:tcW w:w="1396" w:type="pct"/>
            <w:shd w:val="clear" w:color="auto" w:fill="auto"/>
            <w:vAlign w:val="center"/>
          </w:tcPr>
          <w:p w:rsidR="00ED3B16" w:rsidRPr="00492CD9" w:rsidRDefault="00ED3B16" w:rsidP="00064F3F">
            <w:pPr>
              <w:pStyle w:val="In-tableHeading"/>
              <w:rPr>
                <w:lang w:val="en-AU"/>
              </w:rPr>
            </w:pPr>
            <w:r w:rsidRPr="00492CD9">
              <w:rPr>
                <w:lang w:val="en-AU"/>
              </w:rPr>
              <w:t>Component</w:t>
            </w:r>
          </w:p>
        </w:tc>
        <w:tc>
          <w:tcPr>
            <w:tcW w:w="3604" w:type="pct"/>
            <w:shd w:val="clear" w:color="auto" w:fill="auto"/>
            <w:vAlign w:val="center"/>
          </w:tcPr>
          <w:p w:rsidR="00ED3B16" w:rsidRPr="002B4AB6" w:rsidRDefault="00ED3B16" w:rsidP="00064F3F">
            <w:pPr>
              <w:pStyle w:val="In-tableHeading"/>
              <w:rPr>
                <w:lang w:val="en-AU"/>
              </w:rPr>
            </w:pPr>
            <w:r w:rsidRPr="002B4AB6">
              <w:rPr>
                <w:lang w:val="en-AU"/>
              </w:rPr>
              <w:t>Summary</w:t>
            </w:r>
          </w:p>
        </w:tc>
      </w:tr>
      <w:tr w:rsidR="00ED3B16" w:rsidRPr="002B4AB6" w:rsidTr="00064F3F">
        <w:tc>
          <w:tcPr>
            <w:tcW w:w="1396" w:type="pct"/>
            <w:shd w:val="clear" w:color="auto" w:fill="auto"/>
            <w:vAlign w:val="center"/>
          </w:tcPr>
          <w:p w:rsidR="00ED3B16" w:rsidRPr="002B4AB6" w:rsidRDefault="00ED3B16" w:rsidP="00064F3F">
            <w:pPr>
              <w:pStyle w:val="TableText0"/>
            </w:pPr>
            <w:r w:rsidRPr="002B4AB6">
              <w:t>Treatments</w:t>
            </w:r>
          </w:p>
        </w:tc>
        <w:tc>
          <w:tcPr>
            <w:tcW w:w="3604" w:type="pct"/>
            <w:shd w:val="clear" w:color="auto" w:fill="auto"/>
            <w:vAlign w:val="center"/>
          </w:tcPr>
          <w:p w:rsidR="00ED3B16" w:rsidRPr="002B4AB6" w:rsidRDefault="00ED3B16" w:rsidP="00064F3F">
            <w:pPr>
              <w:pStyle w:val="TableText0"/>
            </w:pPr>
            <w:r w:rsidRPr="002B4AB6">
              <w:t>Pembrolizumab versus SOC</w:t>
            </w:r>
          </w:p>
        </w:tc>
      </w:tr>
      <w:tr w:rsidR="00ED3B16" w:rsidRPr="002B4AB6" w:rsidTr="00064F3F">
        <w:tc>
          <w:tcPr>
            <w:tcW w:w="1396" w:type="pct"/>
            <w:shd w:val="clear" w:color="auto" w:fill="auto"/>
            <w:vAlign w:val="center"/>
          </w:tcPr>
          <w:p w:rsidR="00ED3B16" w:rsidRPr="002B4AB6" w:rsidRDefault="00ED3B16" w:rsidP="00064F3F">
            <w:pPr>
              <w:pStyle w:val="TableText0"/>
            </w:pPr>
            <w:r w:rsidRPr="002B4AB6">
              <w:t>Time horizon</w:t>
            </w:r>
          </w:p>
        </w:tc>
        <w:tc>
          <w:tcPr>
            <w:tcW w:w="3604" w:type="pct"/>
            <w:shd w:val="clear" w:color="auto" w:fill="auto"/>
            <w:vAlign w:val="center"/>
          </w:tcPr>
          <w:p w:rsidR="00ED3B16" w:rsidRPr="002B4AB6" w:rsidRDefault="00ED3B16" w:rsidP="00064F3F">
            <w:pPr>
              <w:pStyle w:val="TableText0"/>
            </w:pPr>
            <w:r w:rsidRPr="002B4AB6">
              <w:t>10 years in the model base case versus median follow-up of 22.3 months in KN170</w:t>
            </w:r>
          </w:p>
        </w:tc>
      </w:tr>
      <w:tr w:rsidR="00ED3B16" w:rsidRPr="002B4AB6" w:rsidTr="00064F3F">
        <w:tc>
          <w:tcPr>
            <w:tcW w:w="1396" w:type="pct"/>
            <w:shd w:val="clear" w:color="auto" w:fill="auto"/>
            <w:vAlign w:val="center"/>
          </w:tcPr>
          <w:p w:rsidR="00ED3B16" w:rsidRPr="002B4AB6" w:rsidRDefault="00ED3B16" w:rsidP="00064F3F">
            <w:pPr>
              <w:pStyle w:val="TableText0"/>
            </w:pPr>
            <w:r w:rsidRPr="002B4AB6">
              <w:t>Outcomes</w:t>
            </w:r>
          </w:p>
        </w:tc>
        <w:tc>
          <w:tcPr>
            <w:tcW w:w="3604" w:type="pct"/>
            <w:shd w:val="clear" w:color="auto" w:fill="auto"/>
            <w:vAlign w:val="center"/>
          </w:tcPr>
          <w:p w:rsidR="00ED3B16" w:rsidRPr="002B4AB6" w:rsidRDefault="00ED3B16" w:rsidP="00064F3F">
            <w:pPr>
              <w:pStyle w:val="TableText0"/>
            </w:pPr>
            <w:r w:rsidRPr="002B4AB6">
              <w:t>LYG and QALYs</w:t>
            </w:r>
          </w:p>
        </w:tc>
      </w:tr>
      <w:tr w:rsidR="00ED3B16" w:rsidRPr="002B4AB6" w:rsidTr="00064F3F">
        <w:tc>
          <w:tcPr>
            <w:tcW w:w="1396" w:type="pct"/>
            <w:shd w:val="clear" w:color="auto" w:fill="auto"/>
            <w:vAlign w:val="center"/>
          </w:tcPr>
          <w:p w:rsidR="00ED3B16" w:rsidRPr="002B4AB6" w:rsidRDefault="00ED3B16" w:rsidP="00064F3F">
            <w:pPr>
              <w:pStyle w:val="TableText0"/>
            </w:pPr>
            <w:r w:rsidRPr="002B4AB6">
              <w:t>Methods used to generate results</w:t>
            </w:r>
          </w:p>
        </w:tc>
        <w:tc>
          <w:tcPr>
            <w:tcW w:w="3604" w:type="pct"/>
            <w:shd w:val="clear" w:color="auto" w:fill="auto"/>
            <w:vAlign w:val="center"/>
          </w:tcPr>
          <w:p w:rsidR="00ED3B16" w:rsidRPr="002B4AB6" w:rsidRDefault="00ED3B16" w:rsidP="00064F3F">
            <w:pPr>
              <w:pStyle w:val="TableText0"/>
            </w:pPr>
            <w:r w:rsidRPr="002B4AB6">
              <w:t>Partitioned survival model (i.e. area under the curve)</w:t>
            </w:r>
          </w:p>
        </w:tc>
      </w:tr>
      <w:tr w:rsidR="00ED3B16" w:rsidRPr="002B4AB6" w:rsidTr="00064F3F">
        <w:tc>
          <w:tcPr>
            <w:tcW w:w="1396" w:type="pct"/>
            <w:shd w:val="clear" w:color="auto" w:fill="auto"/>
            <w:vAlign w:val="center"/>
          </w:tcPr>
          <w:p w:rsidR="00ED3B16" w:rsidRPr="002B4AB6" w:rsidRDefault="00ED3B16" w:rsidP="00064F3F">
            <w:pPr>
              <w:pStyle w:val="TableText0"/>
            </w:pPr>
            <w:r w:rsidRPr="002B4AB6">
              <w:t>Health states</w:t>
            </w:r>
          </w:p>
        </w:tc>
        <w:tc>
          <w:tcPr>
            <w:tcW w:w="3604" w:type="pct"/>
            <w:shd w:val="clear" w:color="auto" w:fill="auto"/>
            <w:vAlign w:val="center"/>
          </w:tcPr>
          <w:p w:rsidR="00ED3B16" w:rsidRPr="002B4AB6" w:rsidRDefault="00ED3B16" w:rsidP="00064F3F">
            <w:pPr>
              <w:pStyle w:val="TableText0"/>
            </w:pPr>
            <w:r w:rsidRPr="002B4AB6">
              <w:t>Progression free survival (PFS)</w:t>
            </w:r>
          </w:p>
          <w:p w:rsidR="00ED3B16" w:rsidRPr="002B4AB6" w:rsidRDefault="00ED3B16" w:rsidP="00064F3F">
            <w:pPr>
              <w:pStyle w:val="TableText0"/>
            </w:pPr>
            <w:r w:rsidRPr="002B4AB6">
              <w:t>Progressive disease (PD)</w:t>
            </w:r>
          </w:p>
          <w:p w:rsidR="00ED3B16" w:rsidRPr="002B4AB6" w:rsidRDefault="00ED3B16" w:rsidP="00064F3F">
            <w:pPr>
              <w:pStyle w:val="TableText0"/>
            </w:pPr>
            <w:r w:rsidRPr="002B4AB6">
              <w:t>Death</w:t>
            </w:r>
          </w:p>
        </w:tc>
      </w:tr>
      <w:tr w:rsidR="00ED3B16" w:rsidRPr="002B4AB6" w:rsidTr="00064F3F">
        <w:tc>
          <w:tcPr>
            <w:tcW w:w="1396" w:type="pct"/>
            <w:shd w:val="clear" w:color="auto" w:fill="auto"/>
            <w:vAlign w:val="center"/>
          </w:tcPr>
          <w:p w:rsidR="00ED3B16" w:rsidRPr="002B4AB6" w:rsidRDefault="00ED3B16" w:rsidP="00064F3F">
            <w:pPr>
              <w:pStyle w:val="TableText0"/>
            </w:pPr>
            <w:r w:rsidRPr="002B4AB6">
              <w:t>Cycle length</w:t>
            </w:r>
          </w:p>
        </w:tc>
        <w:tc>
          <w:tcPr>
            <w:tcW w:w="3604" w:type="pct"/>
            <w:shd w:val="clear" w:color="auto" w:fill="auto"/>
            <w:vAlign w:val="center"/>
          </w:tcPr>
          <w:p w:rsidR="00ED3B16" w:rsidRPr="002B4AB6" w:rsidRDefault="00ED3B16" w:rsidP="00064F3F">
            <w:pPr>
              <w:pStyle w:val="TableText0"/>
            </w:pPr>
            <w:r w:rsidRPr="002B4AB6">
              <w:t>Three weeks (in line with the duration of the pembrolizumab treatment cycle).</w:t>
            </w:r>
          </w:p>
        </w:tc>
      </w:tr>
      <w:tr w:rsidR="00ED3B16" w:rsidRPr="002B4AB6" w:rsidTr="00064F3F">
        <w:tc>
          <w:tcPr>
            <w:tcW w:w="1396" w:type="pct"/>
            <w:shd w:val="clear" w:color="auto" w:fill="auto"/>
            <w:vAlign w:val="center"/>
          </w:tcPr>
          <w:p w:rsidR="00ED3B16" w:rsidRPr="002B4AB6" w:rsidRDefault="00ED3B16" w:rsidP="00064F3F">
            <w:pPr>
              <w:pStyle w:val="TableText0"/>
            </w:pPr>
            <w:r w:rsidRPr="002B4AB6">
              <w:t xml:space="preserve">Allocation to health states </w:t>
            </w:r>
          </w:p>
        </w:tc>
        <w:tc>
          <w:tcPr>
            <w:tcW w:w="3604" w:type="pct"/>
            <w:shd w:val="clear" w:color="auto" w:fill="auto"/>
            <w:vAlign w:val="center"/>
          </w:tcPr>
          <w:p w:rsidR="00ED3B16" w:rsidRPr="002B4AB6" w:rsidRDefault="00ED3B16" w:rsidP="00064F3F">
            <w:pPr>
              <w:pStyle w:val="TableText0"/>
            </w:pPr>
            <w:r w:rsidRPr="002B4AB6">
              <w:t xml:space="preserve">Health state allocation over time was determined from progression free and overall survival curves. </w:t>
            </w:r>
          </w:p>
          <w:p w:rsidR="00ED3B16" w:rsidRPr="002B4AB6" w:rsidRDefault="00ED3B16" w:rsidP="00064F3F">
            <w:pPr>
              <w:pStyle w:val="TableText0"/>
            </w:pPr>
            <w:r w:rsidRPr="002B4AB6">
              <w:t xml:space="preserve">Pembrolizumab: </w:t>
            </w:r>
          </w:p>
          <w:p w:rsidR="00ED3B16" w:rsidRPr="002B4AB6" w:rsidRDefault="00ED3B16" w:rsidP="00064F3F">
            <w:pPr>
              <w:pStyle w:val="TableText0"/>
            </w:pPr>
            <w:r w:rsidRPr="002B4AB6">
              <w:t xml:space="preserve">Updated KM data (May 2019 data cut-off) were used to 30 months (median follow-up 22.3 months, range 0.1-39.1 months). This was updated from the previous submission. Previous submission extrapolated survival outcome from the last observation of January 2018 KN170 data (median follow-up 9.7 months). </w:t>
            </w:r>
          </w:p>
          <w:p w:rsidR="00ED3B16" w:rsidRPr="002B4AB6" w:rsidRDefault="00ED3B16" w:rsidP="00064F3F">
            <w:pPr>
              <w:pStyle w:val="TableText0"/>
            </w:pPr>
            <w:r w:rsidRPr="002B4AB6">
              <w:t xml:space="preserve">SOC: </w:t>
            </w:r>
          </w:p>
          <w:p w:rsidR="00ED3B16" w:rsidRPr="002B4AB6" w:rsidRDefault="00ED3B16" w:rsidP="00064F3F">
            <w:pPr>
              <w:pStyle w:val="TableText0"/>
              <w:rPr>
                <w:i/>
              </w:rPr>
            </w:pPr>
            <w:r w:rsidRPr="002B4AB6">
              <w:t>OS data were obtained from digitised OS curves. PFS data were generated assuming the same ratio of OS:PFS as that observed for pembrolizumab. The approach was unchanged from the previous submission, although the data source was changed.</w:t>
            </w:r>
          </w:p>
        </w:tc>
      </w:tr>
      <w:tr w:rsidR="00ED3B16" w:rsidRPr="002B4AB6" w:rsidTr="00064F3F">
        <w:tc>
          <w:tcPr>
            <w:tcW w:w="1396" w:type="pct"/>
            <w:shd w:val="clear" w:color="auto" w:fill="auto"/>
            <w:vAlign w:val="center"/>
          </w:tcPr>
          <w:p w:rsidR="00ED3B16" w:rsidRPr="002B4AB6" w:rsidRDefault="00ED3B16" w:rsidP="00064F3F">
            <w:pPr>
              <w:pStyle w:val="TableText0"/>
            </w:pPr>
            <w:r w:rsidRPr="002B4AB6">
              <w:t>Extrapolation method</w:t>
            </w:r>
          </w:p>
        </w:tc>
        <w:tc>
          <w:tcPr>
            <w:tcW w:w="3604" w:type="pct"/>
            <w:shd w:val="clear" w:color="auto" w:fill="auto"/>
            <w:vAlign w:val="center"/>
          </w:tcPr>
          <w:p w:rsidR="00ED3B16" w:rsidRPr="002B4AB6" w:rsidRDefault="00ED3B16" w:rsidP="00064F3F">
            <w:pPr>
              <w:pStyle w:val="TableText0"/>
            </w:pPr>
            <w:r w:rsidRPr="002B4AB6">
              <w:t>Log-logistic parametric model fitted to both treatment arms in the base case for both OS and PFS, based on visual inspection and R-squared test statistic. An ongoing treatment effect was assumed and there was no convergence of the survival curves within the modelled time horizon. This was unchanged from the previous submission.</w:t>
            </w:r>
          </w:p>
          <w:p w:rsidR="00ED3B16" w:rsidRPr="002B4AB6" w:rsidRDefault="00ED3B16" w:rsidP="00064F3F">
            <w:pPr>
              <w:pStyle w:val="TableText0"/>
              <w:rPr>
                <w:i/>
              </w:rPr>
            </w:pPr>
            <w:r w:rsidRPr="002B4AB6">
              <w:t>In the pembrolizumab arm, approximately 58% of QALYs and 1% of costs occurred in the extrapolated period (from 30 months). In the SOC arm, approximately 32% of QALYs and 1% of costs occurred in the extrapolated period (from 36 months for Cohort C).</w:t>
            </w:r>
          </w:p>
        </w:tc>
      </w:tr>
      <w:tr w:rsidR="00ED3B16" w:rsidRPr="002B4AB6" w:rsidTr="00064F3F">
        <w:tc>
          <w:tcPr>
            <w:tcW w:w="1396" w:type="pct"/>
            <w:shd w:val="clear" w:color="auto" w:fill="auto"/>
            <w:vAlign w:val="center"/>
          </w:tcPr>
          <w:p w:rsidR="00ED3B16" w:rsidRPr="002B4AB6" w:rsidRDefault="00ED3B16" w:rsidP="00064F3F">
            <w:pPr>
              <w:pStyle w:val="TableText0"/>
            </w:pPr>
            <w:r w:rsidRPr="002B4AB6">
              <w:t>Health related quality of life</w:t>
            </w:r>
          </w:p>
        </w:tc>
        <w:tc>
          <w:tcPr>
            <w:tcW w:w="3604" w:type="pct"/>
            <w:shd w:val="clear" w:color="auto" w:fill="auto"/>
            <w:vAlign w:val="center"/>
          </w:tcPr>
          <w:p w:rsidR="00ED3B16" w:rsidRPr="002B4AB6" w:rsidRDefault="00ED3B16" w:rsidP="00064F3F">
            <w:pPr>
              <w:pStyle w:val="TableText0"/>
              <w:rPr>
                <w:i/>
              </w:rPr>
            </w:pPr>
            <w:r w:rsidRPr="002B4AB6">
              <w:t>Utility values for progression-free and progressed disease states were sourced from KN170. This was unchanged from the previous submission.</w:t>
            </w:r>
          </w:p>
        </w:tc>
      </w:tr>
      <w:tr w:rsidR="00ED3B16" w:rsidRPr="002B4AB6" w:rsidTr="00064F3F">
        <w:tc>
          <w:tcPr>
            <w:tcW w:w="1396" w:type="pct"/>
            <w:shd w:val="clear" w:color="auto" w:fill="auto"/>
            <w:vAlign w:val="center"/>
          </w:tcPr>
          <w:p w:rsidR="00ED3B16" w:rsidRPr="002B4AB6" w:rsidRDefault="00ED3B16" w:rsidP="00064F3F">
            <w:pPr>
              <w:pStyle w:val="TableText0"/>
            </w:pPr>
            <w:r w:rsidRPr="002B4AB6">
              <w:t xml:space="preserve">Selection of cohorts in Vardhana 2018 as the proxy for the OS outcome of SOC </w:t>
            </w:r>
          </w:p>
        </w:tc>
        <w:tc>
          <w:tcPr>
            <w:tcW w:w="3604" w:type="pct"/>
            <w:shd w:val="clear" w:color="auto" w:fill="auto"/>
            <w:vAlign w:val="center"/>
          </w:tcPr>
          <w:p w:rsidR="00ED3B16" w:rsidRPr="002B4AB6" w:rsidRDefault="00ED3B16" w:rsidP="00064F3F">
            <w:pPr>
              <w:pStyle w:val="TableText0"/>
            </w:pPr>
            <w:r w:rsidRPr="002B4AB6">
              <w:t>Cohort C from Vardhana 2018 was used in the base case of economic evaluation. Cohort C consisted almost entirely of patients who were refractory to second line therapy, and</w:t>
            </w:r>
            <w:r w:rsidRPr="002B4AB6">
              <w:rPr>
                <w:bCs w:val="0"/>
              </w:rPr>
              <w:t xml:space="preserve"> represented a subgroup of the proposed PBS population with a relatively poor prognosis. </w:t>
            </w:r>
          </w:p>
        </w:tc>
      </w:tr>
    </w:tbl>
    <w:p w:rsidR="00ED3B16" w:rsidRPr="002B4AB6" w:rsidRDefault="00ED3B16" w:rsidP="00ED3B16">
      <w:pPr>
        <w:pStyle w:val="TableFigureFooter"/>
      </w:pPr>
      <w:r w:rsidRPr="002B4AB6">
        <w:t>Source: Table 3.1-1 p93, Section 3.3.2.2. p119, Section 3.4.2 p123, and Section 3.4.2.1 p123-4 of the resubmission.</w:t>
      </w:r>
    </w:p>
    <w:p w:rsidR="00ED3B16" w:rsidRPr="002B4AB6" w:rsidRDefault="00ED3B16" w:rsidP="00ED3B16">
      <w:pPr>
        <w:pStyle w:val="TableFigureFooter"/>
      </w:pPr>
      <w:r w:rsidRPr="002B4AB6">
        <w:t>KM = Kaplan-Meier; LYG = life years gained; OS = overall survival; PD = progressive disease; PFS = progression free survival; QALY = quality-adjusted life-years; SOC = standard of care.</w:t>
      </w:r>
    </w:p>
    <w:p w:rsidR="00ED3B16" w:rsidRPr="002B4AB6" w:rsidRDefault="00ED3B16" w:rsidP="00380034">
      <w:pPr>
        <w:pStyle w:val="3-BodyText"/>
        <w:numPr>
          <w:ilvl w:val="0"/>
          <w:numId w:val="0"/>
        </w:numPr>
        <w:ind w:left="720" w:hanging="720"/>
        <w:outlineLvl w:val="2"/>
        <w:rPr>
          <w:u w:val="single"/>
        </w:rPr>
      </w:pPr>
      <w:r w:rsidRPr="002B4AB6">
        <w:rPr>
          <w:u w:val="single"/>
        </w:rPr>
        <w:t>Clinical data applied in the economic model</w:t>
      </w:r>
    </w:p>
    <w:p w:rsidR="00ED3B16" w:rsidRPr="002B4AB6" w:rsidRDefault="00ED3B16" w:rsidP="00ED3B16">
      <w:pPr>
        <w:pStyle w:val="3-BodyText"/>
      </w:pPr>
      <w:bookmarkStart w:id="32" w:name="_Ref29977935"/>
      <w:r w:rsidRPr="002B4AB6">
        <w:t>As discussed above, the resubmission identified a number of patient cohorts in Vardhana 2018 in an attempt to determine the most appropriate outcome data to be applied in the SOC arm of the economic model (</w:t>
      </w:r>
      <w:r w:rsidR="002B39A5" w:rsidRPr="002B4AB6">
        <w:t xml:space="preserve">Table </w:t>
      </w:r>
      <w:r w:rsidR="002B39A5" w:rsidRPr="00956A61">
        <w:t>12</w:t>
      </w:r>
      <w:r w:rsidRPr="002B4AB6">
        <w:t>).</w:t>
      </w:r>
      <w:bookmarkEnd w:id="32"/>
    </w:p>
    <w:p w:rsidR="00ED3B16" w:rsidRPr="002B4AB6" w:rsidRDefault="00064F3F" w:rsidP="00064F3F">
      <w:pPr>
        <w:pStyle w:val="TableFigureHeading"/>
      </w:pPr>
      <w:bookmarkStart w:id="33" w:name="_Ref27378430"/>
      <w:r w:rsidRPr="002B4AB6">
        <w:lastRenderedPageBreak/>
        <w:t xml:space="preserve">Table </w:t>
      </w:r>
      <w:r w:rsidR="002B39A5" w:rsidRPr="00956A61">
        <w:t>12</w:t>
      </w:r>
      <w:bookmarkEnd w:id="33"/>
      <w:r w:rsidR="00ED3B16" w:rsidRPr="002B4AB6">
        <w:t>: Patient cohorts in Vardhana 2018 considered by the resubmission as potential proxies for the SOC arm</w:t>
      </w:r>
    </w:p>
    <w:tbl>
      <w:tblPr>
        <w:tblStyle w:val="TableGrid"/>
        <w:tblW w:w="5000" w:type="pct"/>
        <w:tblLook w:val="04A0" w:firstRow="1" w:lastRow="0" w:firstColumn="1" w:lastColumn="0" w:noHBand="0" w:noVBand="1"/>
        <w:tblCaption w:val="Table 12: Patient cohorts in Vardhana 2018 considered by the resubmission as potential proxies for the SOC arm"/>
      </w:tblPr>
      <w:tblGrid>
        <w:gridCol w:w="754"/>
        <w:gridCol w:w="2263"/>
        <w:gridCol w:w="3863"/>
        <w:gridCol w:w="2137"/>
      </w:tblGrid>
      <w:tr w:rsidR="00ED3B16" w:rsidRPr="002B4AB6" w:rsidTr="00064F3F">
        <w:trPr>
          <w:cantSplit/>
          <w:tblHeader/>
        </w:trPr>
        <w:tc>
          <w:tcPr>
            <w:tcW w:w="418" w:type="pct"/>
          </w:tcPr>
          <w:p w:rsidR="00ED3B16" w:rsidRPr="00492CD9" w:rsidRDefault="00ED3B16" w:rsidP="00064F3F">
            <w:pPr>
              <w:keepNext/>
              <w:jc w:val="left"/>
              <w:rPr>
                <w:rFonts w:ascii="Arial Narrow" w:eastAsiaTheme="majorEastAsia" w:hAnsi="Arial Narrow" w:cs="Times New Roman"/>
                <w:b/>
                <w:sz w:val="20"/>
              </w:rPr>
            </w:pPr>
            <w:r w:rsidRPr="00492CD9">
              <w:rPr>
                <w:rFonts w:ascii="Arial Narrow" w:eastAsiaTheme="majorEastAsia" w:hAnsi="Arial Narrow" w:cs="Times New Roman"/>
                <w:b/>
                <w:sz w:val="20"/>
              </w:rPr>
              <w:t>Cohort</w:t>
            </w:r>
          </w:p>
        </w:tc>
        <w:tc>
          <w:tcPr>
            <w:tcW w:w="1255" w:type="pct"/>
          </w:tcPr>
          <w:p w:rsidR="00ED3B16" w:rsidRPr="002B4AB6" w:rsidRDefault="00ED3B16" w:rsidP="00064F3F">
            <w:pPr>
              <w:keepNext/>
              <w:jc w:val="center"/>
              <w:rPr>
                <w:rFonts w:ascii="Arial Narrow" w:eastAsiaTheme="majorEastAsia" w:hAnsi="Arial Narrow" w:cs="Times New Roman"/>
                <w:b/>
                <w:sz w:val="20"/>
              </w:rPr>
            </w:pPr>
            <w:r w:rsidRPr="002B4AB6">
              <w:rPr>
                <w:rFonts w:ascii="Arial Narrow" w:eastAsiaTheme="majorEastAsia" w:hAnsi="Arial Narrow" w:cs="Times New Roman"/>
                <w:b/>
                <w:sz w:val="20"/>
              </w:rPr>
              <w:t>Definition/</w:t>
            </w:r>
            <w:r w:rsidRPr="002B4AB6">
              <w:rPr>
                <w:rFonts w:ascii="Arial Narrow" w:eastAsiaTheme="majorEastAsia" w:hAnsi="Arial Narrow" w:cs="Times New Roman"/>
                <w:b/>
                <w:sz w:val="20"/>
              </w:rPr>
              <w:br/>
              <w:t>OS at 3 years</w:t>
            </w:r>
          </w:p>
        </w:tc>
        <w:tc>
          <w:tcPr>
            <w:tcW w:w="2142" w:type="pct"/>
          </w:tcPr>
          <w:p w:rsidR="00ED3B16" w:rsidRPr="002B4AB6" w:rsidRDefault="00ED3B16" w:rsidP="00064F3F">
            <w:pPr>
              <w:keepNext/>
              <w:jc w:val="center"/>
              <w:rPr>
                <w:rFonts w:ascii="Arial Narrow" w:eastAsiaTheme="majorEastAsia" w:hAnsi="Arial Narrow" w:cs="Times New Roman"/>
                <w:b/>
                <w:sz w:val="20"/>
                <w:vertAlign w:val="superscript"/>
              </w:rPr>
            </w:pPr>
            <w:r w:rsidRPr="002B4AB6">
              <w:rPr>
                <w:rFonts w:ascii="Arial Narrow" w:eastAsiaTheme="majorEastAsia" w:hAnsi="Arial Narrow" w:cs="Times New Roman"/>
                <w:b/>
                <w:sz w:val="20"/>
              </w:rPr>
              <w:t>Comment in resubmission/</w:t>
            </w:r>
            <w:r w:rsidRPr="002B4AB6">
              <w:rPr>
                <w:rFonts w:ascii="Arial Narrow" w:eastAsiaTheme="majorEastAsia" w:hAnsi="Arial Narrow" w:cs="Times New Roman"/>
                <w:b/>
                <w:sz w:val="20"/>
              </w:rPr>
              <w:br/>
              <w:t>Applicability</w:t>
            </w:r>
            <w:r w:rsidRPr="002B4AB6">
              <w:rPr>
                <w:rFonts w:ascii="Arial Narrow" w:eastAsiaTheme="majorEastAsia" w:hAnsi="Arial Narrow" w:cs="Times New Roman"/>
                <w:b/>
                <w:sz w:val="20"/>
                <w:vertAlign w:val="superscript"/>
              </w:rPr>
              <w:t>a</w:t>
            </w:r>
          </w:p>
        </w:tc>
        <w:tc>
          <w:tcPr>
            <w:tcW w:w="1185" w:type="pct"/>
          </w:tcPr>
          <w:p w:rsidR="00ED3B16" w:rsidRPr="002B4AB6" w:rsidRDefault="00ED3B16" w:rsidP="00064F3F">
            <w:pPr>
              <w:keepNext/>
              <w:jc w:val="center"/>
              <w:rPr>
                <w:rFonts w:ascii="Arial Narrow" w:eastAsiaTheme="majorEastAsia" w:hAnsi="Arial Narrow" w:cs="Times New Roman"/>
                <w:b/>
                <w:caps/>
                <w:sz w:val="20"/>
                <w:vertAlign w:val="superscript"/>
              </w:rPr>
            </w:pPr>
            <w:r w:rsidRPr="002B4AB6">
              <w:rPr>
                <w:rFonts w:ascii="Arial Narrow" w:eastAsiaTheme="majorEastAsia" w:hAnsi="Arial Narrow" w:cs="Times New Roman"/>
                <w:b/>
                <w:sz w:val="20"/>
              </w:rPr>
              <w:t>Use in the model</w:t>
            </w:r>
            <w:r w:rsidRPr="002B4AB6">
              <w:rPr>
                <w:rFonts w:ascii="Arial Narrow" w:eastAsiaTheme="majorEastAsia" w:hAnsi="Arial Narrow" w:cs="Times New Roman"/>
                <w:b/>
                <w:sz w:val="20"/>
                <w:vertAlign w:val="superscript"/>
              </w:rPr>
              <w:t xml:space="preserve"> </w:t>
            </w:r>
          </w:p>
        </w:tc>
      </w:tr>
      <w:tr w:rsidR="00ED3B16" w:rsidRPr="002B4AB6" w:rsidTr="00064F3F">
        <w:trPr>
          <w:cantSplit/>
        </w:trPr>
        <w:tc>
          <w:tcPr>
            <w:tcW w:w="418" w:type="pct"/>
          </w:tcPr>
          <w:p w:rsidR="00ED3B16" w:rsidRPr="002B4AB6" w:rsidRDefault="00ED3B16" w:rsidP="00064F3F">
            <w:pPr>
              <w:keepLines/>
              <w:jc w:val="left"/>
              <w:rPr>
                <w:rFonts w:ascii="Arial Narrow" w:eastAsiaTheme="majorEastAsia" w:hAnsi="Arial Narrow" w:cstheme="majorBidi"/>
                <w:bCs/>
                <w:sz w:val="20"/>
              </w:rPr>
            </w:pPr>
            <w:r w:rsidRPr="002B4AB6">
              <w:rPr>
                <w:rFonts w:ascii="Arial Narrow" w:eastAsiaTheme="majorEastAsia" w:hAnsi="Arial Narrow" w:cstheme="majorBidi"/>
                <w:bCs/>
                <w:sz w:val="20"/>
              </w:rPr>
              <w:t>C</w:t>
            </w:r>
          </w:p>
          <w:p w:rsidR="00ED3B16" w:rsidRPr="002B4AB6" w:rsidRDefault="00ED3B16" w:rsidP="00064F3F">
            <w:pPr>
              <w:keepLines/>
              <w:jc w:val="left"/>
              <w:rPr>
                <w:rFonts w:ascii="Arial Narrow" w:eastAsiaTheme="majorEastAsia" w:hAnsi="Arial Narrow" w:cstheme="majorBidi"/>
                <w:bCs/>
                <w:sz w:val="20"/>
              </w:rPr>
            </w:pPr>
            <w:r w:rsidRPr="002B4AB6">
              <w:rPr>
                <w:rFonts w:ascii="Arial Narrow" w:eastAsiaTheme="majorEastAsia" w:hAnsi="Arial Narrow" w:cstheme="majorBidi"/>
                <w:bCs/>
                <w:sz w:val="20"/>
              </w:rPr>
              <w:t>n=22</w:t>
            </w:r>
          </w:p>
        </w:tc>
        <w:tc>
          <w:tcPr>
            <w:tcW w:w="1255" w:type="pct"/>
          </w:tcPr>
          <w:p w:rsidR="00ED3B16" w:rsidRPr="002B4AB6" w:rsidRDefault="00ED3B16" w:rsidP="00064F3F">
            <w:pPr>
              <w:keepLines/>
              <w:jc w:val="left"/>
              <w:rPr>
                <w:rFonts w:ascii="Arial Narrow" w:eastAsiaTheme="majorEastAsia" w:hAnsi="Arial Narrow" w:cstheme="majorBidi"/>
                <w:bCs/>
                <w:sz w:val="20"/>
              </w:rPr>
            </w:pPr>
            <w:r w:rsidRPr="002B4AB6">
              <w:rPr>
                <w:rFonts w:ascii="Arial Narrow" w:eastAsiaTheme="majorEastAsia" w:hAnsi="Arial Narrow" w:cstheme="majorBidi"/>
                <w:bCs/>
                <w:sz w:val="20"/>
              </w:rPr>
              <w:t>Combination of:</w:t>
            </w:r>
            <w:r w:rsidRPr="002B4AB6">
              <w:rPr>
                <w:rFonts w:ascii="Arial Narrow" w:eastAsiaTheme="majorEastAsia" w:hAnsi="Arial Narrow" w:cstheme="majorBidi"/>
                <w:bCs/>
                <w:sz w:val="20"/>
              </w:rPr>
              <w:br/>
              <w:t>patients who were refractory to salvage therapy but underwent ASCT (Cohort A), and</w:t>
            </w:r>
            <w:r w:rsidRPr="002B4AB6">
              <w:rPr>
                <w:rFonts w:ascii="Arial Narrow" w:eastAsiaTheme="majorEastAsia" w:hAnsi="Arial Narrow" w:cstheme="majorBidi"/>
                <w:bCs/>
                <w:sz w:val="20"/>
              </w:rPr>
              <w:br/>
              <w:t>patients who did not undergo ASCT (Cohort B)</w:t>
            </w:r>
          </w:p>
          <w:p w:rsidR="00ED3B16" w:rsidRPr="002B4AB6" w:rsidRDefault="00ED3B16" w:rsidP="00064F3F">
            <w:pPr>
              <w:keepLines/>
              <w:jc w:val="left"/>
              <w:rPr>
                <w:rFonts w:ascii="Arial Narrow" w:eastAsiaTheme="majorEastAsia" w:hAnsi="Arial Narrow" w:cstheme="majorBidi"/>
                <w:bCs/>
                <w:sz w:val="20"/>
              </w:rPr>
            </w:pPr>
          </w:p>
          <w:p w:rsidR="00ED3B16" w:rsidRPr="002B4AB6" w:rsidRDefault="00ED3B16" w:rsidP="00064F3F">
            <w:pPr>
              <w:keepLines/>
              <w:jc w:val="left"/>
              <w:rPr>
                <w:rFonts w:ascii="Arial Narrow" w:eastAsiaTheme="majorEastAsia" w:hAnsi="Arial Narrow" w:cstheme="majorBidi"/>
                <w:bCs/>
                <w:sz w:val="20"/>
              </w:rPr>
            </w:pPr>
            <w:r w:rsidRPr="002B4AB6">
              <w:rPr>
                <w:rFonts w:ascii="Arial Narrow" w:eastAsiaTheme="majorEastAsia" w:hAnsi="Arial Narrow" w:cstheme="majorBidi"/>
                <w:bCs/>
                <w:sz w:val="20"/>
              </w:rPr>
              <w:t>OS at 3 years: 4/22 (18%)</w:t>
            </w:r>
          </w:p>
        </w:tc>
        <w:tc>
          <w:tcPr>
            <w:tcW w:w="2142" w:type="pct"/>
          </w:tcPr>
          <w:p w:rsidR="00ED3B16" w:rsidRPr="002B4AB6" w:rsidRDefault="00ED3B16" w:rsidP="00064F3F">
            <w:pPr>
              <w:keepLines/>
              <w:jc w:val="left"/>
              <w:rPr>
                <w:rFonts w:ascii="Arial Narrow" w:eastAsiaTheme="majorEastAsia" w:hAnsi="Arial Narrow" w:cstheme="majorBidi"/>
                <w:bCs/>
                <w:sz w:val="20"/>
              </w:rPr>
            </w:pPr>
            <w:r w:rsidRPr="002B4AB6">
              <w:rPr>
                <w:rFonts w:ascii="Arial Narrow" w:eastAsiaTheme="majorEastAsia" w:hAnsi="Arial Narrow" w:cstheme="majorBidi"/>
                <w:bCs/>
                <w:sz w:val="20"/>
              </w:rPr>
              <w:t>Patients in Cohort A are unlikely to have been considered for ASCT in the Australian setting.</w:t>
            </w:r>
          </w:p>
          <w:p w:rsidR="00ED3B16" w:rsidRPr="002B4AB6" w:rsidRDefault="00ED3B16" w:rsidP="00064F3F">
            <w:pPr>
              <w:keepLines/>
              <w:spacing w:after="120"/>
              <w:jc w:val="left"/>
              <w:rPr>
                <w:rFonts w:ascii="Arial Narrow" w:eastAsiaTheme="majorEastAsia" w:hAnsi="Arial Narrow" w:cstheme="majorBidi"/>
                <w:bCs/>
                <w:sz w:val="20"/>
              </w:rPr>
            </w:pPr>
            <w:r w:rsidRPr="002B4AB6">
              <w:rPr>
                <w:rFonts w:ascii="Arial Narrow" w:eastAsiaTheme="majorEastAsia" w:hAnsi="Arial Narrow" w:cstheme="majorBidi"/>
                <w:bCs/>
                <w:sz w:val="20"/>
              </w:rPr>
              <w:t>7 of the 9 patients in Cohort B were refractory to first line chemotherapy and 8 of the 9 patients were refractory to second line chemotherapy (1 patient was eligible for, but refused, ASCT)</w:t>
            </w:r>
            <w:r w:rsidRPr="002B4AB6">
              <w:rPr>
                <w:rFonts w:ascii="Arial Narrow" w:eastAsiaTheme="majorEastAsia" w:hAnsi="Arial Narrow" w:cstheme="majorBidi"/>
                <w:bCs/>
                <w:sz w:val="20"/>
                <w:vertAlign w:val="superscript"/>
              </w:rPr>
              <w:t>b</w:t>
            </w:r>
            <w:r w:rsidRPr="002B4AB6">
              <w:rPr>
                <w:rFonts w:ascii="Arial Narrow" w:eastAsiaTheme="majorEastAsia" w:hAnsi="Arial Narrow" w:cstheme="majorBidi"/>
                <w:bCs/>
                <w:sz w:val="20"/>
              </w:rPr>
              <w:t>. Both Cohort A and B represented subgroups of the proposed PBS population with a relatively poor prognosis.</w:t>
            </w:r>
          </w:p>
          <w:p w:rsidR="00ED3B16" w:rsidRPr="002B4AB6" w:rsidRDefault="00ED3B16" w:rsidP="00064F3F">
            <w:pPr>
              <w:keepLines/>
              <w:jc w:val="left"/>
              <w:rPr>
                <w:rFonts w:ascii="Arial Narrow" w:eastAsiaTheme="majorEastAsia" w:hAnsi="Arial Narrow" w:cstheme="majorBidi"/>
                <w:bCs/>
                <w:i/>
                <w:sz w:val="20"/>
              </w:rPr>
            </w:pPr>
            <w:r w:rsidRPr="002B4AB6">
              <w:rPr>
                <w:rFonts w:ascii="Arial Narrow" w:eastAsiaTheme="majorEastAsia" w:hAnsi="Arial Narrow" w:cstheme="majorBidi"/>
                <w:bCs/>
                <w:sz w:val="20"/>
              </w:rPr>
              <w:t>The combined cohort was not representative of the entire proposed PBS population, and its use is likely to have underestimated the outcomes associated with standard practice.</w:t>
            </w:r>
          </w:p>
        </w:tc>
        <w:tc>
          <w:tcPr>
            <w:tcW w:w="1185" w:type="pct"/>
          </w:tcPr>
          <w:p w:rsidR="00ED3B16" w:rsidRPr="002B4AB6" w:rsidRDefault="00ED3B16" w:rsidP="00064F3F">
            <w:pPr>
              <w:keepLines/>
              <w:jc w:val="left"/>
              <w:rPr>
                <w:rFonts w:ascii="Arial Narrow" w:eastAsiaTheme="majorEastAsia" w:hAnsi="Arial Narrow" w:cstheme="majorBidi"/>
                <w:bCs/>
                <w:sz w:val="20"/>
              </w:rPr>
            </w:pPr>
            <w:r w:rsidRPr="002B4AB6">
              <w:rPr>
                <w:rFonts w:ascii="Arial Narrow" w:eastAsiaTheme="majorEastAsia" w:hAnsi="Arial Narrow" w:cstheme="majorBidi"/>
                <w:bCs/>
                <w:sz w:val="20"/>
              </w:rPr>
              <w:t>This cohort was used to inform the SOC arm in the base case of the model.</w:t>
            </w:r>
          </w:p>
          <w:p w:rsidR="00ED3B16" w:rsidRPr="002B4AB6" w:rsidRDefault="00ED3B16" w:rsidP="00064F3F">
            <w:pPr>
              <w:keepLines/>
              <w:jc w:val="left"/>
              <w:rPr>
                <w:rFonts w:ascii="Arial Narrow" w:eastAsiaTheme="majorEastAsia" w:hAnsi="Arial Narrow" w:cstheme="majorBidi"/>
                <w:bCs/>
                <w:sz w:val="20"/>
              </w:rPr>
            </w:pPr>
          </w:p>
          <w:p w:rsidR="00ED3B16" w:rsidRPr="002B4AB6" w:rsidRDefault="00ED3B16" w:rsidP="00064F3F">
            <w:pPr>
              <w:keepLines/>
              <w:jc w:val="left"/>
              <w:rPr>
                <w:rFonts w:ascii="Arial Narrow" w:eastAsiaTheme="majorEastAsia" w:hAnsi="Arial Narrow" w:cstheme="majorBidi"/>
                <w:bCs/>
                <w:sz w:val="20"/>
              </w:rPr>
            </w:pPr>
            <w:r w:rsidRPr="002B4AB6">
              <w:rPr>
                <w:rFonts w:ascii="Arial Narrow" w:eastAsiaTheme="majorEastAsia" w:hAnsi="Arial Narrow" w:cstheme="majorBidi"/>
                <w:bCs/>
                <w:sz w:val="20"/>
              </w:rPr>
              <w:t xml:space="preserve">The OS curve for Cohort C was constructed by assuming the same shape as that for Cohort E, adjusting for the 3-year survival rate. </w:t>
            </w:r>
          </w:p>
          <w:p w:rsidR="00ED3B16" w:rsidRPr="002B4AB6" w:rsidRDefault="00ED3B16" w:rsidP="00064F3F">
            <w:pPr>
              <w:keepLines/>
              <w:jc w:val="left"/>
              <w:rPr>
                <w:rFonts w:ascii="Arial Narrow" w:eastAsiaTheme="majorEastAsia" w:hAnsi="Arial Narrow" w:cstheme="majorBidi"/>
                <w:bCs/>
                <w:i/>
                <w:sz w:val="20"/>
              </w:rPr>
            </w:pPr>
          </w:p>
        </w:tc>
      </w:tr>
      <w:tr w:rsidR="00ED3B16" w:rsidRPr="002B4AB6" w:rsidTr="00064F3F">
        <w:trPr>
          <w:cantSplit/>
        </w:trPr>
        <w:tc>
          <w:tcPr>
            <w:tcW w:w="418" w:type="pct"/>
          </w:tcPr>
          <w:p w:rsidR="00ED3B16" w:rsidRPr="002B4AB6" w:rsidRDefault="00ED3B16" w:rsidP="00064F3F">
            <w:pPr>
              <w:keepNext/>
              <w:keepLines/>
              <w:jc w:val="left"/>
              <w:rPr>
                <w:rFonts w:ascii="Arial Narrow" w:eastAsiaTheme="majorEastAsia" w:hAnsi="Arial Narrow" w:cstheme="majorBidi"/>
                <w:bCs/>
                <w:sz w:val="20"/>
              </w:rPr>
            </w:pPr>
            <w:r w:rsidRPr="002B4AB6">
              <w:rPr>
                <w:rFonts w:ascii="Arial Narrow" w:eastAsiaTheme="majorEastAsia" w:hAnsi="Arial Narrow" w:cstheme="majorBidi"/>
                <w:bCs/>
                <w:sz w:val="20"/>
              </w:rPr>
              <w:t>D</w:t>
            </w:r>
          </w:p>
          <w:p w:rsidR="00ED3B16" w:rsidRPr="002B4AB6" w:rsidRDefault="00ED3B16" w:rsidP="00064F3F">
            <w:pPr>
              <w:keepNext/>
              <w:keepLines/>
              <w:jc w:val="left"/>
              <w:rPr>
                <w:rFonts w:ascii="Arial Narrow" w:eastAsiaTheme="majorEastAsia" w:hAnsi="Arial Narrow" w:cstheme="majorBidi"/>
                <w:bCs/>
                <w:sz w:val="20"/>
                <w:vertAlign w:val="superscript"/>
              </w:rPr>
            </w:pPr>
            <w:r w:rsidRPr="002B4AB6">
              <w:rPr>
                <w:rFonts w:ascii="Arial Narrow" w:eastAsiaTheme="majorEastAsia" w:hAnsi="Arial Narrow" w:cstheme="majorBidi"/>
                <w:bCs/>
                <w:sz w:val="20"/>
              </w:rPr>
              <w:t>n=31</w:t>
            </w:r>
          </w:p>
        </w:tc>
        <w:tc>
          <w:tcPr>
            <w:tcW w:w="1255" w:type="pct"/>
          </w:tcPr>
          <w:p w:rsidR="00ED3B16" w:rsidRPr="002B4AB6" w:rsidRDefault="00ED3B16" w:rsidP="00064F3F">
            <w:pPr>
              <w:keepNext/>
              <w:keepLines/>
              <w:jc w:val="left"/>
              <w:rPr>
                <w:rFonts w:ascii="Arial Narrow" w:eastAsiaTheme="majorEastAsia" w:hAnsi="Arial Narrow" w:cstheme="majorBidi"/>
                <w:bCs/>
                <w:sz w:val="20"/>
              </w:rPr>
            </w:pPr>
            <w:r w:rsidRPr="002B4AB6">
              <w:rPr>
                <w:rFonts w:ascii="Arial Narrow" w:eastAsiaTheme="majorEastAsia" w:hAnsi="Arial Narrow" w:cstheme="majorBidi"/>
                <w:bCs/>
                <w:sz w:val="20"/>
              </w:rPr>
              <w:t>Patients who were refractory to first line chemotherapy OR had advanced Ann Arbor stage disease (stage III-IV) at first relapse</w:t>
            </w:r>
            <w:r w:rsidRPr="002B4AB6">
              <w:rPr>
                <w:rFonts w:ascii="Arial Narrow" w:eastAsiaTheme="majorEastAsia" w:hAnsi="Arial Narrow" w:cstheme="majorBidi"/>
                <w:bCs/>
                <w:sz w:val="20"/>
                <w:vertAlign w:val="superscript"/>
              </w:rPr>
              <w:t>c</w:t>
            </w:r>
          </w:p>
          <w:p w:rsidR="00ED3B16" w:rsidRPr="002B4AB6" w:rsidRDefault="00ED3B16" w:rsidP="00064F3F">
            <w:pPr>
              <w:keepNext/>
              <w:keepLines/>
              <w:jc w:val="left"/>
              <w:rPr>
                <w:rFonts w:ascii="Arial Narrow" w:eastAsiaTheme="majorEastAsia" w:hAnsi="Arial Narrow" w:cstheme="majorBidi"/>
                <w:bCs/>
                <w:sz w:val="20"/>
              </w:rPr>
            </w:pPr>
          </w:p>
          <w:p w:rsidR="00ED3B16" w:rsidRPr="002B4AB6" w:rsidRDefault="00ED3B16" w:rsidP="00064F3F">
            <w:pPr>
              <w:keepNext/>
              <w:keepLines/>
              <w:jc w:val="left"/>
              <w:rPr>
                <w:rFonts w:ascii="Arial Narrow" w:eastAsiaTheme="majorEastAsia" w:hAnsi="Arial Narrow" w:cstheme="majorBidi"/>
                <w:bCs/>
                <w:sz w:val="20"/>
                <w:vertAlign w:val="superscript"/>
              </w:rPr>
            </w:pPr>
            <w:r w:rsidRPr="002B4AB6">
              <w:rPr>
                <w:rFonts w:ascii="Arial Narrow" w:eastAsiaTheme="majorEastAsia" w:hAnsi="Arial Narrow" w:cstheme="majorBidi"/>
                <w:bCs/>
                <w:sz w:val="20"/>
              </w:rPr>
              <w:t>OS at 3 years: 63%</w:t>
            </w:r>
            <w:r w:rsidRPr="002B4AB6">
              <w:rPr>
                <w:rFonts w:ascii="Arial Narrow" w:eastAsiaTheme="majorEastAsia" w:hAnsi="Arial Narrow" w:cstheme="majorBidi"/>
                <w:bCs/>
                <w:sz w:val="20"/>
                <w:vertAlign w:val="superscript"/>
              </w:rPr>
              <w:t>d</w:t>
            </w:r>
          </w:p>
        </w:tc>
        <w:tc>
          <w:tcPr>
            <w:tcW w:w="2142" w:type="pct"/>
          </w:tcPr>
          <w:p w:rsidR="00ED3B16" w:rsidRPr="002B4AB6" w:rsidRDefault="00ED3B16" w:rsidP="00064F3F">
            <w:pPr>
              <w:keepNext/>
              <w:keepLines/>
              <w:spacing w:after="120"/>
              <w:jc w:val="left"/>
              <w:rPr>
                <w:rFonts w:ascii="Arial Narrow" w:eastAsiaTheme="majorEastAsia" w:hAnsi="Arial Narrow" w:cstheme="majorBidi"/>
                <w:bCs/>
                <w:sz w:val="20"/>
              </w:rPr>
            </w:pPr>
            <w:r w:rsidRPr="002B4AB6">
              <w:rPr>
                <w:rFonts w:ascii="Arial Narrow" w:eastAsiaTheme="majorEastAsia" w:hAnsi="Arial Narrow" w:cstheme="majorBidi"/>
                <w:bCs/>
                <w:sz w:val="20"/>
              </w:rPr>
              <w:t>Included a proportion of patients who were primary relapsed rather than primary refractory and not necessarily chemo-insensitive to second line therapy.</w:t>
            </w:r>
          </w:p>
          <w:p w:rsidR="00ED3B16" w:rsidRPr="002B4AB6" w:rsidRDefault="00ED3B16" w:rsidP="00064F3F">
            <w:pPr>
              <w:keepNext/>
              <w:keepLines/>
              <w:jc w:val="left"/>
              <w:rPr>
                <w:rFonts w:ascii="Arial Narrow" w:eastAsiaTheme="majorEastAsia" w:hAnsi="Arial Narrow" w:cstheme="majorBidi"/>
                <w:bCs/>
                <w:sz w:val="20"/>
              </w:rPr>
            </w:pPr>
            <w:r w:rsidRPr="002B4AB6">
              <w:rPr>
                <w:rFonts w:ascii="Arial Narrow" w:eastAsiaTheme="majorEastAsia" w:hAnsi="Arial Narrow" w:cstheme="majorBidi"/>
                <w:bCs/>
                <w:sz w:val="20"/>
              </w:rPr>
              <w:t>The resubmission stated that the use of this cohort was likely to highly overestimate OS because many patients in this group received ASCT.</w:t>
            </w:r>
          </w:p>
        </w:tc>
        <w:tc>
          <w:tcPr>
            <w:tcW w:w="1185" w:type="pct"/>
          </w:tcPr>
          <w:p w:rsidR="00ED3B16" w:rsidRPr="002B4AB6" w:rsidRDefault="00ED3B16" w:rsidP="00064F3F">
            <w:pPr>
              <w:keepNext/>
              <w:keepLines/>
              <w:jc w:val="left"/>
              <w:rPr>
                <w:rFonts w:ascii="Arial Narrow" w:eastAsiaTheme="majorEastAsia" w:hAnsi="Arial Narrow" w:cstheme="majorBidi"/>
                <w:bCs/>
                <w:sz w:val="20"/>
              </w:rPr>
            </w:pPr>
            <w:r w:rsidRPr="002B4AB6">
              <w:rPr>
                <w:rFonts w:ascii="Arial Narrow" w:eastAsiaTheme="majorEastAsia" w:hAnsi="Arial Narrow" w:cstheme="majorBidi"/>
                <w:bCs/>
                <w:sz w:val="20"/>
              </w:rPr>
              <w:t xml:space="preserve">Not used in the economic model. </w:t>
            </w:r>
          </w:p>
          <w:p w:rsidR="00ED3B16" w:rsidRPr="002B4AB6" w:rsidRDefault="00ED3B16" w:rsidP="00064F3F">
            <w:pPr>
              <w:keepNext/>
              <w:keepLines/>
              <w:jc w:val="left"/>
              <w:rPr>
                <w:rFonts w:ascii="Arial Narrow" w:eastAsiaTheme="majorEastAsia" w:hAnsi="Arial Narrow" w:cstheme="majorBidi"/>
                <w:bCs/>
                <w:i/>
                <w:sz w:val="20"/>
              </w:rPr>
            </w:pPr>
            <w:r w:rsidRPr="002B4AB6">
              <w:rPr>
                <w:rFonts w:ascii="Arial Narrow" w:eastAsiaTheme="majorEastAsia" w:hAnsi="Arial Narrow" w:cstheme="majorBidi"/>
                <w:bCs/>
                <w:sz w:val="20"/>
              </w:rPr>
              <w:t>No sensitivity analysis provided for this cohort.</w:t>
            </w:r>
          </w:p>
        </w:tc>
      </w:tr>
      <w:tr w:rsidR="00ED3B16" w:rsidRPr="002B4AB6" w:rsidTr="00064F3F">
        <w:trPr>
          <w:cantSplit/>
        </w:trPr>
        <w:tc>
          <w:tcPr>
            <w:tcW w:w="418" w:type="pct"/>
          </w:tcPr>
          <w:p w:rsidR="00ED3B16" w:rsidRPr="002B4AB6" w:rsidRDefault="00ED3B16" w:rsidP="00064F3F">
            <w:pPr>
              <w:keepLines/>
              <w:jc w:val="left"/>
              <w:rPr>
                <w:rFonts w:ascii="Arial Narrow" w:eastAsiaTheme="majorEastAsia" w:hAnsi="Arial Narrow" w:cstheme="majorBidi"/>
                <w:bCs/>
                <w:sz w:val="20"/>
              </w:rPr>
            </w:pPr>
            <w:r w:rsidRPr="002B4AB6">
              <w:rPr>
                <w:rFonts w:ascii="Arial Narrow" w:eastAsiaTheme="majorEastAsia" w:hAnsi="Arial Narrow" w:cstheme="majorBidi"/>
                <w:bCs/>
                <w:sz w:val="20"/>
              </w:rPr>
              <w:t>E</w:t>
            </w:r>
          </w:p>
          <w:p w:rsidR="00ED3B16" w:rsidRPr="002B4AB6" w:rsidRDefault="00ED3B16" w:rsidP="00064F3F">
            <w:pPr>
              <w:keepLines/>
              <w:jc w:val="left"/>
              <w:rPr>
                <w:rFonts w:ascii="Arial Narrow" w:eastAsiaTheme="majorEastAsia" w:hAnsi="Arial Narrow" w:cstheme="majorBidi"/>
                <w:bCs/>
                <w:sz w:val="20"/>
                <w:vertAlign w:val="superscript"/>
              </w:rPr>
            </w:pPr>
            <w:r w:rsidRPr="002B4AB6">
              <w:rPr>
                <w:rFonts w:ascii="Arial Narrow" w:eastAsiaTheme="majorEastAsia" w:hAnsi="Arial Narrow" w:cstheme="majorBidi"/>
                <w:bCs/>
                <w:sz w:val="20"/>
              </w:rPr>
              <w:t>n=14</w:t>
            </w:r>
          </w:p>
        </w:tc>
        <w:tc>
          <w:tcPr>
            <w:tcW w:w="1255" w:type="pct"/>
          </w:tcPr>
          <w:p w:rsidR="00ED3B16" w:rsidRPr="002B4AB6" w:rsidRDefault="00ED3B16" w:rsidP="00064F3F">
            <w:pPr>
              <w:keepLines/>
              <w:jc w:val="left"/>
              <w:rPr>
                <w:rFonts w:ascii="Arial Narrow" w:eastAsiaTheme="majorEastAsia" w:hAnsi="Arial Narrow" w:cstheme="majorBidi"/>
                <w:bCs/>
                <w:sz w:val="20"/>
                <w:vertAlign w:val="superscript"/>
              </w:rPr>
            </w:pPr>
            <w:r w:rsidRPr="002B4AB6">
              <w:rPr>
                <w:rFonts w:ascii="Arial Narrow" w:eastAsiaTheme="majorEastAsia" w:hAnsi="Arial Narrow" w:cstheme="majorBidi"/>
                <w:bCs/>
                <w:sz w:val="20"/>
              </w:rPr>
              <w:t>Patients who were refractory to first line chemotherapy AND had advanced Ann Arbor stage disease at first relapse</w:t>
            </w:r>
            <w:r w:rsidRPr="002B4AB6">
              <w:rPr>
                <w:rFonts w:ascii="Arial Narrow" w:eastAsiaTheme="majorEastAsia" w:hAnsi="Arial Narrow" w:cstheme="majorBidi"/>
                <w:bCs/>
                <w:sz w:val="20"/>
                <w:vertAlign w:val="superscript"/>
              </w:rPr>
              <w:t>c</w:t>
            </w:r>
          </w:p>
          <w:p w:rsidR="00ED3B16" w:rsidRPr="002B4AB6" w:rsidRDefault="00ED3B16" w:rsidP="00064F3F">
            <w:pPr>
              <w:keepLines/>
              <w:jc w:val="left"/>
              <w:rPr>
                <w:rFonts w:ascii="Arial Narrow" w:eastAsiaTheme="majorEastAsia" w:hAnsi="Arial Narrow" w:cstheme="majorBidi"/>
                <w:bCs/>
                <w:sz w:val="20"/>
              </w:rPr>
            </w:pPr>
          </w:p>
          <w:p w:rsidR="00ED3B16" w:rsidRPr="002B4AB6" w:rsidRDefault="00ED3B16" w:rsidP="00064F3F">
            <w:pPr>
              <w:keepLines/>
              <w:jc w:val="left"/>
              <w:rPr>
                <w:rFonts w:ascii="Arial Narrow" w:eastAsiaTheme="majorEastAsia" w:hAnsi="Arial Narrow" w:cstheme="majorBidi"/>
                <w:bCs/>
                <w:sz w:val="20"/>
                <w:vertAlign w:val="superscript"/>
              </w:rPr>
            </w:pPr>
            <w:r w:rsidRPr="002B4AB6">
              <w:rPr>
                <w:rFonts w:ascii="Arial Narrow" w:eastAsiaTheme="majorEastAsia" w:hAnsi="Arial Narrow" w:cstheme="majorBidi"/>
                <w:bCs/>
                <w:sz w:val="20"/>
              </w:rPr>
              <w:t>OS at 3 years: 21%</w:t>
            </w:r>
            <w:r w:rsidRPr="002B4AB6">
              <w:rPr>
                <w:rFonts w:ascii="Arial Narrow" w:eastAsiaTheme="majorEastAsia" w:hAnsi="Arial Narrow" w:cstheme="majorBidi"/>
                <w:bCs/>
                <w:sz w:val="20"/>
                <w:vertAlign w:val="superscript"/>
              </w:rPr>
              <w:t>d</w:t>
            </w:r>
          </w:p>
        </w:tc>
        <w:tc>
          <w:tcPr>
            <w:tcW w:w="2142" w:type="pct"/>
          </w:tcPr>
          <w:p w:rsidR="00ED3B16" w:rsidRPr="002B4AB6" w:rsidRDefault="00ED3B16" w:rsidP="00064F3F">
            <w:pPr>
              <w:keepLines/>
              <w:spacing w:after="120"/>
              <w:jc w:val="left"/>
              <w:rPr>
                <w:rFonts w:ascii="Arial Narrow" w:eastAsiaTheme="majorEastAsia" w:hAnsi="Arial Narrow" w:cstheme="majorBidi"/>
                <w:bCs/>
                <w:sz w:val="20"/>
              </w:rPr>
            </w:pPr>
            <w:r w:rsidRPr="002B4AB6">
              <w:rPr>
                <w:rFonts w:ascii="Arial Narrow" w:eastAsiaTheme="majorEastAsia" w:hAnsi="Arial Narrow" w:cstheme="majorBidi"/>
                <w:bCs/>
                <w:sz w:val="20"/>
              </w:rPr>
              <w:t xml:space="preserve">Poor prognosis factors for response to salvage and OS. As acknowledged by the resubmission, these patients were those who responded poorly to second line chemotherapy. </w:t>
            </w:r>
          </w:p>
          <w:p w:rsidR="00ED3B16" w:rsidRPr="002B4AB6" w:rsidRDefault="00ED3B16" w:rsidP="00064F3F">
            <w:pPr>
              <w:keepLines/>
              <w:jc w:val="left"/>
              <w:rPr>
                <w:rFonts w:ascii="Arial Narrow" w:eastAsiaTheme="majorEastAsia" w:hAnsi="Arial Narrow" w:cstheme="majorBidi"/>
                <w:bCs/>
                <w:sz w:val="20"/>
              </w:rPr>
            </w:pPr>
            <w:r w:rsidRPr="002B4AB6">
              <w:rPr>
                <w:rFonts w:ascii="Arial Narrow" w:eastAsiaTheme="majorEastAsia" w:hAnsi="Arial Narrow" w:cstheme="majorBidi"/>
                <w:bCs/>
                <w:sz w:val="20"/>
              </w:rPr>
              <w:t>The resubmission stated that the use of this cohort was likely to overestimate OS. The exclusion of all patients who responded to first line therapy but who subsequently relapsed and would potentially have been eligible for pembrolizumab is likely to have underestimated the benefits associated with standard practice.</w:t>
            </w:r>
          </w:p>
        </w:tc>
        <w:tc>
          <w:tcPr>
            <w:tcW w:w="1185" w:type="pct"/>
          </w:tcPr>
          <w:p w:rsidR="00ED3B16" w:rsidRPr="002B4AB6" w:rsidRDefault="00ED3B16" w:rsidP="00064F3F">
            <w:pPr>
              <w:keepLines/>
              <w:jc w:val="left"/>
              <w:rPr>
                <w:rFonts w:ascii="Arial Narrow" w:eastAsiaTheme="majorEastAsia" w:hAnsi="Arial Narrow" w:cstheme="majorBidi"/>
                <w:bCs/>
                <w:sz w:val="20"/>
              </w:rPr>
            </w:pPr>
            <w:r w:rsidRPr="002B4AB6">
              <w:rPr>
                <w:rFonts w:ascii="Arial Narrow" w:eastAsiaTheme="majorEastAsia" w:hAnsi="Arial Narrow" w:cstheme="majorBidi"/>
                <w:bCs/>
                <w:sz w:val="20"/>
              </w:rPr>
              <w:t>A sensitivity analysis based on Cohort E was provided.</w:t>
            </w:r>
          </w:p>
        </w:tc>
      </w:tr>
    </w:tbl>
    <w:p w:rsidR="00ED3B16" w:rsidRPr="002B4AB6" w:rsidRDefault="00ED3B16" w:rsidP="00ED3B16">
      <w:pPr>
        <w:spacing w:after="120"/>
        <w:contextualSpacing/>
        <w:rPr>
          <w:rFonts w:ascii="Arial Narrow" w:hAnsi="Arial Narrow"/>
          <w:snapToGrid w:val="0"/>
          <w:sz w:val="18"/>
          <w:szCs w:val="22"/>
        </w:rPr>
      </w:pPr>
      <w:r w:rsidRPr="002B4AB6">
        <w:rPr>
          <w:rFonts w:ascii="Arial Narrow" w:hAnsi="Arial Narrow"/>
          <w:snapToGrid w:val="0"/>
          <w:sz w:val="18"/>
          <w:szCs w:val="22"/>
        </w:rPr>
        <w:t>Source: Table 3.3-1, pp117-118 of the resubmission.</w:t>
      </w:r>
    </w:p>
    <w:p w:rsidR="00ED3B16" w:rsidRPr="002B4AB6" w:rsidRDefault="00ED3B16" w:rsidP="00ED3B16">
      <w:pPr>
        <w:spacing w:after="120"/>
        <w:contextualSpacing/>
        <w:rPr>
          <w:rFonts w:ascii="Arial Narrow" w:hAnsi="Arial Narrow"/>
          <w:snapToGrid w:val="0"/>
          <w:sz w:val="18"/>
          <w:szCs w:val="22"/>
        </w:rPr>
      </w:pPr>
      <w:r w:rsidRPr="002B4AB6">
        <w:rPr>
          <w:rFonts w:ascii="Arial Narrow" w:hAnsi="Arial Narrow"/>
          <w:snapToGrid w:val="0"/>
          <w:sz w:val="18"/>
          <w:szCs w:val="22"/>
        </w:rPr>
        <w:t>ASCT = autologous stem cell transplantation; OS = overall survival; SOC = standard of care.</w:t>
      </w:r>
    </w:p>
    <w:p w:rsidR="00ED3B16" w:rsidRPr="002B4AB6" w:rsidRDefault="00ED3B16" w:rsidP="00ED3B16">
      <w:pPr>
        <w:spacing w:after="120"/>
        <w:contextualSpacing/>
        <w:rPr>
          <w:rFonts w:ascii="Arial Narrow" w:hAnsi="Arial Narrow"/>
          <w:snapToGrid w:val="0"/>
          <w:sz w:val="18"/>
          <w:szCs w:val="22"/>
        </w:rPr>
      </w:pPr>
      <w:r w:rsidRPr="002B4AB6">
        <w:rPr>
          <w:rFonts w:ascii="Arial Narrow" w:hAnsi="Arial Narrow"/>
          <w:snapToGrid w:val="0"/>
          <w:sz w:val="18"/>
          <w:szCs w:val="22"/>
          <w:vertAlign w:val="superscript"/>
        </w:rPr>
        <w:t>a</w:t>
      </w:r>
      <w:r w:rsidRPr="002B4AB6">
        <w:rPr>
          <w:rFonts w:ascii="Arial Narrow" w:hAnsi="Arial Narrow"/>
          <w:snapToGrid w:val="0"/>
          <w:sz w:val="18"/>
          <w:szCs w:val="22"/>
        </w:rPr>
        <w:t xml:space="preserve"> As stated in the resubmission</w:t>
      </w:r>
    </w:p>
    <w:p w:rsidR="00ED3B16" w:rsidRPr="002B4AB6" w:rsidRDefault="00ED3B16" w:rsidP="00ED3B16">
      <w:pPr>
        <w:spacing w:after="120"/>
        <w:contextualSpacing/>
        <w:rPr>
          <w:rFonts w:ascii="Arial Narrow" w:hAnsi="Arial Narrow"/>
          <w:snapToGrid w:val="0"/>
          <w:sz w:val="18"/>
          <w:szCs w:val="22"/>
        </w:rPr>
      </w:pPr>
      <w:r w:rsidRPr="002B4AB6">
        <w:rPr>
          <w:rFonts w:ascii="Arial Narrow" w:hAnsi="Arial Narrow"/>
          <w:snapToGrid w:val="0"/>
          <w:sz w:val="18"/>
          <w:szCs w:val="22"/>
          <w:vertAlign w:val="superscript"/>
        </w:rPr>
        <w:t>b</w:t>
      </w:r>
      <w:r w:rsidRPr="002B4AB6">
        <w:rPr>
          <w:rFonts w:ascii="Arial Narrow" w:hAnsi="Arial Narrow"/>
          <w:snapToGrid w:val="0"/>
          <w:sz w:val="18"/>
          <w:szCs w:val="22"/>
        </w:rPr>
        <w:t xml:space="preserve"> In Cohort B, 2 patients were alive at last follow-up: 1 who was eligible for but refused ASCT, and 1 who was treated with an immune checkpoint inhibitor.</w:t>
      </w:r>
    </w:p>
    <w:p w:rsidR="00ED3B16" w:rsidRPr="002B4AB6" w:rsidRDefault="00ED3B16" w:rsidP="00ED3B16">
      <w:pPr>
        <w:spacing w:after="120"/>
        <w:ind w:left="142" w:hanging="142"/>
        <w:contextualSpacing/>
        <w:rPr>
          <w:rFonts w:ascii="Arial Narrow" w:hAnsi="Arial Narrow"/>
          <w:snapToGrid w:val="0"/>
          <w:sz w:val="18"/>
          <w:szCs w:val="22"/>
        </w:rPr>
      </w:pPr>
      <w:r w:rsidRPr="002B4AB6">
        <w:rPr>
          <w:rFonts w:ascii="Arial Narrow" w:hAnsi="Arial Narrow"/>
          <w:snapToGrid w:val="0"/>
          <w:sz w:val="18"/>
          <w:szCs w:val="22"/>
          <w:vertAlign w:val="superscript"/>
        </w:rPr>
        <w:t>c</w:t>
      </w:r>
      <w:r w:rsidRPr="002B4AB6">
        <w:rPr>
          <w:rFonts w:ascii="Arial Narrow" w:hAnsi="Arial Narrow"/>
          <w:snapToGrid w:val="0"/>
          <w:sz w:val="18"/>
          <w:szCs w:val="22"/>
        </w:rPr>
        <w:t xml:space="preserve"> Refractory response to first line chemotherapy and advanced Ann Arbor stage disease at first relapse were independently associated with inferior OS. Cohort D consisted of patients with </w:t>
      </w:r>
      <w:r w:rsidRPr="002B4AB6">
        <w:rPr>
          <w:rFonts w:ascii="Arial Narrow" w:hAnsi="Arial Narrow"/>
          <w:snapToGrid w:val="0"/>
          <w:sz w:val="18"/>
          <w:szCs w:val="22"/>
          <w:u w:val="single"/>
        </w:rPr>
        <w:t>one</w:t>
      </w:r>
      <w:r w:rsidRPr="002B4AB6">
        <w:rPr>
          <w:rFonts w:ascii="Arial Narrow" w:hAnsi="Arial Narrow"/>
          <w:snapToGrid w:val="0"/>
          <w:sz w:val="18"/>
          <w:szCs w:val="22"/>
        </w:rPr>
        <w:t xml:space="preserve"> (and only one) of these two prognostic factors, while Cohort E was comprised of patients with both prognostic factors. Therefore, these cohorts were mutually exclusive.</w:t>
      </w:r>
    </w:p>
    <w:p w:rsidR="00ED3B16" w:rsidRPr="002B4AB6" w:rsidRDefault="00ED3B16" w:rsidP="00ED3B16">
      <w:pPr>
        <w:spacing w:after="120"/>
        <w:contextualSpacing/>
        <w:rPr>
          <w:rFonts w:ascii="Arial Narrow" w:hAnsi="Arial Narrow"/>
          <w:snapToGrid w:val="0"/>
          <w:sz w:val="18"/>
          <w:szCs w:val="22"/>
        </w:rPr>
      </w:pPr>
      <w:r w:rsidRPr="002B4AB6">
        <w:rPr>
          <w:rFonts w:ascii="Arial Narrow" w:hAnsi="Arial Narrow"/>
          <w:snapToGrid w:val="0"/>
          <w:sz w:val="18"/>
          <w:szCs w:val="22"/>
          <w:vertAlign w:val="superscript"/>
        </w:rPr>
        <w:t xml:space="preserve">d </w:t>
      </w:r>
      <w:r w:rsidRPr="002B4AB6">
        <w:rPr>
          <w:rFonts w:ascii="Arial Narrow" w:hAnsi="Arial Narrow"/>
          <w:snapToGrid w:val="0"/>
          <w:sz w:val="18"/>
          <w:szCs w:val="22"/>
        </w:rPr>
        <w:t xml:space="preserve">Estimated from Kaplan-Meier plot (Figure 3 of Vardhana 2018) </w:t>
      </w:r>
    </w:p>
    <w:p w:rsidR="001862B3" w:rsidRPr="002B4AB6" w:rsidRDefault="00ED3B16" w:rsidP="00ED3B16">
      <w:pPr>
        <w:pStyle w:val="3-BodyText"/>
      </w:pPr>
      <w:r w:rsidRPr="002B4AB6">
        <w:t xml:space="preserve">Survival data for Cohort C from Vardhana 2018 were used in the base case of </w:t>
      </w:r>
      <w:r w:rsidR="00CD57B2" w:rsidRPr="002B4AB6">
        <w:t xml:space="preserve">the </w:t>
      </w:r>
      <w:r w:rsidRPr="002B4AB6">
        <w:t>economic evaluation. Cohort C was comprised almost entirely of patients who were refractory to second line therapy</w:t>
      </w:r>
      <w:r w:rsidR="00A720D0" w:rsidRPr="002B4AB6">
        <w:t xml:space="preserve">. Thirteen patients </w:t>
      </w:r>
      <w:r w:rsidR="006F4F38" w:rsidRPr="002B4AB6">
        <w:t>underwent ASCT</w:t>
      </w:r>
      <w:r w:rsidR="00A720D0" w:rsidRPr="002B4AB6">
        <w:t xml:space="preserve"> and 9 did </w:t>
      </w:r>
      <w:r w:rsidR="006F4F38" w:rsidRPr="002B4AB6">
        <w:t xml:space="preserve">not undergo ASCT (8 </w:t>
      </w:r>
      <w:r w:rsidR="00A720D0" w:rsidRPr="002B4AB6">
        <w:t xml:space="preserve">of the 9 </w:t>
      </w:r>
      <w:r w:rsidR="006F4F38" w:rsidRPr="002B4AB6">
        <w:t>were refractory to secon</w:t>
      </w:r>
      <w:r w:rsidR="001862B3" w:rsidRPr="002B4AB6">
        <w:t xml:space="preserve">d </w:t>
      </w:r>
      <w:r w:rsidR="006F4F38" w:rsidRPr="002B4AB6">
        <w:t>line salvage therapy).</w:t>
      </w:r>
      <w:r w:rsidRPr="002B4AB6">
        <w:t xml:space="preserve"> </w:t>
      </w:r>
      <w:r w:rsidR="001862B3" w:rsidRPr="002B4AB6">
        <w:t xml:space="preserve">The </w:t>
      </w:r>
      <w:r w:rsidR="00A82F2A" w:rsidRPr="002B4AB6">
        <w:t xml:space="preserve">PBAC considered </w:t>
      </w:r>
      <w:r w:rsidR="001862B3" w:rsidRPr="002B4AB6">
        <w:t>that patients who were refractory to second line therapy would not undergo ASCT in the Australian setting</w:t>
      </w:r>
      <w:r w:rsidR="00A82F2A" w:rsidRPr="002B4AB6">
        <w:t xml:space="preserve"> but</w:t>
      </w:r>
      <w:r w:rsidR="001862B3" w:rsidRPr="002B4AB6">
        <w:t xml:space="preserve"> would be eligible for pembrolizumab under the proposed restriction. </w:t>
      </w:r>
    </w:p>
    <w:p w:rsidR="00ED3B16" w:rsidRPr="002B4AB6" w:rsidRDefault="001862B3" w:rsidP="00ED3B16">
      <w:pPr>
        <w:pStyle w:val="3-BodyText"/>
      </w:pPr>
      <w:r w:rsidRPr="002B4AB6">
        <w:lastRenderedPageBreak/>
        <w:t>C</w:t>
      </w:r>
      <w:r w:rsidR="00ED3B16" w:rsidRPr="002B4AB6">
        <w:t xml:space="preserve">ohort </w:t>
      </w:r>
      <w:r w:rsidRPr="002B4AB6">
        <w:t xml:space="preserve">C </w:t>
      </w:r>
      <w:r w:rsidR="00ED3B16" w:rsidRPr="002B4AB6">
        <w:t>excluded all patients who responded to second line chemotherapy and proceeded to ASCT, the stated intent of treatment in Vardhana 2018. A proportion of these patients would have relapsed subsequent to ASCT, and would have been eligible for pembrolizumab under the requested restriction.</w:t>
      </w:r>
      <w:r w:rsidR="006F4F38" w:rsidRPr="002B4AB6">
        <w:t xml:space="preserve"> </w:t>
      </w:r>
      <w:r w:rsidR="00ED3B16" w:rsidRPr="002B4AB6">
        <w:t>As Vardhana 2018 reported that response to second line chemotherapy was the single greatest predictor of OS, with refractory patients having uniformly poor outcomes, the use of Cohort C is likely to have underestimated the effectiveness of SOC.</w:t>
      </w:r>
      <w:r w:rsidR="009F7023" w:rsidRPr="002B4AB6">
        <w:t xml:space="preserve"> </w:t>
      </w:r>
      <w:r w:rsidR="009A7065" w:rsidRPr="002B4AB6">
        <w:t xml:space="preserve">In addition, the </w:t>
      </w:r>
      <w:r w:rsidR="00C34BC7" w:rsidRPr="002B4AB6">
        <w:t xml:space="preserve">ESC </w:t>
      </w:r>
      <w:r w:rsidR="009F7023" w:rsidRPr="002B4AB6">
        <w:t xml:space="preserve">considered that Cohort C </w:t>
      </w:r>
      <w:r w:rsidR="009A7065" w:rsidRPr="002B4AB6">
        <w:t xml:space="preserve">represented only a small proportion of the proposed PBS population. </w:t>
      </w:r>
    </w:p>
    <w:p w:rsidR="00ED3B16" w:rsidRPr="002B4AB6" w:rsidRDefault="00ED3B16" w:rsidP="00975C9F">
      <w:pPr>
        <w:pStyle w:val="3-BodyText"/>
      </w:pPr>
      <w:bookmarkStart w:id="34" w:name="_Ref35349118"/>
      <w:r w:rsidRPr="002B4AB6">
        <w:t>The resubmission stated that the OS curve for Cohort D (patients who were either primary refractory OR Ann Arbor stage III-IV) was highly likely to overestimate survival outcomes for SOC in the targeted patient population. While the model allowed sensitivity analyses to be performed based on Cohorts A, B and E, survival data for Cohort D and the full study population were not provided in the model.</w:t>
      </w:r>
      <w:bookmarkEnd w:id="34"/>
      <w:r w:rsidR="001D6A8C" w:rsidRPr="002B4AB6">
        <w:t xml:space="preserve"> </w:t>
      </w:r>
    </w:p>
    <w:p w:rsidR="00D84FE3" w:rsidRPr="002B4AB6" w:rsidRDefault="000F0DC5" w:rsidP="00CC4BEA">
      <w:pPr>
        <w:pStyle w:val="3-BodyText"/>
      </w:pPr>
      <w:r w:rsidRPr="002B4AB6">
        <w:t>Refractory response to first line chemotherapy and advanced Ann Arbor stage disease at first relapse were independently associated with inferior OS in Vardhana 2018. Cohort D consisted of patients with one (and only one) of these two prognostic factors, while Cohort E comprised patients with both prognostic factors.</w:t>
      </w:r>
      <w:r w:rsidR="00CC4BEA" w:rsidRPr="002B4AB6">
        <w:t xml:space="preserve"> </w:t>
      </w:r>
      <w:r w:rsidR="00C359D7" w:rsidRPr="002B4AB6">
        <w:t xml:space="preserve">Hence, </w:t>
      </w:r>
      <w:r w:rsidR="00ED3B16" w:rsidRPr="002B4AB6">
        <w:t xml:space="preserve">Cohort D and Cohort E (primary refractory AND Ann Arbor stage III-IV) were mutually exclusive cohorts. The combination of these cohorts would comprise all patients who were refractory to first line chemotherapy, plus patients who relapsed following first line therapy but had advanced Ann Arbor stage disease at first relapse (n=45). While it is acknowledged that not all of these patients would have been eligible for pembrolizumab, sensitivity analyses based on Cohort D or combined Cohorts D+E would have provided more conservative estimates of the incremental effectiveness of pembrolizumab over SOC, compared with the use of Cohort C, and may have been informative. </w:t>
      </w:r>
      <w:r w:rsidR="00EC321C" w:rsidRPr="002B4AB6">
        <w:t>The PSCR argued that the patient population</w:t>
      </w:r>
      <w:r w:rsidR="009D7EC3" w:rsidRPr="002B4AB6">
        <w:t xml:space="preserve"> in Cohort D</w:t>
      </w:r>
      <w:r w:rsidR="00EC321C" w:rsidRPr="002B4AB6">
        <w:t xml:space="preserve"> was vastly different to the KN170 study participants. Therefore, the Sponsor purported that using the OS data for Cohort D would result in pembrolizumab being dominated by SOC, as a result of a significant proportion going on to receive, and respond to ASCT.</w:t>
      </w:r>
      <w:r w:rsidR="009D7EC3" w:rsidRPr="002B4AB6">
        <w:t xml:space="preserve"> </w:t>
      </w:r>
      <w:r w:rsidR="00E11BF2" w:rsidRPr="002B4AB6">
        <w:t xml:space="preserve">The ESC agreed with the evaluation that the combination of OS data from Cohort D and Cohort E may be more reflective of the KN170 population. The pre-PBAC response disagreed with the premise that Cohorts D and E may better reflect the KN170 population arguing at least 36 of the 45 patients (80%) in Cohorts D and E received an ASCT. </w:t>
      </w:r>
      <w:r w:rsidR="000547E3" w:rsidRPr="002B4AB6">
        <w:t>The pre-PBAC response stated that to compare Cohorts D and E with the KN170 population unfairly biases against pembrolizumab.</w:t>
      </w:r>
    </w:p>
    <w:p w:rsidR="00ED3B16" w:rsidRPr="002B4AB6" w:rsidRDefault="00F93DC4" w:rsidP="00ED3B16">
      <w:pPr>
        <w:pStyle w:val="3-BodyText"/>
      </w:pPr>
      <w:r w:rsidRPr="002B4AB6">
        <w:t>The PBAC considered</w:t>
      </w:r>
      <w:r w:rsidR="009D7EC3" w:rsidRPr="002B4AB6">
        <w:t xml:space="preserve"> that the</w:t>
      </w:r>
      <w:r w:rsidR="00ED3B16" w:rsidRPr="002B4AB6">
        <w:t xml:space="preserve"> use of the</w:t>
      </w:r>
      <w:r w:rsidR="006E669E" w:rsidRPr="002B4AB6">
        <w:t xml:space="preserve"> different</w:t>
      </w:r>
      <w:r w:rsidR="00ED3B16" w:rsidRPr="002B4AB6">
        <w:t xml:space="preserve"> cohorts from Vardhana 2018 did not address the fact that the study population in KN170 represented a more treatment experienced population than that in Vardhana 2018, or that the survival outcomes in the two studies were determined from different time-points.</w:t>
      </w:r>
    </w:p>
    <w:p w:rsidR="00ED3B16" w:rsidRPr="002B4AB6" w:rsidRDefault="00ED3B16" w:rsidP="00ED3B16">
      <w:pPr>
        <w:pStyle w:val="3-BodyText"/>
      </w:pPr>
      <w:r w:rsidRPr="002B4AB6">
        <w:t xml:space="preserve">Updated PFS and OS data from KN170 were used in the pembrolizumab arm. As PFS data were not reported in Vardhana 2018, the PFS curve for the SOC arm was </w:t>
      </w:r>
      <w:r w:rsidRPr="002B4AB6">
        <w:lastRenderedPageBreak/>
        <w:t>constructed by assuming that the ratio of OS to PFS observed for pembrolizumab in KN170 also applied to SOC. This approach was also used in the original submission. The resubmission did not provide any evidence to justify this approach. Not only does this implicitly assume that PFS is a valid surrogate for OS for patients with R/R PMBCL receiving immunotherapy, but it also assumes that the same relationship between PFS and OS holds for both immunotherapy and chemotherapy. There is increasing evidence to suggest that PFS is not a reliable surrogate for OS in many oncology settings, especially for immunotherapies</w:t>
      </w:r>
      <w:r w:rsidRPr="002B4AB6">
        <w:rPr>
          <w:rStyle w:val="FootnoteReference"/>
        </w:rPr>
        <w:footnoteReference w:id="7"/>
      </w:r>
      <w:r w:rsidRPr="002B4AB6">
        <w:rPr>
          <w:vertAlign w:val="superscript"/>
        </w:rPr>
        <w:t>,</w:t>
      </w:r>
      <w:r w:rsidRPr="002B4AB6">
        <w:rPr>
          <w:rStyle w:val="FootnoteReference"/>
        </w:rPr>
        <w:footnoteReference w:id="8"/>
      </w:r>
      <w:r w:rsidRPr="002B4AB6">
        <w:rPr>
          <w:vertAlign w:val="superscript"/>
        </w:rPr>
        <w:t>,</w:t>
      </w:r>
      <w:r w:rsidRPr="002B4AB6">
        <w:rPr>
          <w:rStyle w:val="FootnoteReference"/>
        </w:rPr>
        <w:footnoteReference w:id="9"/>
      </w:r>
      <w:r w:rsidRPr="002B4AB6">
        <w:t>. Therefore, the validity of the PFS data generated using this approach was highly uncertain.</w:t>
      </w:r>
    </w:p>
    <w:p w:rsidR="00ED3B16" w:rsidRPr="002B4AB6" w:rsidRDefault="00ED3B16" w:rsidP="00ED3B16">
      <w:pPr>
        <w:pStyle w:val="3-BodyText"/>
      </w:pPr>
      <w:r w:rsidRPr="00492CD9">
        <w:t>Vardhana 2018 only presented Kaplan-Meier curves for OS for Cohorts D and E. The survival data for Cohort E was obtained by digitising the Kaplan-Meier curve presented in Vardhana 2018. OS curves for Cohorts A, B and C were constructed based on 3-year survival rates of 15.4%, 22.2% and 18.2%, respectively, and by assuming the same shape of curve as that for Cohort E</w:t>
      </w:r>
      <w:r w:rsidR="002B4AB6">
        <w:t xml:space="preserve">. </w:t>
      </w:r>
      <w:r w:rsidR="009D2B45" w:rsidRPr="002B4AB6">
        <w:t>The ESC agreed with the evaluation that w</w:t>
      </w:r>
      <w:r w:rsidRPr="002B4AB6">
        <w:t>hile there were uncertainties inherent in this approach, a much larger concern was the appropriateness of using these patient cohorts as proxies in the SOC arm.</w:t>
      </w:r>
    </w:p>
    <w:p w:rsidR="00ED3B16" w:rsidRPr="002B4AB6" w:rsidRDefault="00ED3B16" w:rsidP="00ED3B16">
      <w:pPr>
        <w:pStyle w:val="3-BodyText"/>
      </w:pPr>
      <w:r w:rsidRPr="00492CD9">
        <w:t xml:space="preserve">The observed OS curves for the </w:t>
      </w:r>
      <w:r w:rsidR="00CF4592" w:rsidRPr="00492CD9">
        <w:t>full study</w:t>
      </w:r>
      <w:r w:rsidRPr="00592C87">
        <w:t xml:space="preserve"> population in KN170 and </w:t>
      </w:r>
      <w:r w:rsidR="00CF4592" w:rsidRPr="002B4AB6">
        <w:t xml:space="preserve">for </w:t>
      </w:r>
      <w:r w:rsidRPr="002B4AB6">
        <w:t xml:space="preserve">Cohort E from Vardhana 2018, as well as the constructed OS curve for Cohort C from Vardhana 2018, are presented </w:t>
      </w:r>
      <w:r w:rsidR="00064F3F" w:rsidRPr="002B4AB6">
        <w:t>below</w:t>
      </w:r>
      <w:r w:rsidR="00DE0624" w:rsidRPr="002B4AB6">
        <w:t>.</w:t>
      </w:r>
    </w:p>
    <w:p w:rsidR="00ED3B16" w:rsidRPr="002B4AB6" w:rsidRDefault="00ED3B16" w:rsidP="00ED3B16">
      <w:pPr>
        <w:pStyle w:val="TableFigureHeading"/>
      </w:pPr>
      <w:bookmarkStart w:id="35" w:name="_Ref29889021"/>
      <w:r w:rsidRPr="002B4AB6">
        <w:lastRenderedPageBreak/>
        <w:t xml:space="preserve">Figure </w:t>
      </w:r>
      <w:r w:rsidR="002B39A5" w:rsidRPr="00956A61">
        <w:t>5</w:t>
      </w:r>
      <w:bookmarkEnd w:id="35"/>
      <w:r w:rsidRPr="002B4AB6">
        <w:t>: Observed and constructed OS outcomes from KN170 and Vardhana 2018</w:t>
      </w:r>
    </w:p>
    <w:p w:rsidR="00ED3B16" w:rsidRPr="002B4AB6" w:rsidRDefault="00ED3B16" w:rsidP="00ED3B16">
      <w:pPr>
        <w:pStyle w:val="TableFigureFooter"/>
        <w:keepNext/>
      </w:pPr>
      <w:r w:rsidRPr="006F292D">
        <w:rPr>
          <w:noProof/>
        </w:rPr>
        <w:drawing>
          <wp:inline distT="0" distB="0" distL="0" distR="0" wp14:anchorId="597E31D7" wp14:editId="01905851">
            <wp:extent cx="5732145" cy="3371850"/>
            <wp:effectExtent l="0" t="0" r="1905" b="0"/>
            <wp:docPr id="15" name="Picture 15" title="Figure 5: Observed and constructed OS outcomes from KN170 and Vardhana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2145" cy="3371850"/>
                    </a:xfrm>
                    <a:prstGeom prst="rect">
                      <a:avLst/>
                    </a:prstGeom>
                  </pic:spPr>
                </pic:pic>
              </a:graphicData>
            </a:graphic>
          </wp:inline>
        </w:drawing>
      </w:r>
    </w:p>
    <w:p w:rsidR="00ED3B16" w:rsidRPr="002B4AB6" w:rsidRDefault="00ED3B16" w:rsidP="00ED3B16">
      <w:pPr>
        <w:keepNext/>
        <w:spacing w:after="120"/>
        <w:contextualSpacing/>
        <w:rPr>
          <w:rFonts w:ascii="Arial Narrow" w:hAnsi="Arial Narrow"/>
          <w:snapToGrid w:val="0"/>
          <w:sz w:val="18"/>
          <w:szCs w:val="22"/>
        </w:rPr>
      </w:pPr>
      <w:r w:rsidRPr="002B4AB6">
        <w:rPr>
          <w:rFonts w:ascii="Arial Narrow" w:hAnsi="Arial Narrow"/>
          <w:snapToGrid w:val="0"/>
          <w:sz w:val="18"/>
          <w:szCs w:val="22"/>
        </w:rPr>
        <w:t>Source: Figure 3.3-5, p120 of the resubmission; Excel workbook ‘Pembrolizumab Section 3 model November 2019.</w:t>
      </w:r>
    </w:p>
    <w:p w:rsidR="00ED3B16" w:rsidRPr="00492CD9" w:rsidRDefault="00ED3B16" w:rsidP="00ED3B16">
      <w:pPr>
        <w:keepNext/>
        <w:spacing w:after="120"/>
        <w:contextualSpacing/>
        <w:rPr>
          <w:rFonts w:ascii="Arial Narrow" w:hAnsi="Arial Narrow"/>
          <w:snapToGrid w:val="0"/>
          <w:sz w:val="18"/>
          <w:szCs w:val="22"/>
        </w:rPr>
      </w:pPr>
      <w:r w:rsidRPr="00492CD9">
        <w:rPr>
          <w:rFonts w:ascii="Arial Narrow" w:hAnsi="Arial Narrow"/>
          <w:snapToGrid w:val="0"/>
          <w:sz w:val="18"/>
          <w:szCs w:val="22"/>
        </w:rPr>
        <w:t>AA = Ann Arbor stage; OS = overall survival; TPx = stem cell transplant</w:t>
      </w:r>
    </w:p>
    <w:p w:rsidR="00ED3B16" w:rsidRPr="002B4AB6" w:rsidRDefault="00ED3B16" w:rsidP="00ED3B16">
      <w:pPr>
        <w:keepNext/>
        <w:spacing w:after="120"/>
        <w:contextualSpacing/>
        <w:rPr>
          <w:rFonts w:ascii="Arial Narrow" w:hAnsi="Arial Narrow"/>
          <w:snapToGrid w:val="0"/>
          <w:sz w:val="18"/>
          <w:szCs w:val="22"/>
        </w:rPr>
      </w:pPr>
      <w:r w:rsidRPr="002B4AB6">
        <w:rPr>
          <w:rFonts w:ascii="Arial Narrow" w:hAnsi="Arial Narrow"/>
          <w:snapToGrid w:val="0"/>
          <w:sz w:val="18"/>
          <w:szCs w:val="22"/>
        </w:rPr>
        <w:t>Data for Cohort E from Vardhana 2018 have been truncated at 60 months.</w:t>
      </w:r>
    </w:p>
    <w:p w:rsidR="00ED3B16" w:rsidRPr="002B4AB6" w:rsidRDefault="00ED3B16" w:rsidP="00ED3B16"/>
    <w:p w:rsidR="00ED3B16" w:rsidRPr="002B4AB6" w:rsidRDefault="002B39A5" w:rsidP="00ED3B16">
      <w:pPr>
        <w:pStyle w:val="3-BodyText"/>
      </w:pPr>
      <w:bookmarkStart w:id="36" w:name="_Ref29977961"/>
      <w:r w:rsidRPr="002B4AB6">
        <w:t>Figure 6</w:t>
      </w:r>
      <w:r w:rsidR="00ED3B16" w:rsidRPr="002B4AB6">
        <w:t xml:space="preserve"> presents a comparison of the observed OS data for the full study population in Vardhana 2018 and the constructed OS data for Cohort C.</w:t>
      </w:r>
      <w:bookmarkEnd w:id="36"/>
    </w:p>
    <w:p w:rsidR="00ED3B16" w:rsidRPr="002B4AB6" w:rsidRDefault="00ED3B16" w:rsidP="00ED3B16">
      <w:pPr>
        <w:pStyle w:val="TableFigureHeading"/>
        <w:spacing w:after="120"/>
      </w:pPr>
      <w:bookmarkStart w:id="37" w:name="_Ref29891714"/>
      <w:r w:rsidRPr="002B4AB6">
        <w:lastRenderedPageBreak/>
        <w:t xml:space="preserve">Figure </w:t>
      </w:r>
      <w:r w:rsidR="002B39A5" w:rsidRPr="00956A61">
        <w:t>6</w:t>
      </w:r>
      <w:bookmarkEnd w:id="37"/>
      <w:r w:rsidRPr="002B4AB6">
        <w:t xml:space="preserve">: Comparison of the observed OS data for the full study population (A) and the constructed OS data for Cohort C (B) in Vardhana 2018. </w:t>
      </w:r>
    </w:p>
    <w:p w:rsidR="00ED3B16" w:rsidRPr="002B4AB6" w:rsidRDefault="00ED3B16" w:rsidP="00ED3B16">
      <w:pPr>
        <w:pStyle w:val="TableFigureFooter"/>
        <w:keepNext/>
      </w:pPr>
      <w:r w:rsidRPr="006F292D">
        <w:rPr>
          <w:noProof/>
        </w:rPr>
        <w:drawing>
          <wp:inline distT="0" distB="0" distL="0" distR="0" wp14:anchorId="29B66BCF" wp14:editId="5652B98B">
            <wp:extent cx="5732145" cy="2585085"/>
            <wp:effectExtent l="0" t="0" r="1905" b="5715"/>
            <wp:docPr id="54" name="Picture 54" title="Figure 6: Comparison of the observed OS data for the full study population (A) and the constructed OS data for Cohort C (B) in Vardhana 201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2145" cy="2585085"/>
                    </a:xfrm>
                    <a:prstGeom prst="rect">
                      <a:avLst/>
                    </a:prstGeom>
                  </pic:spPr>
                </pic:pic>
              </a:graphicData>
            </a:graphic>
          </wp:inline>
        </w:drawing>
      </w:r>
    </w:p>
    <w:p w:rsidR="00ED3B16" w:rsidRPr="00492CD9" w:rsidRDefault="00ED3B16" w:rsidP="00ED3B16">
      <w:pPr>
        <w:pStyle w:val="TableFigureFooter"/>
        <w:keepNext/>
      </w:pPr>
      <w:r w:rsidRPr="002B4AB6">
        <w:t>Source: Figure 1, p2136 Vardhana 2018; Figure 3.3-5, p120 of the resubmission; Excel workbook ‘Pembrolizumab Section 3 model November 2019.</w:t>
      </w:r>
    </w:p>
    <w:p w:rsidR="00ED3B16" w:rsidRPr="002B4AB6" w:rsidRDefault="00ED3B16" w:rsidP="00ED3B16">
      <w:pPr>
        <w:pStyle w:val="TableFigureFooter"/>
        <w:keepNext/>
      </w:pPr>
      <w:r w:rsidRPr="002B4AB6">
        <w:t>OS = overall survival; EFS = event free survival</w:t>
      </w:r>
    </w:p>
    <w:p w:rsidR="00ED3B16" w:rsidRPr="002B4AB6" w:rsidRDefault="00ED3B16" w:rsidP="00ED3B16"/>
    <w:p w:rsidR="00ED3B16" w:rsidRPr="002B4AB6" w:rsidRDefault="00ED3B16" w:rsidP="00ED3B16">
      <w:pPr>
        <w:pStyle w:val="3-BodyText"/>
        <w:numPr>
          <w:ilvl w:val="0"/>
          <w:numId w:val="0"/>
        </w:numPr>
        <w:rPr>
          <w:u w:val="single"/>
        </w:rPr>
      </w:pPr>
      <w:r w:rsidRPr="002B4AB6">
        <w:rPr>
          <w:u w:val="single"/>
        </w:rPr>
        <w:t>Extrapolation</w:t>
      </w:r>
    </w:p>
    <w:p w:rsidR="00ED3B16" w:rsidRPr="002B4AB6" w:rsidRDefault="00ED3B16" w:rsidP="00ED3B16">
      <w:pPr>
        <w:pStyle w:val="3-BodyText"/>
      </w:pPr>
      <w:r w:rsidRPr="002B4AB6">
        <w:t xml:space="preserve">Health state membership for the pembrolizumab arm was based on the observed PFS and OS Kaplan-Meier data from KN170 up until 30 months. Beyond 30 months, the PFS and OS curves were extrapolated using parametric survival distributions. The resubmission stated that the survival curves were extrapolated from a time point at which the number of patients at risk of an event became unreliably low, rather than the last observation point as in the previous submission. The resubmission did not provide any further justification for the choice of this point of extrapolation. However, the choice of time point for extrapolation had minimal impact on the incremental cost-effectiveness ratio (ICER). </w:t>
      </w:r>
    </w:p>
    <w:p w:rsidR="00ED3B16" w:rsidRPr="002B4AB6" w:rsidRDefault="00ED3B16" w:rsidP="00ED3B16">
      <w:pPr>
        <w:pStyle w:val="3-BodyText"/>
      </w:pPr>
      <w:r w:rsidRPr="002B4AB6">
        <w:t>Given the limited applicability of the cohorts from Vardhana 2018 used in the resubmission, the small sample size on which these extrapolations were based (Cohort E, n=14), and the subsequent ‘generation’ of OS data for Cohort C, the validity of the extrapolated OS data for SOC was highly uncertain. For the modelled PFS curve for SOC, this uncertainty was amplified by concerns regarding the method used to generate PFS data from the OS data, as described above.</w:t>
      </w:r>
    </w:p>
    <w:p w:rsidR="00ED3B16" w:rsidRPr="002B4AB6" w:rsidRDefault="00ED3B16" w:rsidP="00ED3B16">
      <w:pPr>
        <w:pStyle w:val="3-BodyText"/>
      </w:pPr>
      <w:r w:rsidRPr="002B4AB6">
        <w:t>As in the original submission, in the base case, the survival outcomes did not converge within the 10 year time horizon of the model, although convergence of the curves was applied in a sensitivity analysis. At 10 years follow-up, the absolute OS in the pembrolizumab arm was 28.1%, compared with 6.1% in the SOC arm, an absolute difference of 21.9%.</w:t>
      </w:r>
    </w:p>
    <w:p w:rsidR="00ED3B16" w:rsidRPr="002B4AB6" w:rsidRDefault="00ED3B16" w:rsidP="00ED3B16">
      <w:pPr>
        <w:pStyle w:val="TableFigureHeading"/>
      </w:pPr>
      <w:r w:rsidRPr="002B4AB6">
        <w:lastRenderedPageBreak/>
        <w:t xml:space="preserve">Figure </w:t>
      </w:r>
      <w:r w:rsidR="002B39A5" w:rsidRPr="00956A61">
        <w:t>7</w:t>
      </w:r>
      <w:r w:rsidRPr="002B4AB6">
        <w:t>: Extrapolation of the OS (black lines) and PFS (blue lines) curves in the base case economic model</w:t>
      </w:r>
    </w:p>
    <w:p w:rsidR="00ED3B16" w:rsidRPr="002B4AB6" w:rsidRDefault="00ED3B16" w:rsidP="00ED3B16">
      <w:pPr>
        <w:spacing w:after="120"/>
        <w:contextualSpacing/>
        <w:rPr>
          <w:rFonts w:ascii="Arial Narrow" w:hAnsi="Arial Narrow"/>
          <w:snapToGrid w:val="0"/>
          <w:sz w:val="18"/>
          <w:szCs w:val="22"/>
        </w:rPr>
      </w:pPr>
      <w:r w:rsidRPr="006F292D">
        <w:rPr>
          <w:noProof/>
        </w:rPr>
        <w:drawing>
          <wp:inline distT="0" distB="0" distL="0" distR="0" wp14:anchorId="3EA4DF11" wp14:editId="560E5349">
            <wp:extent cx="5732145" cy="3735070"/>
            <wp:effectExtent l="0" t="0" r="1905" b="0"/>
            <wp:docPr id="60" name="Picture 60" title="Figure 7: Extrapolation of the OS (black lines) and PFS (blue lines) curves in the base case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2145" cy="3735070"/>
                    </a:xfrm>
                    <a:prstGeom prst="rect">
                      <a:avLst/>
                    </a:prstGeom>
                  </pic:spPr>
                </pic:pic>
              </a:graphicData>
            </a:graphic>
          </wp:inline>
        </w:drawing>
      </w:r>
      <w:bookmarkStart w:id="38" w:name="_GoBack"/>
      <w:bookmarkEnd w:id="38"/>
      <w:r w:rsidRPr="002B4AB6">
        <w:rPr>
          <w:rFonts w:ascii="Arial Narrow" w:hAnsi="Arial Narrow"/>
          <w:snapToGrid w:val="0"/>
          <w:sz w:val="18"/>
          <w:szCs w:val="22"/>
        </w:rPr>
        <w:t>Source: Figure 3.4-8, p129 of the resubmi</w:t>
      </w:r>
      <w:r w:rsidR="00323757" w:rsidRPr="002B4AB6">
        <w:rPr>
          <w:rFonts w:ascii="Arial Narrow" w:hAnsi="Arial Narrow"/>
          <w:snapToGrid w:val="0"/>
          <w:sz w:val="18"/>
          <w:szCs w:val="22"/>
        </w:rPr>
        <w:t>ssion; Excel spreadsheet ‘Chart_</w:t>
      </w:r>
      <w:r w:rsidRPr="002B4AB6">
        <w:rPr>
          <w:rFonts w:ascii="Arial Narrow" w:hAnsi="Arial Narrow"/>
          <w:snapToGrid w:val="0"/>
          <w:sz w:val="18"/>
          <w:szCs w:val="22"/>
        </w:rPr>
        <w:t>Survival</w:t>
      </w:r>
      <w:r w:rsidR="00323757" w:rsidRPr="002B4AB6">
        <w:rPr>
          <w:rFonts w:ascii="Arial Narrow" w:hAnsi="Arial Narrow"/>
          <w:snapToGrid w:val="0"/>
          <w:sz w:val="18"/>
          <w:szCs w:val="22"/>
        </w:rPr>
        <w:t xml:space="preserve"> </w:t>
      </w:r>
      <w:r w:rsidRPr="002B4AB6">
        <w:rPr>
          <w:rFonts w:ascii="Arial Narrow" w:hAnsi="Arial Narrow"/>
          <w:snapToGrid w:val="0"/>
          <w:sz w:val="18"/>
          <w:szCs w:val="22"/>
        </w:rPr>
        <w:t xml:space="preserve">Curves’, </w:t>
      </w:r>
      <w:r w:rsidRPr="00492CD9">
        <w:rPr>
          <w:rFonts w:ascii="Arial Narrow" w:hAnsi="Arial Narrow"/>
          <w:snapToGrid w:val="0"/>
          <w:sz w:val="18"/>
          <w:szCs w:val="18"/>
        </w:rPr>
        <w:t>Excel workbook ‘Pembrolizumab Section 3 mo</w:t>
      </w:r>
      <w:r w:rsidRPr="002B4AB6">
        <w:rPr>
          <w:rFonts w:ascii="Arial Narrow" w:hAnsi="Arial Narrow"/>
          <w:snapToGrid w:val="0"/>
          <w:sz w:val="18"/>
          <w:szCs w:val="18"/>
        </w:rPr>
        <w:t>del November 2019’.</w:t>
      </w:r>
    </w:p>
    <w:p w:rsidR="00ED3B16" w:rsidRPr="002B4AB6" w:rsidRDefault="00ED3B16" w:rsidP="00ED3B16">
      <w:pPr>
        <w:spacing w:after="120"/>
        <w:contextualSpacing/>
        <w:rPr>
          <w:rFonts w:ascii="Arial Narrow" w:hAnsi="Arial Narrow"/>
          <w:snapToGrid w:val="0"/>
          <w:sz w:val="18"/>
          <w:szCs w:val="22"/>
        </w:rPr>
      </w:pPr>
      <w:r w:rsidRPr="002B4AB6">
        <w:rPr>
          <w:rFonts w:ascii="Arial Narrow" w:hAnsi="Arial Narrow"/>
          <w:snapToGrid w:val="0"/>
          <w:sz w:val="18"/>
          <w:szCs w:val="22"/>
        </w:rPr>
        <w:t>OS = overall survival; PFS progression free survival</w:t>
      </w:r>
    </w:p>
    <w:p w:rsidR="00DE0624" w:rsidRPr="002B4AB6" w:rsidRDefault="00DE0624" w:rsidP="00ED3B16">
      <w:pPr>
        <w:spacing w:after="120"/>
        <w:contextualSpacing/>
        <w:rPr>
          <w:rFonts w:ascii="Arial Narrow" w:hAnsi="Arial Narrow"/>
          <w:snapToGrid w:val="0"/>
          <w:sz w:val="18"/>
          <w:szCs w:val="22"/>
        </w:rPr>
      </w:pPr>
    </w:p>
    <w:p w:rsidR="00ED3B16" w:rsidRPr="002B4AB6" w:rsidRDefault="00ED3B16" w:rsidP="00ED3B16">
      <w:pPr>
        <w:pStyle w:val="3-BodyText"/>
      </w:pPr>
      <w:r w:rsidRPr="002B4AB6">
        <w:t>The ESC and the PBAC previously considered that the estimated ongoing treatment effect was highly uncertain as it was based on immature data that were subject to a high degree of censoring (para</w:t>
      </w:r>
      <w:r w:rsidR="00C07C90" w:rsidRPr="002B4AB6">
        <w:t>graph</w:t>
      </w:r>
      <w:r w:rsidRPr="002B4AB6">
        <w:t xml:space="preserve"> 6.36, pembrolizumab </w:t>
      </w:r>
      <w:r w:rsidR="0050535E" w:rsidRPr="002B4AB6">
        <w:t>PM</w:t>
      </w:r>
      <w:r w:rsidRPr="002B4AB6">
        <w:t>BCL PSD, November 2018 PBAC meeting). While the resubmission provided updated PFS and OS data from KN170 (median follow-up 22.3 months vs 9.7 months in the previous submission), there were limited data to support the estimated ongoing treatment effect for pembrolizumab beyond 24 months, the maximum duration of treatment with pembrolizumab, with extensive censoring beyond this point. Therefore, the magnitude of any continued treatment effect beyond this time-point was still subject to uncertainty.</w:t>
      </w:r>
      <w:r w:rsidR="006F4F38" w:rsidRPr="002B4AB6">
        <w:t xml:space="preserve"> </w:t>
      </w:r>
      <w:r w:rsidR="009D2B45" w:rsidRPr="002B4AB6">
        <w:t xml:space="preserve">The PSCR argued that the more mature data from KN170 that was presented in the resubmission model provided further support and greater certainty in modelling an ongoing treatment effect for pembrolizumab over the 10-year time horizon. </w:t>
      </w:r>
      <w:r w:rsidR="00E818A3" w:rsidRPr="002B4AB6">
        <w:t xml:space="preserve">The ESC considered that a 7.5 year time horizon was more appropriate given the limited data. </w:t>
      </w:r>
    </w:p>
    <w:p w:rsidR="00ED3B16" w:rsidRPr="002B4AB6" w:rsidRDefault="00ED3B16" w:rsidP="00ED3B16">
      <w:pPr>
        <w:pStyle w:val="3-BodyText"/>
      </w:pPr>
      <w:r w:rsidRPr="002B4AB6">
        <w:t xml:space="preserve">Another factor contributing to the failure of the survival curves to converge was the likely overestimation of the rate of progression and death in the SOC arm resulting from the use of a subgroup of the proposed PBS population with a relatively poor prognosis (Cohort C). Given the substantial limitations in the clinical evidence, and the inability to accurately determine which patients in Vardhana 2018 would have been </w:t>
      </w:r>
      <w:r w:rsidRPr="002B4AB6">
        <w:lastRenderedPageBreak/>
        <w:t>eligible for treatment with pembrolizumab, it may have been more appropriate to use a more conservative patient cohort, or the entire study population, of Vardhana 2018 in the base case of the model.</w:t>
      </w:r>
    </w:p>
    <w:p w:rsidR="00ED3B16" w:rsidRPr="002B4AB6" w:rsidRDefault="00ED3B16" w:rsidP="00ED3B16">
      <w:pPr>
        <w:pStyle w:val="3-BodyText"/>
      </w:pPr>
      <w:r w:rsidRPr="002B4AB6">
        <w:t>The key drivers of the model are summarised below.</w:t>
      </w:r>
    </w:p>
    <w:p w:rsidR="00ED3B16" w:rsidRPr="002B4AB6" w:rsidRDefault="00ED3B16" w:rsidP="00ED3B16">
      <w:pPr>
        <w:pStyle w:val="TableFigureHeading"/>
        <w:rPr>
          <w:rStyle w:val="CommentReference"/>
          <w:b/>
          <w:szCs w:val="24"/>
        </w:rPr>
      </w:pPr>
      <w:r w:rsidRPr="002B4AB6">
        <w:t xml:space="preserve">Table </w:t>
      </w:r>
      <w:r w:rsidR="002B39A5" w:rsidRPr="00956A61">
        <w:t>13</w:t>
      </w:r>
      <w:r w:rsidRPr="002B4AB6">
        <w:t xml:space="preserve">: </w:t>
      </w:r>
      <w:r w:rsidRPr="002B4AB6">
        <w:rPr>
          <w:rStyle w:val="CommentReference"/>
          <w:b/>
          <w:szCs w:val="24"/>
        </w:rPr>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5104"/>
        <w:gridCol w:w="2784"/>
      </w:tblGrid>
      <w:tr w:rsidR="00ED3B16" w:rsidRPr="002B4AB6" w:rsidTr="00064F3F">
        <w:trPr>
          <w:tblHeader/>
        </w:trPr>
        <w:tc>
          <w:tcPr>
            <w:tcW w:w="626" w:type="pct"/>
            <w:shd w:val="clear" w:color="auto" w:fill="auto"/>
            <w:vAlign w:val="center"/>
          </w:tcPr>
          <w:p w:rsidR="00ED3B16" w:rsidRPr="00492CD9" w:rsidRDefault="00ED3B16" w:rsidP="00064F3F">
            <w:pPr>
              <w:pStyle w:val="In-tableHeading"/>
              <w:jc w:val="center"/>
              <w:rPr>
                <w:lang w:val="en-AU"/>
              </w:rPr>
            </w:pPr>
            <w:r w:rsidRPr="00492CD9">
              <w:rPr>
                <w:lang w:val="en-AU"/>
              </w:rPr>
              <w:t>Description</w:t>
            </w:r>
          </w:p>
        </w:tc>
        <w:tc>
          <w:tcPr>
            <w:tcW w:w="2830" w:type="pct"/>
            <w:shd w:val="clear" w:color="auto" w:fill="auto"/>
            <w:vAlign w:val="center"/>
          </w:tcPr>
          <w:p w:rsidR="00ED3B16" w:rsidRPr="002B4AB6" w:rsidRDefault="00ED3B16" w:rsidP="00064F3F">
            <w:pPr>
              <w:pStyle w:val="In-tableHeading"/>
              <w:jc w:val="center"/>
              <w:rPr>
                <w:lang w:val="en-AU"/>
              </w:rPr>
            </w:pPr>
            <w:r w:rsidRPr="002B4AB6">
              <w:rPr>
                <w:lang w:val="en-AU"/>
              </w:rPr>
              <w:t>Method/Value</w:t>
            </w:r>
          </w:p>
        </w:tc>
        <w:tc>
          <w:tcPr>
            <w:tcW w:w="1544" w:type="pct"/>
            <w:shd w:val="clear" w:color="auto" w:fill="auto"/>
            <w:vAlign w:val="center"/>
          </w:tcPr>
          <w:p w:rsidR="00ED3B16" w:rsidRPr="002B4AB6" w:rsidRDefault="00ED3B16" w:rsidP="00064F3F">
            <w:pPr>
              <w:pStyle w:val="In-tableHeading"/>
              <w:jc w:val="center"/>
              <w:rPr>
                <w:lang w:val="en-AU"/>
              </w:rPr>
            </w:pPr>
            <w:r w:rsidRPr="002B4AB6">
              <w:rPr>
                <w:lang w:val="en-AU"/>
              </w:rPr>
              <w:t>Impact</w:t>
            </w:r>
          </w:p>
        </w:tc>
      </w:tr>
      <w:tr w:rsidR="00ED3B16" w:rsidRPr="002B4AB6" w:rsidTr="00064F3F">
        <w:tc>
          <w:tcPr>
            <w:tcW w:w="626" w:type="pct"/>
            <w:shd w:val="clear" w:color="auto" w:fill="auto"/>
            <w:vAlign w:val="center"/>
          </w:tcPr>
          <w:p w:rsidR="00ED3B16" w:rsidRPr="002B4AB6" w:rsidRDefault="00ED3B16" w:rsidP="00064F3F">
            <w:pPr>
              <w:pStyle w:val="TableText0"/>
              <w:jc w:val="center"/>
            </w:pPr>
            <w:r w:rsidRPr="002B4AB6">
              <w:t>OS estimate for the SOC arm</w:t>
            </w:r>
          </w:p>
        </w:tc>
        <w:tc>
          <w:tcPr>
            <w:tcW w:w="2830" w:type="pct"/>
            <w:shd w:val="clear" w:color="auto" w:fill="auto"/>
            <w:vAlign w:val="center"/>
          </w:tcPr>
          <w:p w:rsidR="00ED3B16" w:rsidRPr="002B4AB6" w:rsidRDefault="00ED3B16" w:rsidP="00064F3F">
            <w:pPr>
              <w:pStyle w:val="TableText0"/>
            </w:pPr>
            <w:r w:rsidRPr="002B4AB6">
              <w:t xml:space="preserve">OS data for Cohort C from Vardhana 2018 were used in the base case. </w:t>
            </w:r>
          </w:p>
        </w:tc>
        <w:tc>
          <w:tcPr>
            <w:tcW w:w="1544" w:type="pct"/>
            <w:shd w:val="clear" w:color="auto" w:fill="auto"/>
            <w:vAlign w:val="center"/>
          </w:tcPr>
          <w:p w:rsidR="00ED3B16" w:rsidRPr="002B4AB6" w:rsidRDefault="00ED3B16" w:rsidP="00064F3F">
            <w:pPr>
              <w:pStyle w:val="TableText0"/>
            </w:pPr>
            <w:r w:rsidRPr="002B4AB6">
              <w:t>High, favours pembrolizumab</w:t>
            </w:r>
          </w:p>
        </w:tc>
      </w:tr>
      <w:tr w:rsidR="00ED3B16" w:rsidRPr="002B4AB6" w:rsidTr="00064F3F">
        <w:tc>
          <w:tcPr>
            <w:tcW w:w="626" w:type="pct"/>
            <w:shd w:val="clear" w:color="auto" w:fill="auto"/>
            <w:vAlign w:val="center"/>
          </w:tcPr>
          <w:p w:rsidR="00ED3B16" w:rsidRPr="002B4AB6" w:rsidRDefault="00ED3B16" w:rsidP="00064F3F">
            <w:pPr>
              <w:pStyle w:val="TableText0"/>
              <w:jc w:val="center"/>
            </w:pPr>
            <w:r w:rsidRPr="002B4AB6">
              <w:t>Extrapolation</w:t>
            </w:r>
          </w:p>
        </w:tc>
        <w:tc>
          <w:tcPr>
            <w:tcW w:w="2830" w:type="pct"/>
            <w:shd w:val="clear" w:color="auto" w:fill="auto"/>
            <w:vAlign w:val="center"/>
          </w:tcPr>
          <w:p w:rsidR="00ED3B16" w:rsidRPr="002B4AB6" w:rsidRDefault="00ED3B16" w:rsidP="00064F3F">
            <w:pPr>
              <w:pStyle w:val="TableText0"/>
            </w:pPr>
            <w:r w:rsidRPr="002B4AB6">
              <w:t xml:space="preserve">Assumption of continued treatment effect </w:t>
            </w:r>
          </w:p>
        </w:tc>
        <w:tc>
          <w:tcPr>
            <w:tcW w:w="1544" w:type="pct"/>
            <w:shd w:val="clear" w:color="auto" w:fill="auto"/>
            <w:vAlign w:val="center"/>
          </w:tcPr>
          <w:p w:rsidR="00ED3B16" w:rsidRPr="002B4AB6" w:rsidRDefault="00ED3B16" w:rsidP="00064F3F">
            <w:pPr>
              <w:pStyle w:val="TableText0"/>
            </w:pPr>
            <w:r w:rsidRPr="002B4AB6">
              <w:t>High, favours pembrolizumab</w:t>
            </w:r>
          </w:p>
        </w:tc>
      </w:tr>
    </w:tbl>
    <w:p w:rsidR="00ED3B16" w:rsidRPr="002B4AB6" w:rsidRDefault="00ED3B16" w:rsidP="00ED3B16">
      <w:pPr>
        <w:pStyle w:val="TableFigureFooter"/>
      </w:pPr>
      <w:r w:rsidRPr="002B4AB6">
        <w:t>Source: Section 3.9 of the resubmission</w:t>
      </w:r>
    </w:p>
    <w:p w:rsidR="00ED3B16" w:rsidRPr="002B4AB6" w:rsidRDefault="00ED3B16" w:rsidP="00ED3B16">
      <w:pPr>
        <w:pStyle w:val="TableFigureFooter"/>
      </w:pPr>
      <w:r w:rsidRPr="002B4AB6">
        <w:t>OS = overall survival; SOC = standard of care.</w:t>
      </w:r>
    </w:p>
    <w:p w:rsidR="00ED3B16" w:rsidRPr="002B4AB6" w:rsidRDefault="00ED3B16" w:rsidP="00ED3B16">
      <w:pPr>
        <w:pStyle w:val="3-BodyText"/>
      </w:pPr>
      <w:r w:rsidRPr="002B4AB6">
        <w:t>The results of the economic evaluation are summarised below.</w:t>
      </w:r>
    </w:p>
    <w:p w:rsidR="00ED3B16" w:rsidRPr="002B4AB6" w:rsidRDefault="00ED3B16" w:rsidP="00ED3B16">
      <w:pPr>
        <w:pStyle w:val="TableFigureHeading"/>
      </w:pPr>
      <w:r w:rsidRPr="002B4AB6">
        <w:t xml:space="preserve">Table </w:t>
      </w:r>
      <w:r w:rsidR="002B39A5" w:rsidRPr="00956A61">
        <w:t>14</w:t>
      </w:r>
      <w:r w:rsidRPr="002B4AB6">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ED3B16" w:rsidRPr="002B4AB6" w:rsidTr="00064F3F">
        <w:trPr>
          <w:tblHeader/>
        </w:trPr>
        <w:tc>
          <w:tcPr>
            <w:tcW w:w="1529" w:type="pct"/>
            <w:tcBorders>
              <w:bottom w:val="double" w:sz="4" w:space="0" w:color="auto"/>
            </w:tcBorders>
            <w:vAlign w:val="center"/>
          </w:tcPr>
          <w:p w:rsidR="00ED3B16" w:rsidRPr="00492CD9" w:rsidRDefault="00ED3B16" w:rsidP="00064F3F">
            <w:pPr>
              <w:pStyle w:val="In-tableHeading"/>
              <w:rPr>
                <w:lang w:val="en-AU"/>
              </w:rPr>
            </w:pPr>
            <w:r w:rsidRPr="00492CD9">
              <w:rPr>
                <w:lang w:val="en-AU"/>
              </w:rPr>
              <w:t>Component</w:t>
            </w:r>
          </w:p>
        </w:tc>
        <w:tc>
          <w:tcPr>
            <w:tcW w:w="1359" w:type="pct"/>
            <w:tcBorders>
              <w:bottom w:val="double" w:sz="4" w:space="0" w:color="auto"/>
            </w:tcBorders>
            <w:vAlign w:val="center"/>
          </w:tcPr>
          <w:p w:rsidR="00ED3B16" w:rsidRPr="002B4AB6" w:rsidRDefault="00ED3B16" w:rsidP="00064F3F">
            <w:pPr>
              <w:pStyle w:val="In-tableHeading"/>
              <w:jc w:val="center"/>
              <w:rPr>
                <w:lang w:val="en-AU"/>
              </w:rPr>
            </w:pPr>
            <w:r w:rsidRPr="002B4AB6">
              <w:rPr>
                <w:lang w:val="en-AU"/>
              </w:rPr>
              <w:t xml:space="preserve">Pembrolizumab </w:t>
            </w:r>
          </w:p>
        </w:tc>
        <w:tc>
          <w:tcPr>
            <w:tcW w:w="1274" w:type="pct"/>
            <w:tcBorders>
              <w:bottom w:val="double" w:sz="4" w:space="0" w:color="auto"/>
            </w:tcBorders>
            <w:vAlign w:val="center"/>
          </w:tcPr>
          <w:p w:rsidR="00ED3B16" w:rsidRPr="002B4AB6" w:rsidRDefault="00ED3B16" w:rsidP="00064F3F">
            <w:pPr>
              <w:pStyle w:val="In-tableHeading"/>
              <w:jc w:val="center"/>
              <w:rPr>
                <w:lang w:val="en-AU"/>
              </w:rPr>
            </w:pPr>
            <w:r w:rsidRPr="002B4AB6">
              <w:rPr>
                <w:lang w:val="en-AU"/>
              </w:rPr>
              <w:t>SOC</w:t>
            </w:r>
          </w:p>
        </w:tc>
        <w:tc>
          <w:tcPr>
            <w:tcW w:w="838" w:type="pct"/>
            <w:tcBorders>
              <w:bottom w:val="double" w:sz="4" w:space="0" w:color="auto"/>
            </w:tcBorders>
            <w:vAlign w:val="center"/>
          </w:tcPr>
          <w:p w:rsidR="00ED3B16" w:rsidRPr="002B4AB6" w:rsidRDefault="00ED3B16" w:rsidP="00064F3F">
            <w:pPr>
              <w:pStyle w:val="In-tableHeading"/>
              <w:jc w:val="center"/>
              <w:rPr>
                <w:lang w:val="en-AU"/>
              </w:rPr>
            </w:pPr>
            <w:r w:rsidRPr="002B4AB6">
              <w:rPr>
                <w:lang w:val="en-AU"/>
              </w:rPr>
              <w:t>Increment</w:t>
            </w:r>
          </w:p>
        </w:tc>
      </w:tr>
      <w:tr w:rsidR="00ED3B16" w:rsidRPr="002B4AB6" w:rsidTr="00064F3F">
        <w:tc>
          <w:tcPr>
            <w:tcW w:w="1529" w:type="pct"/>
            <w:tcBorders>
              <w:top w:val="double" w:sz="4" w:space="0" w:color="auto"/>
            </w:tcBorders>
            <w:vAlign w:val="center"/>
          </w:tcPr>
          <w:p w:rsidR="00ED3B16" w:rsidRPr="002B4AB6" w:rsidRDefault="00ED3B16" w:rsidP="00064F3F">
            <w:pPr>
              <w:pStyle w:val="TableText0"/>
            </w:pPr>
            <w:r w:rsidRPr="002B4AB6">
              <w:t>Current resubmission</w:t>
            </w:r>
          </w:p>
        </w:tc>
        <w:tc>
          <w:tcPr>
            <w:tcW w:w="1359" w:type="pct"/>
            <w:tcBorders>
              <w:top w:val="double" w:sz="4" w:space="0" w:color="auto"/>
            </w:tcBorders>
            <w:shd w:val="clear" w:color="auto" w:fill="auto"/>
            <w:vAlign w:val="center"/>
          </w:tcPr>
          <w:p w:rsidR="00ED3B16" w:rsidRPr="002B4AB6" w:rsidRDefault="00ED3B16" w:rsidP="00064F3F">
            <w:pPr>
              <w:pStyle w:val="TableText0"/>
              <w:jc w:val="center"/>
            </w:pPr>
          </w:p>
        </w:tc>
        <w:tc>
          <w:tcPr>
            <w:tcW w:w="1274" w:type="pct"/>
            <w:tcBorders>
              <w:top w:val="double" w:sz="4" w:space="0" w:color="auto"/>
            </w:tcBorders>
            <w:shd w:val="clear" w:color="auto" w:fill="auto"/>
            <w:vAlign w:val="center"/>
          </w:tcPr>
          <w:p w:rsidR="00ED3B16" w:rsidRPr="002B4AB6" w:rsidRDefault="00ED3B16" w:rsidP="00064F3F">
            <w:pPr>
              <w:pStyle w:val="TableText0"/>
              <w:jc w:val="center"/>
            </w:pPr>
          </w:p>
        </w:tc>
        <w:tc>
          <w:tcPr>
            <w:tcW w:w="838" w:type="pct"/>
            <w:tcBorders>
              <w:top w:val="double" w:sz="4" w:space="0" w:color="auto"/>
            </w:tcBorders>
            <w:shd w:val="clear" w:color="auto" w:fill="auto"/>
            <w:vAlign w:val="center"/>
          </w:tcPr>
          <w:p w:rsidR="00ED3B16" w:rsidRPr="002B4AB6" w:rsidRDefault="00ED3B16" w:rsidP="00064F3F">
            <w:pPr>
              <w:pStyle w:val="TableText0"/>
              <w:jc w:val="center"/>
            </w:pPr>
          </w:p>
        </w:tc>
      </w:tr>
      <w:tr w:rsidR="00ED3B16" w:rsidRPr="002B4AB6" w:rsidTr="00064F3F">
        <w:tc>
          <w:tcPr>
            <w:tcW w:w="1529" w:type="pct"/>
            <w:vAlign w:val="center"/>
          </w:tcPr>
          <w:p w:rsidR="00ED3B16" w:rsidRPr="002B4AB6" w:rsidRDefault="00ED3B16" w:rsidP="00064F3F">
            <w:pPr>
              <w:pStyle w:val="TableText0"/>
            </w:pPr>
            <w:r w:rsidRPr="002B4AB6">
              <w:t>Costs</w:t>
            </w:r>
          </w:p>
        </w:tc>
        <w:tc>
          <w:tcPr>
            <w:tcW w:w="1359" w:type="pct"/>
            <w:shd w:val="clear" w:color="auto" w:fill="auto"/>
            <w:vAlign w:val="center"/>
          </w:tcPr>
          <w:p w:rsidR="00ED3B16" w:rsidRPr="002B4AB6" w:rsidRDefault="00ED3B16" w:rsidP="00064F3F">
            <w:pPr>
              <w:pStyle w:val="TableText0"/>
              <w:jc w:val="center"/>
            </w:pPr>
            <w:r w:rsidRPr="002B4AB6">
              <w:t>$</w:t>
            </w:r>
            <w:r w:rsidR="004278F1">
              <w:rPr>
                <w:noProof/>
                <w:color w:val="000000"/>
                <w:highlight w:val="black"/>
              </w:rPr>
              <w:t>'''''''''''''''''</w:t>
            </w:r>
          </w:p>
        </w:tc>
        <w:tc>
          <w:tcPr>
            <w:tcW w:w="1274" w:type="pct"/>
            <w:shd w:val="clear" w:color="auto" w:fill="auto"/>
            <w:vAlign w:val="center"/>
          </w:tcPr>
          <w:p w:rsidR="00ED3B16" w:rsidRPr="002B4AB6" w:rsidRDefault="00ED3B16" w:rsidP="00064F3F">
            <w:pPr>
              <w:pStyle w:val="TableText0"/>
              <w:jc w:val="center"/>
            </w:pPr>
            <w:r w:rsidRPr="002B4AB6">
              <w:t>$</w:t>
            </w:r>
            <w:r w:rsidR="004278F1">
              <w:rPr>
                <w:noProof/>
                <w:color w:val="000000"/>
                <w:highlight w:val="black"/>
              </w:rPr>
              <w:t>'''''''''''''''</w:t>
            </w:r>
          </w:p>
        </w:tc>
        <w:tc>
          <w:tcPr>
            <w:tcW w:w="838" w:type="pct"/>
            <w:shd w:val="clear" w:color="auto" w:fill="auto"/>
            <w:vAlign w:val="center"/>
          </w:tcPr>
          <w:p w:rsidR="00ED3B16" w:rsidRPr="002B4AB6" w:rsidRDefault="00ED3B16" w:rsidP="00064F3F">
            <w:pPr>
              <w:pStyle w:val="TableText0"/>
              <w:jc w:val="center"/>
            </w:pPr>
            <w:r w:rsidRPr="002B4AB6">
              <w:t>$</w:t>
            </w:r>
            <w:r w:rsidR="004278F1">
              <w:rPr>
                <w:noProof/>
                <w:color w:val="000000"/>
                <w:highlight w:val="black"/>
              </w:rPr>
              <w:t>'''''''''''''''</w:t>
            </w:r>
          </w:p>
        </w:tc>
      </w:tr>
      <w:tr w:rsidR="00ED3B16" w:rsidRPr="002B4AB6" w:rsidTr="00064F3F">
        <w:tc>
          <w:tcPr>
            <w:tcW w:w="1529" w:type="pct"/>
            <w:vAlign w:val="center"/>
          </w:tcPr>
          <w:p w:rsidR="00ED3B16" w:rsidRPr="002B4AB6" w:rsidRDefault="00ED3B16" w:rsidP="00064F3F">
            <w:pPr>
              <w:pStyle w:val="TableText0"/>
            </w:pPr>
            <w:r w:rsidRPr="002B4AB6">
              <w:t>Life years</w:t>
            </w:r>
          </w:p>
        </w:tc>
        <w:tc>
          <w:tcPr>
            <w:tcW w:w="1359" w:type="pct"/>
            <w:shd w:val="clear" w:color="auto" w:fill="auto"/>
            <w:vAlign w:val="center"/>
          </w:tcPr>
          <w:p w:rsidR="00ED3B16" w:rsidRPr="002B4AB6" w:rsidRDefault="00ED3B16" w:rsidP="00064F3F">
            <w:pPr>
              <w:pStyle w:val="TableText0"/>
              <w:jc w:val="center"/>
            </w:pPr>
            <w:r w:rsidRPr="002B4AB6">
              <w:t>3.4780</w:t>
            </w:r>
          </w:p>
        </w:tc>
        <w:tc>
          <w:tcPr>
            <w:tcW w:w="1274" w:type="pct"/>
            <w:shd w:val="clear" w:color="auto" w:fill="auto"/>
            <w:vAlign w:val="center"/>
          </w:tcPr>
          <w:p w:rsidR="00ED3B16" w:rsidRPr="002B4AB6" w:rsidRDefault="00ED3B16" w:rsidP="00064F3F">
            <w:pPr>
              <w:pStyle w:val="TableText0"/>
              <w:jc w:val="center"/>
            </w:pPr>
            <w:r w:rsidRPr="002B4AB6">
              <w:t>1.7198</w:t>
            </w:r>
          </w:p>
        </w:tc>
        <w:tc>
          <w:tcPr>
            <w:tcW w:w="838" w:type="pct"/>
            <w:shd w:val="clear" w:color="auto" w:fill="auto"/>
            <w:vAlign w:val="center"/>
          </w:tcPr>
          <w:p w:rsidR="00ED3B16" w:rsidRPr="002B4AB6" w:rsidRDefault="00ED3B16" w:rsidP="00064F3F">
            <w:pPr>
              <w:pStyle w:val="TableText0"/>
              <w:jc w:val="center"/>
            </w:pPr>
            <w:r w:rsidRPr="002B4AB6">
              <w:t>1.7582</w:t>
            </w:r>
          </w:p>
        </w:tc>
      </w:tr>
      <w:tr w:rsidR="00ED3B16" w:rsidRPr="002B4AB6" w:rsidTr="00064F3F">
        <w:tc>
          <w:tcPr>
            <w:tcW w:w="4162" w:type="pct"/>
            <w:gridSpan w:val="3"/>
            <w:vAlign w:val="center"/>
          </w:tcPr>
          <w:p w:rsidR="00ED3B16" w:rsidRPr="002B4AB6" w:rsidRDefault="00ED3B16" w:rsidP="00064F3F">
            <w:pPr>
              <w:pStyle w:val="TableText0"/>
            </w:pPr>
            <w:r w:rsidRPr="002B4AB6">
              <w:t>Incremental cost per LY gained</w:t>
            </w:r>
          </w:p>
        </w:tc>
        <w:tc>
          <w:tcPr>
            <w:tcW w:w="838" w:type="pct"/>
            <w:shd w:val="clear" w:color="auto" w:fill="auto"/>
            <w:vAlign w:val="center"/>
          </w:tcPr>
          <w:p w:rsidR="00ED3B16" w:rsidRPr="002B4AB6" w:rsidRDefault="00ED3B16" w:rsidP="00064F3F">
            <w:pPr>
              <w:pStyle w:val="TableText0"/>
              <w:jc w:val="center"/>
            </w:pPr>
            <w:r w:rsidRPr="002B4AB6">
              <w:t>$</w:t>
            </w:r>
            <w:r w:rsidR="004278F1">
              <w:rPr>
                <w:noProof/>
                <w:color w:val="000000"/>
                <w:highlight w:val="black"/>
              </w:rPr>
              <w:t>''''''''''''''''</w:t>
            </w:r>
          </w:p>
        </w:tc>
      </w:tr>
      <w:tr w:rsidR="00ED3B16" w:rsidRPr="002B4AB6" w:rsidTr="00064F3F">
        <w:tc>
          <w:tcPr>
            <w:tcW w:w="1529" w:type="pct"/>
            <w:tcBorders>
              <w:bottom w:val="single" w:sz="4" w:space="0" w:color="auto"/>
            </w:tcBorders>
            <w:vAlign w:val="center"/>
          </w:tcPr>
          <w:p w:rsidR="00ED3B16" w:rsidRPr="002B4AB6" w:rsidRDefault="00ED3B16" w:rsidP="00064F3F">
            <w:pPr>
              <w:pStyle w:val="TableText0"/>
            </w:pPr>
            <w:r w:rsidRPr="002B4AB6">
              <w:t>QALYs</w:t>
            </w:r>
          </w:p>
        </w:tc>
        <w:tc>
          <w:tcPr>
            <w:tcW w:w="1359" w:type="pct"/>
            <w:tcBorders>
              <w:bottom w:val="single" w:sz="4" w:space="0" w:color="auto"/>
            </w:tcBorders>
            <w:shd w:val="clear" w:color="auto" w:fill="auto"/>
            <w:vAlign w:val="center"/>
          </w:tcPr>
          <w:p w:rsidR="00ED3B16" w:rsidRPr="002B4AB6" w:rsidRDefault="00ED3B16" w:rsidP="00064F3F">
            <w:pPr>
              <w:pStyle w:val="TableText0"/>
              <w:jc w:val="center"/>
            </w:pPr>
            <w:r w:rsidRPr="002B4AB6">
              <w:t>2.6048</w:t>
            </w:r>
          </w:p>
        </w:tc>
        <w:tc>
          <w:tcPr>
            <w:tcW w:w="1274" w:type="pct"/>
            <w:tcBorders>
              <w:bottom w:val="single" w:sz="4" w:space="0" w:color="auto"/>
            </w:tcBorders>
            <w:shd w:val="clear" w:color="auto" w:fill="auto"/>
            <w:vAlign w:val="center"/>
          </w:tcPr>
          <w:p w:rsidR="00ED3B16" w:rsidRPr="002B4AB6" w:rsidRDefault="00ED3B16" w:rsidP="00064F3F">
            <w:pPr>
              <w:pStyle w:val="TableText0"/>
              <w:jc w:val="center"/>
            </w:pPr>
            <w:r w:rsidRPr="002B4AB6">
              <w:t>1.2863</w:t>
            </w:r>
          </w:p>
        </w:tc>
        <w:tc>
          <w:tcPr>
            <w:tcW w:w="838" w:type="pct"/>
            <w:tcBorders>
              <w:bottom w:val="single" w:sz="4" w:space="0" w:color="auto"/>
            </w:tcBorders>
            <w:shd w:val="clear" w:color="auto" w:fill="auto"/>
            <w:vAlign w:val="center"/>
          </w:tcPr>
          <w:p w:rsidR="00ED3B16" w:rsidRPr="002B4AB6" w:rsidRDefault="00ED3B16" w:rsidP="00064F3F">
            <w:pPr>
              <w:pStyle w:val="TableText0"/>
              <w:jc w:val="center"/>
            </w:pPr>
            <w:r w:rsidRPr="002B4AB6">
              <w:t>1.3184</w:t>
            </w:r>
          </w:p>
        </w:tc>
      </w:tr>
      <w:tr w:rsidR="00ED3B16" w:rsidRPr="002B4AB6" w:rsidTr="00064F3F">
        <w:tc>
          <w:tcPr>
            <w:tcW w:w="4162" w:type="pct"/>
            <w:gridSpan w:val="3"/>
            <w:tcBorders>
              <w:bottom w:val="double" w:sz="4" w:space="0" w:color="auto"/>
            </w:tcBorders>
            <w:vAlign w:val="center"/>
          </w:tcPr>
          <w:p w:rsidR="00ED3B16" w:rsidRPr="002B4AB6" w:rsidRDefault="00ED3B16" w:rsidP="00064F3F">
            <w:pPr>
              <w:pStyle w:val="TableText0"/>
              <w:rPr>
                <w:b/>
              </w:rPr>
            </w:pPr>
            <w:r w:rsidRPr="002B4AB6">
              <w:rPr>
                <w:b/>
              </w:rPr>
              <w:t>Incremental cost per QALY gained</w:t>
            </w:r>
          </w:p>
        </w:tc>
        <w:tc>
          <w:tcPr>
            <w:tcW w:w="838" w:type="pct"/>
            <w:tcBorders>
              <w:bottom w:val="double" w:sz="4" w:space="0" w:color="auto"/>
            </w:tcBorders>
            <w:vAlign w:val="center"/>
          </w:tcPr>
          <w:p w:rsidR="00ED3B16" w:rsidRPr="002B4AB6" w:rsidRDefault="00ED3B16" w:rsidP="00064F3F">
            <w:pPr>
              <w:pStyle w:val="TableText0"/>
              <w:jc w:val="center"/>
              <w:rPr>
                <w:b/>
              </w:rPr>
            </w:pPr>
            <w:r w:rsidRPr="002B4AB6">
              <w:rPr>
                <w:b/>
              </w:rPr>
              <w:t>$</w:t>
            </w:r>
            <w:r w:rsidR="004278F1">
              <w:rPr>
                <w:b/>
                <w:noProof/>
                <w:color w:val="000000"/>
                <w:highlight w:val="black"/>
              </w:rPr>
              <w:t>''''''''''''''</w:t>
            </w:r>
          </w:p>
        </w:tc>
      </w:tr>
      <w:tr w:rsidR="00ED3B16" w:rsidRPr="002B4AB6" w:rsidTr="00064F3F">
        <w:tc>
          <w:tcPr>
            <w:tcW w:w="1529" w:type="pct"/>
            <w:tcBorders>
              <w:top w:val="double" w:sz="4" w:space="0" w:color="auto"/>
            </w:tcBorders>
            <w:shd w:val="clear" w:color="auto" w:fill="B8CCE4" w:themeFill="accent1" w:themeFillTint="66"/>
            <w:vAlign w:val="center"/>
          </w:tcPr>
          <w:p w:rsidR="00ED3B16" w:rsidRPr="002B4AB6" w:rsidRDefault="00ED3B16" w:rsidP="00064F3F">
            <w:pPr>
              <w:pStyle w:val="TableText0"/>
            </w:pPr>
            <w:r w:rsidRPr="002B4AB6">
              <w:t>Previous submission</w:t>
            </w:r>
          </w:p>
        </w:tc>
        <w:tc>
          <w:tcPr>
            <w:tcW w:w="1359" w:type="pct"/>
            <w:tcBorders>
              <w:top w:val="double" w:sz="4" w:space="0" w:color="auto"/>
            </w:tcBorders>
            <w:shd w:val="clear" w:color="auto" w:fill="B8CCE4" w:themeFill="accent1" w:themeFillTint="66"/>
            <w:vAlign w:val="center"/>
          </w:tcPr>
          <w:p w:rsidR="00ED3B16" w:rsidRPr="002B4AB6" w:rsidRDefault="00ED3B16" w:rsidP="00064F3F">
            <w:pPr>
              <w:pStyle w:val="TableText0"/>
              <w:jc w:val="center"/>
            </w:pPr>
          </w:p>
        </w:tc>
        <w:tc>
          <w:tcPr>
            <w:tcW w:w="1274" w:type="pct"/>
            <w:tcBorders>
              <w:top w:val="double" w:sz="4" w:space="0" w:color="auto"/>
            </w:tcBorders>
            <w:shd w:val="clear" w:color="auto" w:fill="B8CCE4" w:themeFill="accent1" w:themeFillTint="66"/>
            <w:vAlign w:val="center"/>
          </w:tcPr>
          <w:p w:rsidR="00ED3B16" w:rsidRPr="002B4AB6" w:rsidRDefault="00ED3B16" w:rsidP="00064F3F">
            <w:pPr>
              <w:pStyle w:val="TableText0"/>
              <w:jc w:val="center"/>
            </w:pPr>
          </w:p>
        </w:tc>
        <w:tc>
          <w:tcPr>
            <w:tcW w:w="838" w:type="pct"/>
            <w:tcBorders>
              <w:top w:val="double" w:sz="4" w:space="0" w:color="auto"/>
            </w:tcBorders>
            <w:shd w:val="clear" w:color="auto" w:fill="B8CCE4" w:themeFill="accent1" w:themeFillTint="66"/>
            <w:vAlign w:val="center"/>
          </w:tcPr>
          <w:p w:rsidR="00ED3B16" w:rsidRPr="002B4AB6" w:rsidRDefault="00ED3B16" w:rsidP="00064F3F">
            <w:pPr>
              <w:pStyle w:val="TableText0"/>
              <w:jc w:val="center"/>
            </w:pPr>
          </w:p>
        </w:tc>
      </w:tr>
      <w:tr w:rsidR="00ED3B16" w:rsidRPr="002B4AB6" w:rsidTr="00064F3F">
        <w:tc>
          <w:tcPr>
            <w:tcW w:w="1529" w:type="pct"/>
            <w:shd w:val="clear" w:color="auto" w:fill="B8CCE4" w:themeFill="accent1" w:themeFillTint="66"/>
            <w:vAlign w:val="center"/>
          </w:tcPr>
          <w:p w:rsidR="00ED3B16" w:rsidRPr="002B4AB6" w:rsidRDefault="00ED3B16" w:rsidP="00064F3F">
            <w:pPr>
              <w:pStyle w:val="TableText0"/>
            </w:pPr>
            <w:r w:rsidRPr="002B4AB6">
              <w:t>Costs</w:t>
            </w:r>
          </w:p>
        </w:tc>
        <w:tc>
          <w:tcPr>
            <w:tcW w:w="1359" w:type="pct"/>
            <w:shd w:val="clear" w:color="auto" w:fill="B8CCE4" w:themeFill="accent1" w:themeFillTint="66"/>
            <w:vAlign w:val="center"/>
          </w:tcPr>
          <w:p w:rsidR="00ED3B16" w:rsidRPr="002B4AB6" w:rsidRDefault="00ED3B16" w:rsidP="00064F3F">
            <w:pPr>
              <w:pStyle w:val="TableText0"/>
              <w:jc w:val="center"/>
            </w:pPr>
            <w:r w:rsidRPr="002B4AB6">
              <w:t>$</w:t>
            </w:r>
            <w:r w:rsidR="004278F1">
              <w:rPr>
                <w:noProof/>
                <w:color w:val="000000"/>
                <w:highlight w:val="black"/>
              </w:rPr>
              <w:t>''''''''''''''''''</w:t>
            </w:r>
          </w:p>
        </w:tc>
        <w:tc>
          <w:tcPr>
            <w:tcW w:w="1274" w:type="pct"/>
            <w:shd w:val="clear" w:color="auto" w:fill="B8CCE4" w:themeFill="accent1" w:themeFillTint="66"/>
            <w:vAlign w:val="center"/>
          </w:tcPr>
          <w:p w:rsidR="00ED3B16" w:rsidRPr="002B4AB6" w:rsidRDefault="00ED3B16" w:rsidP="00064F3F">
            <w:pPr>
              <w:pStyle w:val="TableText0"/>
              <w:jc w:val="center"/>
            </w:pPr>
            <w:r w:rsidRPr="002B4AB6">
              <w:t>$</w:t>
            </w:r>
            <w:r w:rsidR="004278F1">
              <w:rPr>
                <w:noProof/>
                <w:color w:val="000000"/>
                <w:highlight w:val="black"/>
              </w:rPr>
              <w:t>''''''''''''''''</w:t>
            </w:r>
          </w:p>
        </w:tc>
        <w:tc>
          <w:tcPr>
            <w:tcW w:w="838" w:type="pct"/>
            <w:shd w:val="clear" w:color="auto" w:fill="B8CCE4" w:themeFill="accent1" w:themeFillTint="66"/>
            <w:vAlign w:val="center"/>
          </w:tcPr>
          <w:p w:rsidR="00ED3B16" w:rsidRPr="002B4AB6" w:rsidRDefault="00ED3B16" w:rsidP="00064F3F">
            <w:pPr>
              <w:pStyle w:val="TableText0"/>
              <w:jc w:val="center"/>
            </w:pPr>
            <w:r w:rsidRPr="002B4AB6">
              <w:t>$</w:t>
            </w:r>
            <w:r w:rsidR="004278F1">
              <w:rPr>
                <w:noProof/>
                <w:color w:val="000000"/>
                <w:highlight w:val="black"/>
              </w:rPr>
              <w:t>''''''''''''''''''</w:t>
            </w:r>
          </w:p>
        </w:tc>
      </w:tr>
      <w:tr w:rsidR="00ED3B16" w:rsidRPr="002B4AB6" w:rsidTr="00064F3F">
        <w:tc>
          <w:tcPr>
            <w:tcW w:w="1529" w:type="pct"/>
            <w:shd w:val="clear" w:color="auto" w:fill="B8CCE4" w:themeFill="accent1" w:themeFillTint="66"/>
            <w:vAlign w:val="center"/>
          </w:tcPr>
          <w:p w:rsidR="00ED3B16" w:rsidRPr="002B4AB6" w:rsidRDefault="00ED3B16" w:rsidP="00064F3F">
            <w:pPr>
              <w:pStyle w:val="TableText0"/>
            </w:pPr>
            <w:r w:rsidRPr="002B4AB6">
              <w:t>Life years</w:t>
            </w:r>
          </w:p>
        </w:tc>
        <w:tc>
          <w:tcPr>
            <w:tcW w:w="1359" w:type="pct"/>
            <w:shd w:val="clear" w:color="auto" w:fill="B8CCE4" w:themeFill="accent1" w:themeFillTint="66"/>
            <w:vAlign w:val="center"/>
          </w:tcPr>
          <w:p w:rsidR="00ED3B16" w:rsidRPr="002B4AB6" w:rsidRDefault="00ED3B16" w:rsidP="00064F3F">
            <w:pPr>
              <w:pStyle w:val="TableText0"/>
              <w:jc w:val="center"/>
            </w:pPr>
            <w:r w:rsidRPr="002B4AB6">
              <w:t>3.5179</w:t>
            </w:r>
          </w:p>
        </w:tc>
        <w:tc>
          <w:tcPr>
            <w:tcW w:w="1274" w:type="pct"/>
            <w:shd w:val="clear" w:color="auto" w:fill="B8CCE4" w:themeFill="accent1" w:themeFillTint="66"/>
            <w:vAlign w:val="center"/>
          </w:tcPr>
          <w:p w:rsidR="00ED3B16" w:rsidRPr="002B4AB6" w:rsidRDefault="00ED3B16" w:rsidP="00064F3F">
            <w:pPr>
              <w:pStyle w:val="TableText0"/>
              <w:jc w:val="center"/>
            </w:pPr>
            <w:r w:rsidRPr="002B4AB6">
              <w:t>0.8013</w:t>
            </w:r>
          </w:p>
        </w:tc>
        <w:tc>
          <w:tcPr>
            <w:tcW w:w="838" w:type="pct"/>
            <w:shd w:val="clear" w:color="auto" w:fill="B8CCE4" w:themeFill="accent1" w:themeFillTint="66"/>
            <w:vAlign w:val="center"/>
          </w:tcPr>
          <w:p w:rsidR="00ED3B16" w:rsidRPr="002B4AB6" w:rsidRDefault="00ED3B16" w:rsidP="00064F3F">
            <w:pPr>
              <w:pStyle w:val="TableText0"/>
              <w:jc w:val="center"/>
            </w:pPr>
            <w:r w:rsidRPr="002B4AB6">
              <w:t>2.7166</w:t>
            </w:r>
          </w:p>
        </w:tc>
      </w:tr>
      <w:tr w:rsidR="00ED3B16" w:rsidRPr="002B4AB6" w:rsidTr="00064F3F">
        <w:tc>
          <w:tcPr>
            <w:tcW w:w="4162" w:type="pct"/>
            <w:gridSpan w:val="3"/>
            <w:shd w:val="clear" w:color="auto" w:fill="B8CCE4" w:themeFill="accent1" w:themeFillTint="66"/>
            <w:vAlign w:val="center"/>
          </w:tcPr>
          <w:p w:rsidR="00ED3B16" w:rsidRPr="002B4AB6" w:rsidRDefault="00ED3B16" w:rsidP="00064F3F">
            <w:pPr>
              <w:pStyle w:val="TableText0"/>
            </w:pPr>
            <w:r w:rsidRPr="002B4AB6">
              <w:t>Incremental cost per LY gained</w:t>
            </w:r>
          </w:p>
        </w:tc>
        <w:tc>
          <w:tcPr>
            <w:tcW w:w="838" w:type="pct"/>
            <w:shd w:val="clear" w:color="auto" w:fill="B8CCE4" w:themeFill="accent1" w:themeFillTint="66"/>
            <w:vAlign w:val="center"/>
          </w:tcPr>
          <w:p w:rsidR="00ED3B16" w:rsidRPr="002B4AB6" w:rsidRDefault="00ED3B16" w:rsidP="00064F3F">
            <w:pPr>
              <w:pStyle w:val="TableText0"/>
              <w:jc w:val="center"/>
            </w:pPr>
            <w:r w:rsidRPr="002B4AB6">
              <w:t>$</w:t>
            </w:r>
            <w:r w:rsidR="004278F1">
              <w:rPr>
                <w:noProof/>
                <w:color w:val="000000"/>
                <w:highlight w:val="black"/>
              </w:rPr>
              <w:t>''''''''''''''''</w:t>
            </w:r>
          </w:p>
        </w:tc>
      </w:tr>
      <w:tr w:rsidR="00ED3B16" w:rsidRPr="002B4AB6" w:rsidTr="00064F3F">
        <w:tc>
          <w:tcPr>
            <w:tcW w:w="1529" w:type="pct"/>
            <w:shd w:val="clear" w:color="auto" w:fill="B8CCE4" w:themeFill="accent1" w:themeFillTint="66"/>
            <w:vAlign w:val="center"/>
          </w:tcPr>
          <w:p w:rsidR="00ED3B16" w:rsidRPr="002B4AB6" w:rsidRDefault="00ED3B16" w:rsidP="00064F3F">
            <w:pPr>
              <w:pStyle w:val="TableText0"/>
            </w:pPr>
            <w:r w:rsidRPr="002B4AB6">
              <w:t>QALYs</w:t>
            </w:r>
          </w:p>
        </w:tc>
        <w:tc>
          <w:tcPr>
            <w:tcW w:w="1359" w:type="pct"/>
            <w:shd w:val="clear" w:color="auto" w:fill="B8CCE4" w:themeFill="accent1" w:themeFillTint="66"/>
            <w:vAlign w:val="bottom"/>
          </w:tcPr>
          <w:p w:rsidR="00ED3B16" w:rsidRPr="002B4AB6" w:rsidRDefault="00ED3B16" w:rsidP="00064F3F">
            <w:pPr>
              <w:pStyle w:val="TableText0"/>
              <w:jc w:val="center"/>
            </w:pPr>
            <w:r w:rsidRPr="002B4AB6">
              <w:t>2.7186</w:t>
            </w:r>
          </w:p>
        </w:tc>
        <w:tc>
          <w:tcPr>
            <w:tcW w:w="1274" w:type="pct"/>
            <w:shd w:val="clear" w:color="auto" w:fill="B8CCE4" w:themeFill="accent1" w:themeFillTint="66"/>
            <w:vAlign w:val="bottom"/>
          </w:tcPr>
          <w:p w:rsidR="00ED3B16" w:rsidRPr="002B4AB6" w:rsidRDefault="00ED3B16" w:rsidP="00064F3F">
            <w:pPr>
              <w:pStyle w:val="TableText0"/>
              <w:jc w:val="center"/>
            </w:pPr>
            <w:r w:rsidRPr="002B4AB6">
              <w:t>0.6854</w:t>
            </w:r>
          </w:p>
        </w:tc>
        <w:tc>
          <w:tcPr>
            <w:tcW w:w="838" w:type="pct"/>
            <w:shd w:val="clear" w:color="auto" w:fill="B8CCE4" w:themeFill="accent1" w:themeFillTint="66"/>
            <w:vAlign w:val="bottom"/>
          </w:tcPr>
          <w:p w:rsidR="00ED3B16" w:rsidRPr="002B4AB6" w:rsidRDefault="00ED3B16" w:rsidP="00064F3F">
            <w:pPr>
              <w:pStyle w:val="TableText0"/>
              <w:jc w:val="center"/>
            </w:pPr>
            <w:r w:rsidRPr="002B4AB6">
              <w:t>2.0332</w:t>
            </w:r>
          </w:p>
        </w:tc>
      </w:tr>
      <w:tr w:rsidR="00ED3B16" w:rsidRPr="002B4AB6" w:rsidTr="00064F3F">
        <w:tc>
          <w:tcPr>
            <w:tcW w:w="4162" w:type="pct"/>
            <w:gridSpan w:val="3"/>
            <w:shd w:val="clear" w:color="auto" w:fill="B8CCE4" w:themeFill="accent1" w:themeFillTint="66"/>
            <w:vAlign w:val="center"/>
          </w:tcPr>
          <w:p w:rsidR="00ED3B16" w:rsidRPr="002B4AB6" w:rsidRDefault="00ED3B16" w:rsidP="00064F3F">
            <w:pPr>
              <w:pStyle w:val="TableText0"/>
              <w:rPr>
                <w:b/>
              </w:rPr>
            </w:pPr>
            <w:r w:rsidRPr="002B4AB6">
              <w:rPr>
                <w:b/>
              </w:rPr>
              <w:t>Incremental cost per QALY gained</w:t>
            </w:r>
          </w:p>
        </w:tc>
        <w:tc>
          <w:tcPr>
            <w:tcW w:w="838" w:type="pct"/>
            <w:shd w:val="clear" w:color="auto" w:fill="B8CCE4" w:themeFill="accent1" w:themeFillTint="66"/>
            <w:vAlign w:val="center"/>
          </w:tcPr>
          <w:p w:rsidR="00ED3B16" w:rsidRPr="002B4AB6" w:rsidRDefault="00ED3B16" w:rsidP="00064F3F">
            <w:pPr>
              <w:pStyle w:val="TableText0"/>
              <w:jc w:val="center"/>
              <w:rPr>
                <w:b/>
              </w:rPr>
            </w:pPr>
            <w:r w:rsidRPr="002B4AB6">
              <w:rPr>
                <w:b/>
              </w:rPr>
              <w:t>$</w:t>
            </w:r>
            <w:r w:rsidR="004278F1">
              <w:rPr>
                <w:b/>
                <w:noProof/>
                <w:color w:val="000000"/>
                <w:highlight w:val="black"/>
              </w:rPr>
              <w:t>''''''''''''''</w:t>
            </w:r>
          </w:p>
        </w:tc>
      </w:tr>
    </w:tbl>
    <w:p w:rsidR="00ED3B16" w:rsidRPr="002B4AB6" w:rsidRDefault="00ED3B16" w:rsidP="00ED3B16">
      <w:pPr>
        <w:pStyle w:val="TableFooter"/>
      </w:pPr>
      <w:r w:rsidRPr="002B4AB6">
        <w:t>Source: Table 3.8-1, p147 of the resubmission; Table 13, paragraph 6.40, pembrolizumab</w:t>
      </w:r>
      <w:r w:rsidR="0050535E" w:rsidRPr="002B4AB6">
        <w:t xml:space="preserve"> </w:t>
      </w:r>
      <w:r w:rsidR="00927279" w:rsidRPr="002B4AB6">
        <w:t>rr</w:t>
      </w:r>
      <w:r w:rsidRPr="002B4AB6">
        <w:t xml:space="preserve">PMBCL, PBAC </w:t>
      </w:r>
      <w:r w:rsidR="004924BC">
        <w:t>PSD</w:t>
      </w:r>
      <w:r w:rsidRPr="002B4AB6">
        <w:t>, November 2018 PBAC meeting; Table 3.8.1, 6.07 Pembrolizumab (rrPMBCL) COM November 2018 PBAC meeting.</w:t>
      </w:r>
    </w:p>
    <w:p w:rsidR="00ED3B16" w:rsidRPr="002B4AB6" w:rsidRDefault="00ED3B16" w:rsidP="00ED3B16">
      <w:pPr>
        <w:pStyle w:val="TableFooter"/>
        <w:rPr>
          <w:rFonts w:ascii="Calibri" w:hAnsi="Calibri"/>
        </w:rPr>
      </w:pPr>
      <w:r w:rsidRPr="002B4AB6">
        <w:t>LY = life-years; QALY = quality-adjusted life-years; SOC = standard of care</w:t>
      </w:r>
    </w:p>
    <w:p w:rsidR="00ED3B16" w:rsidRDefault="00ED3B16" w:rsidP="00ED3B16"/>
    <w:p w:rsidR="00762A5E" w:rsidRPr="00DA6FB3" w:rsidRDefault="00762A5E" w:rsidP="00ED3B16">
      <w:pPr>
        <w:rPr>
          <w:i/>
        </w:rPr>
      </w:pPr>
      <w:r w:rsidRPr="00DA6FB3">
        <w:rPr>
          <w:i/>
        </w:rPr>
        <w:t>The redacted table shows an ICER in the range of $45,000 to &lt;</w:t>
      </w:r>
      <w:r w:rsidR="00AC797D">
        <w:rPr>
          <w:i/>
        </w:rPr>
        <w:t> </w:t>
      </w:r>
      <w:r w:rsidRPr="00DA6FB3">
        <w:rPr>
          <w:i/>
        </w:rPr>
        <w:t>$55,000/QALY for the current submission</w:t>
      </w:r>
      <w:r w:rsidR="004A4B18">
        <w:rPr>
          <w:i/>
        </w:rPr>
        <w:t>;</w:t>
      </w:r>
      <w:r w:rsidRPr="00DA6FB3">
        <w:rPr>
          <w:i/>
        </w:rPr>
        <w:t xml:space="preserve"> and an ICER in the range of $35,000 to &lt;</w:t>
      </w:r>
      <w:r w:rsidR="00AC797D">
        <w:rPr>
          <w:i/>
        </w:rPr>
        <w:t> </w:t>
      </w:r>
      <w:r w:rsidRPr="00DA6FB3">
        <w:rPr>
          <w:i/>
        </w:rPr>
        <w:t>$45,000/QALY for the previous</w:t>
      </w:r>
      <w:r w:rsidR="00DA6FB3">
        <w:rPr>
          <w:i/>
        </w:rPr>
        <w:t xml:space="preserve"> PBAC consideration</w:t>
      </w:r>
      <w:r w:rsidRPr="00DA6FB3">
        <w:rPr>
          <w:i/>
        </w:rPr>
        <w:t xml:space="preserve">. </w:t>
      </w:r>
    </w:p>
    <w:p w:rsidR="00762A5E" w:rsidRPr="002B4AB6" w:rsidRDefault="00762A5E" w:rsidP="00ED3B16"/>
    <w:p w:rsidR="009D2B45" w:rsidRPr="002B4AB6" w:rsidRDefault="009D2B45" w:rsidP="00ED3B16">
      <w:pPr>
        <w:pStyle w:val="3-BodyText"/>
      </w:pPr>
      <w:r w:rsidRPr="002B4AB6">
        <w:t xml:space="preserve">The ESC considered that the results of the model were not reliable with the key issue the uncertainty associated </w:t>
      </w:r>
      <w:r w:rsidR="00C51765" w:rsidRPr="002B4AB6">
        <w:t xml:space="preserve">with </w:t>
      </w:r>
      <w:r w:rsidRPr="002B4AB6">
        <w:t xml:space="preserve">the survival data for SOC due to the limited applicability of the Vardhana 2018 cohorts and the small sample sizes on which the extrapolations for OS were based. </w:t>
      </w:r>
    </w:p>
    <w:p w:rsidR="00ED3B16" w:rsidRPr="002B4AB6" w:rsidRDefault="00ED3B16" w:rsidP="00ED3B16">
      <w:pPr>
        <w:pStyle w:val="3-BodyText"/>
      </w:pPr>
      <w:r w:rsidRPr="002B4AB6">
        <w:t>The results of key sensitivity analyses are summarised below.</w:t>
      </w:r>
    </w:p>
    <w:p w:rsidR="00ED3B16" w:rsidRPr="002B4AB6" w:rsidRDefault="00ED3B16" w:rsidP="00ED3B16">
      <w:pPr>
        <w:pStyle w:val="TableFigureHeading"/>
      </w:pPr>
      <w:r w:rsidRPr="002B4AB6">
        <w:lastRenderedPageBreak/>
        <w:t xml:space="preserve">Table </w:t>
      </w:r>
      <w:r w:rsidR="002B39A5" w:rsidRPr="00956A61">
        <w:t>15</w:t>
      </w:r>
      <w:r w:rsidRPr="002B4AB6">
        <w:t xml:space="preserve">: </w:t>
      </w:r>
      <w:r w:rsidRPr="002B4AB6">
        <w:rPr>
          <w:rStyle w:val="CommentReference"/>
          <w:b/>
          <w:szCs w:val="24"/>
        </w:rPr>
        <w:t>Results of key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1482"/>
        <w:gridCol w:w="1616"/>
        <w:gridCol w:w="1194"/>
        <w:gridCol w:w="14"/>
      </w:tblGrid>
      <w:tr w:rsidR="00ED3B16" w:rsidRPr="002B4AB6" w:rsidTr="00064F3F">
        <w:trPr>
          <w:gridAfter w:val="1"/>
          <w:wAfter w:w="8" w:type="pct"/>
          <w:tblHeader/>
        </w:trPr>
        <w:tc>
          <w:tcPr>
            <w:tcW w:w="2612" w:type="pct"/>
          </w:tcPr>
          <w:p w:rsidR="00ED3B16" w:rsidRPr="00492CD9" w:rsidRDefault="00ED3B16" w:rsidP="00064F3F">
            <w:pPr>
              <w:pStyle w:val="In-tableHeading"/>
              <w:rPr>
                <w:lang w:val="en-AU"/>
              </w:rPr>
            </w:pPr>
            <w:r w:rsidRPr="00492CD9">
              <w:rPr>
                <w:lang w:val="en-AU"/>
              </w:rPr>
              <w:t>Analyses</w:t>
            </w:r>
          </w:p>
        </w:tc>
        <w:tc>
          <w:tcPr>
            <w:tcW w:w="822" w:type="pct"/>
          </w:tcPr>
          <w:p w:rsidR="00ED3B16" w:rsidRPr="002B4AB6" w:rsidRDefault="00ED3B16" w:rsidP="00064F3F">
            <w:pPr>
              <w:pStyle w:val="In-tableHeading"/>
              <w:jc w:val="center"/>
              <w:rPr>
                <w:lang w:val="en-AU"/>
              </w:rPr>
            </w:pPr>
            <w:r w:rsidRPr="002B4AB6">
              <w:rPr>
                <w:lang w:val="en-AU"/>
              </w:rPr>
              <w:t>Incremental cost</w:t>
            </w:r>
          </w:p>
        </w:tc>
        <w:tc>
          <w:tcPr>
            <w:tcW w:w="896" w:type="pct"/>
          </w:tcPr>
          <w:p w:rsidR="00ED3B16" w:rsidRPr="002B4AB6" w:rsidRDefault="00ED3B16" w:rsidP="00064F3F">
            <w:pPr>
              <w:pStyle w:val="In-tableHeading"/>
              <w:jc w:val="center"/>
              <w:rPr>
                <w:lang w:val="en-AU"/>
              </w:rPr>
            </w:pPr>
            <w:r w:rsidRPr="002B4AB6">
              <w:rPr>
                <w:lang w:val="en-AU"/>
              </w:rPr>
              <w:t>Incremental QALYs</w:t>
            </w:r>
          </w:p>
        </w:tc>
        <w:tc>
          <w:tcPr>
            <w:tcW w:w="662" w:type="pct"/>
          </w:tcPr>
          <w:p w:rsidR="00ED3B16" w:rsidRPr="002B4AB6" w:rsidRDefault="00ED3B16" w:rsidP="00064F3F">
            <w:pPr>
              <w:pStyle w:val="In-tableHeading"/>
              <w:jc w:val="center"/>
              <w:rPr>
                <w:lang w:val="en-AU"/>
              </w:rPr>
            </w:pPr>
            <w:r w:rsidRPr="002B4AB6">
              <w:rPr>
                <w:lang w:val="en-AU"/>
              </w:rPr>
              <w:t>ICER</w:t>
            </w:r>
          </w:p>
          <w:p w:rsidR="00ED3B16" w:rsidRPr="002B4AB6" w:rsidRDefault="00ED3B16" w:rsidP="00064F3F">
            <w:pPr>
              <w:pStyle w:val="In-tableHeading"/>
              <w:jc w:val="center"/>
              <w:rPr>
                <w:lang w:val="en-AU"/>
              </w:rPr>
            </w:pPr>
            <w:r w:rsidRPr="002B4AB6">
              <w:rPr>
                <w:lang w:val="en-AU"/>
              </w:rPr>
              <w:t>$/QALY</w:t>
            </w:r>
          </w:p>
        </w:tc>
      </w:tr>
      <w:tr w:rsidR="00ED3B16" w:rsidRPr="002B4AB6" w:rsidTr="00064F3F">
        <w:trPr>
          <w:gridAfter w:val="1"/>
          <w:wAfter w:w="8" w:type="pct"/>
        </w:trPr>
        <w:tc>
          <w:tcPr>
            <w:tcW w:w="2612" w:type="pct"/>
          </w:tcPr>
          <w:p w:rsidR="00ED3B16" w:rsidRPr="002B4AB6" w:rsidRDefault="00ED3B16" w:rsidP="00064F3F">
            <w:pPr>
              <w:pStyle w:val="TableText0"/>
              <w:rPr>
                <w:b/>
              </w:rPr>
            </w:pPr>
            <w:r w:rsidRPr="002B4AB6">
              <w:rPr>
                <w:b/>
              </w:rPr>
              <w:t>Base case</w:t>
            </w:r>
          </w:p>
        </w:tc>
        <w:tc>
          <w:tcPr>
            <w:tcW w:w="822" w:type="pct"/>
          </w:tcPr>
          <w:p w:rsidR="00ED3B16" w:rsidRPr="002B4AB6" w:rsidRDefault="00ED3B16" w:rsidP="00064F3F">
            <w:pPr>
              <w:pStyle w:val="TableText0"/>
              <w:jc w:val="center"/>
              <w:rPr>
                <w:b/>
              </w:rPr>
            </w:pPr>
            <w:r w:rsidRPr="002B4AB6">
              <w:rPr>
                <w:b/>
              </w:rPr>
              <w:t>$</w:t>
            </w:r>
            <w:r w:rsidR="004278F1">
              <w:rPr>
                <w:b/>
                <w:noProof/>
                <w:color w:val="000000"/>
                <w:highlight w:val="black"/>
              </w:rPr>
              <w:t>''''''''''''''</w:t>
            </w:r>
          </w:p>
        </w:tc>
        <w:tc>
          <w:tcPr>
            <w:tcW w:w="896" w:type="pct"/>
          </w:tcPr>
          <w:p w:rsidR="00ED3B16" w:rsidRPr="002B4AB6" w:rsidRDefault="00ED3B16" w:rsidP="00064F3F">
            <w:pPr>
              <w:pStyle w:val="TableText0"/>
              <w:jc w:val="center"/>
              <w:rPr>
                <w:b/>
              </w:rPr>
            </w:pPr>
            <w:r w:rsidRPr="002B4AB6">
              <w:rPr>
                <w:b/>
              </w:rPr>
              <w:t>1.3184</w:t>
            </w:r>
          </w:p>
        </w:tc>
        <w:tc>
          <w:tcPr>
            <w:tcW w:w="662" w:type="pct"/>
          </w:tcPr>
          <w:p w:rsidR="00ED3B16" w:rsidRPr="002B4AB6" w:rsidRDefault="00ED3B16" w:rsidP="00064F3F">
            <w:pPr>
              <w:pStyle w:val="TableText0"/>
              <w:jc w:val="center"/>
              <w:rPr>
                <w:b/>
              </w:rPr>
            </w:pPr>
            <w:r w:rsidRPr="002B4AB6">
              <w:rPr>
                <w:b/>
              </w:rPr>
              <w:t>$</w:t>
            </w:r>
            <w:r w:rsidR="004278F1">
              <w:rPr>
                <w:b/>
                <w:noProof/>
                <w:color w:val="000000"/>
                <w:highlight w:val="black"/>
              </w:rPr>
              <w:t>''''''''''''</w:t>
            </w:r>
          </w:p>
        </w:tc>
      </w:tr>
      <w:tr w:rsidR="00ED3B16" w:rsidRPr="002B4AB6" w:rsidTr="00064F3F">
        <w:trPr>
          <w:gridAfter w:val="1"/>
          <w:wAfter w:w="8" w:type="pct"/>
        </w:trPr>
        <w:tc>
          <w:tcPr>
            <w:tcW w:w="4992" w:type="pct"/>
            <w:gridSpan w:val="4"/>
          </w:tcPr>
          <w:p w:rsidR="00ED3B16" w:rsidRPr="002B4AB6" w:rsidRDefault="00ED3B16" w:rsidP="00064F3F">
            <w:pPr>
              <w:pStyle w:val="TableText0"/>
              <w:rPr>
                <w:b/>
              </w:rPr>
            </w:pPr>
            <w:r w:rsidRPr="002B4AB6">
              <w:rPr>
                <w:b/>
              </w:rPr>
              <w:t>Univariate analyses</w:t>
            </w:r>
          </w:p>
        </w:tc>
      </w:tr>
      <w:tr w:rsidR="00ED3B16" w:rsidRPr="002B4AB6" w:rsidTr="00064F3F">
        <w:trPr>
          <w:gridAfter w:val="1"/>
          <w:wAfter w:w="8" w:type="pct"/>
        </w:trPr>
        <w:tc>
          <w:tcPr>
            <w:tcW w:w="2612" w:type="pct"/>
          </w:tcPr>
          <w:p w:rsidR="00ED3B16" w:rsidRPr="002B4AB6" w:rsidRDefault="00ED3B16" w:rsidP="00064F3F">
            <w:pPr>
              <w:pStyle w:val="TableText0"/>
            </w:pPr>
            <w:r w:rsidRPr="002B4AB6">
              <w:t>Time horizon (base case 10 years)</w:t>
            </w:r>
          </w:p>
          <w:p w:rsidR="00ED3B16" w:rsidRPr="002B4AB6" w:rsidRDefault="00ED3B16" w:rsidP="00E818A3">
            <w:pPr>
              <w:pStyle w:val="TableText0"/>
              <w:numPr>
                <w:ilvl w:val="0"/>
                <w:numId w:val="5"/>
              </w:numPr>
            </w:pPr>
            <w:r w:rsidRPr="002B4AB6">
              <w:t>2.5 years</w:t>
            </w:r>
          </w:p>
          <w:p w:rsidR="00ED3B16" w:rsidRPr="002B4AB6" w:rsidRDefault="00ED3B16" w:rsidP="00E818A3">
            <w:pPr>
              <w:pStyle w:val="TableText0"/>
              <w:numPr>
                <w:ilvl w:val="0"/>
                <w:numId w:val="5"/>
              </w:numPr>
            </w:pPr>
            <w:r w:rsidRPr="002B4AB6">
              <w:t>5 years</w:t>
            </w:r>
          </w:p>
          <w:p w:rsidR="00ED3B16" w:rsidRPr="002B4AB6" w:rsidRDefault="00ED3B16" w:rsidP="00E818A3">
            <w:pPr>
              <w:pStyle w:val="TableText0"/>
              <w:numPr>
                <w:ilvl w:val="0"/>
                <w:numId w:val="5"/>
              </w:numPr>
            </w:pPr>
            <w:r w:rsidRPr="002B4AB6">
              <w:t>7.5 years</w:t>
            </w:r>
          </w:p>
        </w:tc>
        <w:tc>
          <w:tcPr>
            <w:tcW w:w="822" w:type="pct"/>
          </w:tcPr>
          <w:p w:rsidR="00ED3B16" w:rsidRPr="002B4AB6" w:rsidRDefault="00ED3B16" w:rsidP="00064F3F">
            <w:pPr>
              <w:pStyle w:val="TableText0"/>
              <w:jc w:val="center"/>
            </w:pPr>
          </w:p>
          <w:p w:rsidR="00ED3B16" w:rsidRPr="002B4AB6" w:rsidRDefault="00ED3B16" w:rsidP="00064F3F">
            <w:pPr>
              <w:pStyle w:val="TableText0"/>
              <w:spacing w:before="20"/>
              <w:jc w:val="center"/>
            </w:pPr>
            <w:r w:rsidRPr="002B4AB6">
              <w:t>$</w:t>
            </w:r>
            <w:r w:rsidR="004278F1">
              <w:rPr>
                <w:noProof/>
                <w:color w:val="000000"/>
                <w:highlight w:val="black"/>
              </w:rPr>
              <w:t>'''''''''''''''</w:t>
            </w:r>
          </w:p>
          <w:p w:rsidR="00ED3B16" w:rsidRPr="002B4AB6" w:rsidRDefault="00ED3B16" w:rsidP="00064F3F">
            <w:pPr>
              <w:pStyle w:val="TableText0"/>
              <w:jc w:val="center"/>
            </w:pPr>
            <w:r w:rsidRPr="002B4AB6">
              <w:t>$</w:t>
            </w:r>
            <w:r w:rsidR="004278F1">
              <w:rPr>
                <w:noProof/>
                <w:color w:val="000000"/>
                <w:highlight w:val="black"/>
              </w:rPr>
              <w:t>''''''''''''''''</w:t>
            </w:r>
          </w:p>
          <w:p w:rsidR="00ED3B16" w:rsidRPr="002B4AB6" w:rsidRDefault="00ED3B16" w:rsidP="00064F3F">
            <w:pPr>
              <w:pStyle w:val="TableText0"/>
              <w:jc w:val="center"/>
            </w:pPr>
            <w:r w:rsidRPr="002B4AB6">
              <w:t>$</w:t>
            </w:r>
            <w:r w:rsidR="004278F1">
              <w:rPr>
                <w:noProof/>
                <w:color w:val="000000"/>
                <w:highlight w:val="black"/>
              </w:rPr>
              <w:t>'''''''''''''''</w:t>
            </w:r>
          </w:p>
        </w:tc>
        <w:tc>
          <w:tcPr>
            <w:tcW w:w="896" w:type="pct"/>
          </w:tcPr>
          <w:p w:rsidR="00ED3B16" w:rsidRPr="002B4AB6" w:rsidRDefault="00ED3B16" w:rsidP="00064F3F">
            <w:pPr>
              <w:pStyle w:val="TableText0"/>
              <w:jc w:val="center"/>
            </w:pPr>
          </w:p>
          <w:p w:rsidR="00ED3B16" w:rsidRPr="002B4AB6" w:rsidRDefault="00ED3B16" w:rsidP="00064F3F">
            <w:pPr>
              <w:pStyle w:val="TableText0"/>
              <w:spacing w:before="20"/>
              <w:jc w:val="center"/>
            </w:pPr>
            <w:r w:rsidRPr="002B4AB6">
              <w:t>0.2733</w:t>
            </w:r>
          </w:p>
          <w:p w:rsidR="00ED3B16" w:rsidRPr="002B4AB6" w:rsidRDefault="00ED3B16" w:rsidP="00064F3F">
            <w:pPr>
              <w:pStyle w:val="TableText0"/>
              <w:jc w:val="center"/>
            </w:pPr>
            <w:r w:rsidRPr="002B4AB6">
              <w:t>0.6892</w:t>
            </w:r>
          </w:p>
          <w:p w:rsidR="00ED3B16" w:rsidRPr="002B4AB6" w:rsidRDefault="00ED3B16" w:rsidP="00064F3F">
            <w:pPr>
              <w:pStyle w:val="TableText0"/>
              <w:jc w:val="center"/>
            </w:pPr>
            <w:r w:rsidRPr="002B4AB6">
              <w:t>1.0323</w:t>
            </w:r>
          </w:p>
        </w:tc>
        <w:tc>
          <w:tcPr>
            <w:tcW w:w="662" w:type="pct"/>
          </w:tcPr>
          <w:p w:rsidR="00ED3B16" w:rsidRPr="002B4AB6" w:rsidRDefault="00ED3B16" w:rsidP="00064F3F">
            <w:pPr>
              <w:pStyle w:val="TableText0"/>
              <w:jc w:val="center"/>
            </w:pPr>
          </w:p>
          <w:p w:rsidR="00ED3B16" w:rsidRPr="002B4AB6" w:rsidRDefault="00ED3B16" w:rsidP="00064F3F">
            <w:pPr>
              <w:pStyle w:val="TableText0"/>
              <w:spacing w:before="20"/>
              <w:jc w:val="center"/>
            </w:pPr>
            <w:r w:rsidRPr="002B4AB6">
              <w:t>$</w:t>
            </w:r>
            <w:r w:rsidR="004278F1">
              <w:rPr>
                <w:noProof/>
                <w:color w:val="000000"/>
                <w:highlight w:val="black"/>
              </w:rPr>
              <w:t>''''''''''''''''''</w:t>
            </w:r>
          </w:p>
          <w:p w:rsidR="00ED3B16" w:rsidRPr="002B4AB6" w:rsidRDefault="00ED3B16" w:rsidP="00064F3F">
            <w:pPr>
              <w:pStyle w:val="TableText0"/>
              <w:jc w:val="center"/>
            </w:pPr>
            <w:r w:rsidRPr="002B4AB6">
              <w:t>$</w:t>
            </w:r>
            <w:r w:rsidR="004278F1">
              <w:rPr>
                <w:noProof/>
                <w:color w:val="000000"/>
                <w:highlight w:val="black"/>
              </w:rPr>
              <w:t>''''''''''''''''</w:t>
            </w:r>
          </w:p>
          <w:p w:rsidR="00ED3B16" w:rsidRPr="002B4AB6" w:rsidRDefault="00ED3B16" w:rsidP="00064F3F">
            <w:pPr>
              <w:pStyle w:val="TableText0"/>
              <w:jc w:val="center"/>
            </w:pPr>
            <w:r w:rsidRPr="002B4AB6">
              <w:t>$</w:t>
            </w:r>
            <w:r w:rsidR="004278F1">
              <w:rPr>
                <w:noProof/>
                <w:color w:val="000000"/>
                <w:highlight w:val="black"/>
              </w:rPr>
              <w:t>''''''''''''''''</w:t>
            </w:r>
          </w:p>
        </w:tc>
      </w:tr>
      <w:tr w:rsidR="00ED3B16" w:rsidRPr="002B4AB6" w:rsidTr="00064F3F">
        <w:trPr>
          <w:gridAfter w:val="1"/>
          <w:wAfter w:w="8" w:type="pct"/>
        </w:trPr>
        <w:tc>
          <w:tcPr>
            <w:tcW w:w="2612" w:type="pct"/>
          </w:tcPr>
          <w:p w:rsidR="00ED3B16" w:rsidRPr="002B4AB6" w:rsidRDefault="00ED3B16" w:rsidP="00064F3F">
            <w:pPr>
              <w:pStyle w:val="TableText0"/>
              <w:rPr>
                <w:vertAlign w:val="superscript"/>
              </w:rPr>
            </w:pPr>
            <w:r w:rsidRPr="002B4AB6">
              <w:t>Population SOC arm (base case Cohort C Vardhana 2018)</w:t>
            </w:r>
            <w:r w:rsidRPr="002B4AB6">
              <w:rPr>
                <w:vertAlign w:val="superscript"/>
              </w:rPr>
              <w:t>a</w:t>
            </w:r>
          </w:p>
          <w:p w:rsidR="00ED3B16" w:rsidRPr="002B4AB6" w:rsidRDefault="00ED3B16" w:rsidP="00E818A3">
            <w:pPr>
              <w:pStyle w:val="TableText0"/>
              <w:numPr>
                <w:ilvl w:val="0"/>
                <w:numId w:val="6"/>
              </w:numPr>
              <w:ind w:left="714" w:hanging="357"/>
            </w:pPr>
            <w:r w:rsidRPr="002B4AB6">
              <w:t>Cohort A (refractory 2L but underwent ASCT)</w:t>
            </w:r>
          </w:p>
          <w:p w:rsidR="00ED3B16" w:rsidRPr="002B4AB6" w:rsidRDefault="00ED3B16" w:rsidP="00E818A3">
            <w:pPr>
              <w:pStyle w:val="TableText0"/>
              <w:numPr>
                <w:ilvl w:val="0"/>
                <w:numId w:val="6"/>
              </w:numPr>
              <w:ind w:left="714" w:hanging="357"/>
            </w:pPr>
            <w:r w:rsidRPr="002B4AB6">
              <w:t>Cohort B (no ASCT)</w:t>
            </w:r>
          </w:p>
          <w:p w:rsidR="00ED3B16" w:rsidRPr="002B4AB6" w:rsidRDefault="00ED3B16" w:rsidP="00E818A3">
            <w:pPr>
              <w:pStyle w:val="TableText0"/>
              <w:numPr>
                <w:ilvl w:val="0"/>
                <w:numId w:val="6"/>
              </w:numPr>
              <w:ind w:left="714" w:hanging="357"/>
            </w:pPr>
            <w:r w:rsidRPr="002B4AB6">
              <w:t>Cohort E (refractory 1L and Ann Arbor Stage III-IV)</w:t>
            </w:r>
          </w:p>
          <w:p w:rsidR="00ED3B16" w:rsidRPr="002B4AB6" w:rsidRDefault="00ED3B16" w:rsidP="00E818A3">
            <w:pPr>
              <w:pStyle w:val="TableText0"/>
              <w:numPr>
                <w:ilvl w:val="0"/>
                <w:numId w:val="6"/>
              </w:numPr>
              <w:ind w:left="714" w:hanging="357"/>
            </w:pPr>
            <w:r w:rsidRPr="002B4AB6">
              <w:t>Kuruvilla 2008 subgroup</w:t>
            </w:r>
            <w:r w:rsidRPr="002B4AB6">
              <w:rPr>
                <w:vertAlign w:val="superscript"/>
              </w:rPr>
              <w:t>b</w:t>
            </w:r>
          </w:p>
          <w:p w:rsidR="00ED3B16" w:rsidRPr="002B4AB6" w:rsidRDefault="00ED3B16" w:rsidP="00E818A3">
            <w:pPr>
              <w:pStyle w:val="TableText0"/>
              <w:numPr>
                <w:ilvl w:val="0"/>
                <w:numId w:val="6"/>
              </w:numPr>
              <w:spacing w:after="20"/>
              <w:ind w:left="714" w:hanging="357"/>
            </w:pPr>
            <w:r w:rsidRPr="002B4AB6">
              <w:t>Kuruvilla 2008 whole population</w:t>
            </w:r>
          </w:p>
        </w:tc>
        <w:tc>
          <w:tcPr>
            <w:tcW w:w="822" w:type="pct"/>
          </w:tcPr>
          <w:p w:rsidR="00ED3B16" w:rsidRPr="002B4AB6" w:rsidRDefault="00ED3B16" w:rsidP="00064F3F">
            <w:pPr>
              <w:pStyle w:val="TableText0"/>
              <w:jc w:val="center"/>
            </w:pPr>
          </w:p>
          <w:p w:rsidR="00ED3B16" w:rsidRPr="002B4AB6" w:rsidRDefault="00ED3B16" w:rsidP="00064F3F">
            <w:pPr>
              <w:pStyle w:val="TableText0"/>
              <w:spacing w:before="40"/>
              <w:jc w:val="center"/>
            </w:pPr>
            <w:r w:rsidRPr="002B4AB6">
              <w:t>$</w:t>
            </w:r>
            <w:r w:rsidR="004278F1">
              <w:rPr>
                <w:noProof/>
                <w:color w:val="000000"/>
                <w:highlight w:val="black"/>
              </w:rPr>
              <w:t>''''''''''''''''</w:t>
            </w:r>
          </w:p>
          <w:p w:rsidR="00ED3B16" w:rsidRPr="002B4AB6" w:rsidRDefault="00ED3B16" w:rsidP="00064F3F">
            <w:pPr>
              <w:pStyle w:val="TableText0"/>
              <w:jc w:val="center"/>
            </w:pPr>
            <w:r w:rsidRPr="002B4AB6">
              <w:t>$</w:t>
            </w:r>
            <w:r w:rsidR="004278F1">
              <w:rPr>
                <w:noProof/>
                <w:color w:val="000000"/>
                <w:highlight w:val="black"/>
              </w:rPr>
              <w:t>''''''''''''''''</w:t>
            </w:r>
          </w:p>
          <w:p w:rsidR="00ED3B16" w:rsidRPr="002B4AB6" w:rsidRDefault="00ED3B16" w:rsidP="00064F3F">
            <w:pPr>
              <w:pStyle w:val="TableText0"/>
              <w:jc w:val="center"/>
            </w:pPr>
            <w:r w:rsidRPr="002B4AB6">
              <w:t>$</w:t>
            </w:r>
            <w:r w:rsidR="004278F1">
              <w:rPr>
                <w:noProof/>
                <w:color w:val="000000"/>
                <w:highlight w:val="black"/>
              </w:rPr>
              <w:t>''''''''''''''''''</w:t>
            </w:r>
          </w:p>
          <w:p w:rsidR="00ED3B16" w:rsidRPr="002B4AB6" w:rsidRDefault="00ED3B16" w:rsidP="00064F3F">
            <w:pPr>
              <w:pStyle w:val="TableText0"/>
              <w:spacing w:before="20"/>
              <w:jc w:val="center"/>
            </w:pPr>
            <w:r w:rsidRPr="002B4AB6">
              <w:t>$</w:t>
            </w:r>
            <w:r w:rsidR="004278F1">
              <w:rPr>
                <w:noProof/>
                <w:color w:val="000000"/>
                <w:highlight w:val="black"/>
              </w:rPr>
              <w:t>''''''''''''''''''</w:t>
            </w:r>
          </w:p>
          <w:p w:rsidR="00ED3B16" w:rsidRPr="002B4AB6" w:rsidRDefault="00ED3B16" w:rsidP="00064F3F">
            <w:pPr>
              <w:pStyle w:val="TableText0"/>
              <w:jc w:val="center"/>
            </w:pPr>
            <w:r w:rsidRPr="002B4AB6">
              <w:t>$</w:t>
            </w:r>
            <w:r w:rsidR="004278F1">
              <w:rPr>
                <w:noProof/>
                <w:color w:val="000000"/>
                <w:highlight w:val="black"/>
              </w:rPr>
              <w:t>''''''''''''''''</w:t>
            </w:r>
          </w:p>
        </w:tc>
        <w:tc>
          <w:tcPr>
            <w:tcW w:w="896" w:type="pct"/>
          </w:tcPr>
          <w:p w:rsidR="00ED3B16" w:rsidRPr="002B4AB6" w:rsidRDefault="00ED3B16" w:rsidP="00064F3F">
            <w:pPr>
              <w:pStyle w:val="TableText0"/>
              <w:jc w:val="center"/>
            </w:pPr>
          </w:p>
          <w:p w:rsidR="00ED3B16" w:rsidRPr="002B4AB6" w:rsidRDefault="00ED3B16" w:rsidP="00064F3F">
            <w:pPr>
              <w:pStyle w:val="TableText0"/>
              <w:spacing w:before="40"/>
              <w:jc w:val="center"/>
            </w:pPr>
            <w:r w:rsidRPr="002B4AB6">
              <w:t>1.4241</w:t>
            </w:r>
          </w:p>
          <w:p w:rsidR="00ED3B16" w:rsidRPr="002B4AB6" w:rsidRDefault="00ED3B16" w:rsidP="00064F3F">
            <w:pPr>
              <w:pStyle w:val="TableText0"/>
              <w:jc w:val="center"/>
            </w:pPr>
            <w:r w:rsidRPr="002B4AB6">
              <w:t>1.1658</w:t>
            </w:r>
          </w:p>
          <w:p w:rsidR="00ED3B16" w:rsidRPr="002B4AB6" w:rsidRDefault="00ED3B16" w:rsidP="00064F3F">
            <w:pPr>
              <w:pStyle w:val="TableText0"/>
              <w:jc w:val="center"/>
            </w:pPr>
            <w:r w:rsidRPr="002B4AB6">
              <w:t>1.0920</w:t>
            </w:r>
          </w:p>
          <w:p w:rsidR="00ED3B16" w:rsidRPr="002B4AB6" w:rsidRDefault="00ED3B16" w:rsidP="00064F3F">
            <w:pPr>
              <w:pStyle w:val="TableText0"/>
              <w:spacing w:before="20"/>
              <w:jc w:val="center"/>
            </w:pPr>
            <w:r w:rsidRPr="002B4AB6">
              <w:t>2.0026</w:t>
            </w:r>
          </w:p>
          <w:p w:rsidR="00ED3B16" w:rsidRPr="002B4AB6" w:rsidRDefault="00ED3B16" w:rsidP="00064F3F">
            <w:pPr>
              <w:pStyle w:val="TableText0"/>
              <w:jc w:val="center"/>
            </w:pPr>
            <w:r w:rsidRPr="002B4AB6">
              <w:t>1.6591</w:t>
            </w:r>
          </w:p>
        </w:tc>
        <w:tc>
          <w:tcPr>
            <w:tcW w:w="662" w:type="pct"/>
          </w:tcPr>
          <w:p w:rsidR="00ED3B16" w:rsidRPr="002B4AB6" w:rsidRDefault="00ED3B16" w:rsidP="00064F3F">
            <w:pPr>
              <w:pStyle w:val="TableText0"/>
              <w:jc w:val="center"/>
            </w:pPr>
          </w:p>
          <w:p w:rsidR="00ED3B16" w:rsidRPr="002B4AB6" w:rsidRDefault="00ED3B16" w:rsidP="00064F3F">
            <w:pPr>
              <w:pStyle w:val="TableText0"/>
              <w:spacing w:before="40"/>
              <w:jc w:val="center"/>
            </w:pPr>
            <w:r w:rsidRPr="002B4AB6">
              <w:t>$</w:t>
            </w:r>
            <w:r w:rsidR="004278F1">
              <w:rPr>
                <w:noProof/>
                <w:color w:val="000000"/>
                <w:highlight w:val="black"/>
              </w:rPr>
              <w:t>'''''''''''''''''</w:t>
            </w:r>
          </w:p>
          <w:p w:rsidR="00ED3B16" w:rsidRPr="002B4AB6" w:rsidRDefault="00ED3B16" w:rsidP="00064F3F">
            <w:pPr>
              <w:pStyle w:val="TableText0"/>
              <w:jc w:val="center"/>
            </w:pPr>
            <w:r w:rsidRPr="002B4AB6">
              <w:t>$</w:t>
            </w:r>
            <w:r w:rsidR="004278F1">
              <w:rPr>
                <w:noProof/>
                <w:color w:val="000000"/>
                <w:highlight w:val="black"/>
              </w:rPr>
              <w:t>''''''''''''''''''</w:t>
            </w:r>
          </w:p>
          <w:p w:rsidR="00ED3B16" w:rsidRPr="002B4AB6" w:rsidRDefault="00ED3B16" w:rsidP="00064F3F">
            <w:pPr>
              <w:pStyle w:val="TableText0"/>
              <w:jc w:val="center"/>
            </w:pPr>
            <w:r w:rsidRPr="002B4AB6">
              <w:t>$</w:t>
            </w:r>
            <w:r w:rsidR="004278F1">
              <w:rPr>
                <w:noProof/>
                <w:color w:val="000000"/>
                <w:highlight w:val="black"/>
              </w:rPr>
              <w:t>''''''''''''''''</w:t>
            </w:r>
          </w:p>
          <w:p w:rsidR="00ED3B16" w:rsidRPr="002B4AB6" w:rsidRDefault="00ED3B16" w:rsidP="00064F3F">
            <w:pPr>
              <w:pStyle w:val="TableText0"/>
              <w:spacing w:before="20"/>
              <w:jc w:val="center"/>
            </w:pPr>
            <w:r w:rsidRPr="002B4AB6">
              <w:t>$</w:t>
            </w:r>
            <w:r w:rsidR="004278F1">
              <w:rPr>
                <w:noProof/>
                <w:color w:val="000000"/>
                <w:highlight w:val="black"/>
              </w:rPr>
              <w:t>'''''''''''''''''</w:t>
            </w:r>
          </w:p>
          <w:p w:rsidR="00ED3B16" w:rsidRPr="002B4AB6" w:rsidRDefault="00ED3B16" w:rsidP="00064F3F">
            <w:pPr>
              <w:pStyle w:val="TableText0"/>
              <w:jc w:val="center"/>
            </w:pPr>
            <w:r w:rsidRPr="002B4AB6">
              <w:t>$</w:t>
            </w:r>
            <w:r w:rsidR="004278F1">
              <w:rPr>
                <w:noProof/>
                <w:color w:val="000000"/>
                <w:highlight w:val="black"/>
              </w:rPr>
              <w:t>'''''''''''''''</w:t>
            </w:r>
          </w:p>
        </w:tc>
      </w:tr>
      <w:tr w:rsidR="00ED3B16" w:rsidRPr="002B4AB6" w:rsidTr="00064F3F">
        <w:tc>
          <w:tcPr>
            <w:tcW w:w="5000" w:type="pct"/>
            <w:gridSpan w:val="5"/>
          </w:tcPr>
          <w:p w:rsidR="00ED3B16" w:rsidRPr="002B4AB6" w:rsidRDefault="00ED3B16" w:rsidP="00064F3F">
            <w:pPr>
              <w:pStyle w:val="TableText0"/>
            </w:pPr>
            <w:r w:rsidRPr="002B4AB6">
              <w:t>Extrapolation</w:t>
            </w:r>
          </w:p>
        </w:tc>
      </w:tr>
      <w:tr w:rsidR="00ED3B16" w:rsidRPr="002B4AB6" w:rsidTr="00064F3F">
        <w:trPr>
          <w:gridAfter w:val="1"/>
          <w:wAfter w:w="8" w:type="pct"/>
        </w:trPr>
        <w:tc>
          <w:tcPr>
            <w:tcW w:w="2612" w:type="pct"/>
          </w:tcPr>
          <w:p w:rsidR="00ED3B16" w:rsidRPr="002B4AB6" w:rsidRDefault="00ED3B16" w:rsidP="00064F3F">
            <w:pPr>
              <w:pStyle w:val="TableText0"/>
            </w:pPr>
            <w:r w:rsidRPr="002B4AB6">
              <w:t>Convergence of survival curves (base case no convergence)</w:t>
            </w:r>
          </w:p>
          <w:p w:rsidR="00ED3B16" w:rsidRPr="002B4AB6" w:rsidRDefault="00ED3B16" w:rsidP="00E818A3">
            <w:pPr>
              <w:pStyle w:val="TableText0"/>
              <w:numPr>
                <w:ilvl w:val="0"/>
                <w:numId w:val="5"/>
              </w:numPr>
            </w:pPr>
            <w:r w:rsidRPr="002B4AB6">
              <w:t>From 3 to 10 years</w:t>
            </w:r>
          </w:p>
          <w:p w:rsidR="00ED3B16" w:rsidRPr="002B4AB6" w:rsidRDefault="00ED3B16" w:rsidP="00E818A3">
            <w:pPr>
              <w:pStyle w:val="TableText0"/>
              <w:numPr>
                <w:ilvl w:val="0"/>
                <w:numId w:val="5"/>
              </w:numPr>
            </w:pPr>
            <w:r w:rsidRPr="002B4AB6">
              <w:t>From 3 to 7.5 years</w:t>
            </w:r>
          </w:p>
        </w:tc>
        <w:tc>
          <w:tcPr>
            <w:tcW w:w="822" w:type="pct"/>
          </w:tcPr>
          <w:p w:rsidR="00ED3B16" w:rsidRPr="002B4AB6" w:rsidRDefault="00ED3B16" w:rsidP="00064F3F">
            <w:pPr>
              <w:pStyle w:val="TableText0"/>
              <w:jc w:val="center"/>
            </w:pPr>
          </w:p>
          <w:p w:rsidR="00ED3B16" w:rsidRPr="002B4AB6" w:rsidRDefault="00ED3B16" w:rsidP="00064F3F">
            <w:pPr>
              <w:pStyle w:val="TableText0"/>
              <w:spacing w:before="40"/>
              <w:jc w:val="center"/>
            </w:pPr>
            <w:r w:rsidRPr="002B4AB6">
              <w:t>$</w:t>
            </w:r>
            <w:r w:rsidR="004278F1">
              <w:rPr>
                <w:noProof/>
                <w:color w:val="000000"/>
                <w:highlight w:val="black"/>
              </w:rPr>
              <w:t>'''''''''''''''</w:t>
            </w:r>
          </w:p>
          <w:p w:rsidR="00ED3B16" w:rsidRPr="002B4AB6" w:rsidRDefault="00ED3B16" w:rsidP="00064F3F">
            <w:pPr>
              <w:pStyle w:val="TableText0"/>
              <w:jc w:val="center"/>
            </w:pPr>
            <w:r w:rsidRPr="002B4AB6">
              <w:t>$</w:t>
            </w:r>
            <w:r w:rsidR="004278F1">
              <w:rPr>
                <w:noProof/>
                <w:color w:val="000000"/>
                <w:highlight w:val="black"/>
              </w:rPr>
              <w:t>''''''''''''''''''</w:t>
            </w:r>
          </w:p>
        </w:tc>
        <w:tc>
          <w:tcPr>
            <w:tcW w:w="896" w:type="pct"/>
          </w:tcPr>
          <w:p w:rsidR="00ED3B16" w:rsidRPr="002B4AB6" w:rsidRDefault="00ED3B16" w:rsidP="00064F3F">
            <w:pPr>
              <w:pStyle w:val="TableText0"/>
              <w:jc w:val="center"/>
            </w:pPr>
          </w:p>
          <w:p w:rsidR="00ED3B16" w:rsidRPr="002B4AB6" w:rsidRDefault="00ED3B16" w:rsidP="00064F3F">
            <w:pPr>
              <w:pStyle w:val="TableText0"/>
              <w:spacing w:before="40"/>
              <w:jc w:val="center"/>
            </w:pPr>
            <w:r w:rsidRPr="002B4AB6">
              <w:t>0.9764</w:t>
            </w:r>
          </w:p>
          <w:p w:rsidR="00ED3B16" w:rsidRPr="002B4AB6" w:rsidRDefault="00ED3B16" w:rsidP="00064F3F">
            <w:pPr>
              <w:pStyle w:val="TableText0"/>
              <w:jc w:val="center"/>
            </w:pPr>
            <w:r w:rsidRPr="002B4AB6">
              <w:t>0.7473</w:t>
            </w:r>
          </w:p>
        </w:tc>
        <w:tc>
          <w:tcPr>
            <w:tcW w:w="662" w:type="pct"/>
          </w:tcPr>
          <w:p w:rsidR="00ED3B16" w:rsidRPr="002B4AB6" w:rsidRDefault="00ED3B16" w:rsidP="00064F3F">
            <w:pPr>
              <w:pStyle w:val="TableText0"/>
              <w:jc w:val="center"/>
            </w:pPr>
          </w:p>
          <w:p w:rsidR="00ED3B16" w:rsidRPr="004278F1" w:rsidRDefault="00ED3B16" w:rsidP="00064F3F">
            <w:pPr>
              <w:pStyle w:val="TableText0"/>
              <w:spacing w:before="40"/>
              <w:jc w:val="center"/>
            </w:pPr>
            <w:r w:rsidRPr="002B4AB6">
              <w:t>$</w:t>
            </w:r>
            <w:r w:rsidR="004278F1">
              <w:rPr>
                <w:noProof/>
                <w:color w:val="000000"/>
                <w:highlight w:val="black"/>
              </w:rPr>
              <w:t>'''''''''''''''</w:t>
            </w:r>
          </w:p>
          <w:p w:rsidR="00ED3B16" w:rsidRPr="002B4AB6" w:rsidRDefault="00ED3B16" w:rsidP="00064F3F">
            <w:pPr>
              <w:pStyle w:val="TableText0"/>
              <w:jc w:val="center"/>
            </w:pPr>
            <w:r w:rsidRPr="002B4AB6">
              <w:t>$</w:t>
            </w:r>
            <w:r w:rsidR="004278F1">
              <w:rPr>
                <w:noProof/>
                <w:color w:val="000000"/>
                <w:highlight w:val="black"/>
              </w:rPr>
              <w:t>''''''''''''''''</w:t>
            </w:r>
          </w:p>
        </w:tc>
      </w:tr>
      <w:tr w:rsidR="00ED3B16" w:rsidRPr="002B4AB6" w:rsidTr="00064F3F">
        <w:trPr>
          <w:gridAfter w:val="1"/>
          <w:wAfter w:w="8" w:type="pct"/>
        </w:trPr>
        <w:tc>
          <w:tcPr>
            <w:tcW w:w="2612" w:type="pct"/>
          </w:tcPr>
          <w:p w:rsidR="00ED3B16" w:rsidRPr="002B4AB6" w:rsidRDefault="00ED3B16" w:rsidP="00064F3F">
            <w:pPr>
              <w:pStyle w:val="TableText0"/>
            </w:pPr>
            <w:r w:rsidRPr="002B4AB6">
              <w:t>Extrapolation PEMB (base case log-log extrapolation)</w:t>
            </w:r>
          </w:p>
          <w:p w:rsidR="00ED3B16" w:rsidRPr="002B4AB6" w:rsidRDefault="00ED3B16" w:rsidP="00E818A3">
            <w:pPr>
              <w:pStyle w:val="TableText0"/>
              <w:numPr>
                <w:ilvl w:val="0"/>
                <w:numId w:val="6"/>
              </w:numPr>
            </w:pPr>
            <w:r w:rsidRPr="002B4AB6">
              <w:t>Weibull extrapolation</w:t>
            </w:r>
          </w:p>
          <w:p w:rsidR="00ED3B16" w:rsidRPr="002B4AB6" w:rsidRDefault="00ED3B16" w:rsidP="00E818A3">
            <w:pPr>
              <w:pStyle w:val="TableText0"/>
              <w:numPr>
                <w:ilvl w:val="0"/>
                <w:numId w:val="6"/>
              </w:numPr>
            </w:pPr>
            <w:r w:rsidRPr="002B4AB6">
              <w:t>Lognormal</w:t>
            </w:r>
          </w:p>
          <w:p w:rsidR="00ED3B16" w:rsidRPr="002B4AB6" w:rsidRDefault="00ED3B16" w:rsidP="00E818A3">
            <w:pPr>
              <w:pStyle w:val="TableText0"/>
              <w:numPr>
                <w:ilvl w:val="0"/>
                <w:numId w:val="6"/>
              </w:numPr>
            </w:pPr>
            <w:r w:rsidRPr="002B4AB6">
              <w:t>Gamma</w:t>
            </w:r>
          </w:p>
        </w:tc>
        <w:tc>
          <w:tcPr>
            <w:tcW w:w="822" w:type="pct"/>
          </w:tcPr>
          <w:p w:rsidR="00ED3B16" w:rsidRPr="002B4AB6" w:rsidRDefault="00ED3B16" w:rsidP="00064F3F">
            <w:pPr>
              <w:pStyle w:val="TableText0"/>
              <w:jc w:val="center"/>
            </w:pPr>
          </w:p>
          <w:p w:rsidR="00ED3B16" w:rsidRPr="002B4AB6" w:rsidRDefault="00ED3B16" w:rsidP="00064F3F">
            <w:pPr>
              <w:pStyle w:val="TableText0"/>
              <w:spacing w:before="40"/>
              <w:jc w:val="center"/>
            </w:pPr>
            <w:r w:rsidRPr="002B4AB6">
              <w:t>$</w:t>
            </w:r>
            <w:r w:rsidR="004278F1">
              <w:rPr>
                <w:noProof/>
                <w:color w:val="000000"/>
                <w:highlight w:val="black"/>
              </w:rPr>
              <w:t>''''''''''''''''</w:t>
            </w:r>
          </w:p>
          <w:p w:rsidR="00ED3B16" w:rsidRPr="002B4AB6" w:rsidRDefault="00ED3B16" w:rsidP="00064F3F">
            <w:pPr>
              <w:pStyle w:val="TableText0"/>
              <w:jc w:val="center"/>
            </w:pPr>
            <w:r w:rsidRPr="002B4AB6">
              <w:t>$</w:t>
            </w:r>
            <w:r w:rsidR="004278F1">
              <w:rPr>
                <w:noProof/>
                <w:color w:val="000000"/>
                <w:highlight w:val="black"/>
              </w:rPr>
              <w:t>'''''''''''''''''</w:t>
            </w:r>
          </w:p>
          <w:p w:rsidR="00ED3B16" w:rsidRPr="002B4AB6" w:rsidRDefault="00ED3B16" w:rsidP="00064F3F">
            <w:pPr>
              <w:pStyle w:val="TableText0"/>
              <w:jc w:val="center"/>
            </w:pPr>
            <w:r w:rsidRPr="002B4AB6">
              <w:t>$</w:t>
            </w:r>
            <w:r w:rsidR="004278F1">
              <w:rPr>
                <w:noProof/>
                <w:color w:val="000000"/>
                <w:highlight w:val="black"/>
              </w:rPr>
              <w:t>'''''''''''''''</w:t>
            </w:r>
          </w:p>
        </w:tc>
        <w:tc>
          <w:tcPr>
            <w:tcW w:w="896" w:type="pct"/>
          </w:tcPr>
          <w:p w:rsidR="00ED3B16" w:rsidRPr="002B4AB6" w:rsidRDefault="00ED3B16" w:rsidP="00064F3F">
            <w:pPr>
              <w:pStyle w:val="TableText0"/>
              <w:jc w:val="center"/>
            </w:pPr>
          </w:p>
          <w:p w:rsidR="00ED3B16" w:rsidRPr="002B4AB6" w:rsidRDefault="00ED3B16" w:rsidP="00064F3F">
            <w:pPr>
              <w:pStyle w:val="TableText0"/>
              <w:spacing w:before="40"/>
              <w:jc w:val="center"/>
            </w:pPr>
            <w:r w:rsidRPr="002B4AB6">
              <w:t>1.2240</w:t>
            </w:r>
          </w:p>
          <w:p w:rsidR="00ED3B16" w:rsidRPr="002B4AB6" w:rsidRDefault="00ED3B16" w:rsidP="00064F3F">
            <w:pPr>
              <w:pStyle w:val="TableText0"/>
              <w:jc w:val="center"/>
            </w:pPr>
            <w:r w:rsidRPr="002B4AB6">
              <w:t>1.3185</w:t>
            </w:r>
          </w:p>
          <w:p w:rsidR="00ED3B16" w:rsidRPr="002B4AB6" w:rsidRDefault="00ED3B16" w:rsidP="00064F3F">
            <w:pPr>
              <w:pStyle w:val="TableText0"/>
              <w:jc w:val="center"/>
            </w:pPr>
            <w:r w:rsidRPr="002B4AB6">
              <w:t>1.4694</w:t>
            </w:r>
          </w:p>
        </w:tc>
        <w:tc>
          <w:tcPr>
            <w:tcW w:w="662" w:type="pct"/>
          </w:tcPr>
          <w:p w:rsidR="00ED3B16" w:rsidRPr="002B4AB6" w:rsidRDefault="00ED3B16" w:rsidP="00064F3F">
            <w:pPr>
              <w:pStyle w:val="TableText0"/>
              <w:jc w:val="center"/>
            </w:pPr>
          </w:p>
          <w:p w:rsidR="00ED3B16" w:rsidRPr="002B4AB6" w:rsidRDefault="00ED3B16" w:rsidP="00064F3F">
            <w:pPr>
              <w:pStyle w:val="TableText0"/>
              <w:spacing w:before="40"/>
              <w:jc w:val="center"/>
            </w:pPr>
            <w:r w:rsidRPr="002B4AB6">
              <w:t>$</w:t>
            </w:r>
            <w:r w:rsidR="004278F1">
              <w:rPr>
                <w:noProof/>
                <w:color w:val="000000"/>
                <w:highlight w:val="black"/>
              </w:rPr>
              <w:t>'''''''''''''''''</w:t>
            </w:r>
          </w:p>
          <w:p w:rsidR="00ED3B16" w:rsidRPr="002B4AB6" w:rsidRDefault="00ED3B16" w:rsidP="00064F3F">
            <w:pPr>
              <w:pStyle w:val="TableText0"/>
              <w:jc w:val="center"/>
            </w:pPr>
            <w:r w:rsidRPr="002B4AB6">
              <w:t>$</w:t>
            </w:r>
            <w:r w:rsidR="004278F1">
              <w:rPr>
                <w:noProof/>
                <w:color w:val="000000"/>
                <w:highlight w:val="black"/>
              </w:rPr>
              <w:t>''''''''''''''''</w:t>
            </w:r>
          </w:p>
          <w:p w:rsidR="00ED3B16" w:rsidRPr="002B4AB6" w:rsidRDefault="00ED3B16" w:rsidP="00064F3F">
            <w:pPr>
              <w:pStyle w:val="TableText0"/>
              <w:jc w:val="center"/>
            </w:pPr>
            <w:r w:rsidRPr="002B4AB6">
              <w:t>$</w:t>
            </w:r>
            <w:r w:rsidR="004278F1">
              <w:rPr>
                <w:noProof/>
                <w:color w:val="000000"/>
                <w:highlight w:val="black"/>
              </w:rPr>
              <w:t>'''''''''''''''</w:t>
            </w:r>
          </w:p>
        </w:tc>
      </w:tr>
      <w:tr w:rsidR="00ED3B16" w:rsidRPr="002B4AB6" w:rsidTr="00064F3F">
        <w:trPr>
          <w:gridAfter w:val="1"/>
          <w:wAfter w:w="8" w:type="pct"/>
        </w:trPr>
        <w:tc>
          <w:tcPr>
            <w:tcW w:w="2612" w:type="pct"/>
          </w:tcPr>
          <w:p w:rsidR="00ED3B16" w:rsidRPr="002B4AB6" w:rsidRDefault="00ED3B16" w:rsidP="00064F3F">
            <w:pPr>
              <w:pStyle w:val="TableText0"/>
            </w:pPr>
            <w:r w:rsidRPr="002B4AB6">
              <w:t>Extrapolation SOC (base case log-log extrapolation)</w:t>
            </w:r>
          </w:p>
          <w:p w:rsidR="00ED3B16" w:rsidRPr="002B4AB6" w:rsidRDefault="00ED3B16" w:rsidP="00E818A3">
            <w:pPr>
              <w:pStyle w:val="TableText0"/>
              <w:numPr>
                <w:ilvl w:val="0"/>
                <w:numId w:val="6"/>
              </w:numPr>
            </w:pPr>
            <w:r w:rsidRPr="002B4AB6">
              <w:t>Weibull extrapolation</w:t>
            </w:r>
          </w:p>
          <w:p w:rsidR="00ED3B16" w:rsidRPr="002B4AB6" w:rsidRDefault="00ED3B16" w:rsidP="00E818A3">
            <w:pPr>
              <w:pStyle w:val="TableText0"/>
              <w:numPr>
                <w:ilvl w:val="0"/>
                <w:numId w:val="6"/>
              </w:numPr>
            </w:pPr>
            <w:r w:rsidRPr="002B4AB6">
              <w:t>Exponential extrapolation</w:t>
            </w:r>
          </w:p>
          <w:p w:rsidR="00ED3B16" w:rsidRPr="002B4AB6" w:rsidRDefault="00ED3B16" w:rsidP="00E818A3">
            <w:pPr>
              <w:pStyle w:val="TableText0"/>
              <w:numPr>
                <w:ilvl w:val="0"/>
                <w:numId w:val="6"/>
              </w:numPr>
            </w:pPr>
            <w:r w:rsidRPr="002B4AB6">
              <w:t>Lognormal</w:t>
            </w:r>
          </w:p>
          <w:p w:rsidR="00ED3B16" w:rsidRPr="002B4AB6" w:rsidRDefault="00ED3B16" w:rsidP="00E818A3">
            <w:pPr>
              <w:pStyle w:val="TableText0"/>
              <w:numPr>
                <w:ilvl w:val="0"/>
                <w:numId w:val="6"/>
              </w:numPr>
            </w:pPr>
            <w:r w:rsidRPr="002B4AB6">
              <w:t>Gamma</w:t>
            </w:r>
          </w:p>
        </w:tc>
        <w:tc>
          <w:tcPr>
            <w:tcW w:w="822" w:type="pct"/>
          </w:tcPr>
          <w:p w:rsidR="00ED3B16" w:rsidRPr="002B4AB6" w:rsidRDefault="00ED3B16" w:rsidP="00064F3F">
            <w:pPr>
              <w:pStyle w:val="TableText0"/>
              <w:jc w:val="center"/>
            </w:pPr>
          </w:p>
          <w:p w:rsidR="00ED3B16" w:rsidRPr="002B4AB6" w:rsidRDefault="00ED3B16" w:rsidP="00064F3F">
            <w:pPr>
              <w:pStyle w:val="TableText0"/>
              <w:spacing w:before="40"/>
              <w:jc w:val="center"/>
            </w:pPr>
            <w:r w:rsidRPr="002B4AB6">
              <w:t>$</w:t>
            </w:r>
            <w:r w:rsidR="004278F1">
              <w:rPr>
                <w:noProof/>
                <w:color w:val="000000"/>
                <w:highlight w:val="black"/>
              </w:rPr>
              <w:t>'''''''''''''''''</w:t>
            </w:r>
          </w:p>
          <w:p w:rsidR="00ED3B16" w:rsidRPr="002B4AB6" w:rsidRDefault="00ED3B16" w:rsidP="00064F3F">
            <w:pPr>
              <w:pStyle w:val="TableText0"/>
              <w:jc w:val="center"/>
            </w:pPr>
            <w:r w:rsidRPr="002B4AB6">
              <w:t>$</w:t>
            </w:r>
            <w:r w:rsidR="004278F1">
              <w:rPr>
                <w:noProof/>
                <w:color w:val="000000"/>
                <w:highlight w:val="black"/>
              </w:rPr>
              <w:t>''''''''''''''''</w:t>
            </w:r>
          </w:p>
          <w:p w:rsidR="00ED3B16" w:rsidRPr="002B4AB6" w:rsidRDefault="00ED3B16" w:rsidP="00064F3F">
            <w:pPr>
              <w:pStyle w:val="TableText0"/>
              <w:jc w:val="center"/>
            </w:pPr>
            <w:r w:rsidRPr="002B4AB6">
              <w:t>$</w:t>
            </w:r>
            <w:r w:rsidR="004278F1">
              <w:rPr>
                <w:noProof/>
                <w:color w:val="000000"/>
                <w:highlight w:val="black"/>
              </w:rPr>
              <w:t>''''''''''''''''</w:t>
            </w:r>
          </w:p>
          <w:p w:rsidR="00ED3B16" w:rsidRPr="002B4AB6" w:rsidRDefault="00ED3B16" w:rsidP="00064F3F">
            <w:pPr>
              <w:pStyle w:val="TableText0"/>
              <w:jc w:val="center"/>
            </w:pPr>
            <w:r w:rsidRPr="002B4AB6">
              <w:t>$</w:t>
            </w:r>
            <w:r w:rsidR="004278F1">
              <w:rPr>
                <w:noProof/>
                <w:color w:val="000000"/>
                <w:highlight w:val="black"/>
              </w:rPr>
              <w:t>'''''''''''''''</w:t>
            </w:r>
          </w:p>
        </w:tc>
        <w:tc>
          <w:tcPr>
            <w:tcW w:w="896" w:type="pct"/>
          </w:tcPr>
          <w:p w:rsidR="00ED3B16" w:rsidRPr="002B4AB6" w:rsidRDefault="00ED3B16" w:rsidP="00064F3F">
            <w:pPr>
              <w:pStyle w:val="TableText0"/>
              <w:jc w:val="center"/>
            </w:pPr>
          </w:p>
          <w:p w:rsidR="00ED3B16" w:rsidRPr="002B4AB6" w:rsidRDefault="00ED3B16" w:rsidP="00064F3F">
            <w:pPr>
              <w:pStyle w:val="TableText0"/>
              <w:spacing w:before="40"/>
              <w:jc w:val="center"/>
            </w:pPr>
            <w:r w:rsidRPr="002B4AB6">
              <w:t>1.4093</w:t>
            </w:r>
          </w:p>
          <w:p w:rsidR="00ED3B16" w:rsidRPr="002B4AB6" w:rsidRDefault="00ED3B16" w:rsidP="00064F3F">
            <w:pPr>
              <w:pStyle w:val="TableText0"/>
              <w:jc w:val="center"/>
            </w:pPr>
            <w:r w:rsidRPr="002B4AB6">
              <w:t>1.5507</w:t>
            </w:r>
          </w:p>
          <w:p w:rsidR="00ED3B16" w:rsidRPr="002B4AB6" w:rsidRDefault="00ED3B16" w:rsidP="00064F3F">
            <w:pPr>
              <w:pStyle w:val="TableText0"/>
              <w:jc w:val="center"/>
            </w:pPr>
            <w:r w:rsidRPr="002B4AB6">
              <w:t>1.3439</w:t>
            </w:r>
          </w:p>
          <w:p w:rsidR="00ED3B16" w:rsidRPr="002B4AB6" w:rsidRDefault="00ED3B16" w:rsidP="00064F3F">
            <w:pPr>
              <w:pStyle w:val="TableText0"/>
              <w:jc w:val="center"/>
            </w:pPr>
            <w:r w:rsidRPr="002B4AB6">
              <w:t>1.2411</w:t>
            </w:r>
          </w:p>
        </w:tc>
        <w:tc>
          <w:tcPr>
            <w:tcW w:w="662" w:type="pct"/>
          </w:tcPr>
          <w:p w:rsidR="00ED3B16" w:rsidRPr="002B4AB6" w:rsidRDefault="00ED3B16" w:rsidP="00064F3F">
            <w:pPr>
              <w:pStyle w:val="TableText0"/>
              <w:jc w:val="center"/>
            </w:pPr>
          </w:p>
          <w:p w:rsidR="00ED3B16" w:rsidRPr="002B4AB6" w:rsidRDefault="00ED3B16" w:rsidP="00064F3F">
            <w:pPr>
              <w:pStyle w:val="TableText0"/>
              <w:spacing w:before="40"/>
              <w:jc w:val="center"/>
            </w:pPr>
            <w:r w:rsidRPr="002B4AB6">
              <w:t>$</w:t>
            </w:r>
            <w:r w:rsidR="004278F1">
              <w:rPr>
                <w:noProof/>
                <w:color w:val="000000"/>
                <w:highlight w:val="black"/>
              </w:rPr>
              <w:t>''''''''''''''''</w:t>
            </w:r>
          </w:p>
          <w:p w:rsidR="00ED3B16" w:rsidRPr="002B4AB6" w:rsidRDefault="00ED3B16" w:rsidP="00064F3F">
            <w:pPr>
              <w:pStyle w:val="TableText0"/>
              <w:jc w:val="center"/>
            </w:pPr>
            <w:r w:rsidRPr="002B4AB6">
              <w:t>$</w:t>
            </w:r>
            <w:r w:rsidR="004278F1">
              <w:rPr>
                <w:noProof/>
                <w:color w:val="000000"/>
                <w:highlight w:val="black"/>
              </w:rPr>
              <w:t>'''''''''''''''''</w:t>
            </w:r>
          </w:p>
          <w:p w:rsidR="00ED3B16" w:rsidRPr="002B4AB6" w:rsidRDefault="00ED3B16" w:rsidP="00064F3F">
            <w:pPr>
              <w:pStyle w:val="TableText0"/>
              <w:jc w:val="center"/>
            </w:pPr>
            <w:r w:rsidRPr="002B4AB6">
              <w:t>$</w:t>
            </w:r>
            <w:r w:rsidR="004278F1">
              <w:rPr>
                <w:noProof/>
                <w:color w:val="000000"/>
                <w:highlight w:val="black"/>
              </w:rPr>
              <w:t>''''''''''''''''</w:t>
            </w:r>
          </w:p>
          <w:p w:rsidR="00ED3B16" w:rsidRPr="002B4AB6" w:rsidRDefault="00ED3B16" w:rsidP="00064F3F">
            <w:pPr>
              <w:pStyle w:val="TableText0"/>
              <w:jc w:val="center"/>
            </w:pPr>
            <w:r w:rsidRPr="002B4AB6">
              <w:t>$</w:t>
            </w:r>
            <w:r w:rsidR="004278F1">
              <w:rPr>
                <w:noProof/>
                <w:color w:val="000000"/>
                <w:highlight w:val="black"/>
              </w:rPr>
              <w:t>''''''''''''''''</w:t>
            </w:r>
          </w:p>
        </w:tc>
      </w:tr>
      <w:tr w:rsidR="00ED3B16" w:rsidRPr="002B4AB6" w:rsidTr="00064F3F">
        <w:trPr>
          <w:gridAfter w:val="1"/>
          <w:wAfter w:w="8" w:type="pct"/>
        </w:trPr>
        <w:tc>
          <w:tcPr>
            <w:tcW w:w="2612" w:type="pct"/>
          </w:tcPr>
          <w:p w:rsidR="00ED3B16" w:rsidRPr="002B4AB6" w:rsidRDefault="00ED3B16" w:rsidP="00064F3F">
            <w:pPr>
              <w:pStyle w:val="TableText0"/>
            </w:pPr>
            <w:r w:rsidRPr="002B4AB6">
              <w:t>Extrapolation: pembrolizumab Weibull, SOC Gamma</w:t>
            </w:r>
          </w:p>
        </w:tc>
        <w:tc>
          <w:tcPr>
            <w:tcW w:w="822" w:type="pct"/>
          </w:tcPr>
          <w:p w:rsidR="00ED3B16" w:rsidRPr="002B4AB6" w:rsidRDefault="00ED3B16" w:rsidP="00064F3F">
            <w:pPr>
              <w:pStyle w:val="TableText0"/>
              <w:jc w:val="center"/>
            </w:pPr>
            <w:r w:rsidRPr="002B4AB6">
              <w:t>$</w:t>
            </w:r>
            <w:r w:rsidR="004278F1">
              <w:rPr>
                <w:noProof/>
                <w:color w:val="000000"/>
                <w:highlight w:val="black"/>
              </w:rPr>
              <w:t>'''''''''''''''</w:t>
            </w:r>
          </w:p>
        </w:tc>
        <w:tc>
          <w:tcPr>
            <w:tcW w:w="896" w:type="pct"/>
          </w:tcPr>
          <w:p w:rsidR="00ED3B16" w:rsidRPr="002B4AB6" w:rsidRDefault="00ED3B16" w:rsidP="00064F3F">
            <w:pPr>
              <w:pStyle w:val="TableText0"/>
              <w:jc w:val="center"/>
            </w:pPr>
            <w:r w:rsidRPr="002B4AB6">
              <w:t>1.1459</w:t>
            </w:r>
          </w:p>
        </w:tc>
        <w:tc>
          <w:tcPr>
            <w:tcW w:w="662" w:type="pct"/>
          </w:tcPr>
          <w:p w:rsidR="00ED3B16" w:rsidRPr="002B4AB6" w:rsidRDefault="00ED3B16" w:rsidP="00064F3F">
            <w:pPr>
              <w:pStyle w:val="TableText0"/>
              <w:jc w:val="center"/>
            </w:pPr>
            <w:r w:rsidRPr="002B4AB6">
              <w:t>$</w:t>
            </w:r>
            <w:r w:rsidR="004278F1">
              <w:rPr>
                <w:noProof/>
                <w:color w:val="000000"/>
                <w:highlight w:val="black"/>
              </w:rPr>
              <w:t>'''''''''''''''</w:t>
            </w:r>
          </w:p>
        </w:tc>
      </w:tr>
      <w:tr w:rsidR="00ED3B16" w:rsidRPr="002B4AB6" w:rsidTr="00064F3F">
        <w:trPr>
          <w:gridAfter w:val="1"/>
          <w:wAfter w:w="8" w:type="pct"/>
        </w:trPr>
        <w:tc>
          <w:tcPr>
            <w:tcW w:w="2612" w:type="pct"/>
          </w:tcPr>
          <w:p w:rsidR="00ED3B16" w:rsidRPr="002B4AB6" w:rsidRDefault="00ED3B16" w:rsidP="00064F3F">
            <w:pPr>
              <w:pStyle w:val="TableText0"/>
            </w:pPr>
            <w:r w:rsidRPr="002B4AB6">
              <w:t>Utility values (base case PFS 0.797, PD 0.623, KN170 INV)</w:t>
            </w:r>
          </w:p>
          <w:p w:rsidR="00ED3B16" w:rsidRPr="002B4AB6" w:rsidRDefault="00ED3B16" w:rsidP="00E818A3">
            <w:pPr>
              <w:pStyle w:val="TableText0"/>
              <w:numPr>
                <w:ilvl w:val="0"/>
                <w:numId w:val="6"/>
              </w:numPr>
            </w:pPr>
            <w:r w:rsidRPr="002B4AB6">
              <w:t>KN170 IRC: 0.797 and 0.654</w:t>
            </w:r>
          </w:p>
          <w:p w:rsidR="00ED3B16" w:rsidRPr="002B4AB6" w:rsidRDefault="00ED3B16" w:rsidP="00E818A3">
            <w:pPr>
              <w:pStyle w:val="TableText0"/>
              <w:numPr>
                <w:ilvl w:val="0"/>
                <w:numId w:val="6"/>
              </w:numPr>
            </w:pPr>
            <w:r w:rsidRPr="002B4AB6">
              <w:t>Blommestein 2014: 0.88 and 0.78</w:t>
            </w:r>
          </w:p>
          <w:p w:rsidR="00ED3B16" w:rsidRPr="002B4AB6" w:rsidRDefault="00ED3B16" w:rsidP="00E818A3">
            <w:pPr>
              <w:pStyle w:val="TableText0"/>
              <w:numPr>
                <w:ilvl w:val="0"/>
                <w:numId w:val="6"/>
              </w:numPr>
            </w:pPr>
            <w:r w:rsidRPr="002B4AB6">
              <w:t>Doordujin 2005: 0.70 and 0.45</w:t>
            </w:r>
          </w:p>
        </w:tc>
        <w:tc>
          <w:tcPr>
            <w:tcW w:w="822" w:type="pct"/>
          </w:tcPr>
          <w:p w:rsidR="00ED3B16" w:rsidRPr="002B4AB6" w:rsidRDefault="00ED3B16" w:rsidP="00064F3F">
            <w:pPr>
              <w:pStyle w:val="TableText0"/>
              <w:jc w:val="center"/>
            </w:pPr>
          </w:p>
          <w:p w:rsidR="00ED3B16" w:rsidRPr="002B4AB6" w:rsidRDefault="00ED3B16" w:rsidP="00064F3F">
            <w:pPr>
              <w:pStyle w:val="TableText0"/>
              <w:spacing w:before="40"/>
              <w:jc w:val="center"/>
            </w:pPr>
            <w:r w:rsidRPr="002B4AB6">
              <w:t>$</w:t>
            </w:r>
            <w:r w:rsidR="004278F1">
              <w:rPr>
                <w:noProof/>
                <w:color w:val="000000"/>
                <w:highlight w:val="black"/>
              </w:rPr>
              <w:t>''''''''''''''''''</w:t>
            </w:r>
          </w:p>
          <w:p w:rsidR="00ED3B16" w:rsidRPr="002B4AB6" w:rsidRDefault="00ED3B16" w:rsidP="00064F3F">
            <w:pPr>
              <w:pStyle w:val="TableText0"/>
              <w:jc w:val="center"/>
            </w:pPr>
            <w:r w:rsidRPr="002B4AB6">
              <w:t>$</w:t>
            </w:r>
            <w:r w:rsidR="004278F1">
              <w:rPr>
                <w:noProof/>
                <w:color w:val="000000"/>
                <w:highlight w:val="black"/>
              </w:rPr>
              <w:t>''''''''''''''''''</w:t>
            </w:r>
          </w:p>
          <w:p w:rsidR="00ED3B16" w:rsidRPr="002B4AB6" w:rsidRDefault="00ED3B16" w:rsidP="00064F3F">
            <w:pPr>
              <w:pStyle w:val="TableText0"/>
              <w:jc w:val="center"/>
            </w:pPr>
            <w:r w:rsidRPr="002B4AB6">
              <w:t>$</w:t>
            </w:r>
            <w:r w:rsidR="004278F1">
              <w:rPr>
                <w:noProof/>
                <w:color w:val="000000"/>
                <w:highlight w:val="black"/>
              </w:rPr>
              <w:t>''''''''''''''''</w:t>
            </w:r>
          </w:p>
        </w:tc>
        <w:tc>
          <w:tcPr>
            <w:tcW w:w="896" w:type="pct"/>
          </w:tcPr>
          <w:p w:rsidR="00ED3B16" w:rsidRPr="002B4AB6" w:rsidRDefault="00ED3B16" w:rsidP="00064F3F">
            <w:pPr>
              <w:pStyle w:val="TableText0"/>
              <w:jc w:val="center"/>
            </w:pPr>
          </w:p>
          <w:p w:rsidR="00ED3B16" w:rsidRPr="002B4AB6" w:rsidRDefault="00ED3B16" w:rsidP="00064F3F">
            <w:pPr>
              <w:pStyle w:val="TableText0"/>
              <w:spacing w:before="40"/>
              <w:jc w:val="center"/>
            </w:pPr>
            <w:r w:rsidRPr="002B4AB6">
              <w:t>1.3326</w:t>
            </w:r>
          </w:p>
          <w:p w:rsidR="00ED3B16" w:rsidRPr="002B4AB6" w:rsidRDefault="00ED3B16" w:rsidP="00064F3F">
            <w:pPr>
              <w:pStyle w:val="TableText0"/>
              <w:jc w:val="center"/>
            </w:pPr>
            <w:r w:rsidRPr="002B4AB6">
              <w:t>1.4993</w:t>
            </w:r>
          </w:p>
          <w:p w:rsidR="00ED3B16" w:rsidRPr="002B4AB6" w:rsidRDefault="00ED3B16" w:rsidP="00064F3F">
            <w:pPr>
              <w:pStyle w:val="TableText0"/>
              <w:jc w:val="center"/>
            </w:pPr>
            <w:r w:rsidRPr="002B4AB6">
              <w:t>1.1108</w:t>
            </w:r>
          </w:p>
        </w:tc>
        <w:tc>
          <w:tcPr>
            <w:tcW w:w="662" w:type="pct"/>
          </w:tcPr>
          <w:p w:rsidR="00ED3B16" w:rsidRPr="002B4AB6" w:rsidRDefault="00ED3B16" w:rsidP="00064F3F">
            <w:pPr>
              <w:pStyle w:val="TableText0"/>
              <w:jc w:val="center"/>
            </w:pPr>
          </w:p>
          <w:p w:rsidR="00ED3B16" w:rsidRPr="002B4AB6" w:rsidRDefault="00ED3B16" w:rsidP="00064F3F">
            <w:pPr>
              <w:pStyle w:val="TableText0"/>
              <w:spacing w:before="40"/>
              <w:jc w:val="center"/>
            </w:pPr>
            <w:r w:rsidRPr="002B4AB6">
              <w:t>$</w:t>
            </w:r>
            <w:r w:rsidR="004278F1">
              <w:rPr>
                <w:noProof/>
                <w:color w:val="000000"/>
                <w:highlight w:val="black"/>
              </w:rPr>
              <w:t>'''''''''''''''''</w:t>
            </w:r>
          </w:p>
          <w:p w:rsidR="00ED3B16" w:rsidRPr="002B4AB6" w:rsidRDefault="00ED3B16" w:rsidP="00064F3F">
            <w:pPr>
              <w:pStyle w:val="TableText0"/>
              <w:jc w:val="center"/>
            </w:pPr>
            <w:r w:rsidRPr="002B4AB6">
              <w:t>$</w:t>
            </w:r>
            <w:r w:rsidR="004278F1">
              <w:rPr>
                <w:noProof/>
                <w:color w:val="000000"/>
                <w:highlight w:val="black"/>
              </w:rPr>
              <w:t>''''''''''''''''</w:t>
            </w:r>
          </w:p>
          <w:p w:rsidR="00ED3B16" w:rsidRPr="002B4AB6" w:rsidRDefault="00ED3B16" w:rsidP="00064F3F">
            <w:pPr>
              <w:pStyle w:val="TableText0"/>
              <w:jc w:val="center"/>
            </w:pPr>
            <w:r w:rsidRPr="002B4AB6">
              <w:t>$</w:t>
            </w:r>
            <w:r w:rsidR="004278F1">
              <w:rPr>
                <w:noProof/>
                <w:color w:val="000000"/>
                <w:highlight w:val="black"/>
              </w:rPr>
              <w:t>'''''''''''''''''</w:t>
            </w:r>
          </w:p>
        </w:tc>
      </w:tr>
      <w:tr w:rsidR="00ED3B16" w:rsidRPr="002B4AB6" w:rsidTr="00064F3F">
        <w:trPr>
          <w:gridAfter w:val="1"/>
          <w:wAfter w:w="8" w:type="pct"/>
        </w:trPr>
        <w:tc>
          <w:tcPr>
            <w:tcW w:w="2612" w:type="pct"/>
          </w:tcPr>
          <w:p w:rsidR="00ED3B16" w:rsidRPr="002B4AB6" w:rsidRDefault="00ED3B16" w:rsidP="00064F3F">
            <w:pPr>
              <w:jc w:val="left"/>
              <w:rPr>
                <w:rFonts w:ascii="Arial Narrow" w:eastAsiaTheme="majorEastAsia" w:hAnsi="Arial Narrow" w:cstheme="majorBidi"/>
                <w:bCs/>
                <w:sz w:val="20"/>
                <w:vertAlign w:val="superscript"/>
              </w:rPr>
            </w:pPr>
            <w:r w:rsidRPr="002B4AB6">
              <w:rPr>
                <w:rFonts w:ascii="Arial Narrow" w:eastAsiaTheme="majorEastAsia" w:hAnsi="Arial Narrow" w:cstheme="majorBidi"/>
                <w:bCs/>
                <w:sz w:val="20"/>
              </w:rPr>
              <w:t>Assuming a proportion of patients in the SOC arm receive rituximab in combination with chemotherapy (base case 0%)</w:t>
            </w:r>
            <w:r w:rsidRPr="002B4AB6">
              <w:rPr>
                <w:rFonts w:ascii="Arial Narrow" w:eastAsiaTheme="majorEastAsia" w:hAnsi="Arial Narrow" w:cstheme="majorBidi"/>
                <w:bCs/>
                <w:sz w:val="20"/>
                <w:vertAlign w:val="superscript"/>
              </w:rPr>
              <w:t>c</w:t>
            </w:r>
          </w:p>
          <w:p w:rsidR="00ED3B16" w:rsidRPr="002B4AB6" w:rsidRDefault="00ED3B16" w:rsidP="00E818A3">
            <w:pPr>
              <w:numPr>
                <w:ilvl w:val="0"/>
                <w:numId w:val="6"/>
              </w:numPr>
              <w:jc w:val="left"/>
              <w:rPr>
                <w:rFonts w:ascii="Arial Narrow" w:eastAsiaTheme="majorEastAsia" w:hAnsi="Arial Narrow" w:cstheme="majorBidi"/>
                <w:bCs/>
                <w:sz w:val="20"/>
              </w:rPr>
            </w:pPr>
            <w:r w:rsidRPr="002B4AB6">
              <w:rPr>
                <w:rFonts w:ascii="Arial Narrow" w:eastAsiaTheme="majorEastAsia" w:hAnsi="Arial Narrow" w:cstheme="majorBidi"/>
                <w:bCs/>
                <w:sz w:val="20"/>
              </w:rPr>
              <w:t>4</w:t>
            </w:r>
            <w:r w:rsidR="00CF4B36" w:rsidRPr="002B4AB6">
              <w:rPr>
                <w:rFonts w:ascii="Arial Narrow" w:eastAsiaTheme="majorEastAsia" w:hAnsi="Arial Narrow" w:cstheme="majorBidi"/>
                <w:bCs/>
                <w:sz w:val="20"/>
              </w:rPr>
              <w:t>8</w:t>
            </w:r>
            <w:r w:rsidRPr="002B4AB6">
              <w:rPr>
                <w:rFonts w:ascii="Arial Narrow" w:eastAsiaTheme="majorEastAsia" w:hAnsi="Arial Narrow" w:cstheme="majorBidi"/>
                <w:bCs/>
                <w:sz w:val="20"/>
              </w:rPr>
              <w:t>% (% in Vardhana 2018 who received rituximab</w:t>
            </w:r>
            <w:r w:rsidR="00CF4B36" w:rsidRPr="002B4AB6">
              <w:rPr>
                <w:rFonts w:ascii="Arial Narrow" w:eastAsiaTheme="majorEastAsia" w:hAnsi="Arial Narrow" w:cstheme="majorBidi"/>
                <w:bCs/>
                <w:sz w:val="20"/>
              </w:rPr>
              <w:t>-based second line therapy</w:t>
            </w:r>
            <w:r w:rsidRPr="002B4AB6">
              <w:rPr>
                <w:rFonts w:ascii="Arial Narrow" w:eastAsiaTheme="majorEastAsia" w:hAnsi="Arial Narrow" w:cstheme="majorBidi"/>
                <w:bCs/>
                <w:sz w:val="20"/>
              </w:rPr>
              <w:t>)</w:t>
            </w:r>
          </w:p>
          <w:p w:rsidR="00ED3B16" w:rsidRPr="002B4AB6" w:rsidRDefault="00ED3B16" w:rsidP="00E818A3">
            <w:pPr>
              <w:numPr>
                <w:ilvl w:val="0"/>
                <w:numId w:val="6"/>
              </w:numPr>
              <w:jc w:val="left"/>
            </w:pPr>
            <w:r w:rsidRPr="002B4AB6">
              <w:rPr>
                <w:rFonts w:ascii="Arial Narrow" w:eastAsiaTheme="majorEastAsia" w:hAnsi="Arial Narrow" w:cstheme="majorBidi"/>
                <w:bCs/>
                <w:sz w:val="20"/>
              </w:rPr>
              <w:t>100%</w:t>
            </w:r>
          </w:p>
        </w:tc>
        <w:tc>
          <w:tcPr>
            <w:tcW w:w="822" w:type="pct"/>
          </w:tcPr>
          <w:p w:rsidR="00ED3B16" w:rsidRPr="002B4AB6" w:rsidRDefault="00ED3B16" w:rsidP="00064F3F">
            <w:pPr>
              <w:jc w:val="center"/>
              <w:rPr>
                <w:rFonts w:ascii="Arial Narrow" w:eastAsiaTheme="majorEastAsia" w:hAnsi="Arial Narrow" w:cstheme="majorBidi"/>
                <w:bCs/>
                <w:sz w:val="20"/>
              </w:rPr>
            </w:pPr>
          </w:p>
          <w:p w:rsidR="00ED3B16" w:rsidRPr="002B4AB6" w:rsidRDefault="00ED3B16" w:rsidP="00064F3F">
            <w:pPr>
              <w:jc w:val="center"/>
              <w:rPr>
                <w:rFonts w:ascii="Arial Narrow" w:eastAsiaTheme="majorEastAsia" w:hAnsi="Arial Narrow" w:cstheme="majorBidi"/>
                <w:bCs/>
                <w:sz w:val="20"/>
              </w:rPr>
            </w:pPr>
          </w:p>
          <w:p w:rsidR="00ED3B16" w:rsidRPr="002B4AB6" w:rsidRDefault="00C51E30" w:rsidP="00064F3F">
            <w:pPr>
              <w:jc w:val="center"/>
              <w:rPr>
                <w:rFonts w:ascii="Arial Narrow" w:eastAsiaTheme="majorEastAsia" w:hAnsi="Arial Narrow" w:cstheme="majorBidi"/>
                <w:bCs/>
                <w:sz w:val="20"/>
              </w:rPr>
            </w:pPr>
            <w:r w:rsidRPr="002B4AB6">
              <w:rPr>
                <w:rFonts w:ascii="Arial Narrow" w:eastAsiaTheme="majorEastAsia" w:hAnsi="Arial Narrow" w:cstheme="majorBidi"/>
                <w:bCs/>
                <w:sz w:val="20"/>
              </w:rPr>
              <w:t>$</w:t>
            </w:r>
            <w:r w:rsidR="004278F1">
              <w:rPr>
                <w:rFonts w:ascii="Arial Narrow" w:eastAsiaTheme="majorEastAsia" w:hAnsi="Arial Narrow" w:cstheme="majorBidi"/>
                <w:bCs/>
                <w:noProof/>
                <w:color w:val="000000"/>
                <w:sz w:val="20"/>
                <w:highlight w:val="black"/>
              </w:rPr>
              <w:t>'''''''''''''''''</w:t>
            </w:r>
          </w:p>
          <w:p w:rsidR="00ED3B16" w:rsidRPr="002B4AB6" w:rsidRDefault="00ED3B16" w:rsidP="00064F3F">
            <w:pPr>
              <w:jc w:val="center"/>
              <w:rPr>
                <w:rFonts w:ascii="Arial Narrow" w:eastAsiaTheme="majorEastAsia" w:hAnsi="Arial Narrow" w:cstheme="majorBidi"/>
                <w:bCs/>
                <w:sz w:val="20"/>
              </w:rPr>
            </w:pPr>
          </w:p>
          <w:p w:rsidR="00ED3B16" w:rsidRPr="002B4AB6" w:rsidRDefault="00ED3B16" w:rsidP="00064F3F">
            <w:pPr>
              <w:pStyle w:val="TableText0"/>
              <w:jc w:val="center"/>
            </w:pPr>
            <w:r w:rsidRPr="002B4AB6">
              <w:rPr>
                <w:bCs w:val="0"/>
              </w:rPr>
              <w:t>$</w:t>
            </w:r>
            <w:r w:rsidR="004278F1">
              <w:rPr>
                <w:bCs w:val="0"/>
                <w:noProof/>
                <w:color w:val="000000"/>
                <w:highlight w:val="black"/>
              </w:rPr>
              <w:t>'''''''''''''''''</w:t>
            </w:r>
          </w:p>
        </w:tc>
        <w:tc>
          <w:tcPr>
            <w:tcW w:w="896" w:type="pct"/>
          </w:tcPr>
          <w:p w:rsidR="00ED3B16" w:rsidRPr="002B4AB6" w:rsidRDefault="00ED3B16" w:rsidP="00064F3F">
            <w:pPr>
              <w:jc w:val="center"/>
              <w:rPr>
                <w:rFonts w:ascii="Arial Narrow" w:eastAsiaTheme="majorEastAsia" w:hAnsi="Arial Narrow" w:cstheme="majorBidi"/>
                <w:bCs/>
                <w:sz w:val="20"/>
              </w:rPr>
            </w:pPr>
          </w:p>
          <w:p w:rsidR="00ED3B16" w:rsidRPr="002B4AB6" w:rsidRDefault="00ED3B16" w:rsidP="00064F3F">
            <w:pPr>
              <w:jc w:val="center"/>
              <w:rPr>
                <w:rFonts w:ascii="Arial Narrow" w:eastAsiaTheme="majorEastAsia" w:hAnsi="Arial Narrow" w:cstheme="majorBidi"/>
                <w:bCs/>
                <w:sz w:val="20"/>
              </w:rPr>
            </w:pPr>
          </w:p>
          <w:p w:rsidR="00ED3B16" w:rsidRPr="002B4AB6" w:rsidRDefault="00ED3B16" w:rsidP="00064F3F">
            <w:pPr>
              <w:jc w:val="center"/>
              <w:rPr>
                <w:rFonts w:ascii="Arial Narrow" w:eastAsiaTheme="majorEastAsia" w:hAnsi="Arial Narrow" w:cstheme="majorBidi"/>
                <w:bCs/>
                <w:sz w:val="20"/>
              </w:rPr>
            </w:pPr>
            <w:r w:rsidRPr="002B4AB6">
              <w:rPr>
                <w:rFonts w:ascii="Arial Narrow" w:eastAsiaTheme="majorEastAsia" w:hAnsi="Arial Narrow" w:cstheme="majorBidi"/>
                <w:bCs/>
                <w:sz w:val="20"/>
              </w:rPr>
              <w:t>1.3184</w:t>
            </w:r>
          </w:p>
          <w:p w:rsidR="00ED3B16" w:rsidRPr="002B4AB6" w:rsidRDefault="00ED3B16" w:rsidP="00064F3F">
            <w:pPr>
              <w:jc w:val="center"/>
              <w:rPr>
                <w:rFonts w:ascii="Arial Narrow" w:eastAsiaTheme="majorEastAsia" w:hAnsi="Arial Narrow" w:cstheme="majorBidi"/>
                <w:bCs/>
                <w:sz w:val="20"/>
              </w:rPr>
            </w:pPr>
          </w:p>
          <w:p w:rsidR="00ED3B16" w:rsidRPr="002B4AB6" w:rsidRDefault="00ED3B16" w:rsidP="00064F3F">
            <w:pPr>
              <w:pStyle w:val="TableText0"/>
              <w:jc w:val="center"/>
            </w:pPr>
            <w:r w:rsidRPr="002B4AB6">
              <w:rPr>
                <w:bCs w:val="0"/>
              </w:rPr>
              <w:t>1.3184</w:t>
            </w:r>
          </w:p>
        </w:tc>
        <w:tc>
          <w:tcPr>
            <w:tcW w:w="662" w:type="pct"/>
          </w:tcPr>
          <w:p w:rsidR="00ED3B16" w:rsidRPr="002B4AB6" w:rsidRDefault="00ED3B16" w:rsidP="00064F3F">
            <w:pPr>
              <w:jc w:val="center"/>
              <w:rPr>
                <w:rFonts w:ascii="Arial Narrow" w:eastAsiaTheme="majorEastAsia" w:hAnsi="Arial Narrow" w:cstheme="majorBidi"/>
                <w:bCs/>
                <w:sz w:val="20"/>
              </w:rPr>
            </w:pPr>
          </w:p>
          <w:p w:rsidR="00ED3B16" w:rsidRPr="002B4AB6" w:rsidRDefault="00ED3B16" w:rsidP="00064F3F">
            <w:pPr>
              <w:jc w:val="center"/>
              <w:rPr>
                <w:rFonts w:ascii="Arial Narrow" w:eastAsiaTheme="majorEastAsia" w:hAnsi="Arial Narrow" w:cstheme="majorBidi"/>
                <w:bCs/>
                <w:sz w:val="20"/>
              </w:rPr>
            </w:pPr>
          </w:p>
          <w:p w:rsidR="00ED3B16" w:rsidRPr="002B4AB6" w:rsidRDefault="00ED3B16" w:rsidP="00064F3F">
            <w:pPr>
              <w:jc w:val="center"/>
              <w:rPr>
                <w:rFonts w:ascii="Arial Narrow" w:eastAsiaTheme="majorEastAsia" w:hAnsi="Arial Narrow" w:cstheme="majorBidi"/>
                <w:bCs/>
                <w:sz w:val="20"/>
              </w:rPr>
            </w:pPr>
            <w:r w:rsidRPr="002B4AB6">
              <w:rPr>
                <w:rFonts w:ascii="Arial Narrow" w:eastAsiaTheme="majorEastAsia" w:hAnsi="Arial Narrow" w:cstheme="majorBidi"/>
                <w:bCs/>
                <w:sz w:val="20"/>
              </w:rPr>
              <w:t>$</w:t>
            </w:r>
            <w:r w:rsidR="004278F1">
              <w:rPr>
                <w:rFonts w:ascii="Arial Narrow" w:eastAsiaTheme="majorEastAsia" w:hAnsi="Arial Narrow" w:cstheme="majorBidi"/>
                <w:bCs/>
                <w:noProof/>
                <w:color w:val="000000"/>
                <w:sz w:val="20"/>
                <w:highlight w:val="black"/>
              </w:rPr>
              <w:t>''''''''''''''''</w:t>
            </w:r>
          </w:p>
          <w:p w:rsidR="00ED3B16" w:rsidRPr="002B4AB6" w:rsidRDefault="00ED3B16" w:rsidP="00064F3F">
            <w:pPr>
              <w:jc w:val="center"/>
              <w:rPr>
                <w:rFonts w:ascii="Arial Narrow" w:eastAsiaTheme="majorEastAsia" w:hAnsi="Arial Narrow" w:cstheme="majorBidi"/>
                <w:bCs/>
                <w:sz w:val="20"/>
              </w:rPr>
            </w:pPr>
          </w:p>
          <w:p w:rsidR="00ED3B16" w:rsidRPr="002B4AB6" w:rsidRDefault="00ED3B16" w:rsidP="00064F3F">
            <w:pPr>
              <w:pStyle w:val="TableText0"/>
              <w:jc w:val="center"/>
            </w:pPr>
            <w:r w:rsidRPr="002B4AB6">
              <w:rPr>
                <w:bCs w:val="0"/>
              </w:rPr>
              <w:t>$</w:t>
            </w:r>
            <w:r w:rsidR="004278F1">
              <w:rPr>
                <w:bCs w:val="0"/>
                <w:noProof/>
                <w:color w:val="000000"/>
                <w:highlight w:val="black"/>
              </w:rPr>
              <w:t>''''''''''''''''</w:t>
            </w:r>
          </w:p>
        </w:tc>
      </w:tr>
      <w:tr w:rsidR="00ED3B16" w:rsidRPr="002B4AB6" w:rsidTr="00064F3F">
        <w:tc>
          <w:tcPr>
            <w:tcW w:w="5000" w:type="pct"/>
            <w:gridSpan w:val="5"/>
          </w:tcPr>
          <w:p w:rsidR="00ED3B16" w:rsidRPr="002B4AB6" w:rsidRDefault="00ED3B16" w:rsidP="00064F3F">
            <w:pPr>
              <w:pStyle w:val="In-tableHeading"/>
              <w:rPr>
                <w:lang w:val="en-AU"/>
              </w:rPr>
            </w:pPr>
            <w:r w:rsidRPr="002B4AB6">
              <w:rPr>
                <w:lang w:val="en-AU"/>
              </w:rPr>
              <w:t>Multivariate analyses</w:t>
            </w:r>
          </w:p>
        </w:tc>
      </w:tr>
      <w:tr w:rsidR="00ED3B16" w:rsidRPr="002B4AB6" w:rsidTr="00064F3F">
        <w:trPr>
          <w:gridAfter w:val="1"/>
          <w:wAfter w:w="8" w:type="pct"/>
        </w:trPr>
        <w:tc>
          <w:tcPr>
            <w:tcW w:w="2612" w:type="pct"/>
          </w:tcPr>
          <w:p w:rsidR="00ED3B16" w:rsidRPr="002B4AB6" w:rsidRDefault="00ED3B16" w:rsidP="00064F3F">
            <w:pPr>
              <w:pStyle w:val="TableText0"/>
            </w:pPr>
            <w:r w:rsidRPr="002B4AB6">
              <w:t>Cohort E SOC arm and Weibull extrapolation PEMB arm</w:t>
            </w:r>
          </w:p>
          <w:p w:rsidR="00ED3B16" w:rsidRPr="002B4AB6" w:rsidRDefault="00ED3B16" w:rsidP="00064F3F">
            <w:pPr>
              <w:pStyle w:val="TableText0"/>
            </w:pPr>
            <w:r w:rsidRPr="002B4AB6">
              <w:t>As above plus Gamma extrapolation SOC arm</w:t>
            </w:r>
          </w:p>
        </w:tc>
        <w:tc>
          <w:tcPr>
            <w:tcW w:w="822" w:type="pct"/>
          </w:tcPr>
          <w:p w:rsidR="00ED3B16" w:rsidRPr="002B4AB6" w:rsidRDefault="00ED3B16" w:rsidP="00064F3F">
            <w:pPr>
              <w:pStyle w:val="TableText0"/>
              <w:jc w:val="center"/>
            </w:pPr>
            <w:r w:rsidRPr="002B4AB6">
              <w:t>$</w:t>
            </w:r>
            <w:r w:rsidR="004278F1">
              <w:rPr>
                <w:noProof/>
                <w:color w:val="000000"/>
                <w:highlight w:val="black"/>
              </w:rPr>
              <w:t>'''''''''''''''''</w:t>
            </w:r>
          </w:p>
          <w:p w:rsidR="00ED3B16" w:rsidRPr="002B4AB6" w:rsidRDefault="00ED3B16" w:rsidP="00064F3F">
            <w:pPr>
              <w:pStyle w:val="TableText0"/>
              <w:jc w:val="center"/>
            </w:pPr>
            <w:r w:rsidRPr="002B4AB6">
              <w:t>$</w:t>
            </w:r>
            <w:r w:rsidR="004278F1">
              <w:rPr>
                <w:noProof/>
                <w:color w:val="000000"/>
                <w:highlight w:val="black"/>
              </w:rPr>
              <w:t>''''''''''''''''</w:t>
            </w:r>
          </w:p>
        </w:tc>
        <w:tc>
          <w:tcPr>
            <w:tcW w:w="896" w:type="pct"/>
          </w:tcPr>
          <w:p w:rsidR="00ED3B16" w:rsidRPr="002B4AB6" w:rsidRDefault="00ED3B16" w:rsidP="00064F3F">
            <w:pPr>
              <w:pStyle w:val="TableText0"/>
              <w:jc w:val="center"/>
            </w:pPr>
            <w:r w:rsidRPr="002B4AB6">
              <w:t>0.9966</w:t>
            </w:r>
          </w:p>
          <w:p w:rsidR="00ED3B16" w:rsidRPr="002B4AB6" w:rsidRDefault="00ED3B16" w:rsidP="00064F3F">
            <w:pPr>
              <w:pStyle w:val="TableText0"/>
              <w:jc w:val="center"/>
            </w:pPr>
            <w:r w:rsidRPr="002B4AB6">
              <w:t>0.9262</w:t>
            </w:r>
          </w:p>
        </w:tc>
        <w:tc>
          <w:tcPr>
            <w:tcW w:w="662" w:type="pct"/>
          </w:tcPr>
          <w:p w:rsidR="00ED3B16" w:rsidRPr="004278F1" w:rsidRDefault="00ED3B16" w:rsidP="00064F3F">
            <w:pPr>
              <w:pStyle w:val="TableText0"/>
              <w:jc w:val="center"/>
            </w:pPr>
            <w:r w:rsidRPr="002B4AB6">
              <w:t>$</w:t>
            </w:r>
            <w:r w:rsidR="004278F1">
              <w:rPr>
                <w:noProof/>
                <w:color w:val="000000"/>
                <w:highlight w:val="black"/>
              </w:rPr>
              <w:t>'''''''''''''''''</w:t>
            </w:r>
          </w:p>
          <w:p w:rsidR="00ED3B16" w:rsidRPr="002B4AB6" w:rsidRDefault="00ED3B16" w:rsidP="00064F3F">
            <w:pPr>
              <w:pStyle w:val="TableText0"/>
              <w:jc w:val="center"/>
            </w:pPr>
            <w:r w:rsidRPr="002B4AB6">
              <w:t>$</w:t>
            </w:r>
            <w:r w:rsidR="004278F1">
              <w:rPr>
                <w:noProof/>
                <w:color w:val="000000"/>
                <w:highlight w:val="black"/>
              </w:rPr>
              <w:t>'''''''''''''''</w:t>
            </w:r>
          </w:p>
        </w:tc>
      </w:tr>
    </w:tbl>
    <w:p w:rsidR="00ED3B16" w:rsidRPr="00956A61" w:rsidRDefault="00ED3B16" w:rsidP="00ED3B16">
      <w:pPr>
        <w:pStyle w:val="Tabletext"/>
        <w:rPr>
          <w:rStyle w:val="CommentReference"/>
          <w:b w:val="0"/>
          <w:sz w:val="18"/>
          <w:szCs w:val="18"/>
        </w:rPr>
      </w:pPr>
      <w:r w:rsidRPr="00956A61">
        <w:rPr>
          <w:sz w:val="18"/>
          <w:szCs w:val="18"/>
        </w:rPr>
        <w:t xml:space="preserve">Source: Table 3.8-2 p148, and Table 3.9-1 pp150-151 of the resubmission; </w:t>
      </w:r>
      <w:r w:rsidRPr="002B4AB6">
        <w:rPr>
          <w:rStyle w:val="CommentReference"/>
          <w:b w:val="0"/>
          <w:sz w:val="18"/>
          <w:szCs w:val="18"/>
        </w:rPr>
        <w:t>Excel workbook ‘Pembrolizumab Section 3 model November 2019’</w:t>
      </w:r>
    </w:p>
    <w:p w:rsidR="00ED3B16" w:rsidRPr="002B4AB6" w:rsidRDefault="00ED3B16" w:rsidP="00ED3B16">
      <w:pPr>
        <w:pStyle w:val="Tabletext"/>
        <w:rPr>
          <w:sz w:val="18"/>
          <w:szCs w:val="18"/>
        </w:rPr>
      </w:pPr>
      <w:r w:rsidRPr="002B4AB6">
        <w:rPr>
          <w:sz w:val="18"/>
          <w:szCs w:val="18"/>
        </w:rPr>
        <w:t xml:space="preserve">1L = first line; 2L = second line; ASCT = autologous stem cell transplantation; ICER = incremental cost-effectiveness ratio; INV = investigator definition; IRC = Independent Review Committee definition; PD = progressive disease; PFS = progression free survival; PEMB = pembrolizumab; </w:t>
      </w:r>
      <w:r w:rsidRPr="002B4AB6">
        <w:rPr>
          <w:rStyle w:val="CommentReference"/>
          <w:b w:val="0"/>
          <w:sz w:val="18"/>
          <w:szCs w:val="18"/>
        </w:rPr>
        <w:t>QALY = quality-adjusted life-years; SOC = standard of care.</w:t>
      </w:r>
    </w:p>
    <w:p w:rsidR="00ED3B16" w:rsidRPr="002B4AB6" w:rsidRDefault="00ED3B16" w:rsidP="00ED3B16">
      <w:pPr>
        <w:pStyle w:val="Tabletext"/>
        <w:rPr>
          <w:sz w:val="18"/>
          <w:szCs w:val="18"/>
        </w:rPr>
      </w:pPr>
      <w:r w:rsidRPr="002B4AB6">
        <w:rPr>
          <w:sz w:val="18"/>
          <w:szCs w:val="18"/>
          <w:vertAlign w:val="superscript"/>
        </w:rPr>
        <w:t xml:space="preserve">a </w:t>
      </w:r>
      <w:r w:rsidRPr="002B4AB6">
        <w:rPr>
          <w:sz w:val="18"/>
          <w:szCs w:val="18"/>
        </w:rPr>
        <w:t>Parametric extrapolation applied from 36 months for Cohorts A, B and C, and from 48 months for Cohort E.</w:t>
      </w:r>
    </w:p>
    <w:p w:rsidR="00ED3B16" w:rsidRPr="002B4AB6" w:rsidRDefault="00ED3B16" w:rsidP="00ED3B16">
      <w:pPr>
        <w:pStyle w:val="Tabletext"/>
        <w:rPr>
          <w:sz w:val="18"/>
          <w:szCs w:val="18"/>
        </w:rPr>
      </w:pPr>
      <w:r w:rsidRPr="002B4AB6">
        <w:rPr>
          <w:sz w:val="18"/>
          <w:szCs w:val="18"/>
          <w:vertAlign w:val="superscript"/>
        </w:rPr>
        <w:t>b</w:t>
      </w:r>
      <w:r w:rsidRPr="002B4AB6">
        <w:rPr>
          <w:sz w:val="18"/>
          <w:szCs w:val="18"/>
        </w:rPr>
        <w:t xml:space="preserve"> Used for base case economic evaluation in previous submission</w:t>
      </w:r>
    </w:p>
    <w:p w:rsidR="00ED3B16" w:rsidRPr="002B4AB6" w:rsidRDefault="00ED3B16" w:rsidP="00ED3B16">
      <w:pPr>
        <w:spacing w:after="120"/>
        <w:contextualSpacing/>
        <w:rPr>
          <w:rFonts w:ascii="Arial Narrow" w:hAnsi="Arial Narrow"/>
          <w:snapToGrid w:val="0"/>
          <w:sz w:val="20"/>
          <w:szCs w:val="22"/>
          <w:vertAlign w:val="superscript"/>
        </w:rPr>
      </w:pPr>
      <w:r w:rsidRPr="002B4AB6">
        <w:rPr>
          <w:rFonts w:ascii="Arial Narrow" w:hAnsi="Arial Narrow"/>
          <w:snapToGrid w:val="0"/>
          <w:sz w:val="18"/>
          <w:szCs w:val="22"/>
          <w:vertAlign w:val="superscript"/>
        </w:rPr>
        <w:t>c</w:t>
      </w:r>
      <w:r w:rsidRPr="002B4AB6">
        <w:rPr>
          <w:rFonts w:ascii="Arial Narrow" w:hAnsi="Arial Narrow"/>
          <w:snapToGrid w:val="0"/>
          <w:sz w:val="18"/>
          <w:szCs w:val="22"/>
        </w:rPr>
        <w:t xml:space="preserve"> Assuming a rituximab dose of 375 mg/m</w:t>
      </w:r>
      <w:r w:rsidRPr="002B4AB6">
        <w:rPr>
          <w:rFonts w:ascii="Arial Narrow" w:hAnsi="Arial Narrow"/>
          <w:snapToGrid w:val="0"/>
          <w:sz w:val="18"/>
          <w:szCs w:val="22"/>
          <w:vertAlign w:val="superscript"/>
        </w:rPr>
        <w:t>2,</w:t>
      </w:r>
      <w:r w:rsidRPr="002B4AB6">
        <w:rPr>
          <w:rFonts w:ascii="Arial Narrow" w:hAnsi="Arial Narrow"/>
          <w:snapToGrid w:val="0"/>
          <w:sz w:val="18"/>
          <w:szCs w:val="22"/>
        </w:rPr>
        <w:t>(675 mg assuming an average body surface area of 1.8 m</w:t>
      </w:r>
      <w:r w:rsidRPr="002B4AB6">
        <w:rPr>
          <w:rFonts w:ascii="Arial Narrow" w:hAnsi="Arial Narrow"/>
          <w:snapToGrid w:val="0"/>
          <w:sz w:val="18"/>
          <w:szCs w:val="22"/>
          <w:vertAlign w:val="superscript"/>
        </w:rPr>
        <w:t>2</w:t>
      </w:r>
      <w:r w:rsidRPr="002B4AB6">
        <w:rPr>
          <w:rFonts w:ascii="Arial Narrow" w:hAnsi="Arial Narrow"/>
          <w:snapToGrid w:val="0"/>
          <w:sz w:val="18"/>
          <w:szCs w:val="22"/>
        </w:rPr>
        <w:t xml:space="preserve">), requiring 700 mg per dose at an </w:t>
      </w:r>
      <w:r w:rsidR="001F77D7" w:rsidRPr="002B4AB6">
        <w:rPr>
          <w:rFonts w:ascii="Arial Narrow" w:hAnsi="Arial Narrow"/>
          <w:snapToGrid w:val="0"/>
          <w:sz w:val="18"/>
          <w:szCs w:val="22"/>
        </w:rPr>
        <w:t>A</w:t>
      </w:r>
      <w:r w:rsidRPr="002B4AB6">
        <w:rPr>
          <w:rFonts w:ascii="Arial Narrow" w:hAnsi="Arial Narrow"/>
          <w:snapToGrid w:val="0"/>
          <w:sz w:val="18"/>
          <w:szCs w:val="22"/>
        </w:rPr>
        <w:t>EMP of $239.87 for 100 mg, and assuming 100% dispensed in the public setting. Rituximab administered on Day 1 of each cycle, for 3 cycles of rituximab+DHAP (as recommended in the eviQ regimen), 2.5 cycles</w:t>
      </w:r>
      <w:r w:rsidRPr="002B4AB6">
        <w:rPr>
          <w:rFonts w:ascii="Arial Narrow" w:hAnsi="Arial Narrow"/>
          <w:snapToGrid w:val="0"/>
          <w:sz w:val="18"/>
          <w:szCs w:val="22"/>
          <w:vertAlign w:val="superscript"/>
        </w:rPr>
        <w:t xml:space="preserve"> </w:t>
      </w:r>
      <w:r w:rsidRPr="002B4AB6">
        <w:rPr>
          <w:rFonts w:ascii="Arial Narrow" w:hAnsi="Arial Narrow"/>
          <w:snapToGrid w:val="0"/>
          <w:sz w:val="18"/>
          <w:szCs w:val="22"/>
        </w:rPr>
        <w:t xml:space="preserve">of rituximab+ICE (as for ICE in base case), and 4 cycles of rituximab+GDP (as for GDP in base case). It was assumed that the addition of rituximab to each regimen did not change the administration cost per cycle. </w:t>
      </w:r>
    </w:p>
    <w:p w:rsidR="00974300" w:rsidRPr="00974300" w:rsidRDefault="00974300" w:rsidP="00974300">
      <w:pPr>
        <w:pStyle w:val="3-BodyText"/>
        <w:numPr>
          <w:ilvl w:val="0"/>
          <w:numId w:val="0"/>
        </w:numPr>
        <w:ind w:left="720" w:hanging="720"/>
        <w:rPr>
          <w:i/>
        </w:rPr>
      </w:pPr>
      <w:r>
        <w:rPr>
          <w:i/>
        </w:rPr>
        <w:lastRenderedPageBreak/>
        <w:t>The redacted table shows ICERs in the range of $35,000 - &lt; $255,000/QALY.</w:t>
      </w:r>
    </w:p>
    <w:p w:rsidR="00ED3B16" w:rsidRPr="002B4AB6" w:rsidRDefault="00ED3B16" w:rsidP="00ED3B16">
      <w:pPr>
        <w:pStyle w:val="3-BodyText"/>
      </w:pPr>
      <w:r w:rsidRPr="002B4AB6">
        <w:t>Sensitivity analyses indicated that the model was most sensitive to the time horizon of the model, convergence of the survival curves, and the cohort of patients from Vardhana 2018 used to determine survival in the SOC arm.</w:t>
      </w:r>
    </w:p>
    <w:p w:rsidR="00ED3B16" w:rsidRPr="00492CD9" w:rsidRDefault="00ED3B16" w:rsidP="00ED3B16">
      <w:pPr>
        <w:pStyle w:val="3-BodyText"/>
      </w:pPr>
      <w:r w:rsidRPr="002B4AB6">
        <w:t>As discussed above, the sensitivity analyses provided in the resubmission did not allow assessment of the full extent of uncertainty inherent in choice of the cohort of patients from Vardhana 2018, as digitised survival data for the full study population and Cohort D were not provided</w:t>
      </w:r>
      <w:r w:rsidR="002B4AB6">
        <w:t xml:space="preserve">. </w:t>
      </w:r>
      <w:r w:rsidR="00D92BE5" w:rsidRPr="002B4AB6">
        <w:t xml:space="preserve">As previously stated, </w:t>
      </w:r>
      <w:r w:rsidR="00095A08" w:rsidRPr="002B4AB6">
        <w:t>t</w:t>
      </w:r>
      <w:r w:rsidR="00D92BE5" w:rsidRPr="002B4AB6">
        <w:t>he PSCR argued that the patient population in Cohort D was vastly different to the KN170 study participants. The PSCR arg</w:t>
      </w:r>
      <w:r w:rsidR="00D92BE5" w:rsidRPr="00492CD9">
        <w:t xml:space="preserve">ued that as OS in Cohort D (63% at 3 years) was superior to that of pembrolizumab treated patients in KN170 (44% at 3 years) any sensitivity analysis of the economic model using these largely spurious comparative data would result in pembrolizumab being dominated by SOC. </w:t>
      </w:r>
    </w:p>
    <w:p w:rsidR="00ED3B16" w:rsidRPr="002B4AB6" w:rsidRDefault="00ED3B16" w:rsidP="00ED3B16">
      <w:pPr>
        <w:pStyle w:val="3-BodyText"/>
      </w:pPr>
      <w:r w:rsidRPr="002B4AB6">
        <w:t xml:space="preserve">Applying linear convergence of the OS and PFS curves for pembrolizumab with those for SOC, over the period from Year 3 to Year 10, increased the ICER to </w:t>
      </w:r>
      <w:r w:rsidR="001D7DDB">
        <w:t>$55,000 to &lt;</w:t>
      </w:r>
      <w:r w:rsidR="00AC797D">
        <w:t> </w:t>
      </w:r>
      <w:r w:rsidR="001D7DDB">
        <w:t>$75,000</w:t>
      </w:r>
      <w:r w:rsidRPr="002B4AB6">
        <w:t xml:space="preserve"> per quality-adjusted life-year (QALY) gained. When convergence was applied from Year 3 to Year 7.5, the ICER increased to </w:t>
      </w:r>
      <w:r w:rsidR="001D7DDB">
        <w:t>$75,000 to &lt;</w:t>
      </w:r>
      <w:r w:rsidR="00AC797D">
        <w:t> </w:t>
      </w:r>
      <w:r w:rsidR="001D7DDB">
        <w:t>$95,000</w:t>
      </w:r>
      <w:r w:rsidRPr="002B4AB6">
        <w:t xml:space="preserve">/QALY. It may have been conservative to extrapolate the pembrolizumab survival data using a Weibull parametric function, and that for SOC using a Gamma function; this resulted in an ICER of </w:t>
      </w:r>
      <w:r w:rsidR="000C596A">
        <w:t>$55,000 to &lt;</w:t>
      </w:r>
      <w:r w:rsidR="00AC797D">
        <w:t> </w:t>
      </w:r>
      <w:r w:rsidR="000C596A">
        <w:t>$75,000</w:t>
      </w:r>
      <w:r w:rsidRPr="002B4AB6">
        <w:t xml:space="preserve">/QALY when Cohort C from Vardhana 2018 was used in the SOC arm, and increased to </w:t>
      </w:r>
      <w:r w:rsidR="000C596A">
        <w:t>$55,000 to &lt;</w:t>
      </w:r>
      <w:r w:rsidR="00AC797D">
        <w:t> </w:t>
      </w:r>
      <w:r w:rsidR="000C596A">
        <w:t>$75,000</w:t>
      </w:r>
      <w:r w:rsidRPr="002B4AB6">
        <w:t>/QALY when Cohort E was used.</w:t>
      </w:r>
    </w:p>
    <w:p w:rsidR="00ED3B16" w:rsidRPr="002B4AB6" w:rsidRDefault="00ED3B16" w:rsidP="00ED3B16">
      <w:pPr>
        <w:pStyle w:val="3-BodyText"/>
      </w:pPr>
      <w:r w:rsidRPr="002B4AB6">
        <w:t xml:space="preserve">Reducing the time horizon of the model to 7.5 years increased the estimated ICER to </w:t>
      </w:r>
      <w:r w:rsidR="00DE7C83">
        <w:t>$55,000 to &lt;</w:t>
      </w:r>
      <w:r w:rsidR="00AC797D">
        <w:t> </w:t>
      </w:r>
      <w:r w:rsidR="00DE7C83">
        <w:t>$75,000</w:t>
      </w:r>
      <w:r w:rsidRPr="002B4AB6">
        <w:t xml:space="preserve">/QALY gained. </w:t>
      </w:r>
    </w:p>
    <w:p w:rsidR="00652343" w:rsidRPr="002B4AB6" w:rsidRDefault="00652343" w:rsidP="00ED3B16">
      <w:pPr>
        <w:pStyle w:val="3-BodyText"/>
      </w:pPr>
      <w:r w:rsidRPr="002B4AB6">
        <w:t xml:space="preserve">The PBAC noted that the Sponsor had not provided the quality of life outcomes for the EQ-5D questionnaire observed in KN170, although utilities derived from these scores continued to be used in the base case. The PBAC noted that the impact of a range of utility estimates from the published literature were tested in the sensitivity analysis. </w:t>
      </w:r>
    </w:p>
    <w:p w:rsidR="00ED3B16" w:rsidRPr="002B4AB6" w:rsidRDefault="00ED3B16" w:rsidP="00ED3B16">
      <w:pPr>
        <w:pStyle w:val="4-SubsectionHeading"/>
      </w:pPr>
      <w:bookmarkStart w:id="39" w:name="_Toc30503050"/>
      <w:bookmarkEnd w:id="30"/>
      <w:bookmarkEnd w:id="31"/>
      <w:r w:rsidRPr="002B4AB6">
        <w:t>Drug cost/patient/course</w:t>
      </w:r>
      <w:bookmarkEnd w:id="39"/>
    </w:p>
    <w:p w:rsidR="00ED3B16" w:rsidRPr="002B4AB6" w:rsidRDefault="00ED3B16" w:rsidP="00ED3B16">
      <w:pPr>
        <w:pStyle w:val="3-BodyText"/>
      </w:pPr>
      <w:r w:rsidRPr="002B4AB6">
        <w:t>The mean cost/patient/course of pembrolizumab in the model was $</w:t>
      </w:r>
      <w:r w:rsidR="004278F1">
        <w:rPr>
          <w:noProof/>
          <w:color w:val="000000"/>
          <w:highlight w:val="black"/>
        </w:rPr>
        <w:t>''''''''''''</w:t>
      </w:r>
      <w:r w:rsidRPr="002B4AB6">
        <w:t>. This was based on a dose of 200 mg every 3 weeks, for a ma</w:t>
      </w:r>
      <w:r w:rsidR="00380034" w:rsidRPr="002B4AB6">
        <w:t xml:space="preserve">ximum of 35 doses (2 years), a proposed </w:t>
      </w:r>
      <w:r w:rsidRPr="002B4AB6">
        <w:t>effective AEMP of $</w:t>
      </w:r>
      <w:r w:rsidR="004278F1">
        <w:rPr>
          <w:noProof/>
          <w:color w:val="000000"/>
          <w:highlight w:val="black"/>
        </w:rPr>
        <w:t>'''''''''''''''''</w:t>
      </w:r>
      <w:r w:rsidRPr="002B4AB6">
        <w:t xml:space="preserve"> per 100 mg vial, and assuming an average of 16.1 cycles per patient. The mean number of cycles per patient was derived from the restricted mean PFS over the first 2 years of the model, and was based on Kaplan-Meier data for PFS from KN170. This was reasonable.</w:t>
      </w:r>
    </w:p>
    <w:p w:rsidR="00ED3B16" w:rsidRPr="002B4AB6" w:rsidRDefault="00ED3B16" w:rsidP="00ED3B16">
      <w:pPr>
        <w:pStyle w:val="3-BodyText"/>
      </w:pPr>
      <w:r w:rsidRPr="002B4AB6">
        <w:t>The mean cost/patient/course for the SOC regimens DHAP, ICE and GDP was estimated as $</w:t>
      </w:r>
      <w:r w:rsidRPr="00B403C1">
        <w:t>2,987</w:t>
      </w:r>
      <w:r w:rsidRPr="002B4AB6">
        <w:t xml:space="preserve"> in the economic model and $</w:t>
      </w:r>
      <w:r w:rsidRPr="00B403C1">
        <w:t>3,601</w:t>
      </w:r>
      <w:r w:rsidRPr="002B4AB6">
        <w:t xml:space="preserve"> in the financial estimates. These costs were based on the eviQ dosing recommendations for each regimen, assuming equal proportions of treated SOC patients received each regimen, and that patients received 4 cycles of DHAP, 4 cycles of GDP, or 2.5 cycles of ICE. The </w:t>
      </w:r>
      <w:r w:rsidRPr="002B4AB6">
        <w:lastRenderedPageBreak/>
        <w:t>discrepancy in the cost of SOC between the model and the financial estimates is discussed below. The resubmission did not include the cost of rituximab, despite this being included as a potential component in the nominated comparator.</w:t>
      </w:r>
    </w:p>
    <w:p w:rsidR="00ED3B16" w:rsidRPr="002B4AB6" w:rsidRDefault="00ED3B16" w:rsidP="00ED3B16">
      <w:pPr>
        <w:pStyle w:val="TableFigureHeading"/>
        <w:rPr>
          <w:rStyle w:val="CommentReference"/>
          <w:b/>
          <w:szCs w:val="24"/>
        </w:rPr>
      </w:pPr>
      <w:bookmarkStart w:id="40" w:name="_Ref26956676"/>
      <w:r w:rsidRPr="002B4AB6">
        <w:t xml:space="preserve">Table </w:t>
      </w:r>
      <w:r w:rsidR="002B39A5" w:rsidRPr="00956A61">
        <w:t>16</w:t>
      </w:r>
      <w:bookmarkEnd w:id="40"/>
      <w:r w:rsidRPr="002B4AB6">
        <w:rPr>
          <w:rStyle w:val="CommentReference"/>
          <w:b/>
          <w:szCs w:val="24"/>
        </w:rPr>
        <w:t>: Drug cost per patient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83"/>
        <w:gridCol w:w="1270"/>
        <w:gridCol w:w="1252"/>
        <w:gridCol w:w="1145"/>
        <w:gridCol w:w="1268"/>
        <w:gridCol w:w="1275"/>
        <w:gridCol w:w="1324"/>
      </w:tblGrid>
      <w:tr w:rsidR="00ED3B16" w:rsidRPr="002B4AB6" w:rsidTr="00064F3F">
        <w:trPr>
          <w:cantSplit/>
          <w:tblHeader/>
          <w:jc w:val="center"/>
        </w:trPr>
        <w:tc>
          <w:tcPr>
            <w:tcW w:w="823" w:type="pct"/>
            <w:tcBorders>
              <w:bottom w:val="nil"/>
            </w:tcBorders>
            <w:shd w:val="clear" w:color="auto" w:fill="auto"/>
            <w:vAlign w:val="center"/>
          </w:tcPr>
          <w:p w:rsidR="00ED3B16" w:rsidRPr="00492CD9" w:rsidRDefault="00ED3B16" w:rsidP="00064F3F">
            <w:pPr>
              <w:pStyle w:val="In-tableHeading"/>
              <w:jc w:val="center"/>
              <w:rPr>
                <w:lang w:val="en-AU"/>
              </w:rPr>
            </w:pPr>
          </w:p>
        </w:tc>
        <w:tc>
          <w:tcPr>
            <w:tcW w:w="2033" w:type="pct"/>
            <w:gridSpan w:val="3"/>
            <w:shd w:val="clear" w:color="auto" w:fill="auto"/>
            <w:vAlign w:val="center"/>
          </w:tcPr>
          <w:p w:rsidR="00ED3B16" w:rsidRPr="002B4AB6" w:rsidRDefault="00ED3B16" w:rsidP="00064F3F">
            <w:pPr>
              <w:pStyle w:val="In-tableHeading"/>
              <w:jc w:val="center"/>
              <w:rPr>
                <w:lang w:val="en-AU"/>
              </w:rPr>
            </w:pPr>
            <w:r w:rsidRPr="002B4AB6">
              <w:rPr>
                <w:lang w:val="en-AU"/>
              </w:rPr>
              <w:t>Pembrolizumab</w:t>
            </w:r>
          </w:p>
        </w:tc>
        <w:tc>
          <w:tcPr>
            <w:tcW w:w="2143" w:type="pct"/>
            <w:gridSpan w:val="3"/>
            <w:shd w:val="clear" w:color="auto" w:fill="auto"/>
            <w:vAlign w:val="center"/>
          </w:tcPr>
          <w:p w:rsidR="00ED3B16" w:rsidRPr="002B4AB6" w:rsidRDefault="00ED3B16" w:rsidP="00064F3F">
            <w:pPr>
              <w:pStyle w:val="In-tableHeading"/>
              <w:jc w:val="center"/>
              <w:rPr>
                <w:lang w:val="en-AU"/>
              </w:rPr>
            </w:pPr>
            <w:r w:rsidRPr="002B4AB6">
              <w:rPr>
                <w:lang w:val="en-AU"/>
              </w:rPr>
              <w:t>SOC</w:t>
            </w:r>
          </w:p>
        </w:tc>
      </w:tr>
      <w:tr w:rsidR="00ED3B16" w:rsidRPr="002B4AB6" w:rsidTr="00064F3F">
        <w:trPr>
          <w:cantSplit/>
          <w:tblHeader/>
          <w:jc w:val="center"/>
        </w:trPr>
        <w:tc>
          <w:tcPr>
            <w:tcW w:w="823" w:type="pct"/>
            <w:tcBorders>
              <w:top w:val="nil"/>
            </w:tcBorders>
            <w:shd w:val="clear" w:color="auto" w:fill="auto"/>
            <w:vAlign w:val="center"/>
          </w:tcPr>
          <w:p w:rsidR="00ED3B16" w:rsidRPr="002B4AB6" w:rsidRDefault="00ED3B16" w:rsidP="00064F3F">
            <w:pPr>
              <w:pStyle w:val="In-tableHeading"/>
              <w:jc w:val="center"/>
              <w:rPr>
                <w:lang w:val="en-AU"/>
              </w:rPr>
            </w:pPr>
          </w:p>
        </w:tc>
        <w:tc>
          <w:tcPr>
            <w:tcW w:w="704" w:type="pct"/>
            <w:shd w:val="clear" w:color="auto" w:fill="auto"/>
            <w:vAlign w:val="center"/>
          </w:tcPr>
          <w:p w:rsidR="00ED3B16" w:rsidRPr="002B4AB6" w:rsidRDefault="00ED3B16" w:rsidP="00064F3F">
            <w:pPr>
              <w:pStyle w:val="In-tableHeading"/>
              <w:jc w:val="center"/>
              <w:rPr>
                <w:lang w:val="en-AU"/>
              </w:rPr>
            </w:pPr>
            <w:r w:rsidRPr="002B4AB6">
              <w:rPr>
                <w:lang w:val="en-AU"/>
              </w:rPr>
              <w:t>Study dose and duration</w:t>
            </w:r>
          </w:p>
        </w:tc>
        <w:tc>
          <w:tcPr>
            <w:tcW w:w="694" w:type="pct"/>
            <w:shd w:val="clear" w:color="auto" w:fill="auto"/>
            <w:vAlign w:val="center"/>
          </w:tcPr>
          <w:p w:rsidR="00ED3B16" w:rsidRPr="002B4AB6" w:rsidRDefault="00ED3B16" w:rsidP="00064F3F">
            <w:pPr>
              <w:pStyle w:val="In-tableHeading"/>
              <w:jc w:val="center"/>
              <w:rPr>
                <w:lang w:val="en-AU"/>
              </w:rPr>
            </w:pPr>
            <w:r w:rsidRPr="002B4AB6">
              <w:rPr>
                <w:lang w:val="en-AU"/>
              </w:rPr>
              <w:t>Model</w:t>
            </w:r>
          </w:p>
        </w:tc>
        <w:tc>
          <w:tcPr>
            <w:tcW w:w="635" w:type="pct"/>
            <w:shd w:val="clear" w:color="auto" w:fill="auto"/>
            <w:vAlign w:val="center"/>
          </w:tcPr>
          <w:p w:rsidR="00ED3B16" w:rsidRPr="002B4AB6" w:rsidRDefault="00ED3B16" w:rsidP="00064F3F">
            <w:pPr>
              <w:pStyle w:val="In-tableHeading"/>
              <w:jc w:val="center"/>
              <w:rPr>
                <w:lang w:val="en-AU"/>
              </w:rPr>
            </w:pPr>
            <w:r w:rsidRPr="002B4AB6">
              <w:rPr>
                <w:lang w:val="en-AU"/>
              </w:rPr>
              <w:t>Financial estimates</w:t>
            </w:r>
          </w:p>
        </w:tc>
        <w:tc>
          <w:tcPr>
            <w:tcW w:w="703" w:type="pct"/>
            <w:shd w:val="clear" w:color="auto" w:fill="auto"/>
            <w:vAlign w:val="center"/>
          </w:tcPr>
          <w:p w:rsidR="00ED3B16" w:rsidRPr="002B4AB6" w:rsidRDefault="00ED3B16" w:rsidP="00064F3F">
            <w:pPr>
              <w:pStyle w:val="In-tableHeading"/>
              <w:jc w:val="center"/>
              <w:rPr>
                <w:lang w:val="en-AU"/>
              </w:rPr>
            </w:pPr>
            <w:r w:rsidRPr="002B4AB6">
              <w:rPr>
                <w:lang w:val="en-AU"/>
              </w:rPr>
              <w:t>Study dose and duration</w:t>
            </w:r>
          </w:p>
        </w:tc>
        <w:tc>
          <w:tcPr>
            <w:tcW w:w="707" w:type="pct"/>
            <w:shd w:val="clear" w:color="auto" w:fill="auto"/>
            <w:vAlign w:val="center"/>
          </w:tcPr>
          <w:p w:rsidR="00ED3B16" w:rsidRPr="002B4AB6" w:rsidRDefault="00ED3B16" w:rsidP="00064F3F">
            <w:pPr>
              <w:pStyle w:val="In-tableHeading"/>
              <w:jc w:val="center"/>
              <w:rPr>
                <w:lang w:val="en-AU"/>
              </w:rPr>
            </w:pPr>
            <w:r w:rsidRPr="002B4AB6">
              <w:rPr>
                <w:lang w:val="en-AU"/>
              </w:rPr>
              <w:t>Model</w:t>
            </w:r>
          </w:p>
        </w:tc>
        <w:tc>
          <w:tcPr>
            <w:tcW w:w="734" w:type="pct"/>
          </w:tcPr>
          <w:p w:rsidR="00ED3B16" w:rsidRPr="002B4AB6" w:rsidRDefault="00ED3B16" w:rsidP="00064F3F">
            <w:pPr>
              <w:pStyle w:val="In-tableHeading"/>
              <w:jc w:val="center"/>
              <w:rPr>
                <w:lang w:val="en-AU"/>
              </w:rPr>
            </w:pPr>
            <w:r w:rsidRPr="002B4AB6">
              <w:rPr>
                <w:lang w:val="en-AU"/>
              </w:rPr>
              <w:t>Financial estimates</w:t>
            </w:r>
          </w:p>
        </w:tc>
      </w:tr>
      <w:tr w:rsidR="00ED3B16" w:rsidRPr="002B4AB6" w:rsidTr="00064F3F">
        <w:trPr>
          <w:cantSplit/>
          <w:jc w:val="center"/>
        </w:trPr>
        <w:tc>
          <w:tcPr>
            <w:tcW w:w="823" w:type="pct"/>
            <w:shd w:val="clear" w:color="auto" w:fill="auto"/>
            <w:vAlign w:val="center"/>
          </w:tcPr>
          <w:p w:rsidR="00ED3B16" w:rsidRPr="002B4AB6" w:rsidRDefault="00ED3B16" w:rsidP="00064F3F">
            <w:pPr>
              <w:pStyle w:val="TableText0"/>
            </w:pPr>
            <w:r w:rsidRPr="002B4AB6">
              <w:t>Mean dose</w:t>
            </w:r>
          </w:p>
        </w:tc>
        <w:tc>
          <w:tcPr>
            <w:tcW w:w="704" w:type="pct"/>
            <w:shd w:val="clear" w:color="auto" w:fill="auto"/>
            <w:vAlign w:val="center"/>
          </w:tcPr>
          <w:p w:rsidR="00ED3B16" w:rsidRPr="002B4AB6" w:rsidRDefault="00ED3B16" w:rsidP="00064F3F">
            <w:pPr>
              <w:pStyle w:val="TableText0"/>
              <w:jc w:val="center"/>
            </w:pPr>
            <w:r w:rsidRPr="002B4AB6">
              <w:t>200 mg/cycle</w:t>
            </w:r>
          </w:p>
        </w:tc>
        <w:tc>
          <w:tcPr>
            <w:tcW w:w="694" w:type="pct"/>
            <w:shd w:val="clear" w:color="auto" w:fill="auto"/>
            <w:vAlign w:val="center"/>
          </w:tcPr>
          <w:p w:rsidR="00ED3B16" w:rsidRPr="002B4AB6" w:rsidRDefault="00ED3B16" w:rsidP="00064F3F">
            <w:pPr>
              <w:pStyle w:val="TableText0"/>
              <w:jc w:val="center"/>
            </w:pPr>
            <w:r w:rsidRPr="002B4AB6">
              <w:t>200 mg/cycle</w:t>
            </w:r>
          </w:p>
        </w:tc>
        <w:tc>
          <w:tcPr>
            <w:tcW w:w="635" w:type="pct"/>
            <w:shd w:val="clear" w:color="auto" w:fill="auto"/>
            <w:vAlign w:val="center"/>
          </w:tcPr>
          <w:p w:rsidR="00ED3B16" w:rsidRPr="002B4AB6" w:rsidRDefault="00ED3B16" w:rsidP="00064F3F">
            <w:pPr>
              <w:pStyle w:val="TableText0"/>
              <w:jc w:val="center"/>
            </w:pPr>
            <w:r w:rsidRPr="002B4AB6">
              <w:t>200 mg/cycle</w:t>
            </w:r>
          </w:p>
        </w:tc>
        <w:tc>
          <w:tcPr>
            <w:tcW w:w="703" w:type="pct"/>
            <w:shd w:val="clear" w:color="auto" w:fill="auto"/>
            <w:vAlign w:val="center"/>
          </w:tcPr>
          <w:p w:rsidR="00ED3B16" w:rsidRPr="002B4AB6" w:rsidRDefault="00ED3B16" w:rsidP="00064F3F">
            <w:pPr>
              <w:pStyle w:val="TableText0"/>
              <w:jc w:val="center"/>
            </w:pPr>
          </w:p>
        </w:tc>
        <w:tc>
          <w:tcPr>
            <w:tcW w:w="707" w:type="pct"/>
            <w:shd w:val="clear" w:color="auto" w:fill="auto"/>
            <w:vAlign w:val="center"/>
          </w:tcPr>
          <w:p w:rsidR="00ED3B16" w:rsidRPr="002B4AB6" w:rsidRDefault="00ED3B16" w:rsidP="00064F3F">
            <w:pPr>
              <w:pStyle w:val="TableText0"/>
              <w:jc w:val="center"/>
            </w:pPr>
            <w:r w:rsidRPr="002B4AB6">
              <w:t>As per eviQ regimens</w:t>
            </w:r>
          </w:p>
        </w:tc>
        <w:tc>
          <w:tcPr>
            <w:tcW w:w="734" w:type="pct"/>
            <w:vAlign w:val="center"/>
          </w:tcPr>
          <w:p w:rsidR="00ED3B16" w:rsidRPr="002B4AB6" w:rsidRDefault="00ED3B16" w:rsidP="00064F3F">
            <w:pPr>
              <w:pStyle w:val="TableText0"/>
              <w:jc w:val="center"/>
            </w:pPr>
            <w:r w:rsidRPr="002B4AB6">
              <w:t>As per eviQ regimens</w:t>
            </w:r>
          </w:p>
        </w:tc>
      </w:tr>
      <w:tr w:rsidR="00ED3B16" w:rsidRPr="002B4AB6" w:rsidTr="00064F3F">
        <w:trPr>
          <w:cantSplit/>
          <w:jc w:val="center"/>
        </w:trPr>
        <w:tc>
          <w:tcPr>
            <w:tcW w:w="823" w:type="pct"/>
            <w:shd w:val="clear" w:color="auto" w:fill="auto"/>
            <w:vAlign w:val="center"/>
          </w:tcPr>
          <w:p w:rsidR="00ED3B16" w:rsidRPr="002B4AB6" w:rsidRDefault="00ED3B16" w:rsidP="00064F3F">
            <w:pPr>
              <w:pStyle w:val="TableText0"/>
            </w:pPr>
            <w:r w:rsidRPr="002B4AB6">
              <w:t>Mean duration</w:t>
            </w:r>
          </w:p>
        </w:tc>
        <w:tc>
          <w:tcPr>
            <w:tcW w:w="704" w:type="pct"/>
            <w:shd w:val="clear" w:color="auto" w:fill="auto"/>
            <w:vAlign w:val="center"/>
          </w:tcPr>
          <w:p w:rsidR="00ED3B16" w:rsidRPr="002B4AB6" w:rsidRDefault="00ED3B16" w:rsidP="00064F3F">
            <w:pPr>
              <w:pStyle w:val="TableText0"/>
              <w:jc w:val="center"/>
              <w:rPr>
                <w:vertAlign w:val="superscript"/>
              </w:rPr>
            </w:pPr>
            <w:r w:rsidRPr="002B4AB6">
              <w:t xml:space="preserve">10.8 cycles (truncated mean) </w:t>
            </w:r>
            <w:r w:rsidRPr="002B4AB6">
              <w:rPr>
                <w:vertAlign w:val="superscript"/>
              </w:rPr>
              <w:t>a</w:t>
            </w:r>
          </w:p>
        </w:tc>
        <w:tc>
          <w:tcPr>
            <w:tcW w:w="694" w:type="pct"/>
            <w:shd w:val="clear" w:color="auto" w:fill="auto"/>
            <w:vAlign w:val="center"/>
          </w:tcPr>
          <w:p w:rsidR="00ED3B16" w:rsidRPr="002B4AB6" w:rsidRDefault="00ED3B16" w:rsidP="00064F3F">
            <w:pPr>
              <w:pStyle w:val="TableText0"/>
              <w:jc w:val="center"/>
            </w:pPr>
            <w:r w:rsidRPr="002B4AB6">
              <w:t>16.1 cycles</w:t>
            </w:r>
          </w:p>
        </w:tc>
        <w:tc>
          <w:tcPr>
            <w:tcW w:w="635" w:type="pct"/>
            <w:shd w:val="clear" w:color="auto" w:fill="auto"/>
            <w:vAlign w:val="center"/>
          </w:tcPr>
          <w:p w:rsidR="00ED3B16" w:rsidRPr="002B4AB6" w:rsidRDefault="00ED3B16" w:rsidP="00064F3F">
            <w:pPr>
              <w:pStyle w:val="TableText0"/>
              <w:jc w:val="center"/>
            </w:pPr>
            <w:r w:rsidRPr="002B4AB6">
              <w:t>16.1 cycles</w:t>
            </w:r>
          </w:p>
        </w:tc>
        <w:tc>
          <w:tcPr>
            <w:tcW w:w="703" w:type="pct"/>
            <w:shd w:val="clear" w:color="auto" w:fill="auto"/>
            <w:vAlign w:val="center"/>
          </w:tcPr>
          <w:p w:rsidR="00ED3B16" w:rsidRPr="002B4AB6" w:rsidRDefault="00ED3B16" w:rsidP="00064F3F">
            <w:pPr>
              <w:pStyle w:val="TableText0"/>
              <w:jc w:val="center"/>
            </w:pPr>
            <w:r w:rsidRPr="002B4AB6">
              <w:t>R-ICE</w:t>
            </w:r>
          </w:p>
          <w:p w:rsidR="00ED3B16" w:rsidRPr="002B4AB6" w:rsidRDefault="00ED3B16" w:rsidP="00064F3F">
            <w:pPr>
              <w:pStyle w:val="TableText0"/>
              <w:jc w:val="center"/>
            </w:pPr>
            <w:r w:rsidRPr="002B4AB6">
              <w:t>ICE</w:t>
            </w:r>
          </w:p>
          <w:p w:rsidR="00ED3B16" w:rsidRPr="002B4AB6" w:rsidRDefault="00ED3B16" w:rsidP="00064F3F">
            <w:pPr>
              <w:pStyle w:val="TableText0"/>
              <w:jc w:val="center"/>
            </w:pPr>
            <w:r w:rsidRPr="002B4AB6">
              <w:t>O-DHAP</w:t>
            </w:r>
          </w:p>
          <w:p w:rsidR="00ED3B16" w:rsidRPr="002B4AB6" w:rsidRDefault="00ED3B16" w:rsidP="00064F3F">
            <w:pPr>
              <w:pStyle w:val="TableText0"/>
              <w:jc w:val="center"/>
            </w:pPr>
            <w:r w:rsidRPr="002B4AB6">
              <w:t>ICEMAN</w:t>
            </w:r>
          </w:p>
          <w:p w:rsidR="00ED3B16" w:rsidRPr="002B4AB6" w:rsidRDefault="00ED3B16" w:rsidP="00064F3F">
            <w:pPr>
              <w:pStyle w:val="TableText0"/>
              <w:jc w:val="center"/>
            </w:pPr>
            <w:r w:rsidRPr="002B4AB6">
              <w:t>(doses and durations NR)</w:t>
            </w:r>
          </w:p>
        </w:tc>
        <w:tc>
          <w:tcPr>
            <w:tcW w:w="707" w:type="pct"/>
            <w:shd w:val="clear" w:color="auto" w:fill="auto"/>
            <w:vAlign w:val="center"/>
          </w:tcPr>
          <w:p w:rsidR="00ED3B16" w:rsidRPr="002B4AB6" w:rsidRDefault="00ED3B16" w:rsidP="00064F3F">
            <w:pPr>
              <w:pStyle w:val="TableText0"/>
              <w:jc w:val="center"/>
            </w:pPr>
            <w:r w:rsidRPr="002B4AB6">
              <w:t>DHAP: 4 cycles</w:t>
            </w:r>
          </w:p>
          <w:p w:rsidR="00ED3B16" w:rsidRPr="002B4AB6" w:rsidRDefault="00ED3B16" w:rsidP="00064F3F">
            <w:pPr>
              <w:pStyle w:val="TableText0"/>
              <w:jc w:val="center"/>
            </w:pPr>
            <w:r w:rsidRPr="002B4AB6">
              <w:t>ICE: 2.5 cycles</w:t>
            </w:r>
          </w:p>
          <w:p w:rsidR="00ED3B16" w:rsidRPr="002B4AB6" w:rsidRDefault="00ED3B16" w:rsidP="00064F3F">
            <w:pPr>
              <w:pStyle w:val="TableText0"/>
              <w:jc w:val="center"/>
            </w:pPr>
            <w:r w:rsidRPr="002B4AB6">
              <w:t>GDP: 4 cycles</w:t>
            </w:r>
          </w:p>
        </w:tc>
        <w:tc>
          <w:tcPr>
            <w:tcW w:w="734" w:type="pct"/>
            <w:vAlign w:val="center"/>
          </w:tcPr>
          <w:p w:rsidR="00ED3B16" w:rsidRPr="002B4AB6" w:rsidRDefault="00ED3B16" w:rsidP="00064F3F">
            <w:pPr>
              <w:pStyle w:val="TableText0"/>
              <w:jc w:val="center"/>
            </w:pPr>
            <w:r w:rsidRPr="002B4AB6">
              <w:t>DHAP: 4 cycles</w:t>
            </w:r>
          </w:p>
          <w:p w:rsidR="00ED3B16" w:rsidRPr="002B4AB6" w:rsidRDefault="00ED3B16" w:rsidP="00064F3F">
            <w:pPr>
              <w:pStyle w:val="TableText0"/>
              <w:jc w:val="center"/>
            </w:pPr>
            <w:r w:rsidRPr="002B4AB6">
              <w:t>ICE: 2.5 cycles</w:t>
            </w:r>
          </w:p>
          <w:p w:rsidR="00ED3B16" w:rsidRPr="002B4AB6" w:rsidRDefault="00ED3B16" w:rsidP="00064F3F">
            <w:pPr>
              <w:pStyle w:val="TableText0"/>
              <w:jc w:val="center"/>
            </w:pPr>
            <w:r w:rsidRPr="002B4AB6">
              <w:t>GDP: 4 cycles</w:t>
            </w:r>
          </w:p>
        </w:tc>
      </w:tr>
      <w:tr w:rsidR="00ED3B16" w:rsidRPr="002B4AB6" w:rsidTr="00064F3F">
        <w:trPr>
          <w:cantSplit/>
          <w:jc w:val="center"/>
        </w:trPr>
        <w:tc>
          <w:tcPr>
            <w:tcW w:w="823" w:type="pct"/>
            <w:shd w:val="clear" w:color="auto" w:fill="auto"/>
            <w:vAlign w:val="center"/>
          </w:tcPr>
          <w:p w:rsidR="00ED3B16" w:rsidRPr="002B4AB6" w:rsidRDefault="00ED3B16" w:rsidP="00064F3F">
            <w:pPr>
              <w:pStyle w:val="TableText0"/>
            </w:pPr>
            <w:r w:rsidRPr="002B4AB6">
              <w:t>Cost/patient/cycle</w:t>
            </w:r>
          </w:p>
        </w:tc>
        <w:tc>
          <w:tcPr>
            <w:tcW w:w="704" w:type="pct"/>
            <w:shd w:val="clear" w:color="auto" w:fill="auto"/>
            <w:vAlign w:val="center"/>
          </w:tcPr>
          <w:p w:rsidR="00ED3B16" w:rsidRPr="002B4AB6" w:rsidRDefault="00ED3B16" w:rsidP="00064F3F">
            <w:pPr>
              <w:pStyle w:val="TableText0"/>
              <w:jc w:val="center"/>
            </w:pPr>
            <w:r w:rsidRPr="002B4AB6">
              <w:t>$</w:t>
            </w:r>
            <w:r w:rsidR="004278F1">
              <w:rPr>
                <w:noProof/>
                <w:color w:val="000000"/>
                <w:highlight w:val="black"/>
              </w:rPr>
              <w:t>'''''''''''''''</w:t>
            </w:r>
            <w:r w:rsidRPr="002B4AB6">
              <w:rPr>
                <w:vertAlign w:val="superscript"/>
              </w:rPr>
              <w:t>b</w:t>
            </w:r>
          </w:p>
        </w:tc>
        <w:tc>
          <w:tcPr>
            <w:tcW w:w="694" w:type="pct"/>
            <w:shd w:val="clear" w:color="auto" w:fill="auto"/>
            <w:vAlign w:val="center"/>
          </w:tcPr>
          <w:p w:rsidR="00ED3B16" w:rsidRPr="002B4AB6" w:rsidRDefault="00ED3B16" w:rsidP="00064F3F">
            <w:pPr>
              <w:pStyle w:val="TableText0"/>
              <w:jc w:val="center"/>
              <w:rPr>
                <w:vertAlign w:val="superscript"/>
              </w:rPr>
            </w:pPr>
            <w:r w:rsidRPr="002B4AB6">
              <w:t>$</w:t>
            </w:r>
            <w:r w:rsidR="004278F1">
              <w:rPr>
                <w:noProof/>
                <w:color w:val="000000"/>
                <w:highlight w:val="black"/>
              </w:rPr>
              <w:t>'''''''''''''</w:t>
            </w:r>
            <w:r w:rsidRPr="002B4AB6">
              <w:rPr>
                <w:vertAlign w:val="superscript"/>
              </w:rPr>
              <w:t>b</w:t>
            </w:r>
          </w:p>
        </w:tc>
        <w:tc>
          <w:tcPr>
            <w:tcW w:w="635" w:type="pct"/>
            <w:shd w:val="clear" w:color="auto" w:fill="auto"/>
            <w:vAlign w:val="center"/>
          </w:tcPr>
          <w:p w:rsidR="00ED3B16" w:rsidRPr="002B4AB6" w:rsidRDefault="00ED3B16" w:rsidP="00064F3F">
            <w:pPr>
              <w:pStyle w:val="TableText0"/>
              <w:jc w:val="center"/>
              <w:rPr>
                <w:vertAlign w:val="superscript"/>
              </w:rPr>
            </w:pPr>
            <w:r w:rsidRPr="002B4AB6">
              <w:t>$</w:t>
            </w:r>
            <w:r w:rsidR="004278F1">
              <w:rPr>
                <w:noProof/>
                <w:color w:val="000000"/>
                <w:highlight w:val="black"/>
              </w:rPr>
              <w:t>''''''''''''</w:t>
            </w:r>
            <w:r w:rsidRPr="002B4AB6">
              <w:rPr>
                <w:vertAlign w:val="superscript"/>
              </w:rPr>
              <w:t>b</w:t>
            </w:r>
          </w:p>
        </w:tc>
        <w:tc>
          <w:tcPr>
            <w:tcW w:w="703" w:type="pct"/>
            <w:shd w:val="clear" w:color="auto" w:fill="auto"/>
            <w:vAlign w:val="center"/>
          </w:tcPr>
          <w:p w:rsidR="00ED3B16" w:rsidRPr="002B4AB6" w:rsidRDefault="00ED3B16" w:rsidP="00064F3F">
            <w:pPr>
              <w:pStyle w:val="TableText0"/>
              <w:jc w:val="center"/>
            </w:pPr>
            <w:r w:rsidRPr="002B4AB6">
              <w:t>NR</w:t>
            </w:r>
          </w:p>
        </w:tc>
        <w:tc>
          <w:tcPr>
            <w:tcW w:w="707" w:type="pct"/>
            <w:shd w:val="clear" w:color="auto" w:fill="auto"/>
            <w:vAlign w:val="center"/>
          </w:tcPr>
          <w:p w:rsidR="00ED3B16" w:rsidRPr="002B4AB6" w:rsidRDefault="00ED3B16" w:rsidP="00064F3F">
            <w:pPr>
              <w:pStyle w:val="TableText0"/>
              <w:jc w:val="center"/>
              <w:rPr>
                <w:vertAlign w:val="superscript"/>
              </w:rPr>
            </w:pPr>
            <w:r w:rsidRPr="002B4AB6">
              <w:t>DHAP: $1,094</w:t>
            </w:r>
            <w:r w:rsidRPr="002B4AB6">
              <w:rPr>
                <w:vertAlign w:val="superscript"/>
              </w:rPr>
              <w:t>e</w:t>
            </w:r>
          </w:p>
          <w:p w:rsidR="00ED3B16" w:rsidRPr="002B4AB6" w:rsidRDefault="00ED3B16" w:rsidP="00064F3F">
            <w:pPr>
              <w:pStyle w:val="TableText0"/>
              <w:jc w:val="center"/>
              <w:rPr>
                <w:vertAlign w:val="superscript"/>
              </w:rPr>
            </w:pPr>
            <w:r w:rsidRPr="002B4AB6">
              <w:t>ICE: $1,367</w:t>
            </w:r>
            <w:r w:rsidRPr="002B4AB6">
              <w:rPr>
                <w:vertAlign w:val="superscript"/>
              </w:rPr>
              <w:t>e</w:t>
            </w:r>
          </w:p>
          <w:p w:rsidR="00ED3B16" w:rsidRPr="002B4AB6" w:rsidRDefault="00ED3B16" w:rsidP="00064F3F">
            <w:pPr>
              <w:pStyle w:val="TableText0"/>
              <w:jc w:val="center"/>
              <w:rPr>
                <w:vertAlign w:val="superscript"/>
              </w:rPr>
            </w:pPr>
            <w:r w:rsidRPr="002B4AB6">
              <w:t>GDP: $291</w:t>
            </w:r>
            <w:r w:rsidRPr="002B4AB6">
              <w:rPr>
                <w:vertAlign w:val="superscript"/>
              </w:rPr>
              <w:t>e</w:t>
            </w:r>
          </w:p>
        </w:tc>
        <w:tc>
          <w:tcPr>
            <w:tcW w:w="734" w:type="pct"/>
          </w:tcPr>
          <w:p w:rsidR="00ED3B16" w:rsidRPr="002B4AB6" w:rsidRDefault="00ED3B16" w:rsidP="00064F3F">
            <w:pPr>
              <w:pStyle w:val="TableText0"/>
              <w:jc w:val="center"/>
              <w:rPr>
                <w:vertAlign w:val="superscript"/>
              </w:rPr>
            </w:pPr>
            <w:r w:rsidRPr="002B4AB6">
              <w:t>DHAP: $1,309</w:t>
            </w:r>
            <w:r w:rsidRPr="002B4AB6">
              <w:rPr>
                <w:vertAlign w:val="superscript"/>
              </w:rPr>
              <w:t>e</w:t>
            </w:r>
          </w:p>
          <w:p w:rsidR="00ED3B16" w:rsidRPr="002B4AB6" w:rsidRDefault="00ED3B16" w:rsidP="00064F3F">
            <w:pPr>
              <w:pStyle w:val="TableText0"/>
              <w:jc w:val="center"/>
              <w:rPr>
                <w:vertAlign w:val="superscript"/>
              </w:rPr>
            </w:pPr>
            <w:r w:rsidRPr="002B4AB6">
              <w:t>ICE: $1,326</w:t>
            </w:r>
            <w:r w:rsidRPr="002B4AB6">
              <w:rPr>
                <w:vertAlign w:val="superscript"/>
              </w:rPr>
              <w:t>e</w:t>
            </w:r>
          </w:p>
          <w:p w:rsidR="00ED3B16" w:rsidRPr="002B4AB6" w:rsidRDefault="00ED3B16" w:rsidP="00064F3F">
            <w:pPr>
              <w:pStyle w:val="TableText0"/>
              <w:jc w:val="center"/>
              <w:rPr>
                <w:vertAlign w:val="superscript"/>
              </w:rPr>
            </w:pPr>
            <w:r w:rsidRPr="002B4AB6">
              <w:t>GDP $564</w:t>
            </w:r>
            <w:r w:rsidRPr="002B4AB6">
              <w:rPr>
                <w:vertAlign w:val="superscript"/>
              </w:rPr>
              <w:t>e</w:t>
            </w:r>
          </w:p>
        </w:tc>
      </w:tr>
      <w:tr w:rsidR="00ED3B16" w:rsidRPr="002B4AB6" w:rsidTr="00064F3F">
        <w:trPr>
          <w:cantSplit/>
          <w:jc w:val="center"/>
        </w:trPr>
        <w:tc>
          <w:tcPr>
            <w:tcW w:w="823" w:type="pct"/>
            <w:shd w:val="clear" w:color="auto" w:fill="auto"/>
            <w:vAlign w:val="center"/>
          </w:tcPr>
          <w:p w:rsidR="00ED3B16" w:rsidRPr="002B4AB6" w:rsidRDefault="00ED3B16" w:rsidP="00064F3F">
            <w:pPr>
              <w:pStyle w:val="TableText0"/>
            </w:pPr>
            <w:r w:rsidRPr="002B4AB6">
              <w:t>Cost/patient/ /course</w:t>
            </w:r>
          </w:p>
        </w:tc>
        <w:tc>
          <w:tcPr>
            <w:tcW w:w="704" w:type="pct"/>
            <w:shd w:val="clear" w:color="auto" w:fill="auto"/>
            <w:vAlign w:val="center"/>
          </w:tcPr>
          <w:p w:rsidR="00ED3B16" w:rsidRPr="002B4AB6" w:rsidRDefault="00ED3B16" w:rsidP="00064F3F">
            <w:pPr>
              <w:pStyle w:val="TableText0"/>
              <w:jc w:val="center"/>
              <w:rPr>
                <w:vertAlign w:val="superscript"/>
              </w:rPr>
            </w:pPr>
            <w:r w:rsidRPr="002B4AB6">
              <w:t>$</w:t>
            </w:r>
            <w:r w:rsidR="004278F1">
              <w:rPr>
                <w:noProof/>
                <w:color w:val="000000"/>
                <w:highlight w:val="black"/>
              </w:rPr>
              <w:t>'''''''''''''''</w:t>
            </w:r>
            <w:r w:rsidRPr="002B4AB6">
              <w:t xml:space="preserve"> (based on truncated mean)</w:t>
            </w:r>
            <w:r w:rsidRPr="002B4AB6">
              <w:rPr>
                <w:vertAlign w:val="superscript"/>
              </w:rPr>
              <w:t>a</w:t>
            </w:r>
          </w:p>
        </w:tc>
        <w:tc>
          <w:tcPr>
            <w:tcW w:w="694" w:type="pct"/>
            <w:shd w:val="clear" w:color="auto" w:fill="auto"/>
            <w:vAlign w:val="center"/>
          </w:tcPr>
          <w:p w:rsidR="00ED3B16" w:rsidRPr="002B4AB6" w:rsidRDefault="00ED3B16" w:rsidP="00064F3F">
            <w:pPr>
              <w:pStyle w:val="TableText0"/>
              <w:jc w:val="center"/>
              <w:rPr>
                <w:vertAlign w:val="superscript"/>
              </w:rPr>
            </w:pPr>
            <w:r w:rsidRPr="002B4AB6">
              <w:t>$</w:t>
            </w:r>
            <w:r w:rsidR="004278F1">
              <w:rPr>
                <w:noProof/>
                <w:color w:val="000000"/>
                <w:highlight w:val="black"/>
              </w:rPr>
              <w:t>'''''''''''''''''</w:t>
            </w:r>
            <w:r w:rsidRPr="002B4AB6">
              <w:rPr>
                <w:vertAlign w:val="superscript"/>
              </w:rPr>
              <w:t>c, d</w:t>
            </w:r>
          </w:p>
        </w:tc>
        <w:tc>
          <w:tcPr>
            <w:tcW w:w="635" w:type="pct"/>
            <w:shd w:val="clear" w:color="auto" w:fill="auto"/>
            <w:vAlign w:val="center"/>
          </w:tcPr>
          <w:p w:rsidR="00ED3B16" w:rsidRPr="002B4AB6" w:rsidRDefault="00ED3B16" w:rsidP="00064F3F">
            <w:pPr>
              <w:pStyle w:val="TableText0"/>
              <w:jc w:val="center"/>
              <w:rPr>
                <w:vertAlign w:val="superscript"/>
              </w:rPr>
            </w:pPr>
            <w:r w:rsidRPr="002B4AB6">
              <w:t>$</w:t>
            </w:r>
            <w:r w:rsidR="004278F1">
              <w:rPr>
                <w:noProof/>
                <w:color w:val="000000"/>
                <w:highlight w:val="black"/>
              </w:rPr>
              <w:t>'''''''''''''''''</w:t>
            </w:r>
            <w:r w:rsidRPr="002B4AB6">
              <w:rPr>
                <w:vertAlign w:val="superscript"/>
              </w:rPr>
              <w:t>d</w:t>
            </w:r>
          </w:p>
        </w:tc>
        <w:tc>
          <w:tcPr>
            <w:tcW w:w="703" w:type="pct"/>
            <w:shd w:val="clear" w:color="auto" w:fill="auto"/>
            <w:vAlign w:val="center"/>
          </w:tcPr>
          <w:p w:rsidR="00ED3B16" w:rsidRPr="002B4AB6" w:rsidRDefault="00ED3B16" w:rsidP="00064F3F">
            <w:pPr>
              <w:pStyle w:val="TableText0"/>
              <w:jc w:val="center"/>
            </w:pPr>
            <w:r w:rsidRPr="002B4AB6">
              <w:t>NR</w:t>
            </w:r>
          </w:p>
        </w:tc>
        <w:tc>
          <w:tcPr>
            <w:tcW w:w="707" w:type="pct"/>
            <w:shd w:val="clear" w:color="auto" w:fill="auto"/>
            <w:vAlign w:val="center"/>
          </w:tcPr>
          <w:p w:rsidR="00ED3B16" w:rsidRPr="002B4AB6" w:rsidRDefault="00ED3B16" w:rsidP="00064F3F">
            <w:pPr>
              <w:pStyle w:val="TableText0"/>
              <w:jc w:val="center"/>
              <w:rPr>
                <w:vertAlign w:val="superscript"/>
              </w:rPr>
            </w:pPr>
            <w:r w:rsidRPr="002B4AB6">
              <w:t>$2,987</w:t>
            </w:r>
            <w:r w:rsidRPr="002B4AB6">
              <w:rPr>
                <w:vertAlign w:val="superscript"/>
              </w:rPr>
              <w:t>e, f</w:t>
            </w:r>
          </w:p>
        </w:tc>
        <w:tc>
          <w:tcPr>
            <w:tcW w:w="734" w:type="pct"/>
            <w:vAlign w:val="center"/>
          </w:tcPr>
          <w:p w:rsidR="00ED3B16" w:rsidRPr="002B4AB6" w:rsidRDefault="00ED3B16" w:rsidP="00064F3F">
            <w:pPr>
              <w:pStyle w:val="TableText0"/>
              <w:jc w:val="center"/>
              <w:rPr>
                <w:vertAlign w:val="superscript"/>
              </w:rPr>
            </w:pPr>
            <w:r w:rsidRPr="002B4AB6">
              <w:t>$3,601</w:t>
            </w:r>
            <w:r w:rsidRPr="002B4AB6">
              <w:rPr>
                <w:vertAlign w:val="superscript"/>
              </w:rPr>
              <w:t>e, f</w:t>
            </w:r>
          </w:p>
        </w:tc>
      </w:tr>
    </w:tbl>
    <w:p w:rsidR="00ED3B16" w:rsidRPr="002B4AB6" w:rsidRDefault="00ED3B16" w:rsidP="00ED3B16">
      <w:pPr>
        <w:pStyle w:val="TableFigureFooter"/>
      </w:pPr>
      <w:r w:rsidRPr="002B4AB6">
        <w:t xml:space="preserve">Source: Table 12-1, p47 of KN170 CSR; Tables 1 and 2, p2135 of Vardhana 2018; Table 3.6-1 p137 and Table 4.2-9 p166 of the resubmission; </w:t>
      </w:r>
      <w:r w:rsidRPr="002B4AB6">
        <w:rPr>
          <w:szCs w:val="18"/>
        </w:rPr>
        <w:t>Excel workbook ‘Pembrolizumab Section 3 model November 2019’</w:t>
      </w:r>
      <w:r w:rsidRPr="002B4AB6">
        <w:t>.</w:t>
      </w:r>
    </w:p>
    <w:p w:rsidR="00ED3B16" w:rsidRPr="002B4AB6" w:rsidRDefault="00ED3B16" w:rsidP="00ED3B16">
      <w:pPr>
        <w:pStyle w:val="TableFigureFooter"/>
      </w:pPr>
      <w:r w:rsidRPr="002B4AB6">
        <w:t>DHAP = dexamethasone, high-dose cytarabine, cisplatin; GDP = gemcitabine, dexamethasone, cisplatin; ICE= ifosfamide, carboplatin, etoposide; ICEMAN = ICE + methotrexate, cytarabine; NR = not reported; O-DHAP = ofatumumab, dexamethasone, high-dose Ara-C (cytarabine), cisplatin; R-ICE = rituximab + ICE; SOC = standard of care.</w:t>
      </w:r>
    </w:p>
    <w:p w:rsidR="00ED3B16" w:rsidRPr="002B4AB6" w:rsidRDefault="00ED3B16" w:rsidP="00ED3B16">
      <w:pPr>
        <w:pStyle w:val="TableFigureFooter"/>
        <w:ind w:left="142" w:hanging="142"/>
      </w:pPr>
      <w:r w:rsidRPr="002B4AB6">
        <w:rPr>
          <w:vertAlign w:val="superscript"/>
        </w:rPr>
        <w:t>a</w:t>
      </w:r>
      <w:r w:rsidRPr="002B4AB6">
        <w:t xml:space="preserve"> Truncated mean duration of treatment in KN170 (data cut-off April 2018). The cost/patient/course based on this input will be an underestimate (see below)</w:t>
      </w:r>
    </w:p>
    <w:p w:rsidR="00ED3B16" w:rsidRPr="002B4AB6" w:rsidRDefault="00ED3B16" w:rsidP="00ED3B16">
      <w:pPr>
        <w:pStyle w:val="TableFigureFooter"/>
        <w:ind w:left="142" w:hanging="142"/>
      </w:pPr>
      <w:r w:rsidRPr="002B4AB6">
        <w:rPr>
          <w:vertAlign w:val="superscript"/>
        </w:rPr>
        <w:t>b</w:t>
      </w:r>
      <w:r w:rsidRPr="002B4AB6">
        <w:t xml:space="preserve"> Weighted effective dispensed cost, assuming public:private split of 25%:75%. These prices include the additional compound fee where compounding was undertaken at a TGA-licensed compounding site ($20).</w:t>
      </w:r>
    </w:p>
    <w:p w:rsidR="00ED3B16" w:rsidRPr="002B4AB6" w:rsidRDefault="00ED3B16" w:rsidP="00ED3B16">
      <w:pPr>
        <w:pStyle w:val="TableFigureFooter"/>
        <w:ind w:left="142" w:hanging="142"/>
      </w:pPr>
      <w:r w:rsidRPr="002B4AB6">
        <w:rPr>
          <w:vertAlign w:val="superscript"/>
        </w:rPr>
        <w:t>c</w:t>
      </w:r>
      <w:r w:rsidRPr="002B4AB6">
        <w:t xml:space="preserve"> Undiscounted cost (sum of cells AH16:AH50, spreadsheet ‘Model, Excel workbook ‘Pembrolizumab Section 3 model November 2019’).</w:t>
      </w:r>
    </w:p>
    <w:p w:rsidR="00ED3B16" w:rsidRPr="002B4AB6" w:rsidRDefault="00ED3B16" w:rsidP="00ED3B16">
      <w:pPr>
        <w:pStyle w:val="TableFigureFooter"/>
        <w:ind w:left="142" w:hanging="142"/>
      </w:pPr>
      <w:r w:rsidRPr="002B4AB6">
        <w:rPr>
          <w:vertAlign w:val="superscript"/>
        </w:rPr>
        <w:t>d</w:t>
      </w:r>
      <w:r w:rsidRPr="002B4AB6">
        <w:t xml:space="preserve"> The discrepancy in the cost/patient/course for pembrolizumab between the model and the financial estimates was due to rounding of the number of cycles of treatment in the financial analysis.</w:t>
      </w:r>
    </w:p>
    <w:p w:rsidR="00ED3B16" w:rsidRPr="002B4AB6" w:rsidRDefault="00ED3B16" w:rsidP="00ED3B16">
      <w:pPr>
        <w:pStyle w:val="TableFigureFooter"/>
        <w:ind w:left="142" w:hanging="142"/>
      </w:pPr>
      <w:r w:rsidRPr="002B4AB6">
        <w:rPr>
          <w:vertAlign w:val="superscript"/>
        </w:rPr>
        <w:t>e</w:t>
      </w:r>
      <w:r w:rsidRPr="002B4AB6">
        <w:t xml:space="preserve"> The difference in the cost for each regimen between the two sections is discussed below.</w:t>
      </w:r>
    </w:p>
    <w:p w:rsidR="00ED3B16" w:rsidRPr="002B4AB6" w:rsidRDefault="00ED3B16" w:rsidP="00ED3B16">
      <w:pPr>
        <w:pStyle w:val="TableFigureFooter"/>
        <w:ind w:left="142" w:hanging="142"/>
      </w:pPr>
      <w:r w:rsidRPr="002B4AB6">
        <w:rPr>
          <w:vertAlign w:val="superscript"/>
        </w:rPr>
        <w:t>f</w:t>
      </w:r>
      <w:r w:rsidRPr="002B4AB6">
        <w:t xml:space="preserve"> Assuming equal proportions of total treated SOC patients receive each regimen. </w:t>
      </w:r>
    </w:p>
    <w:p w:rsidR="00ED3B16" w:rsidRPr="002B4AB6" w:rsidRDefault="00ED3B16" w:rsidP="00ED3B16">
      <w:pPr>
        <w:pStyle w:val="3-BodyText"/>
      </w:pPr>
      <w:r w:rsidRPr="002B4AB6">
        <w:t>The cost/patient/course of pembrolizumab derived using the truncated mean duration of treatment reported in KN170 ($</w:t>
      </w:r>
      <w:r w:rsidR="004278F1">
        <w:rPr>
          <w:noProof/>
          <w:color w:val="000000"/>
          <w:highlight w:val="black"/>
        </w:rPr>
        <w:t>''''''''''''''</w:t>
      </w:r>
      <w:r w:rsidRPr="002B4AB6">
        <w:t xml:space="preserve">) will have underestimated the true mean cost/patient/course, as approximately 23% of patients were still on treatment at the April 2018 data cut-off (Table 10-1, p24 of KN170 Clinical Study Report). </w:t>
      </w:r>
    </w:p>
    <w:p w:rsidR="00F555D6" w:rsidRPr="002B4AB6" w:rsidRDefault="00ED3B16" w:rsidP="00ED3B16">
      <w:pPr>
        <w:pStyle w:val="3-BodyText"/>
      </w:pPr>
      <w:r w:rsidRPr="002B4AB6">
        <w:t>The resubmission stated that the difference between the model and the financial estimates in the cost per patient per cycle for the comparator regimens was due to the fact that the model did not explicitly account for wastage or for hospital mark-ups at an individual patient level. The difference in the cost for each regimen between the two sections could not be fully reconciled during the evaluation. These differences had minimal impact on the overall outcome of the economic and financial analyses.</w:t>
      </w:r>
    </w:p>
    <w:p w:rsidR="00ED3B16" w:rsidRPr="002B4AB6" w:rsidRDefault="00ED3B16" w:rsidP="00ED3B16">
      <w:pPr>
        <w:pStyle w:val="4-SubsectionHeading"/>
      </w:pPr>
      <w:bookmarkStart w:id="41" w:name="_Toc22897647"/>
      <w:bookmarkStart w:id="42" w:name="_Toc26972361"/>
      <w:bookmarkStart w:id="43" w:name="_Toc30503051"/>
      <w:r w:rsidRPr="002B4AB6">
        <w:t>Estimated PBS usage &amp; financial implications</w:t>
      </w:r>
      <w:bookmarkEnd w:id="41"/>
      <w:bookmarkEnd w:id="42"/>
      <w:bookmarkEnd w:id="43"/>
    </w:p>
    <w:p w:rsidR="00ED3B16" w:rsidRPr="002B4AB6" w:rsidRDefault="00ED3B16" w:rsidP="00ED3B16">
      <w:pPr>
        <w:pStyle w:val="3-BodyText"/>
      </w:pPr>
      <w:r w:rsidRPr="002B4AB6">
        <w:t xml:space="preserve">This resubmission </w:t>
      </w:r>
      <w:r w:rsidR="00D92BE5" w:rsidRPr="002B4AB6">
        <w:t>was not</w:t>
      </w:r>
      <w:r w:rsidRPr="002B4AB6">
        <w:t xml:space="preserve"> considered by DUSC. As in the previous submission, the resubmission presented an epidemiological approach to estimate the expected </w:t>
      </w:r>
      <w:r w:rsidRPr="002B4AB6">
        <w:lastRenderedPageBreak/>
        <w:t xml:space="preserve">utilisation and financial impact of listing pembrolizumab for the treatment of R/R PMBCL. In the absence of incidence data for PMBCL, the resubmission informed its estimates using Australian Institute of Health and Welfare data on nHL. This was reasonable. </w:t>
      </w:r>
    </w:p>
    <w:p w:rsidR="00ED3B16" w:rsidRPr="002B4AB6" w:rsidRDefault="00ED3B16" w:rsidP="00ED3B16">
      <w:pPr>
        <w:pStyle w:val="3-BodyText"/>
      </w:pPr>
      <w:bookmarkStart w:id="44" w:name="_Ref35353837"/>
      <w:r w:rsidRPr="002B4AB6">
        <w:t xml:space="preserve">The number of incident and prevalent patients with PMBCL was estimated assuming that PMBCL accounts for 2.5% of all incident nHL and 3% of the prevalent nHL population. The validity of these assumptions could not be assessed, as the original source of these estimates was not clear. The number of patients with R/R PMBCL who would be eligible for treatment with pembrolizumab was based on the treatment algorithm presented in the resubmission, with the proportion of patients qualifying at each step of the treatment pathways based on advice from ‘key scientific leaders’ (see </w:t>
      </w:r>
      <w:r w:rsidR="002B39A5" w:rsidRPr="002B4AB6">
        <w:t xml:space="preserve">Table </w:t>
      </w:r>
      <w:r w:rsidR="002B39A5" w:rsidRPr="00956A61">
        <w:t>17</w:t>
      </w:r>
      <w:r w:rsidRPr="002B4AB6">
        <w:t xml:space="preserve">). The resubmission did not provide any details regarding the ‘key scientific leaders’ nor how these inputs were derived. </w:t>
      </w:r>
      <w:r w:rsidR="004A56FB" w:rsidRPr="002B4AB6">
        <w:t xml:space="preserve">The PSCR argued that PMBCL is a very rare sub-type of non-Hodgkin lymphoma where there is a paucity of epidemiological data which would support a very accurate estimation of the treated patient population with pembrolizumab under the requested restriction. </w:t>
      </w:r>
      <w:bookmarkEnd w:id="44"/>
    </w:p>
    <w:p w:rsidR="00ED3B16" w:rsidRPr="002B4AB6" w:rsidRDefault="00ED3B16" w:rsidP="00ED3B16">
      <w:pPr>
        <w:pStyle w:val="TableFigureHeading"/>
        <w:rPr>
          <w:rStyle w:val="CommentReference"/>
          <w:b/>
          <w:szCs w:val="24"/>
        </w:rPr>
      </w:pPr>
      <w:bookmarkStart w:id="45" w:name="_Ref26963199"/>
      <w:r w:rsidRPr="00492CD9">
        <w:lastRenderedPageBreak/>
        <w:t xml:space="preserve">Table </w:t>
      </w:r>
      <w:r w:rsidR="002B39A5" w:rsidRPr="00956A61">
        <w:t>17</w:t>
      </w:r>
      <w:bookmarkEnd w:id="45"/>
      <w:r w:rsidRPr="002B4AB6">
        <w:rPr>
          <w:rStyle w:val="CommentReference"/>
          <w:b/>
          <w:szCs w:val="24"/>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4094"/>
        <w:gridCol w:w="3210"/>
      </w:tblGrid>
      <w:tr w:rsidR="00ED3B16" w:rsidRPr="002B4AB6" w:rsidTr="00064F3F">
        <w:trPr>
          <w:tblHeader/>
        </w:trPr>
        <w:tc>
          <w:tcPr>
            <w:tcW w:w="950" w:type="pct"/>
            <w:shd w:val="clear" w:color="auto" w:fill="auto"/>
            <w:vAlign w:val="center"/>
          </w:tcPr>
          <w:p w:rsidR="00ED3B16" w:rsidRPr="00492CD9" w:rsidRDefault="00ED3B16" w:rsidP="00064F3F">
            <w:pPr>
              <w:pStyle w:val="In-tableHeading"/>
              <w:rPr>
                <w:lang w:val="en-AU"/>
              </w:rPr>
            </w:pPr>
            <w:r w:rsidRPr="00492CD9">
              <w:rPr>
                <w:lang w:val="en-AU"/>
              </w:rPr>
              <w:t>Parameter</w:t>
            </w:r>
          </w:p>
        </w:tc>
        <w:tc>
          <w:tcPr>
            <w:tcW w:w="2270" w:type="pct"/>
            <w:shd w:val="clear" w:color="auto" w:fill="auto"/>
            <w:vAlign w:val="center"/>
          </w:tcPr>
          <w:p w:rsidR="00ED3B16" w:rsidRPr="002B4AB6" w:rsidRDefault="00ED3B16" w:rsidP="00064F3F">
            <w:pPr>
              <w:pStyle w:val="In-tableHeading"/>
              <w:rPr>
                <w:lang w:val="en-AU"/>
              </w:rPr>
            </w:pPr>
            <w:r w:rsidRPr="002B4AB6">
              <w:rPr>
                <w:lang w:val="en-AU"/>
              </w:rPr>
              <w:t>Value applied and source</w:t>
            </w:r>
          </w:p>
        </w:tc>
        <w:tc>
          <w:tcPr>
            <w:tcW w:w="1780" w:type="pct"/>
            <w:shd w:val="clear" w:color="auto" w:fill="auto"/>
            <w:vAlign w:val="center"/>
          </w:tcPr>
          <w:p w:rsidR="00ED3B16" w:rsidRPr="002B4AB6" w:rsidRDefault="00ED3B16" w:rsidP="00064F3F">
            <w:pPr>
              <w:pStyle w:val="In-tableHeading"/>
              <w:rPr>
                <w:lang w:val="en-AU"/>
              </w:rPr>
            </w:pPr>
            <w:r w:rsidRPr="002B4AB6">
              <w:rPr>
                <w:lang w:val="en-AU"/>
              </w:rPr>
              <w:t>Comment</w:t>
            </w:r>
          </w:p>
        </w:tc>
      </w:tr>
      <w:tr w:rsidR="00ED3B16" w:rsidRPr="002B4AB6" w:rsidTr="00064F3F">
        <w:tc>
          <w:tcPr>
            <w:tcW w:w="950" w:type="pct"/>
            <w:shd w:val="clear" w:color="auto" w:fill="auto"/>
            <w:vAlign w:val="center"/>
          </w:tcPr>
          <w:p w:rsidR="00ED3B16" w:rsidRPr="002B4AB6" w:rsidRDefault="00ED3B16" w:rsidP="00064F3F">
            <w:pPr>
              <w:pStyle w:val="TableText0"/>
            </w:pPr>
            <w:r w:rsidRPr="002B4AB6">
              <w:t xml:space="preserve">Incident and prevalent nHL patients </w:t>
            </w:r>
          </w:p>
        </w:tc>
        <w:tc>
          <w:tcPr>
            <w:tcW w:w="2270" w:type="pct"/>
            <w:shd w:val="clear" w:color="auto" w:fill="auto"/>
            <w:vAlign w:val="center"/>
          </w:tcPr>
          <w:p w:rsidR="00ED3B16" w:rsidRPr="002B4AB6" w:rsidRDefault="00ED3B16" w:rsidP="00064F3F">
            <w:pPr>
              <w:widowControl w:val="0"/>
              <w:jc w:val="left"/>
              <w:rPr>
                <w:rFonts w:ascii="Arial Narrow" w:eastAsiaTheme="majorEastAsia" w:hAnsi="Arial Narrow" w:cstheme="majorBidi"/>
                <w:bCs/>
                <w:sz w:val="20"/>
              </w:rPr>
            </w:pPr>
            <w:r w:rsidRPr="002B4AB6">
              <w:rPr>
                <w:rFonts w:ascii="Arial Narrow" w:eastAsiaTheme="majorEastAsia" w:hAnsi="Arial Narrow" w:cstheme="majorBidi"/>
                <w:bCs/>
                <w:sz w:val="20"/>
              </w:rPr>
              <w:t>Sourced from AIHW 2018 ACIM book for nHL</w:t>
            </w:r>
          </w:p>
        </w:tc>
        <w:tc>
          <w:tcPr>
            <w:tcW w:w="1780" w:type="pct"/>
            <w:shd w:val="clear" w:color="auto" w:fill="auto"/>
            <w:vAlign w:val="center"/>
          </w:tcPr>
          <w:p w:rsidR="00ED3B16" w:rsidRPr="002B4AB6" w:rsidRDefault="00ED3B16" w:rsidP="00064F3F">
            <w:pPr>
              <w:pStyle w:val="TableText0"/>
            </w:pPr>
            <w:r w:rsidRPr="002B4AB6">
              <w:rPr>
                <w:bCs w:val="0"/>
              </w:rPr>
              <w:t>This source was appropriate.</w:t>
            </w:r>
          </w:p>
        </w:tc>
      </w:tr>
      <w:tr w:rsidR="00ED3B16" w:rsidRPr="002B4AB6" w:rsidTr="00064F3F">
        <w:tc>
          <w:tcPr>
            <w:tcW w:w="950" w:type="pct"/>
            <w:shd w:val="clear" w:color="auto" w:fill="auto"/>
            <w:vAlign w:val="center"/>
          </w:tcPr>
          <w:p w:rsidR="00ED3B16" w:rsidRPr="002B4AB6" w:rsidRDefault="00ED3B16" w:rsidP="00064F3F">
            <w:pPr>
              <w:pStyle w:val="TableText0"/>
            </w:pPr>
            <w:r w:rsidRPr="002B4AB6">
              <w:t>Incident PMBCL patients</w:t>
            </w:r>
          </w:p>
        </w:tc>
        <w:tc>
          <w:tcPr>
            <w:tcW w:w="2270" w:type="pct"/>
            <w:shd w:val="clear" w:color="auto" w:fill="auto"/>
            <w:vAlign w:val="center"/>
          </w:tcPr>
          <w:p w:rsidR="00ED3B16" w:rsidRPr="002B4AB6" w:rsidRDefault="00ED3B16" w:rsidP="00064F3F">
            <w:pPr>
              <w:widowControl w:val="0"/>
              <w:jc w:val="left"/>
            </w:pPr>
            <w:r w:rsidRPr="002B4AB6">
              <w:rPr>
                <w:rFonts w:ascii="Arial Narrow" w:eastAsiaTheme="majorEastAsia" w:hAnsi="Arial Narrow" w:cstheme="majorBidi"/>
                <w:bCs/>
                <w:sz w:val="20"/>
              </w:rPr>
              <w:t>2.5% of incident nHL patients (Lees et al, 2019)</w:t>
            </w:r>
          </w:p>
        </w:tc>
        <w:tc>
          <w:tcPr>
            <w:tcW w:w="1780" w:type="pct"/>
            <w:shd w:val="clear" w:color="auto" w:fill="auto"/>
            <w:vAlign w:val="center"/>
          </w:tcPr>
          <w:p w:rsidR="00ED3B16" w:rsidRPr="002B4AB6" w:rsidRDefault="00ED3B16" w:rsidP="00064F3F">
            <w:pPr>
              <w:pStyle w:val="TableText0"/>
            </w:pPr>
            <w:r w:rsidRPr="002B4AB6">
              <w:t>The validity of this input could not be assessed, as the primary source was not clear.</w:t>
            </w:r>
          </w:p>
        </w:tc>
      </w:tr>
      <w:tr w:rsidR="00ED3B16" w:rsidRPr="002B4AB6" w:rsidTr="00064F3F">
        <w:tc>
          <w:tcPr>
            <w:tcW w:w="950" w:type="pct"/>
            <w:shd w:val="clear" w:color="auto" w:fill="auto"/>
            <w:vAlign w:val="center"/>
          </w:tcPr>
          <w:p w:rsidR="00ED3B16" w:rsidRPr="002B4AB6" w:rsidRDefault="00ED3B16" w:rsidP="00064F3F">
            <w:pPr>
              <w:pStyle w:val="TableText0"/>
            </w:pPr>
            <w:r w:rsidRPr="002B4AB6">
              <w:t>% incident patients who meet PBS criteria</w:t>
            </w:r>
          </w:p>
        </w:tc>
        <w:tc>
          <w:tcPr>
            <w:tcW w:w="2270" w:type="pct"/>
            <w:shd w:val="clear" w:color="auto" w:fill="auto"/>
            <w:vAlign w:val="center"/>
          </w:tcPr>
          <w:p w:rsidR="00ED3B16" w:rsidRPr="002B4AB6" w:rsidRDefault="00ED3B16" w:rsidP="00064F3F">
            <w:pPr>
              <w:pStyle w:val="TableText0"/>
            </w:pPr>
            <w:r w:rsidRPr="002B4AB6">
              <w:t>Based on expert opinion</w:t>
            </w:r>
          </w:p>
          <w:p w:rsidR="00ED3B16" w:rsidRPr="002B4AB6" w:rsidRDefault="00ED3B16" w:rsidP="00064F3F">
            <w:pPr>
              <w:pStyle w:val="TableText0"/>
              <w:ind w:left="104" w:hanging="104"/>
            </w:pPr>
            <w:r w:rsidRPr="002B4AB6">
              <w:t>Pathway 1: 90% respond 1L chemo, 20% relapse following 1L chemo/RT, 50% relapse after HDT-ASCT</w:t>
            </w:r>
          </w:p>
          <w:p w:rsidR="00ED3B16" w:rsidRPr="002B4AB6" w:rsidRDefault="00ED3B16" w:rsidP="00064F3F">
            <w:pPr>
              <w:pStyle w:val="TableText0"/>
              <w:ind w:left="104" w:hanging="104"/>
            </w:pPr>
            <w:r w:rsidRPr="002B4AB6">
              <w:t>Pathway 2: 10% refractory to 1L chemo, 10% ineligible for ASCT</w:t>
            </w:r>
          </w:p>
          <w:p w:rsidR="00ED3B16" w:rsidRPr="002B4AB6" w:rsidRDefault="00ED3B16" w:rsidP="00064F3F">
            <w:pPr>
              <w:pStyle w:val="TableText0"/>
              <w:ind w:left="104" w:hanging="104"/>
            </w:pPr>
            <w:r w:rsidRPr="002B4AB6">
              <w:t>Pathway 3: 10% refractory to 1L chemo, 90% eligible for 2L salvage + ASCT, 50% relapse after 2L salvage</w:t>
            </w:r>
            <w:r w:rsidRPr="002B4AB6">
              <w:rPr>
                <w:vertAlign w:val="superscript"/>
              </w:rPr>
              <w:t> </w:t>
            </w:r>
            <w:r w:rsidRPr="002B4AB6">
              <w:t>+ ASCT</w:t>
            </w:r>
          </w:p>
        </w:tc>
        <w:tc>
          <w:tcPr>
            <w:tcW w:w="1780" w:type="pct"/>
            <w:shd w:val="clear" w:color="auto" w:fill="auto"/>
            <w:vAlign w:val="center"/>
          </w:tcPr>
          <w:p w:rsidR="00ED3B16" w:rsidRPr="002B4AB6" w:rsidRDefault="00ED3B16" w:rsidP="00064F3F">
            <w:pPr>
              <w:pStyle w:val="TableText0"/>
              <w:rPr>
                <w:vertAlign w:val="superscript"/>
              </w:rPr>
            </w:pPr>
            <w:r w:rsidRPr="002B4AB6">
              <w:t>The eligible population was highly uncertain as the estimates were based on expert opinion (no further details were supplied).</w:t>
            </w:r>
          </w:p>
        </w:tc>
      </w:tr>
      <w:tr w:rsidR="00ED3B16" w:rsidRPr="002B4AB6" w:rsidTr="00064F3F">
        <w:tc>
          <w:tcPr>
            <w:tcW w:w="950" w:type="pct"/>
            <w:shd w:val="clear" w:color="auto" w:fill="auto"/>
            <w:vAlign w:val="center"/>
          </w:tcPr>
          <w:p w:rsidR="00ED3B16" w:rsidRPr="002B4AB6" w:rsidRDefault="00ED3B16" w:rsidP="00064F3F">
            <w:pPr>
              <w:pStyle w:val="TableText0"/>
            </w:pPr>
            <w:r w:rsidRPr="002B4AB6">
              <w:t xml:space="preserve">Prevalent PMBCL population </w:t>
            </w:r>
          </w:p>
        </w:tc>
        <w:tc>
          <w:tcPr>
            <w:tcW w:w="2270" w:type="pct"/>
            <w:shd w:val="clear" w:color="auto" w:fill="auto"/>
            <w:vAlign w:val="center"/>
          </w:tcPr>
          <w:p w:rsidR="00ED3B16" w:rsidRPr="002B4AB6" w:rsidRDefault="00ED3B16" w:rsidP="00064F3F">
            <w:pPr>
              <w:pStyle w:val="TableText0"/>
            </w:pPr>
            <w:r w:rsidRPr="002B4AB6">
              <w:t>3% of prevalent nHL patients. Source unclear.</w:t>
            </w:r>
          </w:p>
        </w:tc>
        <w:tc>
          <w:tcPr>
            <w:tcW w:w="1780" w:type="pct"/>
            <w:shd w:val="clear" w:color="auto" w:fill="auto"/>
            <w:vAlign w:val="center"/>
          </w:tcPr>
          <w:p w:rsidR="00ED3B16" w:rsidRPr="002B4AB6" w:rsidRDefault="00ED3B16" w:rsidP="00064F3F">
            <w:pPr>
              <w:pStyle w:val="TableText0"/>
            </w:pPr>
            <w:r w:rsidRPr="002B4AB6">
              <w:t>The validity of this input was uncertain as it could not be verified.</w:t>
            </w:r>
          </w:p>
        </w:tc>
      </w:tr>
      <w:tr w:rsidR="00ED3B16" w:rsidRPr="002B4AB6" w:rsidTr="00064F3F">
        <w:tc>
          <w:tcPr>
            <w:tcW w:w="950" w:type="pct"/>
            <w:shd w:val="clear" w:color="auto" w:fill="auto"/>
            <w:vAlign w:val="center"/>
          </w:tcPr>
          <w:p w:rsidR="00ED3B16" w:rsidRPr="002B4AB6" w:rsidRDefault="00ED3B16" w:rsidP="00064F3F">
            <w:pPr>
              <w:pStyle w:val="TableText0"/>
              <w:rPr>
                <w:vertAlign w:val="superscript"/>
              </w:rPr>
            </w:pPr>
            <w:r w:rsidRPr="002B4AB6">
              <w:t>% prevalent patients who meet PBS criteria</w:t>
            </w:r>
            <w:r w:rsidRPr="002B4AB6">
              <w:br/>
              <w:t>(Year 1 only)</w:t>
            </w:r>
          </w:p>
        </w:tc>
        <w:tc>
          <w:tcPr>
            <w:tcW w:w="2270" w:type="pct"/>
            <w:shd w:val="clear" w:color="auto" w:fill="auto"/>
            <w:vAlign w:val="center"/>
          </w:tcPr>
          <w:p w:rsidR="00ED3B16" w:rsidRPr="002B4AB6" w:rsidRDefault="00ED3B16" w:rsidP="00064F3F">
            <w:pPr>
              <w:pStyle w:val="TableText0"/>
              <w:rPr>
                <w:bCs w:val="0"/>
              </w:rPr>
            </w:pPr>
            <w:r w:rsidRPr="002B4AB6">
              <w:t xml:space="preserve">1.37%. </w:t>
            </w:r>
            <w:r w:rsidRPr="002B4AB6">
              <w:rPr>
                <w:bCs w:val="0"/>
              </w:rPr>
              <w:t>As per the PBAC submission for classical Hodgkin’s lymphoma (6.03 pembrolizumab COM, July 2017 PBAC meeting)</w:t>
            </w:r>
            <w:r w:rsidRPr="002B4AB6">
              <w:rPr>
                <w:bCs w:val="0"/>
                <w:vertAlign w:val="superscript"/>
              </w:rPr>
              <w:t>a</w:t>
            </w:r>
          </w:p>
        </w:tc>
        <w:tc>
          <w:tcPr>
            <w:tcW w:w="1780" w:type="pct"/>
            <w:shd w:val="clear" w:color="auto" w:fill="auto"/>
            <w:vAlign w:val="center"/>
          </w:tcPr>
          <w:p w:rsidR="00ED3B16" w:rsidRPr="002B4AB6" w:rsidRDefault="00ED3B16" w:rsidP="00064F3F">
            <w:pPr>
              <w:pStyle w:val="TableText0"/>
            </w:pPr>
            <w:r w:rsidRPr="002B4AB6">
              <w:t>The primary source for this input could not be located in the resubmission.</w:t>
            </w:r>
          </w:p>
        </w:tc>
      </w:tr>
      <w:tr w:rsidR="00ED3B16" w:rsidRPr="002B4AB6" w:rsidTr="00064F3F">
        <w:tc>
          <w:tcPr>
            <w:tcW w:w="950" w:type="pct"/>
            <w:shd w:val="clear" w:color="auto" w:fill="auto"/>
            <w:vAlign w:val="center"/>
          </w:tcPr>
          <w:p w:rsidR="00ED3B16" w:rsidRPr="002B4AB6" w:rsidRDefault="00ED3B16" w:rsidP="00064F3F">
            <w:pPr>
              <w:pStyle w:val="TableText0"/>
            </w:pPr>
            <w:r w:rsidRPr="002B4AB6">
              <w:t>Grandfathered patients</w:t>
            </w:r>
          </w:p>
        </w:tc>
        <w:tc>
          <w:tcPr>
            <w:tcW w:w="2270" w:type="pct"/>
            <w:shd w:val="clear" w:color="auto" w:fill="auto"/>
            <w:vAlign w:val="center"/>
          </w:tcPr>
          <w:p w:rsidR="00ED3B16" w:rsidRPr="002B4AB6" w:rsidRDefault="00ED3B16" w:rsidP="00064F3F">
            <w:pPr>
              <w:pStyle w:val="TableText0"/>
            </w:pPr>
            <w:r w:rsidRPr="002B4AB6">
              <w:t>Two patients in Year 1 of listing</w:t>
            </w:r>
          </w:p>
        </w:tc>
        <w:tc>
          <w:tcPr>
            <w:tcW w:w="1780" w:type="pct"/>
            <w:shd w:val="clear" w:color="auto" w:fill="auto"/>
            <w:vAlign w:val="center"/>
          </w:tcPr>
          <w:p w:rsidR="00ED3B16" w:rsidRPr="002B4AB6" w:rsidRDefault="00ED3B16" w:rsidP="00064F3F">
            <w:pPr>
              <w:pStyle w:val="TableText0"/>
            </w:pPr>
            <w:r w:rsidRPr="002B4AB6">
              <w:t>These were in addition to the 9 prevalent patients in Year 1.</w:t>
            </w:r>
          </w:p>
        </w:tc>
      </w:tr>
      <w:tr w:rsidR="00ED3B16" w:rsidRPr="002B4AB6" w:rsidTr="00064F3F">
        <w:tc>
          <w:tcPr>
            <w:tcW w:w="950" w:type="pct"/>
            <w:shd w:val="clear" w:color="auto" w:fill="auto"/>
            <w:vAlign w:val="center"/>
          </w:tcPr>
          <w:p w:rsidR="00ED3B16" w:rsidRPr="002B4AB6" w:rsidRDefault="00ED3B16" w:rsidP="00064F3F">
            <w:pPr>
              <w:pStyle w:val="TableText0"/>
            </w:pPr>
            <w:r w:rsidRPr="002B4AB6">
              <w:t>Uptake rate</w:t>
            </w:r>
          </w:p>
        </w:tc>
        <w:tc>
          <w:tcPr>
            <w:tcW w:w="2270" w:type="pct"/>
            <w:shd w:val="clear" w:color="auto" w:fill="auto"/>
            <w:vAlign w:val="center"/>
          </w:tcPr>
          <w:p w:rsidR="00ED3B16" w:rsidRPr="002B4AB6" w:rsidRDefault="00ED3B16" w:rsidP="00064F3F">
            <w:pPr>
              <w:pStyle w:val="TableText0"/>
            </w:pPr>
            <w:r w:rsidRPr="002B4AB6">
              <w:t>95% for pembrolizumab (expert opinion)</w:t>
            </w:r>
          </w:p>
          <w:p w:rsidR="00ED3B16" w:rsidRPr="002B4AB6" w:rsidRDefault="00ED3B16" w:rsidP="00064F3F">
            <w:pPr>
              <w:pStyle w:val="TableText0"/>
            </w:pPr>
            <w:r w:rsidRPr="002B4AB6">
              <w:t>90% for SOC</w:t>
            </w:r>
          </w:p>
        </w:tc>
        <w:tc>
          <w:tcPr>
            <w:tcW w:w="1780" w:type="pct"/>
            <w:shd w:val="clear" w:color="auto" w:fill="auto"/>
            <w:vAlign w:val="center"/>
          </w:tcPr>
          <w:p w:rsidR="00ED3B16" w:rsidRPr="002B4AB6" w:rsidRDefault="00ED3B16" w:rsidP="00064F3F">
            <w:pPr>
              <w:pStyle w:val="TableText0"/>
            </w:pPr>
            <w:r w:rsidRPr="002B4AB6">
              <w:t>While uncertain, this seemed reasonable.</w:t>
            </w:r>
          </w:p>
        </w:tc>
      </w:tr>
      <w:tr w:rsidR="00ED3B16" w:rsidRPr="002B4AB6" w:rsidTr="00064F3F">
        <w:tc>
          <w:tcPr>
            <w:tcW w:w="950" w:type="pct"/>
            <w:shd w:val="clear" w:color="auto" w:fill="auto"/>
            <w:vAlign w:val="center"/>
          </w:tcPr>
          <w:p w:rsidR="00ED3B16" w:rsidRPr="002B4AB6" w:rsidRDefault="00ED3B16" w:rsidP="00064F3F">
            <w:pPr>
              <w:pStyle w:val="TableText0"/>
            </w:pPr>
            <w:r w:rsidRPr="002B4AB6">
              <w:t>Dose/duration</w:t>
            </w:r>
          </w:p>
        </w:tc>
        <w:tc>
          <w:tcPr>
            <w:tcW w:w="2270" w:type="pct"/>
            <w:shd w:val="clear" w:color="auto" w:fill="auto"/>
            <w:vAlign w:val="center"/>
          </w:tcPr>
          <w:p w:rsidR="00ED3B16" w:rsidRPr="002B4AB6" w:rsidRDefault="00ED3B16" w:rsidP="00064F3F">
            <w:pPr>
              <w:pStyle w:val="TableText0"/>
            </w:pPr>
            <w:r w:rsidRPr="002B4AB6">
              <w:t>Pembrolizumab: 200 mg/cycle, mean duration 16.1 cycles</w:t>
            </w:r>
          </w:p>
        </w:tc>
        <w:tc>
          <w:tcPr>
            <w:tcW w:w="1780" w:type="pct"/>
            <w:shd w:val="clear" w:color="auto" w:fill="auto"/>
            <w:vAlign w:val="center"/>
          </w:tcPr>
          <w:p w:rsidR="00ED3B16" w:rsidRPr="002B4AB6" w:rsidRDefault="00ED3B16" w:rsidP="00064F3F">
            <w:pPr>
              <w:pStyle w:val="TableText0"/>
            </w:pPr>
            <w:r w:rsidRPr="002B4AB6">
              <w:t>This was consistent with the economic model.</w:t>
            </w:r>
          </w:p>
        </w:tc>
      </w:tr>
      <w:tr w:rsidR="00ED3B16" w:rsidRPr="002B4AB6" w:rsidTr="00064F3F">
        <w:tc>
          <w:tcPr>
            <w:tcW w:w="950" w:type="pct"/>
            <w:shd w:val="clear" w:color="auto" w:fill="auto"/>
            <w:vAlign w:val="center"/>
          </w:tcPr>
          <w:p w:rsidR="00ED3B16" w:rsidRPr="002B4AB6" w:rsidRDefault="00ED3B16" w:rsidP="00064F3F">
            <w:pPr>
              <w:pStyle w:val="TableText0"/>
            </w:pPr>
            <w:r w:rsidRPr="002B4AB6">
              <w:t>Offsets for comparator</w:t>
            </w:r>
          </w:p>
        </w:tc>
        <w:tc>
          <w:tcPr>
            <w:tcW w:w="2270" w:type="pct"/>
            <w:shd w:val="clear" w:color="auto" w:fill="auto"/>
            <w:vAlign w:val="center"/>
          </w:tcPr>
          <w:p w:rsidR="00ED3B16" w:rsidRPr="002B4AB6" w:rsidRDefault="00ED3B16" w:rsidP="00064F3F">
            <w:pPr>
              <w:pStyle w:val="TableText0"/>
              <w:rPr>
                <w:vertAlign w:val="superscript"/>
              </w:rPr>
            </w:pPr>
            <w:r w:rsidRPr="002B4AB6">
              <w:t>SOC doses based on eviQ regimens</w:t>
            </w:r>
            <w:r w:rsidRPr="002B4AB6">
              <w:rPr>
                <w:vertAlign w:val="superscript"/>
              </w:rPr>
              <w:t>b</w:t>
            </w:r>
          </w:p>
          <w:p w:rsidR="00ED3B16" w:rsidRPr="002B4AB6" w:rsidRDefault="00ED3B16" w:rsidP="00064F3F">
            <w:pPr>
              <w:pStyle w:val="TableText0"/>
            </w:pPr>
            <w:r w:rsidRPr="002B4AB6">
              <w:t>Assumed equal proportions of total treated SOC patients receive each regimen.</w:t>
            </w:r>
          </w:p>
          <w:p w:rsidR="00ED3B16" w:rsidRPr="002B4AB6" w:rsidRDefault="00ED3B16" w:rsidP="00064F3F">
            <w:pPr>
              <w:pStyle w:val="TableText0"/>
            </w:pPr>
            <w:r w:rsidRPr="002B4AB6">
              <w:t xml:space="preserve">Assumed patients received either 2.5 cycles of ICE, 4 cycles of DHAP, or 4 cycles of GDP. </w:t>
            </w:r>
          </w:p>
        </w:tc>
        <w:tc>
          <w:tcPr>
            <w:tcW w:w="1780" w:type="pct"/>
            <w:shd w:val="clear" w:color="auto" w:fill="auto"/>
            <w:vAlign w:val="center"/>
          </w:tcPr>
          <w:p w:rsidR="00ED3B16" w:rsidRPr="002B4AB6" w:rsidRDefault="00ED3B16" w:rsidP="00064F3F">
            <w:pPr>
              <w:pStyle w:val="TableText0"/>
            </w:pPr>
            <w:r w:rsidRPr="002B4AB6">
              <w:t xml:space="preserve">While these assumptions were the same as those in the model, the estimated cost per cycle for each regimen differed from those in the model (see </w:t>
            </w:r>
            <w:r w:rsidR="002B39A5" w:rsidRPr="002B4AB6">
              <w:t xml:space="preserve">Table </w:t>
            </w:r>
            <w:r w:rsidR="002B39A5" w:rsidRPr="00956A61">
              <w:t>16</w:t>
            </w:r>
            <w:r w:rsidRPr="002B4AB6">
              <w:t>). This had limited impact on the overall financial implications to the PBS/RPBS.</w:t>
            </w:r>
          </w:p>
        </w:tc>
      </w:tr>
      <w:tr w:rsidR="00ED3B16" w:rsidRPr="002B4AB6" w:rsidTr="00064F3F">
        <w:tc>
          <w:tcPr>
            <w:tcW w:w="950" w:type="pct"/>
            <w:shd w:val="clear" w:color="auto" w:fill="auto"/>
            <w:vAlign w:val="center"/>
          </w:tcPr>
          <w:p w:rsidR="00ED3B16" w:rsidRPr="002B4AB6" w:rsidRDefault="00ED3B16" w:rsidP="00064F3F">
            <w:pPr>
              <w:pStyle w:val="TableText0"/>
            </w:pPr>
            <w:r w:rsidRPr="002B4AB6">
              <w:t>MBS items (IV administration)</w:t>
            </w:r>
          </w:p>
        </w:tc>
        <w:tc>
          <w:tcPr>
            <w:tcW w:w="2270" w:type="pct"/>
            <w:shd w:val="clear" w:color="auto" w:fill="auto"/>
            <w:vAlign w:val="center"/>
          </w:tcPr>
          <w:p w:rsidR="00ED3B16" w:rsidRPr="002B4AB6" w:rsidRDefault="00ED3B16" w:rsidP="00064F3F">
            <w:pPr>
              <w:pStyle w:val="TableText0"/>
              <w:rPr>
                <w:vertAlign w:val="superscript"/>
              </w:rPr>
            </w:pPr>
            <w:r w:rsidRPr="002B4AB6">
              <w:t>Item 14245 (infusion immunomodulating agent &gt;2 hrs)</w:t>
            </w:r>
            <w:r w:rsidRPr="002B4AB6">
              <w:rPr>
                <w:vertAlign w:val="superscript"/>
              </w:rPr>
              <w:t>c</w:t>
            </w:r>
          </w:p>
          <w:p w:rsidR="00ED3B16" w:rsidRPr="002B4AB6" w:rsidRDefault="00ED3B16" w:rsidP="00064F3F">
            <w:pPr>
              <w:pStyle w:val="TableText0"/>
            </w:pPr>
            <w:r w:rsidRPr="002B4AB6">
              <w:t>Item 13918 (infusion cytotoxic chemo &gt;1 hr but ≤ 6 hrs)</w:t>
            </w:r>
          </w:p>
          <w:p w:rsidR="00ED3B16" w:rsidRPr="002B4AB6" w:rsidRDefault="00ED3B16" w:rsidP="00064F3F">
            <w:pPr>
              <w:pStyle w:val="TableText0"/>
            </w:pPr>
            <w:r w:rsidRPr="002B4AB6">
              <w:t>Item 13921 (infusion cytotoxic chemo &gt;6 hrs)</w:t>
            </w:r>
          </w:p>
        </w:tc>
        <w:tc>
          <w:tcPr>
            <w:tcW w:w="1780" w:type="pct"/>
            <w:shd w:val="clear" w:color="auto" w:fill="auto"/>
            <w:vAlign w:val="center"/>
          </w:tcPr>
          <w:p w:rsidR="00ED3B16" w:rsidRPr="002B4AB6" w:rsidRDefault="00ED3B16" w:rsidP="00064F3F">
            <w:pPr>
              <w:pStyle w:val="TableText0"/>
              <w:rPr>
                <w:vertAlign w:val="superscript"/>
              </w:rPr>
            </w:pPr>
            <w:r w:rsidRPr="002B4AB6">
              <w:t>It may have been more appropriate to use MBS item 13915 for the IV infusion of pembrolizumab</w:t>
            </w:r>
            <w:r w:rsidRPr="002B4AB6">
              <w:rPr>
                <w:vertAlign w:val="superscript"/>
              </w:rPr>
              <w:t>c</w:t>
            </w:r>
          </w:p>
          <w:p w:rsidR="00ED3B16" w:rsidRPr="002B4AB6" w:rsidRDefault="00ED3B16" w:rsidP="00064F3F">
            <w:pPr>
              <w:pStyle w:val="TableText0"/>
            </w:pPr>
            <w:r w:rsidRPr="002B4AB6">
              <w:t>The administration costs applied to the chemotherapy regimens were appropriate.</w:t>
            </w:r>
          </w:p>
        </w:tc>
      </w:tr>
    </w:tbl>
    <w:p w:rsidR="00ED3B16" w:rsidRPr="002B4AB6" w:rsidRDefault="00ED3B16" w:rsidP="00ED3B16">
      <w:pPr>
        <w:pStyle w:val="TableFigureFooter"/>
      </w:pPr>
      <w:r w:rsidRPr="002B4AB6">
        <w:t>Source: Sections 4.2-4.4 of the resubmission; Excel workbook ‘Pembrolizumab PMBCL BIM Nov 2019’.</w:t>
      </w:r>
    </w:p>
    <w:p w:rsidR="00ED3B16" w:rsidRPr="002B4AB6" w:rsidRDefault="00ED3B16" w:rsidP="00ED3B16">
      <w:pPr>
        <w:pStyle w:val="TableFigureFooter"/>
      </w:pPr>
      <w:r w:rsidRPr="002B4AB6">
        <w:t xml:space="preserve">1L = first line; chemo = chemotherapy; ACIM = Australian cancer incidence and mortality; AIHW = Australian Institute for Health and Welfare; ASCT = autologous stem cell transplantation; chemo = chemotherapy; DHAP = dexamethasone, high-dose cytarabine, cisplatin; GDP = gemcitabine, dexamethasone, cisplatin; HDT = high dose chemotherapy; hrs = hours; ICE= ifosfamide, carboplatin, etoposide; IV = intravenous; nHL = non-Hodgkin’s lymphoma; PMBCL = primary mediastinal B-cell lymphoma; RT = radiotherapy; SOC = standard of care; </w:t>
      </w:r>
    </w:p>
    <w:p w:rsidR="00ED3B16" w:rsidRPr="002B4AB6" w:rsidRDefault="00ED3B16" w:rsidP="00ED3B16">
      <w:pPr>
        <w:pStyle w:val="TableFigureFooter"/>
        <w:ind w:left="142" w:hanging="142"/>
      </w:pPr>
      <w:r w:rsidRPr="002B4AB6">
        <w:rPr>
          <w:vertAlign w:val="superscript"/>
        </w:rPr>
        <w:t>a</w:t>
      </w:r>
      <w:r w:rsidRPr="002B4AB6">
        <w:t xml:space="preserve"> The primary source of this data was Oncosight Patient Populations Hodgkin Lymphoma 2015-2025. This could not be located in the resubmission.</w:t>
      </w:r>
    </w:p>
    <w:p w:rsidR="00ED3B16" w:rsidRPr="002B4AB6" w:rsidRDefault="00ED3B16" w:rsidP="00ED3B16">
      <w:pPr>
        <w:pStyle w:val="TableFigureFooter"/>
        <w:ind w:left="142" w:hanging="142"/>
      </w:pPr>
      <w:r w:rsidRPr="002B4AB6">
        <w:rPr>
          <w:vertAlign w:val="superscript"/>
        </w:rPr>
        <w:t>b</w:t>
      </w:r>
      <w:r w:rsidRPr="002B4AB6">
        <w:t xml:space="preserve"> Source: </w:t>
      </w:r>
      <w:r w:rsidRPr="004278F1">
        <w:t>www.eviq.org.au</w:t>
      </w:r>
      <w:r w:rsidRPr="002B4AB6">
        <w:t xml:space="preserve"> </w:t>
      </w:r>
    </w:p>
    <w:p w:rsidR="00ED3B16" w:rsidRPr="00592C87" w:rsidRDefault="00ED3B16" w:rsidP="00ED3B16">
      <w:pPr>
        <w:pStyle w:val="TableFigureFooter"/>
        <w:ind w:left="142" w:hanging="142"/>
      </w:pPr>
      <w:r w:rsidRPr="00492CD9">
        <w:rPr>
          <w:vertAlign w:val="superscript"/>
        </w:rPr>
        <w:t>c</w:t>
      </w:r>
      <w:r w:rsidRPr="00492CD9">
        <w:t xml:space="preserve"> As the product information for pembrolizumab recommends an IV infusion over 30 minutes, it may have been more approp</w:t>
      </w:r>
      <w:r w:rsidRPr="00592C87">
        <w:t>riate to apply MBS item 13915 (IV administration cytotoxic chemotherapy ≤ 1 hour duration).</w:t>
      </w:r>
    </w:p>
    <w:p w:rsidR="00ED3B16" w:rsidRPr="002B4AB6" w:rsidRDefault="00ED3B16" w:rsidP="00ED3B16">
      <w:pPr>
        <w:pStyle w:val="3-BodyText"/>
      </w:pPr>
      <w:r w:rsidRPr="002B4AB6">
        <w:t xml:space="preserve">The number of scripts per patient (16.1 administrations per patient) and the cost per administration for pembrolizumab were the same as those in the economic model. As the mean duration of treatment (approximately 48 weeks) was less than one year, the resubmission’s assumption that patients would receive the full course of therapy within one year was reasonable. </w:t>
      </w:r>
    </w:p>
    <w:p w:rsidR="00ED3B16" w:rsidRPr="002B4AB6" w:rsidRDefault="00ED3B16" w:rsidP="00ED3B16">
      <w:pPr>
        <w:pStyle w:val="3-BodyText"/>
      </w:pPr>
      <w:r w:rsidRPr="002B4AB6">
        <w:lastRenderedPageBreak/>
        <w:t>As discussed above, the cost per patient per course for DHAP, ICE and GDP differed from those used in the economic evaluation. This had minimal impact on the overall financial implications to the PBS/RPBS. Applying the average cost of SOC used in the economic model increased the estimated net cost to the PBS/RPBS over the first six years of listing from $</w:t>
      </w:r>
      <w:r w:rsidR="00D56327">
        <w:t>10 million to &lt;</w:t>
      </w:r>
      <w:r w:rsidR="00AC797D">
        <w:t> </w:t>
      </w:r>
      <w:r w:rsidR="00D56327">
        <w:t>$20 million</w:t>
      </w:r>
      <w:r w:rsidRPr="002B4AB6">
        <w:t xml:space="preserve"> to $</w:t>
      </w:r>
      <w:r w:rsidR="00D56327">
        <w:t>10 million to &lt;</w:t>
      </w:r>
      <w:r w:rsidR="00AC797D">
        <w:t> </w:t>
      </w:r>
      <w:r w:rsidR="00D56327">
        <w:t>$20 million</w:t>
      </w:r>
      <w:r w:rsidRPr="002B4AB6">
        <w:t>.</w:t>
      </w:r>
    </w:p>
    <w:p w:rsidR="00ED3B16" w:rsidRPr="002B4AB6" w:rsidRDefault="00ED3B16" w:rsidP="00ED3B16">
      <w:pPr>
        <w:pStyle w:val="3-BodyText"/>
      </w:pPr>
      <w:r w:rsidRPr="002B4AB6">
        <w:t xml:space="preserve">The estimated use and financial implications of listing pembrolizumab for the requested indication are summarised in </w:t>
      </w:r>
      <w:r w:rsidR="002B39A5" w:rsidRPr="002B4AB6">
        <w:t xml:space="preserve">Table </w:t>
      </w:r>
      <w:r w:rsidR="002B39A5" w:rsidRPr="00956A61">
        <w:t>18</w:t>
      </w:r>
      <w:r w:rsidRPr="002B4AB6">
        <w:t xml:space="preserve">. </w:t>
      </w:r>
    </w:p>
    <w:p w:rsidR="00ED3B16" w:rsidRPr="002B4AB6" w:rsidRDefault="00ED3B16" w:rsidP="00ED3B16">
      <w:pPr>
        <w:pStyle w:val="TableFigureHeading"/>
      </w:pPr>
      <w:bookmarkStart w:id="46" w:name="_Ref26966184"/>
      <w:r w:rsidRPr="002B4AB6">
        <w:t xml:space="preserve">Table </w:t>
      </w:r>
      <w:r w:rsidR="002B39A5" w:rsidRPr="00956A61">
        <w:t>18</w:t>
      </w:r>
      <w:bookmarkEnd w:id="46"/>
      <w:r w:rsidRPr="002B4AB6">
        <w:rPr>
          <w:rStyle w:val="CommentReference"/>
          <w:b/>
          <w:szCs w:val="24"/>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ED3B16" w:rsidRPr="002B4AB6" w:rsidTr="00064F3F">
        <w:trPr>
          <w:tblHeader/>
        </w:trPr>
        <w:tc>
          <w:tcPr>
            <w:tcW w:w="1116" w:type="pct"/>
            <w:shd w:val="clear" w:color="auto" w:fill="auto"/>
            <w:vAlign w:val="center"/>
          </w:tcPr>
          <w:p w:rsidR="00ED3B16" w:rsidRPr="00492CD9" w:rsidRDefault="00ED3B16" w:rsidP="00064F3F">
            <w:pPr>
              <w:pStyle w:val="In-tableHeading"/>
              <w:jc w:val="center"/>
              <w:rPr>
                <w:lang w:val="en-AU"/>
              </w:rPr>
            </w:pPr>
          </w:p>
        </w:tc>
        <w:tc>
          <w:tcPr>
            <w:tcW w:w="647" w:type="pct"/>
            <w:shd w:val="clear" w:color="auto" w:fill="auto"/>
            <w:vAlign w:val="center"/>
          </w:tcPr>
          <w:p w:rsidR="00ED3B16" w:rsidRPr="002B4AB6" w:rsidRDefault="00ED3B16" w:rsidP="00064F3F">
            <w:pPr>
              <w:pStyle w:val="In-tableHeading"/>
              <w:jc w:val="center"/>
              <w:rPr>
                <w:lang w:val="en-AU"/>
              </w:rPr>
            </w:pPr>
            <w:r w:rsidRPr="002B4AB6">
              <w:rPr>
                <w:lang w:val="en-AU"/>
              </w:rPr>
              <w:t>Year 1</w:t>
            </w:r>
          </w:p>
        </w:tc>
        <w:tc>
          <w:tcPr>
            <w:tcW w:w="647" w:type="pct"/>
            <w:shd w:val="clear" w:color="auto" w:fill="auto"/>
            <w:vAlign w:val="center"/>
          </w:tcPr>
          <w:p w:rsidR="00ED3B16" w:rsidRPr="002B4AB6" w:rsidRDefault="00ED3B16" w:rsidP="00064F3F">
            <w:pPr>
              <w:pStyle w:val="In-tableHeading"/>
              <w:jc w:val="center"/>
              <w:rPr>
                <w:lang w:val="en-AU"/>
              </w:rPr>
            </w:pPr>
            <w:r w:rsidRPr="002B4AB6">
              <w:rPr>
                <w:lang w:val="en-AU"/>
              </w:rPr>
              <w:t>Year 2</w:t>
            </w:r>
          </w:p>
        </w:tc>
        <w:tc>
          <w:tcPr>
            <w:tcW w:w="647" w:type="pct"/>
            <w:shd w:val="clear" w:color="auto" w:fill="auto"/>
            <w:vAlign w:val="center"/>
          </w:tcPr>
          <w:p w:rsidR="00ED3B16" w:rsidRPr="002B4AB6" w:rsidRDefault="00ED3B16" w:rsidP="00064F3F">
            <w:pPr>
              <w:pStyle w:val="In-tableHeading"/>
              <w:jc w:val="center"/>
              <w:rPr>
                <w:lang w:val="en-AU"/>
              </w:rPr>
            </w:pPr>
            <w:r w:rsidRPr="002B4AB6">
              <w:rPr>
                <w:lang w:val="en-AU"/>
              </w:rPr>
              <w:t>Year 3</w:t>
            </w:r>
          </w:p>
        </w:tc>
        <w:tc>
          <w:tcPr>
            <w:tcW w:w="647" w:type="pct"/>
            <w:shd w:val="clear" w:color="auto" w:fill="auto"/>
            <w:vAlign w:val="center"/>
          </w:tcPr>
          <w:p w:rsidR="00ED3B16" w:rsidRPr="002B4AB6" w:rsidRDefault="00ED3B16" w:rsidP="00064F3F">
            <w:pPr>
              <w:pStyle w:val="In-tableHeading"/>
              <w:jc w:val="center"/>
              <w:rPr>
                <w:lang w:val="en-AU"/>
              </w:rPr>
            </w:pPr>
            <w:r w:rsidRPr="002B4AB6">
              <w:rPr>
                <w:lang w:val="en-AU"/>
              </w:rPr>
              <w:t>Year 4</w:t>
            </w:r>
          </w:p>
        </w:tc>
        <w:tc>
          <w:tcPr>
            <w:tcW w:w="647" w:type="pct"/>
            <w:shd w:val="clear" w:color="auto" w:fill="auto"/>
            <w:vAlign w:val="center"/>
          </w:tcPr>
          <w:p w:rsidR="00ED3B16" w:rsidRPr="002B4AB6" w:rsidRDefault="00ED3B16" w:rsidP="00064F3F">
            <w:pPr>
              <w:pStyle w:val="In-tableHeading"/>
              <w:jc w:val="center"/>
              <w:rPr>
                <w:lang w:val="en-AU"/>
              </w:rPr>
            </w:pPr>
            <w:r w:rsidRPr="002B4AB6">
              <w:rPr>
                <w:lang w:val="en-AU"/>
              </w:rPr>
              <w:t>Year 5</w:t>
            </w:r>
          </w:p>
        </w:tc>
        <w:tc>
          <w:tcPr>
            <w:tcW w:w="649" w:type="pct"/>
          </w:tcPr>
          <w:p w:rsidR="00ED3B16" w:rsidRPr="002B4AB6" w:rsidRDefault="00ED3B16" w:rsidP="00064F3F">
            <w:pPr>
              <w:pStyle w:val="In-tableHeading"/>
              <w:jc w:val="center"/>
              <w:rPr>
                <w:lang w:val="en-AU"/>
              </w:rPr>
            </w:pPr>
            <w:r w:rsidRPr="002B4AB6">
              <w:rPr>
                <w:lang w:val="en-AU"/>
              </w:rPr>
              <w:t>Year 6</w:t>
            </w:r>
          </w:p>
        </w:tc>
      </w:tr>
      <w:tr w:rsidR="00ED3B16" w:rsidRPr="002B4AB6" w:rsidTr="00064F3F">
        <w:tc>
          <w:tcPr>
            <w:tcW w:w="5000" w:type="pct"/>
            <w:gridSpan w:val="7"/>
            <w:shd w:val="clear" w:color="auto" w:fill="auto"/>
            <w:vAlign w:val="center"/>
          </w:tcPr>
          <w:p w:rsidR="00ED3B16" w:rsidRPr="002B4AB6" w:rsidRDefault="00ED3B16" w:rsidP="00064F3F">
            <w:pPr>
              <w:pStyle w:val="In-tableHeading"/>
              <w:rPr>
                <w:bCs/>
                <w:color w:val="000000"/>
                <w:lang w:val="en-AU"/>
              </w:rPr>
            </w:pPr>
            <w:r w:rsidRPr="002B4AB6">
              <w:rPr>
                <w:bCs/>
                <w:color w:val="000000"/>
                <w:lang w:val="en-AU"/>
              </w:rPr>
              <w:t>Estimated extent of use</w:t>
            </w:r>
          </w:p>
        </w:tc>
      </w:tr>
      <w:tr w:rsidR="00ED3B16" w:rsidRPr="002B4AB6" w:rsidTr="00064F3F">
        <w:tc>
          <w:tcPr>
            <w:tcW w:w="1116" w:type="pct"/>
            <w:shd w:val="clear" w:color="auto" w:fill="auto"/>
            <w:vAlign w:val="center"/>
          </w:tcPr>
          <w:p w:rsidR="00ED3B16" w:rsidRPr="002B4AB6" w:rsidRDefault="00ED3B16" w:rsidP="00064F3F">
            <w:pPr>
              <w:pStyle w:val="TableText0"/>
              <w:rPr>
                <w:rFonts w:ascii="Times" w:hAnsi="Times"/>
              </w:rPr>
            </w:pPr>
            <w:r w:rsidRPr="002B4AB6">
              <w:t>Number of patients treated</w:t>
            </w:r>
          </w:p>
        </w:tc>
        <w:tc>
          <w:tcPr>
            <w:tcW w:w="647" w:type="pct"/>
            <w:shd w:val="clear" w:color="auto" w:fill="auto"/>
            <w:vAlign w:val="bottom"/>
          </w:tcPr>
          <w:p w:rsidR="00ED3B16" w:rsidRPr="004278F1" w:rsidRDefault="004278F1" w:rsidP="00064F3F">
            <w:pPr>
              <w:pStyle w:val="TableText0"/>
              <w:jc w:val="center"/>
              <w:rPr>
                <w:color w:val="000000"/>
                <w:highlight w:val="black"/>
              </w:rPr>
            </w:pPr>
            <w:r>
              <w:rPr>
                <w:noProof/>
                <w:color w:val="000000"/>
                <w:szCs w:val="20"/>
                <w:highlight w:val="black"/>
              </w:rPr>
              <w:t>'''''''</w:t>
            </w:r>
          </w:p>
        </w:tc>
        <w:tc>
          <w:tcPr>
            <w:tcW w:w="647" w:type="pct"/>
            <w:shd w:val="clear" w:color="auto" w:fill="auto"/>
            <w:vAlign w:val="bottom"/>
          </w:tcPr>
          <w:p w:rsidR="00ED3B16" w:rsidRPr="004278F1" w:rsidRDefault="004278F1" w:rsidP="00064F3F">
            <w:pPr>
              <w:pStyle w:val="TableText0"/>
              <w:jc w:val="center"/>
              <w:rPr>
                <w:color w:val="000000"/>
                <w:highlight w:val="black"/>
              </w:rPr>
            </w:pPr>
            <w:r>
              <w:rPr>
                <w:noProof/>
                <w:color w:val="000000"/>
                <w:szCs w:val="20"/>
                <w:highlight w:val="black"/>
              </w:rPr>
              <w:t>''''''</w:t>
            </w:r>
          </w:p>
        </w:tc>
        <w:tc>
          <w:tcPr>
            <w:tcW w:w="647" w:type="pct"/>
            <w:shd w:val="clear" w:color="auto" w:fill="auto"/>
            <w:vAlign w:val="bottom"/>
          </w:tcPr>
          <w:p w:rsidR="00ED3B16" w:rsidRPr="004278F1" w:rsidRDefault="004278F1" w:rsidP="00064F3F">
            <w:pPr>
              <w:pStyle w:val="TableText0"/>
              <w:jc w:val="center"/>
              <w:rPr>
                <w:color w:val="000000"/>
                <w:highlight w:val="black"/>
              </w:rPr>
            </w:pPr>
            <w:r>
              <w:rPr>
                <w:noProof/>
                <w:color w:val="000000"/>
                <w:szCs w:val="20"/>
                <w:highlight w:val="black"/>
              </w:rPr>
              <w:t>''''''</w:t>
            </w:r>
          </w:p>
        </w:tc>
        <w:tc>
          <w:tcPr>
            <w:tcW w:w="647" w:type="pct"/>
            <w:shd w:val="clear" w:color="auto" w:fill="auto"/>
            <w:vAlign w:val="bottom"/>
          </w:tcPr>
          <w:p w:rsidR="00ED3B16" w:rsidRPr="004278F1" w:rsidRDefault="004278F1" w:rsidP="00064F3F">
            <w:pPr>
              <w:pStyle w:val="TableText0"/>
              <w:jc w:val="center"/>
              <w:rPr>
                <w:color w:val="000000"/>
                <w:highlight w:val="black"/>
              </w:rPr>
            </w:pPr>
            <w:r>
              <w:rPr>
                <w:noProof/>
                <w:color w:val="000000"/>
                <w:szCs w:val="20"/>
                <w:highlight w:val="black"/>
              </w:rPr>
              <w:t>''''''</w:t>
            </w:r>
          </w:p>
        </w:tc>
        <w:tc>
          <w:tcPr>
            <w:tcW w:w="647" w:type="pct"/>
            <w:shd w:val="clear" w:color="auto" w:fill="auto"/>
            <w:vAlign w:val="bottom"/>
          </w:tcPr>
          <w:p w:rsidR="00ED3B16" w:rsidRPr="004278F1" w:rsidRDefault="004278F1" w:rsidP="00064F3F">
            <w:pPr>
              <w:pStyle w:val="TableText0"/>
              <w:jc w:val="center"/>
              <w:rPr>
                <w:color w:val="000000"/>
                <w:highlight w:val="black"/>
              </w:rPr>
            </w:pPr>
            <w:r>
              <w:rPr>
                <w:noProof/>
                <w:color w:val="000000"/>
                <w:szCs w:val="20"/>
                <w:highlight w:val="black"/>
              </w:rPr>
              <w:t>''''''</w:t>
            </w:r>
          </w:p>
        </w:tc>
        <w:tc>
          <w:tcPr>
            <w:tcW w:w="649" w:type="pct"/>
            <w:vAlign w:val="bottom"/>
          </w:tcPr>
          <w:p w:rsidR="00ED3B16" w:rsidRPr="004278F1" w:rsidRDefault="004278F1" w:rsidP="00064F3F">
            <w:pPr>
              <w:pStyle w:val="TableText0"/>
              <w:jc w:val="center"/>
              <w:rPr>
                <w:color w:val="000000"/>
                <w:highlight w:val="black"/>
              </w:rPr>
            </w:pPr>
            <w:r>
              <w:rPr>
                <w:noProof/>
                <w:color w:val="000000"/>
                <w:szCs w:val="20"/>
                <w:highlight w:val="black"/>
              </w:rPr>
              <w:t>''''''</w:t>
            </w:r>
          </w:p>
        </w:tc>
      </w:tr>
      <w:tr w:rsidR="00ED3B16" w:rsidRPr="002B4AB6" w:rsidTr="00064F3F">
        <w:tc>
          <w:tcPr>
            <w:tcW w:w="1116" w:type="pct"/>
            <w:shd w:val="clear" w:color="auto" w:fill="auto"/>
            <w:vAlign w:val="center"/>
          </w:tcPr>
          <w:p w:rsidR="00ED3B16" w:rsidRPr="002B4AB6" w:rsidRDefault="00ED3B16" w:rsidP="00064F3F">
            <w:pPr>
              <w:pStyle w:val="TableText0"/>
              <w:rPr>
                <w:rFonts w:ascii="Times" w:hAnsi="Times"/>
              </w:rPr>
            </w:pPr>
            <w:r w:rsidRPr="002B4AB6">
              <w:t>Number of scripts dispensed</w:t>
            </w:r>
            <w:r w:rsidRPr="002B4AB6">
              <w:rPr>
                <w:vertAlign w:val="superscript"/>
              </w:rPr>
              <w:t>a</w:t>
            </w:r>
          </w:p>
        </w:tc>
        <w:tc>
          <w:tcPr>
            <w:tcW w:w="647" w:type="pct"/>
            <w:shd w:val="clear" w:color="auto" w:fill="auto"/>
            <w:vAlign w:val="center"/>
          </w:tcPr>
          <w:p w:rsidR="00ED3B16" w:rsidRPr="004278F1" w:rsidRDefault="004278F1" w:rsidP="00064F3F">
            <w:pPr>
              <w:pStyle w:val="TableText0"/>
              <w:jc w:val="center"/>
              <w:rPr>
                <w:color w:val="000000"/>
                <w:highlight w:val="black"/>
              </w:rPr>
            </w:pPr>
            <w:r>
              <w:rPr>
                <w:bCs w:val="0"/>
                <w:noProof/>
                <w:color w:val="000000"/>
                <w:highlight w:val="black"/>
              </w:rPr>
              <w:t>''''''''''</w:t>
            </w:r>
          </w:p>
        </w:tc>
        <w:tc>
          <w:tcPr>
            <w:tcW w:w="647" w:type="pct"/>
            <w:shd w:val="clear" w:color="auto" w:fill="auto"/>
            <w:vAlign w:val="center"/>
          </w:tcPr>
          <w:p w:rsidR="00ED3B16" w:rsidRPr="004278F1" w:rsidRDefault="004278F1" w:rsidP="00064F3F">
            <w:pPr>
              <w:pStyle w:val="TableText0"/>
              <w:jc w:val="center"/>
              <w:rPr>
                <w:color w:val="000000"/>
                <w:highlight w:val="black"/>
              </w:rPr>
            </w:pPr>
            <w:r>
              <w:rPr>
                <w:bCs w:val="0"/>
                <w:noProof/>
                <w:color w:val="000000"/>
                <w:highlight w:val="black"/>
              </w:rPr>
              <w:t>''''''''''</w:t>
            </w:r>
          </w:p>
        </w:tc>
        <w:tc>
          <w:tcPr>
            <w:tcW w:w="647" w:type="pct"/>
            <w:shd w:val="clear" w:color="auto" w:fill="auto"/>
            <w:vAlign w:val="center"/>
          </w:tcPr>
          <w:p w:rsidR="00ED3B16" w:rsidRPr="004278F1" w:rsidRDefault="004278F1" w:rsidP="00064F3F">
            <w:pPr>
              <w:pStyle w:val="TableText0"/>
              <w:jc w:val="center"/>
              <w:rPr>
                <w:color w:val="000000"/>
                <w:highlight w:val="black"/>
              </w:rPr>
            </w:pPr>
            <w:r>
              <w:rPr>
                <w:bCs w:val="0"/>
                <w:noProof/>
                <w:color w:val="000000"/>
                <w:highlight w:val="black"/>
              </w:rPr>
              <w:t>''''''''''</w:t>
            </w:r>
          </w:p>
        </w:tc>
        <w:tc>
          <w:tcPr>
            <w:tcW w:w="647" w:type="pct"/>
            <w:shd w:val="clear" w:color="auto" w:fill="auto"/>
            <w:vAlign w:val="center"/>
          </w:tcPr>
          <w:p w:rsidR="00ED3B16" w:rsidRPr="004278F1" w:rsidRDefault="004278F1" w:rsidP="00064F3F">
            <w:pPr>
              <w:pStyle w:val="TableText0"/>
              <w:jc w:val="center"/>
              <w:rPr>
                <w:color w:val="000000"/>
                <w:highlight w:val="black"/>
              </w:rPr>
            </w:pPr>
            <w:r>
              <w:rPr>
                <w:bCs w:val="0"/>
                <w:noProof/>
                <w:color w:val="000000"/>
                <w:highlight w:val="black"/>
              </w:rPr>
              <w:t>'''''''''</w:t>
            </w:r>
          </w:p>
        </w:tc>
        <w:tc>
          <w:tcPr>
            <w:tcW w:w="647" w:type="pct"/>
            <w:shd w:val="clear" w:color="auto" w:fill="auto"/>
            <w:vAlign w:val="center"/>
          </w:tcPr>
          <w:p w:rsidR="00ED3B16" w:rsidRPr="004278F1" w:rsidRDefault="004278F1" w:rsidP="00064F3F">
            <w:pPr>
              <w:pStyle w:val="TableText0"/>
              <w:jc w:val="center"/>
              <w:rPr>
                <w:color w:val="000000"/>
                <w:highlight w:val="black"/>
              </w:rPr>
            </w:pPr>
            <w:r>
              <w:rPr>
                <w:bCs w:val="0"/>
                <w:noProof/>
                <w:color w:val="000000"/>
                <w:highlight w:val="black"/>
              </w:rPr>
              <w:t>''''''''''</w:t>
            </w:r>
          </w:p>
        </w:tc>
        <w:tc>
          <w:tcPr>
            <w:tcW w:w="649" w:type="pct"/>
            <w:vAlign w:val="center"/>
          </w:tcPr>
          <w:p w:rsidR="00ED3B16" w:rsidRPr="004278F1" w:rsidRDefault="004278F1" w:rsidP="00064F3F">
            <w:pPr>
              <w:pStyle w:val="TableText0"/>
              <w:jc w:val="center"/>
              <w:rPr>
                <w:color w:val="000000"/>
                <w:highlight w:val="black"/>
              </w:rPr>
            </w:pPr>
            <w:r>
              <w:rPr>
                <w:bCs w:val="0"/>
                <w:noProof/>
                <w:color w:val="000000"/>
                <w:highlight w:val="black"/>
              </w:rPr>
              <w:t>''''''''''</w:t>
            </w:r>
          </w:p>
        </w:tc>
      </w:tr>
      <w:tr w:rsidR="00ED3B16" w:rsidRPr="002B4AB6" w:rsidTr="00064F3F">
        <w:tc>
          <w:tcPr>
            <w:tcW w:w="5000" w:type="pct"/>
            <w:gridSpan w:val="7"/>
            <w:shd w:val="clear" w:color="auto" w:fill="auto"/>
            <w:vAlign w:val="center"/>
          </w:tcPr>
          <w:p w:rsidR="00ED3B16" w:rsidRPr="002B4AB6" w:rsidRDefault="00ED3B16" w:rsidP="00064F3F">
            <w:pPr>
              <w:pStyle w:val="In-tableHeading"/>
              <w:rPr>
                <w:lang w:val="en-AU"/>
              </w:rPr>
            </w:pPr>
            <w:r w:rsidRPr="002B4AB6">
              <w:rPr>
                <w:lang w:val="en-AU"/>
              </w:rPr>
              <w:t xml:space="preserve">Estimated financial implications of pembrolizumab </w:t>
            </w:r>
          </w:p>
        </w:tc>
      </w:tr>
      <w:tr w:rsidR="00ED3B16" w:rsidRPr="002B4AB6" w:rsidTr="00064F3F">
        <w:tc>
          <w:tcPr>
            <w:tcW w:w="1116" w:type="pct"/>
            <w:shd w:val="clear" w:color="auto" w:fill="auto"/>
            <w:vAlign w:val="center"/>
          </w:tcPr>
          <w:p w:rsidR="00ED3B16" w:rsidRPr="002B4AB6" w:rsidRDefault="00ED3B16" w:rsidP="00064F3F">
            <w:pPr>
              <w:pStyle w:val="TableText0"/>
              <w:rPr>
                <w:sz w:val="19"/>
                <w:szCs w:val="19"/>
              </w:rPr>
            </w:pPr>
            <w:r w:rsidRPr="002B4AB6">
              <w:rPr>
                <w:sz w:val="19"/>
                <w:szCs w:val="19"/>
              </w:rPr>
              <w:t>Cost to PBS/RPBS less copayments</w:t>
            </w:r>
          </w:p>
        </w:tc>
        <w:tc>
          <w:tcPr>
            <w:tcW w:w="647" w:type="pct"/>
            <w:shd w:val="clear" w:color="auto" w:fill="auto"/>
            <w:vAlign w:val="center"/>
          </w:tcPr>
          <w:p w:rsidR="00ED3B16" w:rsidRPr="002B4AB6" w:rsidRDefault="00ED3B16" w:rsidP="00064F3F">
            <w:pPr>
              <w:pStyle w:val="TableText0"/>
              <w:jc w:val="center"/>
            </w:pPr>
            <w:r w:rsidRPr="002B4AB6">
              <w:rPr>
                <w:bCs w:val="0"/>
              </w:rPr>
              <w:t>$</w:t>
            </w:r>
            <w:r w:rsidR="004278F1">
              <w:rPr>
                <w:bCs w:val="0"/>
                <w:noProof/>
                <w:color w:val="000000"/>
                <w:highlight w:val="black"/>
              </w:rPr>
              <w:t>'''''''''''''''''''''''''</w:t>
            </w:r>
          </w:p>
        </w:tc>
        <w:tc>
          <w:tcPr>
            <w:tcW w:w="647" w:type="pct"/>
            <w:shd w:val="clear" w:color="auto" w:fill="auto"/>
            <w:vAlign w:val="center"/>
          </w:tcPr>
          <w:p w:rsidR="00ED3B16" w:rsidRPr="002B4AB6" w:rsidRDefault="00ED3B16" w:rsidP="00064F3F">
            <w:pPr>
              <w:pStyle w:val="TableText0"/>
              <w:jc w:val="center"/>
            </w:pPr>
            <w:r w:rsidRPr="002B4AB6">
              <w:rPr>
                <w:bCs w:val="0"/>
              </w:rPr>
              <w:t>$</w:t>
            </w:r>
            <w:r w:rsidR="004278F1">
              <w:rPr>
                <w:bCs w:val="0"/>
                <w:noProof/>
                <w:color w:val="000000"/>
                <w:highlight w:val="black"/>
              </w:rPr>
              <w:t>'''''''''''''''''''''''</w:t>
            </w:r>
          </w:p>
        </w:tc>
        <w:tc>
          <w:tcPr>
            <w:tcW w:w="647" w:type="pct"/>
            <w:shd w:val="clear" w:color="auto" w:fill="auto"/>
            <w:vAlign w:val="center"/>
          </w:tcPr>
          <w:p w:rsidR="00ED3B16" w:rsidRPr="002B4AB6" w:rsidRDefault="00ED3B16" w:rsidP="00064F3F">
            <w:pPr>
              <w:pStyle w:val="TableText0"/>
              <w:jc w:val="center"/>
            </w:pPr>
            <w:r w:rsidRPr="002B4AB6">
              <w:rPr>
                <w:bCs w:val="0"/>
              </w:rPr>
              <w:t>$</w:t>
            </w:r>
            <w:r w:rsidR="004278F1">
              <w:rPr>
                <w:bCs w:val="0"/>
                <w:noProof/>
                <w:color w:val="000000"/>
                <w:highlight w:val="black"/>
              </w:rPr>
              <w:t>'''''''''''''''''''''''''</w:t>
            </w:r>
          </w:p>
        </w:tc>
        <w:tc>
          <w:tcPr>
            <w:tcW w:w="647" w:type="pct"/>
            <w:shd w:val="clear" w:color="auto" w:fill="auto"/>
            <w:vAlign w:val="center"/>
          </w:tcPr>
          <w:p w:rsidR="00ED3B16" w:rsidRPr="002B4AB6" w:rsidRDefault="00ED3B16" w:rsidP="00064F3F">
            <w:pPr>
              <w:pStyle w:val="TableText0"/>
              <w:jc w:val="center"/>
            </w:pPr>
            <w:r w:rsidRPr="002B4AB6">
              <w:rPr>
                <w:bCs w:val="0"/>
              </w:rPr>
              <w:t>$</w:t>
            </w:r>
            <w:r w:rsidR="004278F1">
              <w:rPr>
                <w:bCs w:val="0"/>
                <w:noProof/>
                <w:color w:val="000000"/>
                <w:highlight w:val="black"/>
              </w:rPr>
              <w:t>'''''''''''''''''''''''''</w:t>
            </w:r>
          </w:p>
        </w:tc>
        <w:tc>
          <w:tcPr>
            <w:tcW w:w="647" w:type="pct"/>
            <w:shd w:val="clear" w:color="auto" w:fill="auto"/>
            <w:vAlign w:val="center"/>
          </w:tcPr>
          <w:p w:rsidR="00ED3B16" w:rsidRPr="002B4AB6" w:rsidRDefault="00ED3B16" w:rsidP="00064F3F">
            <w:pPr>
              <w:pStyle w:val="TableText0"/>
              <w:jc w:val="center"/>
            </w:pPr>
            <w:r w:rsidRPr="002B4AB6">
              <w:rPr>
                <w:bCs w:val="0"/>
              </w:rPr>
              <w:t>$</w:t>
            </w:r>
            <w:r w:rsidR="004278F1">
              <w:rPr>
                <w:bCs w:val="0"/>
                <w:noProof/>
                <w:color w:val="000000"/>
                <w:highlight w:val="black"/>
              </w:rPr>
              <w:t>''''''''''''''''''''''</w:t>
            </w:r>
          </w:p>
        </w:tc>
        <w:tc>
          <w:tcPr>
            <w:tcW w:w="649" w:type="pct"/>
            <w:vAlign w:val="center"/>
          </w:tcPr>
          <w:p w:rsidR="00ED3B16" w:rsidRPr="002B4AB6" w:rsidRDefault="00ED3B16" w:rsidP="00064F3F">
            <w:pPr>
              <w:pStyle w:val="TableText0"/>
              <w:jc w:val="center"/>
            </w:pPr>
            <w:r w:rsidRPr="002B4AB6">
              <w:rPr>
                <w:bCs w:val="0"/>
              </w:rPr>
              <w:t>$</w:t>
            </w:r>
            <w:r w:rsidR="004278F1">
              <w:rPr>
                <w:bCs w:val="0"/>
                <w:noProof/>
                <w:color w:val="000000"/>
                <w:highlight w:val="black"/>
              </w:rPr>
              <w:t>'''''''''''''''''''''''</w:t>
            </w:r>
          </w:p>
        </w:tc>
      </w:tr>
      <w:tr w:rsidR="00ED3B16" w:rsidRPr="002B4AB6" w:rsidTr="00064F3F">
        <w:tc>
          <w:tcPr>
            <w:tcW w:w="5000" w:type="pct"/>
            <w:gridSpan w:val="7"/>
            <w:shd w:val="clear" w:color="auto" w:fill="auto"/>
            <w:vAlign w:val="center"/>
          </w:tcPr>
          <w:p w:rsidR="00ED3B16" w:rsidRPr="002B4AB6" w:rsidRDefault="00ED3B16" w:rsidP="00064F3F">
            <w:pPr>
              <w:pStyle w:val="TableText0"/>
            </w:pPr>
            <w:r w:rsidRPr="002B4AB6">
              <w:t>Estimated financial implications for SOC (ICE, DHAP, GDP)</w:t>
            </w:r>
          </w:p>
        </w:tc>
      </w:tr>
      <w:tr w:rsidR="00ED3B16" w:rsidRPr="002B4AB6" w:rsidTr="00064F3F">
        <w:tc>
          <w:tcPr>
            <w:tcW w:w="1116" w:type="pct"/>
            <w:shd w:val="clear" w:color="auto" w:fill="auto"/>
            <w:vAlign w:val="center"/>
          </w:tcPr>
          <w:p w:rsidR="00ED3B16" w:rsidRPr="002B4AB6" w:rsidRDefault="00ED3B16" w:rsidP="00064F3F">
            <w:pPr>
              <w:pStyle w:val="TableText0"/>
              <w:rPr>
                <w:sz w:val="19"/>
                <w:szCs w:val="19"/>
              </w:rPr>
            </w:pPr>
            <w:r w:rsidRPr="002B4AB6">
              <w:rPr>
                <w:sz w:val="19"/>
                <w:szCs w:val="19"/>
              </w:rPr>
              <w:t>Cost to PBS/RPBS less copayments</w:t>
            </w:r>
          </w:p>
        </w:tc>
        <w:tc>
          <w:tcPr>
            <w:tcW w:w="647" w:type="pct"/>
            <w:shd w:val="clear" w:color="auto" w:fill="auto"/>
            <w:vAlign w:val="center"/>
          </w:tcPr>
          <w:p w:rsidR="00ED3B16" w:rsidRPr="002B4AB6" w:rsidRDefault="00ED3B16" w:rsidP="00064F3F">
            <w:pPr>
              <w:pStyle w:val="TableText0"/>
              <w:jc w:val="center"/>
            </w:pPr>
            <w:r w:rsidRPr="002B4AB6">
              <w:rPr>
                <w:bCs w:val="0"/>
              </w:rPr>
              <w:t>$105,850</w:t>
            </w:r>
          </w:p>
        </w:tc>
        <w:tc>
          <w:tcPr>
            <w:tcW w:w="647" w:type="pct"/>
            <w:shd w:val="clear" w:color="auto" w:fill="auto"/>
            <w:vAlign w:val="center"/>
          </w:tcPr>
          <w:p w:rsidR="00ED3B16" w:rsidRPr="002B4AB6" w:rsidRDefault="00ED3B16" w:rsidP="00064F3F">
            <w:pPr>
              <w:pStyle w:val="TableText0"/>
              <w:jc w:val="center"/>
            </w:pPr>
            <w:r w:rsidRPr="002B4AB6">
              <w:rPr>
                <w:bCs w:val="0"/>
              </w:rPr>
              <w:t>$70,095</w:t>
            </w:r>
          </w:p>
        </w:tc>
        <w:tc>
          <w:tcPr>
            <w:tcW w:w="647" w:type="pct"/>
            <w:shd w:val="clear" w:color="auto" w:fill="auto"/>
            <w:vAlign w:val="center"/>
          </w:tcPr>
          <w:p w:rsidR="00ED3B16" w:rsidRPr="002B4AB6" w:rsidRDefault="00ED3B16" w:rsidP="00064F3F">
            <w:pPr>
              <w:pStyle w:val="TableText0"/>
              <w:jc w:val="center"/>
            </w:pPr>
            <w:r w:rsidRPr="002B4AB6">
              <w:rPr>
                <w:bCs w:val="0"/>
              </w:rPr>
              <w:t>$71,717</w:t>
            </w:r>
          </w:p>
        </w:tc>
        <w:tc>
          <w:tcPr>
            <w:tcW w:w="647" w:type="pct"/>
            <w:shd w:val="clear" w:color="auto" w:fill="auto"/>
            <w:vAlign w:val="center"/>
          </w:tcPr>
          <w:p w:rsidR="00ED3B16" w:rsidRPr="002B4AB6" w:rsidRDefault="00ED3B16" w:rsidP="00064F3F">
            <w:pPr>
              <w:pStyle w:val="TableText0"/>
              <w:jc w:val="center"/>
            </w:pPr>
            <w:r w:rsidRPr="002B4AB6">
              <w:rPr>
                <w:bCs w:val="0"/>
              </w:rPr>
              <w:t>$73,338</w:t>
            </w:r>
          </w:p>
        </w:tc>
        <w:tc>
          <w:tcPr>
            <w:tcW w:w="647" w:type="pct"/>
            <w:shd w:val="clear" w:color="auto" w:fill="auto"/>
            <w:vAlign w:val="center"/>
          </w:tcPr>
          <w:p w:rsidR="00ED3B16" w:rsidRPr="002B4AB6" w:rsidRDefault="00ED3B16" w:rsidP="00064F3F">
            <w:pPr>
              <w:pStyle w:val="TableText0"/>
              <w:jc w:val="center"/>
            </w:pPr>
            <w:r w:rsidRPr="002B4AB6">
              <w:rPr>
                <w:bCs w:val="0"/>
              </w:rPr>
              <w:t>$74,959</w:t>
            </w:r>
          </w:p>
        </w:tc>
        <w:tc>
          <w:tcPr>
            <w:tcW w:w="649" w:type="pct"/>
            <w:vAlign w:val="center"/>
          </w:tcPr>
          <w:p w:rsidR="00ED3B16" w:rsidRPr="002B4AB6" w:rsidRDefault="00ED3B16" w:rsidP="00064F3F">
            <w:pPr>
              <w:pStyle w:val="TableText0"/>
              <w:jc w:val="center"/>
            </w:pPr>
            <w:r w:rsidRPr="002B4AB6">
              <w:rPr>
                <w:bCs w:val="0"/>
              </w:rPr>
              <w:t>$76,580</w:t>
            </w:r>
          </w:p>
        </w:tc>
      </w:tr>
      <w:tr w:rsidR="00ED3B16" w:rsidRPr="002B4AB6" w:rsidTr="00064F3F">
        <w:tc>
          <w:tcPr>
            <w:tcW w:w="5000" w:type="pct"/>
            <w:gridSpan w:val="7"/>
            <w:shd w:val="clear" w:color="auto" w:fill="auto"/>
            <w:vAlign w:val="center"/>
          </w:tcPr>
          <w:p w:rsidR="00ED3B16" w:rsidRPr="002B4AB6" w:rsidRDefault="00ED3B16" w:rsidP="00064F3F">
            <w:pPr>
              <w:pStyle w:val="In-tableHeading"/>
              <w:rPr>
                <w:lang w:val="en-AU"/>
              </w:rPr>
            </w:pPr>
            <w:r w:rsidRPr="002B4AB6">
              <w:rPr>
                <w:lang w:val="en-AU"/>
              </w:rPr>
              <w:t>Net financial implications</w:t>
            </w:r>
          </w:p>
        </w:tc>
      </w:tr>
      <w:tr w:rsidR="00ED3B16" w:rsidRPr="002B4AB6" w:rsidTr="00064F3F">
        <w:tc>
          <w:tcPr>
            <w:tcW w:w="1116" w:type="pct"/>
            <w:shd w:val="clear" w:color="auto" w:fill="auto"/>
            <w:vAlign w:val="center"/>
          </w:tcPr>
          <w:p w:rsidR="00ED3B16" w:rsidRPr="002B4AB6" w:rsidRDefault="00ED3B16" w:rsidP="00064F3F">
            <w:pPr>
              <w:pStyle w:val="TableText0"/>
              <w:rPr>
                <w:sz w:val="19"/>
                <w:szCs w:val="19"/>
              </w:rPr>
            </w:pPr>
            <w:r w:rsidRPr="002B4AB6">
              <w:rPr>
                <w:sz w:val="19"/>
                <w:szCs w:val="19"/>
              </w:rPr>
              <w:t>Net cost to PBS/RPBS</w:t>
            </w:r>
          </w:p>
        </w:tc>
        <w:tc>
          <w:tcPr>
            <w:tcW w:w="647" w:type="pct"/>
            <w:shd w:val="clear" w:color="auto" w:fill="auto"/>
          </w:tcPr>
          <w:p w:rsidR="00ED3B16" w:rsidRPr="002B4AB6" w:rsidRDefault="00ED3B16" w:rsidP="00064F3F">
            <w:pPr>
              <w:pStyle w:val="TableText0"/>
              <w:jc w:val="center"/>
            </w:pPr>
            <w:r w:rsidRPr="002B4AB6">
              <w:rPr>
                <w:bCs w:val="0"/>
              </w:rPr>
              <w:t>$</w:t>
            </w:r>
            <w:r w:rsidR="004278F1">
              <w:rPr>
                <w:bCs w:val="0"/>
                <w:noProof/>
                <w:color w:val="000000"/>
                <w:highlight w:val="black"/>
              </w:rPr>
              <w:t>'''''''''''''''''''''''</w:t>
            </w:r>
            <w:r w:rsidRPr="002B4AB6">
              <w:rPr>
                <w:bCs w:val="0"/>
              </w:rPr>
              <w:t xml:space="preserve"> </w:t>
            </w:r>
          </w:p>
        </w:tc>
        <w:tc>
          <w:tcPr>
            <w:tcW w:w="647" w:type="pct"/>
            <w:shd w:val="clear" w:color="auto" w:fill="auto"/>
          </w:tcPr>
          <w:p w:rsidR="00ED3B16" w:rsidRPr="002B4AB6" w:rsidRDefault="00ED3B16" w:rsidP="00064F3F">
            <w:pPr>
              <w:pStyle w:val="TableText0"/>
              <w:jc w:val="center"/>
            </w:pPr>
            <w:r w:rsidRPr="002B4AB6">
              <w:rPr>
                <w:bCs w:val="0"/>
              </w:rPr>
              <w:t>$</w:t>
            </w:r>
            <w:r w:rsidR="004278F1">
              <w:rPr>
                <w:bCs w:val="0"/>
                <w:noProof/>
                <w:color w:val="000000"/>
                <w:highlight w:val="black"/>
              </w:rPr>
              <w:t>'''''''''''''''''''''''</w:t>
            </w:r>
            <w:r w:rsidRPr="002B4AB6">
              <w:rPr>
                <w:bCs w:val="0"/>
              </w:rPr>
              <w:t xml:space="preserve"> </w:t>
            </w:r>
          </w:p>
        </w:tc>
        <w:tc>
          <w:tcPr>
            <w:tcW w:w="647" w:type="pct"/>
            <w:shd w:val="clear" w:color="auto" w:fill="auto"/>
          </w:tcPr>
          <w:p w:rsidR="00ED3B16" w:rsidRPr="002B4AB6" w:rsidRDefault="00ED3B16" w:rsidP="00064F3F">
            <w:pPr>
              <w:pStyle w:val="TableText0"/>
              <w:jc w:val="center"/>
            </w:pPr>
            <w:r w:rsidRPr="002B4AB6">
              <w:rPr>
                <w:bCs w:val="0"/>
              </w:rPr>
              <w:t>$</w:t>
            </w:r>
            <w:r w:rsidR="004278F1">
              <w:rPr>
                <w:bCs w:val="0"/>
                <w:noProof/>
                <w:color w:val="000000"/>
                <w:highlight w:val="black"/>
              </w:rPr>
              <w:t>'''''''''''''''''''''</w:t>
            </w:r>
            <w:r w:rsidRPr="002B4AB6">
              <w:rPr>
                <w:bCs w:val="0"/>
              </w:rPr>
              <w:t xml:space="preserve"> </w:t>
            </w:r>
          </w:p>
        </w:tc>
        <w:tc>
          <w:tcPr>
            <w:tcW w:w="647" w:type="pct"/>
            <w:shd w:val="clear" w:color="auto" w:fill="auto"/>
          </w:tcPr>
          <w:p w:rsidR="00ED3B16" w:rsidRPr="002B4AB6" w:rsidRDefault="00ED3B16" w:rsidP="00064F3F">
            <w:pPr>
              <w:pStyle w:val="TableText0"/>
              <w:jc w:val="center"/>
            </w:pPr>
            <w:r w:rsidRPr="002B4AB6">
              <w:rPr>
                <w:bCs w:val="0"/>
              </w:rPr>
              <w:t>$</w:t>
            </w:r>
            <w:r w:rsidR="004278F1">
              <w:rPr>
                <w:bCs w:val="0"/>
                <w:noProof/>
                <w:color w:val="000000"/>
                <w:highlight w:val="black"/>
              </w:rPr>
              <w:t>'''''''''''''''''''''''''</w:t>
            </w:r>
            <w:r w:rsidRPr="002B4AB6">
              <w:rPr>
                <w:bCs w:val="0"/>
              </w:rPr>
              <w:t xml:space="preserve"> </w:t>
            </w:r>
          </w:p>
        </w:tc>
        <w:tc>
          <w:tcPr>
            <w:tcW w:w="647" w:type="pct"/>
            <w:shd w:val="clear" w:color="auto" w:fill="auto"/>
          </w:tcPr>
          <w:p w:rsidR="00ED3B16" w:rsidRPr="002B4AB6" w:rsidRDefault="00ED3B16" w:rsidP="00064F3F">
            <w:pPr>
              <w:pStyle w:val="TableText0"/>
              <w:jc w:val="center"/>
            </w:pPr>
            <w:r w:rsidRPr="002B4AB6">
              <w:rPr>
                <w:bCs w:val="0"/>
              </w:rPr>
              <w:t>$</w:t>
            </w:r>
            <w:r w:rsidR="004278F1">
              <w:rPr>
                <w:bCs w:val="0"/>
                <w:noProof/>
                <w:color w:val="000000"/>
                <w:highlight w:val="black"/>
              </w:rPr>
              <w:t>'''''''''''''''''''''''</w:t>
            </w:r>
            <w:r w:rsidRPr="002B4AB6">
              <w:rPr>
                <w:bCs w:val="0"/>
              </w:rPr>
              <w:t xml:space="preserve"> </w:t>
            </w:r>
          </w:p>
        </w:tc>
        <w:tc>
          <w:tcPr>
            <w:tcW w:w="649" w:type="pct"/>
          </w:tcPr>
          <w:p w:rsidR="00ED3B16" w:rsidRPr="002B4AB6" w:rsidRDefault="00ED3B16" w:rsidP="00064F3F">
            <w:pPr>
              <w:pStyle w:val="TableText0"/>
              <w:jc w:val="center"/>
            </w:pPr>
            <w:r w:rsidRPr="002B4AB6">
              <w:rPr>
                <w:bCs w:val="0"/>
              </w:rPr>
              <w:t>$</w:t>
            </w:r>
            <w:r w:rsidR="004278F1">
              <w:rPr>
                <w:bCs w:val="0"/>
                <w:noProof/>
                <w:color w:val="000000"/>
                <w:highlight w:val="black"/>
              </w:rPr>
              <w:t>''''''''''''''''''''''''''</w:t>
            </w:r>
            <w:r w:rsidRPr="002B4AB6">
              <w:rPr>
                <w:bCs w:val="0"/>
              </w:rPr>
              <w:t xml:space="preserve"> </w:t>
            </w:r>
          </w:p>
        </w:tc>
      </w:tr>
      <w:tr w:rsidR="00ED3B16" w:rsidRPr="002B4AB6" w:rsidTr="00064F3F">
        <w:tc>
          <w:tcPr>
            <w:tcW w:w="1116" w:type="pct"/>
            <w:shd w:val="clear" w:color="auto" w:fill="auto"/>
            <w:vAlign w:val="center"/>
          </w:tcPr>
          <w:p w:rsidR="00ED3B16" w:rsidRPr="002B4AB6" w:rsidRDefault="00ED3B16" w:rsidP="00064F3F">
            <w:pPr>
              <w:pStyle w:val="TableText0"/>
              <w:rPr>
                <w:rFonts w:ascii="Times" w:hAnsi="Times"/>
              </w:rPr>
            </w:pPr>
            <w:r w:rsidRPr="002B4AB6">
              <w:rPr>
                <w:sz w:val="19"/>
                <w:szCs w:val="19"/>
              </w:rPr>
              <w:t>Net cost to MBS</w:t>
            </w:r>
          </w:p>
        </w:tc>
        <w:tc>
          <w:tcPr>
            <w:tcW w:w="647" w:type="pct"/>
            <w:shd w:val="clear" w:color="auto" w:fill="auto"/>
            <w:vAlign w:val="center"/>
          </w:tcPr>
          <w:p w:rsidR="00ED3B16" w:rsidRPr="002B4AB6" w:rsidRDefault="00ED3B16" w:rsidP="00064F3F">
            <w:pPr>
              <w:pStyle w:val="TableText0"/>
              <w:jc w:val="center"/>
            </w:pPr>
            <w:r w:rsidRPr="002B4AB6">
              <w:t>$</w:t>
            </w:r>
            <w:r w:rsidR="004278F1">
              <w:rPr>
                <w:noProof/>
                <w:color w:val="000000"/>
                <w:highlight w:val="black"/>
              </w:rPr>
              <w:t>'''''''''''''''''</w:t>
            </w:r>
            <w:r w:rsidRPr="002B4AB6">
              <w:t xml:space="preserve"> </w:t>
            </w:r>
          </w:p>
        </w:tc>
        <w:tc>
          <w:tcPr>
            <w:tcW w:w="647" w:type="pct"/>
            <w:shd w:val="clear" w:color="auto" w:fill="auto"/>
            <w:vAlign w:val="center"/>
          </w:tcPr>
          <w:p w:rsidR="00ED3B16" w:rsidRPr="002B4AB6" w:rsidRDefault="00ED3B16" w:rsidP="00064F3F">
            <w:pPr>
              <w:pStyle w:val="TableText0"/>
              <w:jc w:val="center"/>
            </w:pPr>
            <w:r w:rsidRPr="002B4AB6">
              <w:t>$</w:t>
            </w:r>
            <w:r w:rsidR="004278F1">
              <w:rPr>
                <w:noProof/>
                <w:color w:val="000000"/>
                <w:highlight w:val="black"/>
              </w:rPr>
              <w:t>''''''''''''''''</w:t>
            </w:r>
            <w:r w:rsidRPr="002B4AB6">
              <w:t xml:space="preserve"> </w:t>
            </w:r>
          </w:p>
        </w:tc>
        <w:tc>
          <w:tcPr>
            <w:tcW w:w="647" w:type="pct"/>
            <w:shd w:val="clear" w:color="auto" w:fill="auto"/>
            <w:vAlign w:val="center"/>
          </w:tcPr>
          <w:p w:rsidR="00ED3B16" w:rsidRPr="002B4AB6" w:rsidRDefault="00ED3B16" w:rsidP="00064F3F">
            <w:pPr>
              <w:pStyle w:val="TableText0"/>
              <w:jc w:val="center"/>
            </w:pPr>
            <w:r w:rsidRPr="002B4AB6">
              <w:t>$</w:t>
            </w:r>
            <w:r w:rsidR="004278F1">
              <w:rPr>
                <w:noProof/>
                <w:color w:val="000000"/>
                <w:highlight w:val="black"/>
              </w:rPr>
              <w:t>'''''''''''''''''</w:t>
            </w:r>
            <w:r w:rsidRPr="002B4AB6">
              <w:t xml:space="preserve"> </w:t>
            </w:r>
          </w:p>
        </w:tc>
        <w:tc>
          <w:tcPr>
            <w:tcW w:w="647" w:type="pct"/>
            <w:shd w:val="clear" w:color="auto" w:fill="auto"/>
            <w:vAlign w:val="center"/>
          </w:tcPr>
          <w:p w:rsidR="00ED3B16" w:rsidRPr="002B4AB6" w:rsidRDefault="00ED3B16" w:rsidP="00064F3F">
            <w:pPr>
              <w:pStyle w:val="TableText0"/>
              <w:jc w:val="center"/>
            </w:pPr>
            <w:r w:rsidRPr="002B4AB6">
              <w:t>$</w:t>
            </w:r>
            <w:r w:rsidR="004278F1">
              <w:rPr>
                <w:noProof/>
                <w:color w:val="000000"/>
                <w:highlight w:val="black"/>
              </w:rPr>
              <w:t>''''''''''''''''</w:t>
            </w:r>
            <w:r w:rsidRPr="002B4AB6">
              <w:t xml:space="preserve"> </w:t>
            </w:r>
          </w:p>
        </w:tc>
        <w:tc>
          <w:tcPr>
            <w:tcW w:w="647" w:type="pct"/>
            <w:shd w:val="clear" w:color="auto" w:fill="auto"/>
            <w:vAlign w:val="center"/>
          </w:tcPr>
          <w:p w:rsidR="00ED3B16" w:rsidRPr="002B4AB6" w:rsidRDefault="00ED3B16" w:rsidP="00064F3F">
            <w:pPr>
              <w:pStyle w:val="TableText0"/>
              <w:jc w:val="center"/>
            </w:pPr>
            <w:r w:rsidRPr="002B4AB6">
              <w:t>$</w:t>
            </w:r>
            <w:r w:rsidR="004278F1">
              <w:rPr>
                <w:noProof/>
                <w:color w:val="000000"/>
                <w:highlight w:val="black"/>
              </w:rPr>
              <w:t>'''''''''''''''''</w:t>
            </w:r>
            <w:r w:rsidRPr="002B4AB6">
              <w:t xml:space="preserve"> </w:t>
            </w:r>
          </w:p>
        </w:tc>
        <w:tc>
          <w:tcPr>
            <w:tcW w:w="649" w:type="pct"/>
            <w:vAlign w:val="center"/>
          </w:tcPr>
          <w:p w:rsidR="00ED3B16" w:rsidRPr="002B4AB6" w:rsidRDefault="00ED3B16" w:rsidP="00064F3F">
            <w:pPr>
              <w:pStyle w:val="TableText0"/>
              <w:jc w:val="center"/>
            </w:pPr>
            <w:r w:rsidRPr="002B4AB6">
              <w:t>$</w:t>
            </w:r>
            <w:r w:rsidR="004278F1">
              <w:rPr>
                <w:noProof/>
                <w:color w:val="000000"/>
                <w:highlight w:val="black"/>
              </w:rPr>
              <w:t>''''''''''''''''</w:t>
            </w:r>
            <w:r w:rsidRPr="002B4AB6">
              <w:t xml:space="preserve"> </w:t>
            </w:r>
          </w:p>
        </w:tc>
      </w:tr>
      <w:tr w:rsidR="00ED3B16" w:rsidRPr="002B4AB6" w:rsidTr="00064F3F">
        <w:tc>
          <w:tcPr>
            <w:tcW w:w="1116" w:type="pct"/>
            <w:shd w:val="clear" w:color="auto" w:fill="auto"/>
            <w:vAlign w:val="center"/>
          </w:tcPr>
          <w:p w:rsidR="00ED3B16" w:rsidRPr="002B4AB6" w:rsidRDefault="00ED3B16" w:rsidP="00064F3F">
            <w:pPr>
              <w:pStyle w:val="TableText0"/>
              <w:rPr>
                <w:sz w:val="19"/>
                <w:szCs w:val="19"/>
              </w:rPr>
            </w:pPr>
            <w:r w:rsidRPr="002B4AB6">
              <w:rPr>
                <w:sz w:val="19"/>
                <w:szCs w:val="19"/>
              </w:rPr>
              <w:t>Net cost to PBS/RPBS/MBS</w:t>
            </w:r>
          </w:p>
        </w:tc>
        <w:tc>
          <w:tcPr>
            <w:tcW w:w="647" w:type="pct"/>
            <w:shd w:val="clear" w:color="auto" w:fill="auto"/>
            <w:vAlign w:val="center"/>
          </w:tcPr>
          <w:p w:rsidR="00ED3B16" w:rsidRPr="002B4AB6" w:rsidRDefault="00ED3B16" w:rsidP="00064F3F">
            <w:pPr>
              <w:pStyle w:val="TableText0"/>
              <w:jc w:val="center"/>
            </w:pPr>
            <w:r w:rsidRPr="002B4AB6">
              <w:t>$</w:t>
            </w:r>
            <w:r w:rsidR="004278F1">
              <w:rPr>
                <w:noProof/>
                <w:color w:val="000000"/>
                <w:highlight w:val="black"/>
              </w:rPr>
              <w:t>'''''''''''''''''''''''''</w:t>
            </w:r>
            <w:r w:rsidRPr="002B4AB6">
              <w:t xml:space="preserve"> </w:t>
            </w:r>
          </w:p>
        </w:tc>
        <w:tc>
          <w:tcPr>
            <w:tcW w:w="647" w:type="pct"/>
            <w:shd w:val="clear" w:color="auto" w:fill="auto"/>
            <w:vAlign w:val="center"/>
          </w:tcPr>
          <w:p w:rsidR="00ED3B16" w:rsidRPr="002B4AB6" w:rsidRDefault="00ED3B16" w:rsidP="00064F3F">
            <w:pPr>
              <w:pStyle w:val="TableText0"/>
              <w:jc w:val="center"/>
            </w:pPr>
            <w:r w:rsidRPr="002B4AB6">
              <w:t>$</w:t>
            </w:r>
            <w:r w:rsidR="004278F1">
              <w:rPr>
                <w:noProof/>
                <w:color w:val="000000"/>
                <w:highlight w:val="black"/>
              </w:rPr>
              <w:t>''''''''''''''''''''''''</w:t>
            </w:r>
            <w:r w:rsidRPr="002B4AB6">
              <w:t xml:space="preserve"> </w:t>
            </w:r>
          </w:p>
        </w:tc>
        <w:tc>
          <w:tcPr>
            <w:tcW w:w="647" w:type="pct"/>
            <w:shd w:val="clear" w:color="auto" w:fill="auto"/>
            <w:vAlign w:val="center"/>
          </w:tcPr>
          <w:p w:rsidR="00ED3B16" w:rsidRPr="002B4AB6" w:rsidRDefault="00ED3B16" w:rsidP="00064F3F">
            <w:pPr>
              <w:pStyle w:val="TableText0"/>
              <w:jc w:val="center"/>
            </w:pPr>
            <w:r w:rsidRPr="002B4AB6">
              <w:t>$</w:t>
            </w:r>
            <w:r w:rsidR="004278F1">
              <w:rPr>
                <w:noProof/>
                <w:color w:val="000000"/>
                <w:highlight w:val="black"/>
              </w:rPr>
              <w:t>'''''''''''''''''''''''</w:t>
            </w:r>
            <w:r w:rsidRPr="002B4AB6">
              <w:t xml:space="preserve"> </w:t>
            </w:r>
          </w:p>
        </w:tc>
        <w:tc>
          <w:tcPr>
            <w:tcW w:w="647" w:type="pct"/>
            <w:shd w:val="clear" w:color="auto" w:fill="auto"/>
            <w:vAlign w:val="center"/>
          </w:tcPr>
          <w:p w:rsidR="00ED3B16" w:rsidRPr="002B4AB6" w:rsidRDefault="00ED3B16" w:rsidP="00064F3F">
            <w:pPr>
              <w:pStyle w:val="TableText0"/>
              <w:jc w:val="center"/>
            </w:pPr>
            <w:r w:rsidRPr="002B4AB6">
              <w:t>$</w:t>
            </w:r>
            <w:r w:rsidR="004278F1">
              <w:rPr>
                <w:noProof/>
                <w:color w:val="000000"/>
                <w:highlight w:val="black"/>
              </w:rPr>
              <w:t>'''''''''''''''''''''''</w:t>
            </w:r>
            <w:r w:rsidRPr="002B4AB6">
              <w:t xml:space="preserve"> </w:t>
            </w:r>
          </w:p>
        </w:tc>
        <w:tc>
          <w:tcPr>
            <w:tcW w:w="647" w:type="pct"/>
            <w:shd w:val="clear" w:color="auto" w:fill="auto"/>
            <w:vAlign w:val="center"/>
          </w:tcPr>
          <w:p w:rsidR="00ED3B16" w:rsidRPr="002B4AB6" w:rsidRDefault="00ED3B16" w:rsidP="00064F3F">
            <w:pPr>
              <w:pStyle w:val="TableText0"/>
              <w:jc w:val="center"/>
            </w:pPr>
            <w:r w:rsidRPr="002B4AB6">
              <w:t>$</w:t>
            </w:r>
            <w:r w:rsidR="004278F1">
              <w:rPr>
                <w:noProof/>
                <w:color w:val="000000"/>
                <w:highlight w:val="black"/>
              </w:rPr>
              <w:t>'''''''''''''''''''''''''</w:t>
            </w:r>
            <w:r w:rsidRPr="002B4AB6">
              <w:t xml:space="preserve"> </w:t>
            </w:r>
          </w:p>
        </w:tc>
        <w:tc>
          <w:tcPr>
            <w:tcW w:w="649" w:type="pct"/>
            <w:vAlign w:val="center"/>
          </w:tcPr>
          <w:p w:rsidR="00ED3B16" w:rsidRPr="002B4AB6" w:rsidRDefault="00ED3B16" w:rsidP="00064F3F">
            <w:pPr>
              <w:pStyle w:val="TableText0"/>
              <w:jc w:val="center"/>
            </w:pPr>
            <w:r w:rsidRPr="002B4AB6">
              <w:t>$</w:t>
            </w:r>
            <w:r w:rsidR="004278F1">
              <w:rPr>
                <w:noProof/>
                <w:color w:val="000000"/>
                <w:highlight w:val="black"/>
              </w:rPr>
              <w:t>'''''''''''''''''''''''''</w:t>
            </w:r>
            <w:r w:rsidRPr="002B4AB6">
              <w:t xml:space="preserve"> </w:t>
            </w:r>
          </w:p>
        </w:tc>
      </w:tr>
      <w:tr w:rsidR="00ED3B16" w:rsidRPr="002B4AB6" w:rsidTr="00064F3F">
        <w:tc>
          <w:tcPr>
            <w:tcW w:w="5000" w:type="pct"/>
            <w:gridSpan w:val="7"/>
            <w:shd w:val="clear" w:color="auto" w:fill="B8CCE4" w:themeFill="accent1" w:themeFillTint="66"/>
            <w:vAlign w:val="center"/>
          </w:tcPr>
          <w:p w:rsidR="00ED3B16" w:rsidRPr="002B4AB6" w:rsidRDefault="00ED3B16" w:rsidP="00064F3F">
            <w:pPr>
              <w:pStyle w:val="In-tableHeading"/>
              <w:rPr>
                <w:lang w:val="en-AU"/>
              </w:rPr>
            </w:pPr>
            <w:r w:rsidRPr="002B4AB6">
              <w:rPr>
                <w:lang w:val="en-AU"/>
              </w:rPr>
              <w:t>Previous submission – November 2018</w:t>
            </w:r>
          </w:p>
        </w:tc>
      </w:tr>
      <w:tr w:rsidR="00ED3B16" w:rsidRPr="002B4AB6" w:rsidTr="00064F3F">
        <w:tc>
          <w:tcPr>
            <w:tcW w:w="1116" w:type="pct"/>
            <w:shd w:val="clear" w:color="auto" w:fill="B8CCE4" w:themeFill="accent1" w:themeFillTint="66"/>
            <w:vAlign w:val="center"/>
          </w:tcPr>
          <w:p w:rsidR="00ED3B16" w:rsidRPr="002B4AB6" w:rsidRDefault="00ED3B16" w:rsidP="00064F3F">
            <w:pPr>
              <w:pStyle w:val="TableText0"/>
              <w:rPr>
                <w:sz w:val="19"/>
                <w:szCs w:val="19"/>
              </w:rPr>
            </w:pPr>
            <w:r w:rsidRPr="002B4AB6">
              <w:rPr>
                <w:sz w:val="19"/>
                <w:szCs w:val="19"/>
              </w:rPr>
              <w:t>Number of patients treated</w:t>
            </w:r>
          </w:p>
        </w:tc>
        <w:tc>
          <w:tcPr>
            <w:tcW w:w="647" w:type="pct"/>
            <w:shd w:val="clear" w:color="auto" w:fill="B8CCE4" w:themeFill="accent1" w:themeFillTint="66"/>
          </w:tcPr>
          <w:p w:rsidR="00ED3B16" w:rsidRPr="004278F1" w:rsidRDefault="004278F1" w:rsidP="00064F3F">
            <w:pPr>
              <w:pStyle w:val="TableText0"/>
              <w:ind w:left="720" w:hanging="720"/>
              <w:jc w:val="center"/>
              <w:rPr>
                <w:rFonts w:cs="Arial"/>
                <w:szCs w:val="20"/>
                <w:highlight w:val="black"/>
              </w:rPr>
            </w:pPr>
            <w:r>
              <w:rPr>
                <w:noProof/>
                <w:color w:val="000000"/>
                <w:szCs w:val="20"/>
                <w:highlight w:val="black"/>
              </w:rPr>
              <w:t>''''''</w:t>
            </w:r>
          </w:p>
        </w:tc>
        <w:tc>
          <w:tcPr>
            <w:tcW w:w="647" w:type="pct"/>
            <w:shd w:val="clear" w:color="auto" w:fill="B8CCE4" w:themeFill="accent1" w:themeFillTint="66"/>
          </w:tcPr>
          <w:p w:rsidR="00ED3B16" w:rsidRPr="004278F1" w:rsidRDefault="004278F1" w:rsidP="00064F3F">
            <w:pPr>
              <w:pStyle w:val="TableText0"/>
              <w:ind w:left="720" w:hanging="720"/>
              <w:jc w:val="center"/>
              <w:rPr>
                <w:rFonts w:cs="Arial"/>
                <w:szCs w:val="20"/>
                <w:highlight w:val="black"/>
              </w:rPr>
            </w:pPr>
            <w:r>
              <w:rPr>
                <w:noProof/>
                <w:color w:val="000000"/>
                <w:szCs w:val="20"/>
                <w:highlight w:val="black"/>
              </w:rPr>
              <w:t>'''''''</w:t>
            </w:r>
          </w:p>
        </w:tc>
        <w:tc>
          <w:tcPr>
            <w:tcW w:w="647" w:type="pct"/>
            <w:shd w:val="clear" w:color="auto" w:fill="B8CCE4" w:themeFill="accent1" w:themeFillTint="66"/>
          </w:tcPr>
          <w:p w:rsidR="00ED3B16" w:rsidRPr="004278F1" w:rsidRDefault="004278F1" w:rsidP="00064F3F">
            <w:pPr>
              <w:pStyle w:val="TableText0"/>
              <w:ind w:left="720" w:hanging="720"/>
              <w:jc w:val="center"/>
              <w:rPr>
                <w:rFonts w:cs="Arial"/>
                <w:szCs w:val="20"/>
                <w:highlight w:val="black"/>
              </w:rPr>
            </w:pPr>
            <w:r>
              <w:rPr>
                <w:noProof/>
                <w:color w:val="000000"/>
                <w:szCs w:val="20"/>
                <w:highlight w:val="black"/>
              </w:rPr>
              <w:t>''''''</w:t>
            </w:r>
          </w:p>
        </w:tc>
        <w:tc>
          <w:tcPr>
            <w:tcW w:w="647" w:type="pct"/>
            <w:shd w:val="clear" w:color="auto" w:fill="B8CCE4" w:themeFill="accent1" w:themeFillTint="66"/>
          </w:tcPr>
          <w:p w:rsidR="00ED3B16" w:rsidRPr="004278F1" w:rsidRDefault="004278F1" w:rsidP="00064F3F">
            <w:pPr>
              <w:pStyle w:val="TableText0"/>
              <w:ind w:left="720" w:hanging="720"/>
              <w:jc w:val="center"/>
              <w:rPr>
                <w:rFonts w:cs="Arial"/>
                <w:szCs w:val="20"/>
                <w:highlight w:val="black"/>
              </w:rPr>
            </w:pPr>
            <w:r>
              <w:rPr>
                <w:noProof/>
                <w:color w:val="000000"/>
                <w:szCs w:val="20"/>
                <w:highlight w:val="black"/>
              </w:rPr>
              <w:t>''''''</w:t>
            </w:r>
          </w:p>
        </w:tc>
        <w:tc>
          <w:tcPr>
            <w:tcW w:w="647" w:type="pct"/>
            <w:shd w:val="clear" w:color="auto" w:fill="B8CCE4" w:themeFill="accent1" w:themeFillTint="66"/>
          </w:tcPr>
          <w:p w:rsidR="00ED3B16" w:rsidRPr="004278F1" w:rsidRDefault="004278F1" w:rsidP="00064F3F">
            <w:pPr>
              <w:pStyle w:val="TableText0"/>
              <w:ind w:left="720" w:hanging="720"/>
              <w:jc w:val="center"/>
              <w:rPr>
                <w:rFonts w:cs="Arial"/>
                <w:szCs w:val="20"/>
                <w:highlight w:val="black"/>
              </w:rPr>
            </w:pPr>
            <w:r>
              <w:rPr>
                <w:noProof/>
                <w:color w:val="000000"/>
                <w:szCs w:val="20"/>
                <w:highlight w:val="black"/>
              </w:rPr>
              <w:t>'''''</w:t>
            </w:r>
          </w:p>
        </w:tc>
        <w:tc>
          <w:tcPr>
            <w:tcW w:w="649" w:type="pct"/>
            <w:shd w:val="clear" w:color="auto" w:fill="B8CCE4" w:themeFill="accent1" w:themeFillTint="66"/>
          </w:tcPr>
          <w:p w:rsidR="00ED3B16" w:rsidRPr="004278F1" w:rsidRDefault="004278F1" w:rsidP="00064F3F">
            <w:pPr>
              <w:pStyle w:val="TableText0"/>
              <w:ind w:left="720" w:hanging="720"/>
              <w:jc w:val="center"/>
              <w:rPr>
                <w:rFonts w:cs="Arial"/>
                <w:szCs w:val="20"/>
                <w:highlight w:val="black"/>
              </w:rPr>
            </w:pPr>
            <w:r>
              <w:rPr>
                <w:noProof/>
                <w:color w:val="000000"/>
                <w:szCs w:val="20"/>
                <w:highlight w:val="black"/>
              </w:rPr>
              <w:t>''''''</w:t>
            </w:r>
          </w:p>
        </w:tc>
      </w:tr>
      <w:tr w:rsidR="00ED3B16" w:rsidRPr="002B4AB6" w:rsidTr="00064F3F">
        <w:tc>
          <w:tcPr>
            <w:tcW w:w="1116" w:type="pct"/>
            <w:shd w:val="clear" w:color="auto" w:fill="B8CCE4" w:themeFill="accent1" w:themeFillTint="66"/>
            <w:vAlign w:val="center"/>
          </w:tcPr>
          <w:p w:rsidR="00ED3B16" w:rsidRPr="002B4AB6" w:rsidRDefault="00ED3B16" w:rsidP="00064F3F">
            <w:pPr>
              <w:pStyle w:val="TableText0"/>
              <w:rPr>
                <w:sz w:val="19"/>
                <w:szCs w:val="19"/>
              </w:rPr>
            </w:pPr>
            <w:r w:rsidRPr="002B4AB6">
              <w:rPr>
                <w:sz w:val="19"/>
                <w:szCs w:val="19"/>
              </w:rPr>
              <w:t>Net cost to PBS/RPBS</w:t>
            </w:r>
          </w:p>
        </w:tc>
        <w:tc>
          <w:tcPr>
            <w:tcW w:w="647" w:type="pct"/>
            <w:shd w:val="clear" w:color="auto" w:fill="B8CCE4" w:themeFill="accent1" w:themeFillTint="66"/>
            <w:vAlign w:val="bottom"/>
          </w:tcPr>
          <w:p w:rsidR="00ED3B16" w:rsidRPr="002B4AB6" w:rsidRDefault="00ED3B16" w:rsidP="00064F3F">
            <w:pPr>
              <w:pStyle w:val="TableText0"/>
              <w:ind w:left="720" w:hanging="720"/>
              <w:jc w:val="center"/>
            </w:pPr>
            <w:r w:rsidRPr="002B4AB6">
              <w:rPr>
                <w:rFonts w:cs="Arial"/>
                <w:szCs w:val="20"/>
              </w:rPr>
              <w:t>$</w:t>
            </w:r>
            <w:r w:rsidR="004278F1">
              <w:rPr>
                <w:rFonts w:cs="Arial"/>
                <w:noProof/>
                <w:color w:val="000000"/>
                <w:szCs w:val="20"/>
                <w:highlight w:val="black"/>
              </w:rPr>
              <w:t>'''''''''''''''''''''''''</w:t>
            </w:r>
          </w:p>
        </w:tc>
        <w:tc>
          <w:tcPr>
            <w:tcW w:w="647" w:type="pct"/>
            <w:shd w:val="clear" w:color="auto" w:fill="B8CCE4" w:themeFill="accent1" w:themeFillTint="66"/>
            <w:vAlign w:val="bottom"/>
          </w:tcPr>
          <w:p w:rsidR="00ED3B16" w:rsidRPr="002B4AB6" w:rsidRDefault="00ED3B16" w:rsidP="00064F3F">
            <w:pPr>
              <w:pStyle w:val="TableText0"/>
              <w:ind w:left="720" w:hanging="720"/>
              <w:jc w:val="center"/>
            </w:pPr>
            <w:r w:rsidRPr="002B4AB6">
              <w:rPr>
                <w:rFonts w:cs="Arial"/>
                <w:szCs w:val="20"/>
              </w:rPr>
              <w:t>$</w:t>
            </w:r>
            <w:r w:rsidR="004278F1">
              <w:rPr>
                <w:rFonts w:cs="Arial"/>
                <w:noProof/>
                <w:color w:val="000000"/>
                <w:szCs w:val="20"/>
                <w:highlight w:val="black"/>
              </w:rPr>
              <w:t>'''''''''''''''''''''''</w:t>
            </w:r>
          </w:p>
        </w:tc>
        <w:tc>
          <w:tcPr>
            <w:tcW w:w="647" w:type="pct"/>
            <w:shd w:val="clear" w:color="auto" w:fill="B8CCE4" w:themeFill="accent1" w:themeFillTint="66"/>
            <w:vAlign w:val="bottom"/>
          </w:tcPr>
          <w:p w:rsidR="00ED3B16" w:rsidRPr="002B4AB6" w:rsidRDefault="00ED3B16" w:rsidP="00064F3F">
            <w:pPr>
              <w:pStyle w:val="TableText0"/>
              <w:ind w:left="720" w:hanging="720"/>
              <w:jc w:val="center"/>
            </w:pPr>
            <w:r w:rsidRPr="002B4AB6">
              <w:rPr>
                <w:rFonts w:cs="Arial"/>
                <w:szCs w:val="20"/>
              </w:rPr>
              <w:t>$</w:t>
            </w:r>
            <w:r w:rsidR="004278F1">
              <w:rPr>
                <w:rFonts w:cs="Arial"/>
                <w:noProof/>
                <w:color w:val="000000"/>
                <w:szCs w:val="20"/>
                <w:highlight w:val="black"/>
              </w:rPr>
              <w:t>'''''''''''''''''''''''''</w:t>
            </w:r>
          </w:p>
        </w:tc>
        <w:tc>
          <w:tcPr>
            <w:tcW w:w="647" w:type="pct"/>
            <w:shd w:val="clear" w:color="auto" w:fill="B8CCE4" w:themeFill="accent1" w:themeFillTint="66"/>
            <w:vAlign w:val="bottom"/>
          </w:tcPr>
          <w:p w:rsidR="00ED3B16" w:rsidRPr="002B4AB6" w:rsidRDefault="00ED3B16" w:rsidP="00064F3F">
            <w:pPr>
              <w:pStyle w:val="TableText0"/>
              <w:ind w:left="720" w:hanging="720"/>
              <w:jc w:val="center"/>
            </w:pPr>
            <w:r w:rsidRPr="002B4AB6">
              <w:rPr>
                <w:rFonts w:cs="Arial"/>
                <w:szCs w:val="20"/>
              </w:rPr>
              <w:t>$</w:t>
            </w:r>
            <w:r w:rsidR="004278F1">
              <w:rPr>
                <w:rFonts w:cs="Arial"/>
                <w:noProof/>
                <w:color w:val="000000"/>
                <w:szCs w:val="20"/>
                <w:highlight w:val="black"/>
              </w:rPr>
              <w:t>''''''''''''''''''''''</w:t>
            </w:r>
          </w:p>
        </w:tc>
        <w:tc>
          <w:tcPr>
            <w:tcW w:w="647" w:type="pct"/>
            <w:shd w:val="clear" w:color="auto" w:fill="B8CCE4" w:themeFill="accent1" w:themeFillTint="66"/>
            <w:vAlign w:val="bottom"/>
          </w:tcPr>
          <w:p w:rsidR="00ED3B16" w:rsidRPr="002B4AB6" w:rsidRDefault="00ED3B16" w:rsidP="00064F3F">
            <w:pPr>
              <w:pStyle w:val="TableText0"/>
              <w:ind w:left="720" w:hanging="720"/>
              <w:jc w:val="center"/>
            </w:pPr>
            <w:r w:rsidRPr="002B4AB6">
              <w:rPr>
                <w:rFonts w:cs="Arial"/>
                <w:szCs w:val="20"/>
              </w:rPr>
              <w:t>$</w:t>
            </w:r>
            <w:r w:rsidR="004278F1">
              <w:rPr>
                <w:rFonts w:cs="Arial"/>
                <w:noProof/>
                <w:color w:val="000000"/>
                <w:szCs w:val="20"/>
                <w:highlight w:val="black"/>
              </w:rPr>
              <w:t>''''''''''''''''''''''</w:t>
            </w:r>
          </w:p>
        </w:tc>
        <w:tc>
          <w:tcPr>
            <w:tcW w:w="649" w:type="pct"/>
            <w:shd w:val="clear" w:color="auto" w:fill="B8CCE4" w:themeFill="accent1" w:themeFillTint="66"/>
            <w:vAlign w:val="bottom"/>
          </w:tcPr>
          <w:p w:rsidR="00ED3B16" w:rsidRPr="002B4AB6" w:rsidRDefault="00ED3B16" w:rsidP="00064F3F">
            <w:pPr>
              <w:pStyle w:val="TableText0"/>
              <w:ind w:left="720" w:hanging="720"/>
              <w:jc w:val="center"/>
            </w:pPr>
            <w:r w:rsidRPr="002B4AB6">
              <w:rPr>
                <w:rFonts w:cs="Arial"/>
                <w:szCs w:val="20"/>
              </w:rPr>
              <w:t>$</w:t>
            </w:r>
            <w:r w:rsidR="004278F1">
              <w:rPr>
                <w:rFonts w:cs="Arial"/>
                <w:noProof/>
                <w:color w:val="000000"/>
                <w:szCs w:val="20"/>
                <w:highlight w:val="black"/>
              </w:rPr>
              <w:t>''''''''''''''''''''''</w:t>
            </w:r>
          </w:p>
        </w:tc>
      </w:tr>
    </w:tbl>
    <w:p w:rsidR="00ED3B16" w:rsidRPr="002B4AB6" w:rsidRDefault="00ED3B16" w:rsidP="00ED3B16">
      <w:pPr>
        <w:pStyle w:val="TableFigureFooter"/>
      </w:pPr>
      <w:r w:rsidRPr="002B4AB6">
        <w:t>Source: Tables 4.2-20, 4.2-21, 4.2-22, p174-175 of the resubmission; Excel spreadsheet ‘5. Impact – net’, Excel workbook ‘Pembrolizumab PMBCL BIM Nov 2019’; Table 15, para 6.49, pembrolizumab</w:t>
      </w:r>
      <w:r w:rsidR="00927279" w:rsidRPr="002B4AB6">
        <w:t xml:space="preserve"> rrPMBCL</w:t>
      </w:r>
      <w:r w:rsidRPr="002B4AB6">
        <w:t xml:space="preserve"> PBAC </w:t>
      </w:r>
      <w:r w:rsidR="004924BC">
        <w:t>PSD</w:t>
      </w:r>
      <w:r w:rsidRPr="002B4AB6">
        <w:t>, November 2018 PBAC meeting.</w:t>
      </w:r>
    </w:p>
    <w:p w:rsidR="00ED3B16" w:rsidRPr="002B4AB6" w:rsidRDefault="00ED3B16" w:rsidP="00ED3B16">
      <w:pPr>
        <w:pStyle w:val="TableFigureFooter"/>
        <w:rPr>
          <w:rStyle w:val="CommentReference"/>
        </w:rPr>
      </w:pPr>
      <w:r w:rsidRPr="00956A61">
        <w:t>DHAP = dexamethasone, high-dose cytarabine, cisplatin; GDP = gemcitabine, dexamethasone, cisplatin; ICE= ifosfamide, carboplatin, etoposide; SOC = standard of care.</w:t>
      </w:r>
    </w:p>
    <w:p w:rsidR="00ED3B16" w:rsidRDefault="00ED3B16" w:rsidP="00ED3B16">
      <w:pPr>
        <w:pStyle w:val="TableFigureFooter"/>
      </w:pPr>
      <w:r w:rsidRPr="002B4AB6">
        <w:rPr>
          <w:vertAlign w:val="superscript"/>
        </w:rPr>
        <w:t>a</w:t>
      </w:r>
      <w:r w:rsidRPr="002B4AB6">
        <w:t xml:space="preserve"> Assuming 16.1 scripts per patient per year as estimated by the resubmission.</w:t>
      </w:r>
    </w:p>
    <w:p w:rsidR="00DC1D09" w:rsidRDefault="00DC1D09" w:rsidP="00ED3B16">
      <w:pPr>
        <w:pStyle w:val="TableFigureFooter"/>
      </w:pPr>
    </w:p>
    <w:p w:rsidR="00ED3B16" w:rsidRPr="002B4AB6" w:rsidRDefault="008F72EA" w:rsidP="00ED3B16">
      <w:pPr>
        <w:pStyle w:val="3-BodyText"/>
      </w:pPr>
      <w:r w:rsidRPr="002B4AB6">
        <w:t>At Y</w:t>
      </w:r>
      <w:r w:rsidR="00156FAA" w:rsidRPr="002B4AB6">
        <w:t xml:space="preserve">ear 6, the estimated number of patients was </w:t>
      </w:r>
      <w:r w:rsidR="00913AE7">
        <w:t>less than 500</w:t>
      </w:r>
      <w:r w:rsidR="00913AE7" w:rsidRPr="002B4AB6">
        <w:t xml:space="preserve"> </w:t>
      </w:r>
      <w:r w:rsidR="00156FAA" w:rsidRPr="002B4AB6">
        <w:t xml:space="preserve">and the </w:t>
      </w:r>
      <w:r w:rsidR="00ED3B16" w:rsidRPr="002B4AB6">
        <w:t xml:space="preserve">total cost to the PBS/RPBS of listing pembrolizumab was estimated to be </w:t>
      </w:r>
      <w:r w:rsidR="00913AE7">
        <w:t>$0 to &lt;</w:t>
      </w:r>
      <w:r w:rsidR="00AC797D">
        <w:t> </w:t>
      </w:r>
      <w:r w:rsidR="00913AE7">
        <w:t xml:space="preserve">$10 </w:t>
      </w:r>
      <w:r w:rsidR="00ED3B16" w:rsidRPr="002B4AB6">
        <w:t xml:space="preserve">million, </w:t>
      </w:r>
      <w:r w:rsidR="00156FAA" w:rsidRPr="002B4AB6">
        <w:t>with</w:t>
      </w:r>
      <w:r w:rsidR="00ED3B16" w:rsidRPr="002B4AB6">
        <w:t xml:space="preserve"> a total of </w:t>
      </w:r>
      <w:r w:rsidR="00913AE7">
        <w:t>$10 million to &lt;</w:t>
      </w:r>
      <w:r w:rsidR="00AC797D">
        <w:t> </w:t>
      </w:r>
      <w:r w:rsidR="00913AE7">
        <w:t xml:space="preserve">$20 </w:t>
      </w:r>
      <w:r w:rsidR="00ED3B16" w:rsidRPr="002B4AB6">
        <w:t xml:space="preserve">million in the first 6 years of listing, based on the proposed effective price for pembrolizumab. This compared to an estimated net cost of </w:t>
      </w:r>
      <w:r w:rsidR="00913AE7">
        <w:t>$0 to &lt;</w:t>
      </w:r>
      <w:r w:rsidR="00AC797D">
        <w:t> </w:t>
      </w:r>
      <w:r w:rsidR="00913AE7">
        <w:t>$10</w:t>
      </w:r>
      <w:r w:rsidR="00ED3B16" w:rsidRPr="002B4AB6">
        <w:t xml:space="preserve"> million in Year 6, with a total cost over 6 years of </w:t>
      </w:r>
      <w:r w:rsidR="00913AE7">
        <w:t>$10 million to &lt;</w:t>
      </w:r>
      <w:r w:rsidR="00AC797D">
        <w:t> </w:t>
      </w:r>
      <w:r w:rsidR="00913AE7">
        <w:t xml:space="preserve">$20 </w:t>
      </w:r>
      <w:r w:rsidR="00ED3B16" w:rsidRPr="002B4AB6">
        <w:t xml:space="preserve"> million, in the previous submission. </w:t>
      </w:r>
    </w:p>
    <w:p w:rsidR="00ED3B16" w:rsidRPr="002B4AB6" w:rsidRDefault="00ED3B16" w:rsidP="00ED3B16">
      <w:pPr>
        <w:pStyle w:val="3-BodyText"/>
      </w:pPr>
      <w:r w:rsidRPr="002B4AB6">
        <w:t>The estimated net cost to the PBS/RPBS was lower than in the previous submission. This was primarily due to two factors: firstly, prevalent patients were only included in the first year of listing, whereas the previous submission assumed that prevalent patients would “drip-feed” into the treated patient group over the full six years of the analysis; and secondly, the proposed effective AEMP for pembrolizumab was reduced to $</w:t>
      </w:r>
      <w:r w:rsidR="004278F1">
        <w:rPr>
          <w:noProof/>
          <w:color w:val="000000"/>
          <w:highlight w:val="black"/>
        </w:rPr>
        <w:t>'''''''''''''''</w:t>
      </w:r>
      <w:r w:rsidRPr="002B4AB6">
        <w:t xml:space="preserve"> per 100 mg vial from the previous proposed AEMP of $</w:t>
      </w:r>
      <w:r w:rsidR="004278F1">
        <w:rPr>
          <w:noProof/>
          <w:color w:val="000000"/>
          <w:highlight w:val="black"/>
        </w:rPr>
        <w:t>''''''''''''''''</w:t>
      </w:r>
      <w:r w:rsidRPr="002B4AB6">
        <w:t xml:space="preserve">. </w:t>
      </w:r>
    </w:p>
    <w:p w:rsidR="00ED3B16" w:rsidRPr="002B4AB6" w:rsidRDefault="00ED3B16" w:rsidP="00ED3B16">
      <w:pPr>
        <w:pStyle w:val="3-BodyText"/>
      </w:pPr>
      <w:r w:rsidRPr="002B4AB6">
        <w:t xml:space="preserve">The net cost to the PBS/RPBS was highly uncertain, given the uncertainty in the incidence and prevalence of PMBCL, and the reliance on expert opinion to derive the </w:t>
      </w:r>
      <w:r w:rsidRPr="002B4AB6">
        <w:lastRenderedPageBreak/>
        <w:t xml:space="preserve">proportion of these patients who would be eligible for treatment with pembrolizumab under the requested restriction. </w:t>
      </w:r>
    </w:p>
    <w:p w:rsidR="00ED3B16" w:rsidRPr="002B4AB6" w:rsidRDefault="00ED3B16" w:rsidP="00ED3B16">
      <w:pPr>
        <w:pStyle w:val="3-BodyText"/>
      </w:pPr>
      <w:r w:rsidRPr="002B4AB6">
        <w:t xml:space="preserve">The resubmission assumed that there would be two grandfathered patients, in addition to prevalent patients, in the first year of listing. </w:t>
      </w:r>
      <w:r w:rsidR="00BB2BA6" w:rsidRPr="002B4AB6">
        <w:t xml:space="preserve">The </w:t>
      </w:r>
      <w:r w:rsidR="00156FAA" w:rsidRPr="002B4AB6">
        <w:t>pre-PBAC response stated the s</w:t>
      </w:r>
      <w:r w:rsidR="00BB2BA6" w:rsidRPr="002B4AB6">
        <w:t xml:space="preserve">ponsor </w:t>
      </w:r>
      <w:r w:rsidR="009147D5" w:rsidRPr="002B4AB6">
        <w:t xml:space="preserve">runs a cost-share program through which </w:t>
      </w:r>
      <w:r w:rsidR="00BB2BA6" w:rsidRPr="002B4AB6">
        <w:t xml:space="preserve">patients are able to access pembrolizumab and </w:t>
      </w:r>
      <w:r w:rsidR="009147D5" w:rsidRPr="002B4AB6">
        <w:t>an estimated two patients are expected to be eligible under the proposed grandfathering clause</w:t>
      </w:r>
      <w:r w:rsidR="002B4AB6">
        <w:t xml:space="preserve">. </w:t>
      </w:r>
      <w:r w:rsidR="00F2158A">
        <w:t>The PBAC considered that grandfathered patients would already be accounted for in the prevalen</w:t>
      </w:r>
      <w:r w:rsidR="00216BC2">
        <w:t xml:space="preserve">t patient population </w:t>
      </w:r>
      <w:r w:rsidR="00F2158A">
        <w:t xml:space="preserve">in Year 1. </w:t>
      </w:r>
    </w:p>
    <w:p w:rsidR="00ED3B16" w:rsidRPr="00492CD9" w:rsidRDefault="00ED3B16" w:rsidP="00ED3B16">
      <w:pPr>
        <w:pStyle w:val="4-SubsectionHeading"/>
      </w:pPr>
      <w:bookmarkStart w:id="47" w:name="_Toc22897648"/>
      <w:bookmarkStart w:id="48" w:name="_Toc26972362"/>
      <w:bookmarkStart w:id="49" w:name="_Toc30503052"/>
      <w:r w:rsidRPr="00492CD9">
        <w:t>Quality Use of Medicines</w:t>
      </w:r>
      <w:bookmarkEnd w:id="47"/>
      <w:bookmarkEnd w:id="48"/>
      <w:bookmarkEnd w:id="49"/>
    </w:p>
    <w:p w:rsidR="00ED3B16" w:rsidRPr="002B4AB6" w:rsidRDefault="00ED3B16" w:rsidP="00ED3B16">
      <w:pPr>
        <w:pStyle w:val="3-BodyText"/>
      </w:pPr>
      <w:r w:rsidRPr="002B4AB6">
        <w:t xml:space="preserve">The sponsor proposed the development of materials and a number of planned educational programs, including face to face workshops with health professionals and patients about how to identify and manage potential treatment-related adverse events with pembrolizumab. The resubmission also noted that a medical information service is available to respond to questions from patients, carers and health care professionals relating to these medicines. </w:t>
      </w:r>
    </w:p>
    <w:p w:rsidR="00ED3B16" w:rsidRPr="002B4AB6" w:rsidRDefault="00ED3B16" w:rsidP="00ED3B16">
      <w:pPr>
        <w:pStyle w:val="4-SubsectionHeading"/>
      </w:pPr>
      <w:bookmarkStart w:id="50" w:name="_Toc22897649"/>
      <w:bookmarkStart w:id="51" w:name="_Toc26972363"/>
      <w:bookmarkStart w:id="52" w:name="_Toc30503053"/>
      <w:r w:rsidRPr="002B4AB6">
        <w:t>Financial Management – Risk Sharing Arrangements</w:t>
      </w:r>
      <w:bookmarkEnd w:id="50"/>
      <w:bookmarkEnd w:id="51"/>
      <w:bookmarkEnd w:id="52"/>
    </w:p>
    <w:p w:rsidR="00ED3B16" w:rsidRPr="002B4AB6" w:rsidRDefault="00ED3B16" w:rsidP="00ED3B16">
      <w:pPr>
        <w:pStyle w:val="ListParagraph"/>
        <w:numPr>
          <w:ilvl w:val="1"/>
          <w:numId w:val="1"/>
        </w:numPr>
      </w:pPr>
      <w:bookmarkStart w:id="53" w:name="_Toc22897650"/>
      <w:bookmarkStart w:id="54" w:name="_Toc26972364"/>
      <w:r w:rsidRPr="002B4AB6">
        <w:t xml:space="preserve">The resubmission indicated that the sponsor was willing to enter into a risk sharing arrangement (RSA). It proposed expenditure caps calculated to reflect the number of patients receiving pembrolizumab and the number of pembrolizumab cycles per patient as included in the base case economic model and financial analyses (i.e. 16.10 cycles per patient), and stated that the sponsor agreed to reimburse the Commonwealth with a considerable proportion of the treatment costs of pembrolizumab should use exceed the subsidisation cap in that year. The previous submission proposed two adjusted subsidisation caps, with the sponsor reimbursing </w:t>
      </w:r>
      <w:r w:rsidR="004278F1">
        <w:rPr>
          <w:noProof/>
          <w:color w:val="000000"/>
          <w:highlight w:val="black"/>
        </w:rPr>
        <w:t>'''''</w:t>
      </w:r>
      <w:r w:rsidRPr="002B4AB6">
        <w:t xml:space="preserve">% of the treatment costs of pembrolizumab which exceed the first cap in that year, and </w:t>
      </w:r>
      <w:r w:rsidR="004278F1">
        <w:rPr>
          <w:noProof/>
          <w:color w:val="000000"/>
          <w:highlight w:val="black"/>
        </w:rPr>
        <w:t>'''''</w:t>
      </w:r>
      <w:r w:rsidRPr="002B4AB6">
        <w:t>% of costs which exceed the second subsidisation cap, with the caps calculated on the basis of the annual pembrolizumab treated R/R PMBCL and R/R</w:t>
      </w:r>
      <w:r w:rsidR="00275C6E" w:rsidRPr="002B4AB6">
        <w:t xml:space="preserve"> </w:t>
      </w:r>
      <w:r w:rsidR="0037746C" w:rsidRPr="002B4AB6">
        <w:t>Hodgkin lymphoma</w:t>
      </w:r>
      <w:r w:rsidRPr="002B4AB6">
        <w:t xml:space="preserve"> patients and the average patient treatment cost ($</w:t>
      </w:r>
      <w:r w:rsidR="004278F1">
        <w:rPr>
          <w:noProof/>
          <w:color w:val="000000"/>
          <w:highlight w:val="black"/>
        </w:rPr>
        <w:t>''''''''''''</w:t>
      </w:r>
      <w:r w:rsidRPr="002B4AB6">
        <w:t>).</w:t>
      </w:r>
    </w:p>
    <w:p w:rsidR="005B0B7E" w:rsidRPr="002B4AB6" w:rsidRDefault="00ED3B16" w:rsidP="005B0B7E">
      <w:pPr>
        <w:pStyle w:val="ListParagraph"/>
        <w:numPr>
          <w:ilvl w:val="1"/>
          <w:numId w:val="1"/>
        </w:numPr>
      </w:pPr>
      <w:r w:rsidRPr="002B4AB6">
        <w:t xml:space="preserve">The sponsor proposed that the estimated R/R PMBCL treated population be added into the current R/R </w:t>
      </w:r>
      <w:r w:rsidR="0037746C" w:rsidRPr="002B4AB6">
        <w:t>Hodgkin lymphoma</w:t>
      </w:r>
      <w:r w:rsidRPr="002B4AB6">
        <w:t xml:space="preserve"> RSA and Deed, with the current annual subsidisation caps in the R/R </w:t>
      </w:r>
      <w:r w:rsidR="0037746C" w:rsidRPr="002B4AB6">
        <w:t>Hodgkin lymphoma</w:t>
      </w:r>
      <w:r w:rsidRPr="002B4AB6">
        <w:t xml:space="preserve"> RSA and Deed to be increased by an amount calculated on the basis of the annual pembrolizumab treated R/R PMBCL patients at the average R/R PMBCL patient treatment cost. </w:t>
      </w:r>
      <w:r w:rsidR="00975C9F" w:rsidRPr="002B4AB6">
        <w:t xml:space="preserve">The </w:t>
      </w:r>
      <w:r w:rsidR="004A56FB" w:rsidRPr="002B4AB6">
        <w:t xml:space="preserve">PSCR </w:t>
      </w:r>
      <w:r w:rsidR="00975C9F" w:rsidRPr="002B4AB6">
        <w:t xml:space="preserve">argued that there is precedent for sharing Deeds and RSAs across multiple indications, such as </w:t>
      </w:r>
      <w:r w:rsidR="004A56FB" w:rsidRPr="002B4AB6">
        <w:t>non-small-cell lung carcinoma</w:t>
      </w:r>
      <w:r w:rsidR="00911A85" w:rsidRPr="002B4AB6">
        <w:t>.</w:t>
      </w:r>
    </w:p>
    <w:p w:rsidR="009A700F" w:rsidRPr="002B4AB6" w:rsidDel="0011594E" w:rsidRDefault="009A700F" w:rsidP="009A700F">
      <w:pPr>
        <w:rPr>
          <w:i/>
        </w:rPr>
      </w:pPr>
      <w:r w:rsidRPr="002B4AB6">
        <w:rPr>
          <w:i/>
        </w:rPr>
        <w:t>For more detail on PBAC’s view, see section 7 PBAC outcome.</w:t>
      </w:r>
    </w:p>
    <w:p w:rsidR="0065124D" w:rsidRPr="002B4AB6" w:rsidRDefault="0065124D" w:rsidP="00A60853">
      <w:pPr>
        <w:pStyle w:val="2-SectionHeading"/>
      </w:pPr>
      <w:r w:rsidRPr="002B4AB6">
        <w:lastRenderedPageBreak/>
        <w:t>PBAC Outcome</w:t>
      </w:r>
    </w:p>
    <w:p w:rsidR="003C50E0" w:rsidRPr="00956A61" w:rsidRDefault="0065124D" w:rsidP="0096056B">
      <w:pPr>
        <w:pStyle w:val="3-BodyText"/>
      </w:pPr>
      <w:r w:rsidRPr="00956A61">
        <w:rPr>
          <w:bCs/>
        </w:rPr>
        <w:t>The PBAC rec</w:t>
      </w:r>
      <w:r w:rsidR="00A60853" w:rsidRPr="00956A61">
        <w:rPr>
          <w:bCs/>
        </w:rPr>
        <w:t>ommended the</w:t>
      </w:r>
      <w:r w:rsidR="00380AA0" w:rsidRPr="00956A61">
        <w:rPr>
          <w:bCs/>
        </w:rPr>
        <w:t xml:space="preserve"> </w:t>
      </w:r>
      <w:r w:rsidR="00A60853" w:rsidRPr="00956A61">
        <w:rPr>
          <w:bCs/>
        </w:rPr>
        <w:t>listing of pembrolizumab</w:t>
      </w:r>
      <w:r w:rsidR="009C5074" w:rsidRPr="00956A61">
        <w:rPr>
          <w:bCs/>
        </w:rPr>
        <w:t>,</w:t>
      </w:r>
      <w:r w:rsidR="00380AA0" w:rsidRPr="00956A61">
        <w:rPr>
          <w:bCs/>
        </w:rPr>
        <w:t xml:space="preserve"> </w:t>
      </w:r>
      <w:r w:rsidR="005032D4" w:rsidRPr="00956A61">
        <w:rPr>
          <w:bCs/>
        </w:rPr>
        <w:t xml:space="preserve">on the basis that it should be available only under special arrangements under Section 100 </w:t>
      </w:r>
      <w:r w:rsidR="003C50E0" w:rsidRPr="00956A61">
        <w:rPr>
          <w:bCs/>
        </w:rPr>
        <w:t xml:space="preserve">- </w:t>
      </w:r>
      <w:r w:rsidR="005032D4" w:rsidRPr="00956A61">
        <w:rPr>
          <w:bCs/>
        </w:rPr>
        <w:t>Efficient Funding of Chemotherapy</w:t>
      </w:r>
      <w:r w:rsidR="00380AA0" w:rsidRPr="00956A61">
        <w:rPr>
          <w:bCs/>
        </w:rPr>
        <w:t xml:space="preserve">. </w:t>
      </w:r>
      <w:r w:rsidR="009C5074" w:rsidRPr="00956A61">
        <w:rPr>
          <w:bCs/>
        </w:rPr>
        <w:t xml:space="preserve">The PBAC recommended </w:t>
      </w:r>
      <w:r w:rsidR="003C50E0" w:rsidRPr="00956A61">
        <w:rPr>
          <w:bCs/>
        </w:rPr>
        <w:t xml:space="preserve">the listing be made available </w:t>
      </w:r>
      <w:r w:rsidR="009C5074" w:rsidRPr="00956A61">
        <w:rPr>
          <w:bCs/>
        </w:rPr>
        <w:t>for the treatment of relapsed or refractory primary mediastinal B-cell lymphoma (R/R PMBCL)</w:t>
      </w:r>
      <w:r w:rsidR="003C50E0" w:rsidRPr="00956A61">
        <w:rPr>
          <w:bCs/>
        </w:rPr>
        <w:t>, under the circumstances shown in the table in Section 8 below.</w:t>
      </w:r>
      <w:r w:rsidR="009C5074" w:rsidRPr="00956A61">
        <w:rPr>
          <w:bCs/>
        </w:rPr>
        <w:t xml:space="preserve"> </w:t>
      </w:r>
    </w:p>
    <w:p w:rsidR="003C50E0" w:rsidRPr="00956A61" w:rsidRDefault="00E85C03" w:rsidP="0096056B">
      <w:pPr>
        <w:pStyle w:val="3-BodyText"/>
      </w:pPr>
      <w:r w:rsidRPr="00956A61">
        <w:t xml:space="preserve">The PBAC recognised the high clinical need for treatment options for this population and was satisfied that pembrolizumab showed effectiveness in the R/R PMBCL setting where patients may have no other potentially </w:t>
      </w:r>
      <w:r w:rsidR="00492CD9">
        <w:t>curative</w:t>
      </w:r>
      <w:r w:rsidR="00492CD9" w:rsidRPr="00956A61">
        <w:t xml:space="preserve"> </w:t>
      </w:r>
      <w:r w:rsidRPr="00956A61">
        <w:t xml:space="preserve">options available. </w:t>
      </w:r>
    </w:p>
    <w:p w:rsidR="009C5074" w:rsidRPr="00956A61" w:rsidRDefault="0096056B" w:rsidP="009C5074">
      <w:pPr>
        <w:widowControl w:val="0"/>
        <w:numPr>
          <w:ilvl w:val="1"/>
          <w:numId w:val="1"/>
        </w:numPr>
        <w:spacing w:after="120"/>
        <w:rPr>
          <w:rFonts w:asciiTheme="minorHAnsi" w:hAnsiTheme="minorHAnsi"/>
          <w:bCs/>
          <w:snapToGrid w:val="0"/>
        </w:rPr>
      </w:pPr>
      <w:r w:rsidRPr="00956A61">
        <w:t xml:space="preserve">The PBAC’s recommendation for listing was based on, among other matters, its assessment, that the cost-effectiveness of pembrolizumab </w:t>
      </w:r>
      <w:r w:rsidR="003C50E0" w:rsidRPr="00956A61">
        <w:t xml:space="preserve">was uncertain but could be managed by </w:t>
      </w:r>
      <w:r w:rsidR="008644CA" w:rsidRPr="00956A61">
        <w:t xml:space="preserve">a price reduction and </w:t>
      </w:r>
      <w:r w:rsidR="003C50E0" w:rsidRPr="00956A61">
        <w:t xml:space="preserve">subsidisation caps through a risk sharing arrangement </w:t>
      </w:r>
      <w:r w:rsidR="00560577" w:rsidRPr="00956A61">
        <w:t>(RSA)</w:t>
      </w:r>
      <w:r w:rsidR="008644CA" w:rsidRPr="00956A61">
        <w:rPr>
          <w:snapToGrid w:val="0"/>
        </w:rPr>
        <w:t>.</w:t>
      </w:r>
    </w:p>
    <w:p w:rsidR="009C5074" w:rsidRPr="00956A61" w:rsidRDefault="006F5277" w:rsidP="0065124D">
      <w:pPr>
        <w:widowControl w:val="0"/>
        <w:numPr>
          <w:ilvl w:val="1"/>
          <w:numId w:val="1"/>
        </w:numPr>
        <w:spacing w:after="120"/>
        <w:rPr>
          <w:rFonts w:asciiTheme="minorHAnsi" w:hAnsiTheme="minorHAnsi"/>
          <w:bCs/>
          <w:snapToGrid w:val="0"/>
        </w:rPr>
      </w:pPr>
      <w:r w:rsidRPr="002B4AB6">
        <w:rPr>
          <w:rFonts w:asciiTheme="minorHAnsi" w:hAnsiTheme="minorHAnsi"/>
          <w:bCs/>
        </w:rPr>
        <w:t>The PBAC noted comments from consumers, health care professionals an</w:t>
      </w:r>
      <w:r w:rsidR="00C8177A" w:rsidRPr="002B4AB6">
        <w:rPr>
          <w:rFonts w:asciiTheme="minorHAnsi" w:hAnsiTheme="minorHAnsi"/>
          <w:bCs/>
        </w:rPr>
        <w:t xml:space="preserve">d organisations highlighting the impact of this rare disease </w:t>
      </w:r>
      <w:r w:rsidR="00A3216F" w:rsidRPr="002B4AB6">
        <w:rPr>
          <w:rFonts w:asciiTheme="minorHAnsi" w:hAnsiTheme="minorHAnsi"/>
          <w:bCs/>
        </w:rPr>
        <w:t>on</w:t>
      </w:r>
      <w:r w:rsidR="00C8177A" w:rsidRPr="00492CD9">
        <w:rPr>
          <w:rFonts w:asciiTheme="minorHAnsi" w:hAnsiTheme="minorHAnsi"/>
          <w:bCs/>
        </w:rPr>
        <w:t xml:space="preserve"> adolescents and young adults. </w:t>
      </w:r>
      <w:r w:rsidRPr="002B4AB6">
        <w:rPr>
          <w:rFonts w:asciiTheme="minorHAnsi" w:hAnsiTheme="minorHAnsi"/>
          <w:bCs/>
        </w:rPr>
        <w:t>T</w:t>
      </w:r>
      <w:r w:rsidR="00C8177A" w:rsidRPr="002B4AB6">
        <w:rPr>
          <w:rFonts w:asciiTheme="minorHAnsi" w:hAnsiTheme="minorHAnsi"/>
          <w:bCs/>
        </w:rPr>
        <w:t>he PBAC reiterated its November 2018 advice that there wa</w:t>
      </w:r>
      <w:r w:rsidRPr="002B4AB6">
        <w:rPr>
          <w:rFonts w:asciiTheme="minorHAnsi" w:hAnsiTheme="minorHAnsi"/>
          <w:bCs/>
        </w:rPr>
        <w:t xml:space="preserve">s a </w:t>
      </w:r>
      <w:r w:rsidR="00C8177A" w:rsidRPr="002B4AB6">
        <w:rPr>
          <w:rFonts w:asciiTheme="minorHAnsi" w:hAnsiTheme="minorHAnsi"/>
          <w:bCs/>
        </w:rPr>
        <w:t xml:space="preserve">high unmet </w:t>
      </w:r>
      <w:r w:rsidRPr="002B4AB6">
        <w:rPr>
          <w:rFonts w:asciiTheme="minorHAnsi" w:hAnsiTheme="minorHAnsi"/>
          <w:bCs/>
        </w:rPr>
        <w:t xml:space="preserve">clinical need for </w:t>
      </w:r>
      <w:r w:rsidR="00C8177A" w:rsidRPr="002B4AB6">
        <w:rPr>
          <w:rFonts w:asciiTheme="minorHAnsi" w:hAnsiTheme="minorHAnsi"/>
          <w:bCs/>
        </w:rPr>
        <w:t xml:space="preserve">effective treatments for P/R PMBCL, particularly given the poor outcomes in patients with this condition. </w:t>
      </w:r>
    </w:p>
    <w:p w:rsidR="005032D4" w:rsidRPr="00956A61" w:rsidRDefault="00C8177A" w:rsidP="005032D4">
      <w:pPr>
        <w:widowControl w:val="0"/>
        <w:numPr>
          <w:ilvl w:val="1"/>
          <w:numId w:val="1"/>
        </w:numPr>
        <w:spacing w:after="120"/>
        <w:rPr>
          <w:rFonts w:asciiTheme="minorHAnsi" w:hAnsiTheme="minorHAnsi"/>
          <w:bCs/>
          <w:snapToGrid w:val="0"/>
        </w:rPr>
      </w:pPr>
      <w:r w:rsidRPr="00956A61">
        <w:rPr>
          <w:rFonts w:asciiTheme="minorHAnsi" w:hAnsiTheme="minorHAnsi"/>
          <w:bCs/>
          <w:snapToGrid w:val="0"/>
        </w:rPr>
        <w:t xml:space="preserve">The PBAC </w:t>
      </w:r>
      <w:r w:rsidR="00A3216F" w:rsidRPr="00956A61">
        <w:rPr>
          <w:rFonts w:asciiTheme="minorHAnsi" w:hAnsiTheme="minorHAnsi"/>
          <w:bCs/>
          <w:snapToGrid w:val="0"/>
        </w:rPr>
        <w:t xml:space="preserve">agreed with </w:t>
      </w:r>
      <w:r w:rsidR="00A3216F" w:rsidRPr="002B4AB6">
        <w:t>t</w:t>
      </w:r>
      <w:r w:rsidRPr="002B4AB6">
        <w:t xml:space="preserve">he ESC that in clinical practice </w:t>
      </w:r>
      <w:r w:rsidR="00A3216F" w:rsidRPr="002B4AB6">
        <w:t>ICE (ifosfamide, carboplatin, etoposide), DHAP (dexamethasone, high-dose cytarabine, cisplatin) or GDP (gemcitabine, dexamethasone, cisplatin) regimens</w:t>
      </w:r>
      <w:r w:rsidR="00A3216F" w:rsidRPr="00492CD9">
        <w:t xml:space="preserve"> </w:t>
      </w:r>
      <w:r w:rsidRPr="00492CD9">
        <w:t>would include the addition of rituximab and considered the inclusion of this agent in the resubmission appropriate for the comparator</w:t>
      </w:r>
      <w:r w:rsidR="002B4AB6">
        <w:t xml:space="preserve">. </w:t>
      </w:r>
    </w:p>
    <w:p w:rsidR="000B3035" w:rsidRPr="002B4AB6" w:rsidRDefault="000B3035" w:rsidP="00912D32">
      <w:pPr>
        <w:widowControl w:val="0"/>
        <w:numPr>
          <w:ilvl w:val="1"/>
          <w:numId w:val="1"/>
        </w:numPr>
        <w:spacing w:after="120"/>
      </w:pPr>
      <w:r w:rsidRPr="002B4AB6">
        <w:t xml:space="preserve">Acknowledging the limitations of the </w:t>
      </w:r>
      <w:r w:rsidR="00E85698" w:rsidRPr="002B4AB6">
        <w:t>KN170 study</w:t>
      </w:r>
      <w:r w:rsidR="00E679E8" w:rsidRPr="002B4AB6">
        <w:t xml:space="preserve"> (n=53)</w:t>
      </w:r>
      <w:r w:rsidR="00E85698" w:rsidRPr="00492CD9">
        <w:t xml:space="preserve">, the </w:t>
      </w:r>
      <w:r w:rsidR="00CB78B2" w:rsidRPr="00492CD9">
        <w:t xml:space="preserve">PBAC noted </w:t>
      </w:r>
      <w:r w:rsidR="00E679E8" w:rsidRPr="00492CD9">
        <w:t xml:space="preserve">that </w:t>
      </w:r>
      <w:r w:rsidR="00CB78B2" w:rsidRPr="00492CD9">
        <w:t xml:space="preserve">four </w:t>
      </w:r>
      <w:r w:rsidR="00E679E8" w:rsidRPr="002B4AB6">
        <w:t xml:space="preserve">additional </w:t>
      </w:r>
      <w:r w:rsidR="00F06207" w:rsidRPr="002B4AB6">
        <w:t xml:space="preserve">R/R PMBCL </w:t>
      </w:r>
      <w:r w:rsidR="00CB78B2" w:rsidRPr="002B4AB6">
        <w:t xml:space="preserve">patients </w:t>
      </w:r>
      <w:r w:rsidR="00E679E8" w:rsidRPr="002B4AB6">
        <w:t>were</w:t>
      </w:r>
      <w:r w:rsidR="00CB78B2" w:rsidRPr="002B4AB6">
        <w:t xml:space="preserve"> determined to have a complete response (18.9%)</w:t>
      </w:r>
      <w:r w:rsidR="00E96972" w:rsidRPr="002B4AB6">
        <w:t xml:space="preserve"> based on the 28 May 2019 data cut-off (median 22.3 months of follow-up)</w:t>
      </w:r>
      <w:r w:rsidR="00E679E8" w:rsidRPr="002B4AB6">
        <w:t xml:space="preserve"> compared </w:t>
      </w:r>
      <w:r w:rsidR="005724A2" w:rsidRPr="002B4AB6">
        <w:t>with the</w:t>
      </w:r>
      <w:r w:rsidR="00E679E8" w:rsidRPr="002B4AB6">
        <w:t xml:space="preserve"> </w:t>
      </w:r>
      <w:r w:rsidR="00E96972" w:rsidRPr="002B4AB6">
        <w:t>original 19 January 2018 data cut-off (median 9.7 months follow-up, 11.3% complete response)</w:t>
      </w:r>
      <w:r w:rsidR="00CB78B2" w:rsidRPr="002B4AB6">
        <w:t xml:space="preserve">. The PBAC also noted the ORR </w:t>
      </w:r>
      <w:r w:rsidR="009362DB" w:rsidRPr="002B4AB6">
        <w:t xml:space="preserve">of </w:t>
      </w:r>
      <w:r w:rsidR="00CB78B2" w:rsidRPr="002B4AB6">
        <w:t xml:space="preserve">45.3% and </w:t>
      </w:r>
      <w:r w:rsidR="00F06207" w:rsidRPr="002B4AB6">
        <w:t xml:space="preserve">the median OS of 22.3 months reported using the May 2019 data cut-off. The PBAC </w:t>
      </w:r>
      <w:r w:rsidR="00CB78B2" w:rsidRPr="002B4AB6">
        <w:t xml:space="preserve">agreed with the </w:t>
      </w:r>
      <w:r w:rsidR="00F06207" w:rsidRPr="002B4AB6">
        <w:t xml:space="preserve">ESC </w:t>
      </w:r>
      <w:r w:rsidR="00CB78B2" w:rsidRPr="002B4AB6">
        <w:t>that pembrolizumab appears to show effectiveness</w:t>
      </w:r>
      <w:r w:rsidR="005D0064" w:rsidRPr="002B4AB6">
        <w:t>. The PBAC acknowledged that</w:t>
      </w:r>
      <w:r w:rsidR="00E679E8" w:rsidRPr="002B4AB6">
        <w:t xml:space="preserve"> more robust clinical trial data for </w:t>
      </w:r>
      <w:r w:rsidR="00D64B47" w:rsidRPr="002B4AB6">
        <w:t>pembrolizumab</w:t>
      </w:r>
      <w:r w:rsidR="00E679E8" w:rsidRPr="002B4AB6">
        <w:t xml:space="preserve"> </w:t>
      </w:r>
      <w:r w:rsidR="00D64B47" w:rsidRPr="002B4AB6">
        <w:t xml:space="preserve">in this rare disease is </w:t>
      </w:r>
      <w:r w:rsidR="00E679E8" w:rsidRPr="002B4AB6">
        <w:t>unlikely to be forthcoming</w:t>
      </w:r>
      <w:r w:rsidR="002B4AB6">
        <w:t xml:space="preserve">. </w:t>
      </w:r>
      <w:r w:rsidR="00CB78B2" w:rsidRPr="002B4AB6">
        <w:t xml:space="preserve"> </w:t>
      </w:r>
    </w:p>
    <w:p w:rsidR="004917BB" w:rsidRPr="002B4AB6" w:rsidRDefault="004917BB" w:rsidP="00912D32">
      <w:pPr>
        <w:widowControl w:val="0"/>
        <w:numPr>
          <w:ilvl w:val="1"/>
          <w:numId w:val="1"/>
        </w:numPr>
        <w:spacing w:after="120"/>
      </w:pPr>
      <w:r w:rsidRPr="00492CD9">
        <w:t xml:space="preserve">The PBAC noted the </w:t>
      </w:r>
      <w:r w:rsidR="002842E3" w:rsidRPr="00492CD9">
        <w:t xml:space="preserve">differences </w:t>
      </w:r>
      <w:r w:rsidRPr="00492CD9">
        <w:t>in transplant eligibility, prior lines of therapy and the proportion of patients pre-treated with rituximab-based therapy between the key studies used to inform the comparative effectiveness claim (KN170 and Vardhana 2018</w:t>
      </w:r>
      <w:r w:rsidR="003D3A16" w:rsidRPr="00492CD9">
        <w:t xml:space="preserve"> – see paragraph 6.9</w:t>
      </w:r>
      <w:r w:rsidRPr="002B4AB6">
        <w:t>)</w:t>
      </w:r>
      <w:r w:rsidR="002842E3" w:rsidRPr="002B4AB6">
        <w:t xml:space="preserve">. The PBAC </w:t>
      </w:r>
      <w:r w:rsidR="003B0356" w:rsidRPr="002B4AB6">
        <w:t>considered</w:t>
      </w:r>
      <w:r w:rsidR="002842E3" w:rsidRPr="00492CD9">
        <w:t xml:space="preserve"> that due to the differences in patient populations the effectiveness data from these two studies were not directly comparable</w:t>
      </w:r>
      <w:r w:rsidR="003D3A16" w:rsidRPr="002B4AB6">
        <w:t xml:space="preserve">. </w:t>
      </w:r>
      <w:r w:rsidR="009362DB" w:rsidRPr="002B4AB6">
        <w:t>The PBAC</w:t>
      </w:r>
      <w:r w:rsidR="003B0356" w:rsidRPr="002B4AB6">
        <w:t xml:space="preserve"> also noted</w:t>
      </w:r>
      <w:r w:rsidR="006D1BF8" w:rsidRPr="002B4AB6">
        <w:t xml:space="preserve"> that the requested PBS population was broader than both the KN170 and Vardhana 2018 patient populations (see paragraph 6.10) and recalled that the Committee previously considered this </w:t>
      </w:r>
      <w:r w:rsidR="003B0356" w:rsidRPr="002B4AB6">
        <w:t xml:space="preserve">reasonable </w:t>
      </w:r>
      <w:r w:rsidR="006D1BF8" w:rsidRPr="002B4AB6">
        <w:t xml:space="preserve">given the </w:t>
      </w:r>
      <w:r w:rsidR="006D1BF8" w:rsidRPr="002B4AB6">
        <w:lastRenderedPageBreak/>
        <w:t xml:space="preserve">clinical need in this population. </w:t>
      </w:r>
    </w:p>
    <w:p w:rsidR="00224238" w:rsidRPr="002B4AB6" w:rsidRDefault="00224238" w:rsidP="00224238">
      <w:pPr>
        <w:pStyle w:val="3-BodyText"/>
      </w:pPr>
      <w:r w:rsidRPr="00492CD9">
        <w:t xml:space="preserve">The PBAC noted </w:t>
      </w:r>
      <w:r w:rsidR="005724A2" w:rsidRPr="00492CD9">
        <w:t xml:space="preserve">the </w:t>
      </w:r>
      <w:r w:rsidRPr="00592C87">
        <w:t>evidence for the effectiveness of standard of care (SOC) was based on cohorts of patients in Vardhana 2018 and considered that the use of these c</w:t>
      </w:r>
      <w:r w:rsidRPr="002B4AB6">
        <w:t xml:space="preserve">ohorts meant that survival data informing SOC was based on a very small number of patients with a much lower OS rate than the full study population (18% for Cohort C versus 61% for the full study population at 3 years). The PBAC considered this approach likely underestimated the outcomes associated with current practice. </w:t>
      </w:r>
    </w:p>
    <w:p w:rsidR="005724A2" w:rsidRPr="002B4AB6" w:rsidRDefault="005724A2" w:rsidP="00224238">
      <w:pPr>
        <w:pStyle w:val="3-BodyText"/>
      </w:pPr>
      <w:r w:rsidRPr="002B4AB6">
        <w:rPr>
          <w:lang w:eastAsia="en-US"/>
        </w:rPr>
        <w:t xml:space="preserve">The PBAC considered that the claim of superior comparative effectiveness was uncertain but likely reasonable in the context of this rare sub-type of </w:t>
      </w:r>
      <w:r w:rsidR="001727F1" w:rsidRPr="002B4AB6">
        <w:t>non-Hodgkin lymphoma</w:t>
      </w:r>
      <w:r w:rsidRPr="002B4AB6">
        <w:rPr>
          <w:lang w:eastAsia="en-US"/>
        </w:rPr>
        <w:t xml:space="preserve"> with a low incidence</w:t>
      </w:r>
      <w:r w:rsidRPr="002B4AB6">
        <w:t>.</w:t>
      </w:r>
    </w:p>
    <w:p w:rsidR="00224238" w:rsidRPr="002B4AB6" w:rsidRDefault="00224238" w:rsidP="00224238">
      <w:pPr>
        <w:widowControl w:val="0"/>
        <w:numPr>
          <w:ilvl w:val="1"/>
          <w:numId w:val="1"/>
        </w:numPr>
        <w:spacing w:after="120"/>
      </w:pPr>
      <w:r w:rsidRPr="002B4AB6">
        <w:t>The PBAC considered</w:t>
      </w:r>
      <w:r w:rsidR="001D4E19" w:rsidRPr="002B4AB6">
        <w:t xml:space="preserve"> although the </w:t>
      </w:r>
      <w:r w:rsidRPr="002B4AB6">
        <w:t>claim of superior comparative safety</w:t>
      </w:r>
      <w:r w:rsidR="001D4E19" w:rsidRPr="002B4AB6">
        <w:t xml:space="preserve"> may be reasonable the magnitude of </w:t>
      </w:r>
      <w:r w:rsidR="00AB35D0" w:rsidRPr="002B4AB6">
        <w:t>any</w:t>
      </w:r>
      <w:r w:rsidR="001D4E19" w:rsidRPr="002B4AB6">
        <w:t xml:space="preserve"> benefit</w:t>
      </w:r>
      <w:r w:rsidRPr="002B4AB6">
        <w:t xml:space="preserve"> could not be quantified </w:t>
      </w:r>
      <w:r w:rsidR="008644CA" w:rsidRPr="002B4AB6">
        <w:t xml:space="preserve">as </w:t>
      </w:r>
      <w:r w:rsidRPr="002B4AB6">
        <w:t xml:space="preserve">there was no safety data presented in Vardhana 2018. </w:t>
      </w:r>
    </w:p>
    <w:p w:rsidR="00463096" w:rsidRPr="00956A61" w:rsidRDefault="00224238" w:rsidP="00B764F9">
      <w:pPr>
        <w:widowControl w:val="0"/>
        <w:numPr>
          <w:ilvl w:val="1"/>
          <w:numId w:val="1"/>
        </w:numPr>
        <w:spacing w:after="120"/>
        <w:rPr>
          <w:bCs/>
        </w:rPr>
      </w:pPr>
      <w:r w:rsidRPr="00956A61">
        <w:rPr>
          <w:rFonts w:asciiTheme="minorHAnsi" w:hAnsiTheme="minorHAnsi"/>
          <w:bCs/>
          <w:snapToGrid w:val="0"/>
        </w:rPr>
        <w:t xml:space="preserve">The PBAC noted that </w:t>
      </w:r>
      <w:r w:rsidRPr="002B4AB6">
        <w:t xml:space="preserve">Cohort C from Vardhana 2018, which was used to represent the health outcomes of SOC in the base case of the </w:t>
      </w:r>
      <w:r w:rsidR="00AB35D0" w:rsidRPr="002B4AB6">
        <w:t xml:space="preserve">economic </w:t>
      </w:r>
      <w:r w:rsidRPr="002B4AB6">
        <w:t xml:space="preserve">model, consisted almost entirely of </w:t>
      </w:r>
      <w:r w:rsidRPr="00492CD9">
        <w:t>patients who were refractory to second line treatment, who had uniformly poor outcomes</w:t>
      </w:r>
      <w:r w:rsidR="009627E9" w:rsidRPr="00492CD9">
        <w:t xml:space="preserve"> (see paragraph 7.8)</w:t>
      </w:r>
      <w:r w:rsidRPr="00592C87">
        <w:t xml:space="preserve">. </w:t>
      </w:r>
      <w:r w:rsidR="003D6754" w:rsidRPr="00592C87">
        <w:t xml:space="preserve">The PBAC agreed with the ESC that the use </w:t>
      </w:r>
      <w:r w:rsidRPr="002B4AB6">
        <w:t>of alternative Vardhana 2018 cohorts may have been more appropriate</w:t>
      </w:r>
      <w:r w:rsidR="00463096" w:rsidRPr="002B4AB6">
        <w:t xml:space="preserve"> and </w:t>
      </w:r>
      <w:r w:rsidR="00AB35D0" w:rsidRPr="002B4AB6">
        <w:t>considered</w:t>
      </w:r>
      <w:r w:rsidR="00463096" w:rsidRPr="002B4AB6">
        <w:t xml:space="preserve"> that the sensitivity analyses provided in the resubmission did not allow assessment of the full extent of the uncertainty inherent in the choice of the cohort of patients</w:t>
      </w:r>
      <w:r w:rsidRPr="002B4AB6">
        <w:t xml:space="preserve">. </w:t>
      </w:r>
      <w:r w:rsidR="003D6754" w:rsidRPr="002B4AB6">
        <w:t>However, the</w:t>
      </w:r>
      <w:r w:rsidR="000547E3" w:rsidRPr="002B4AB6">
        <w:t xml:space="preserve"> PBAC considered that the use of </w:t>
      </w:r>
      <w:r w:rsidR="00463096" w:rsidRPr="002B4AB6">
        <w:t xml:space="preserve">alternative </w:t>
      </w:r>
      <w:r w:rsidR="000547E3" w:rsidRPr="002B4AB6">
        <w:t xml:space="preserve">cohorts </w:t>
      </w:r>
      <w:r w:rsidR="00463096" w:rsidRPr="002B4AB6">
        <w:t>would</w:t>
      </w:r>
      <w:r w:rsidR="000547E3" w:rsidRPr="002B4AB6">
        <w:t xml:space="preserve"> not address the fact that the study population in KN170 represented a more treatment experienced population than that in Vardhana 2018, or that the survival outcomes in the two studies were determined from different time-points.</w:t>
      </w:r>
      <w:r w:rsidR="00E033AE" w:rsidRPr="002B4AB6">
        <w:t xml:space="preserve"> </w:t>
      </w:r>
    </w:p>
    <w:p w:rsidR="00534564" w:rsidRPr="002B4AB6" w:rsidRDefault="00534564" w:rsidP="008F4DB8">
      <w:pPr>
        <w:widowControl w:val="0"/>
        <w:numPr>
          <w:ilvl w:val="1"/>
          <w:numId w:val="1"/>
        </w:numPr>
        <w:spacing w:after="120"/>
      </w:pPr>
      <w:r w:rsidRPr="002B4AB6">
        <w:t xml:space="preserve">The PBAC noted the considerable uncertainties with the magnitude of the clinical benefit were further magnified </w:t>
      </w:r>
      <w:r w:rsidR="001A21A3" w:rsidRPr="002B4AB6">
        <w:t>by</w:t>
      </w:r>
      <w:r w:rsidRPr="00492CD9">
        <w:t xml:space="preserve"> extrapolati</w:t>
      </w:r>
      <w:r w:rsidR="001A21A3" w:rsidRPr="00492CD9">
        <w:t xml:space="preserve">ng </w:t>
      </w:r>
      <w:r w:rsidRPr="00592C87">
        <w:t>the benefit over the 10-year time horizon in the model. The PBAC noted</w:t>
      </w:r>
      <w:r w:rsidRPr="002B4AB6">
        <w:t xml:space="preserve"> that reducing the time horizon of the model to 7.5 years increased the estimated ICER to </w:t>
      </w:r>
      <w:r w:rsidR="00AE08AA">
        <w:t>$55,000 to &lt;</w:t>
      </w:r>
      <w:r w:rsidR="00AC797D">
        <w:t> </w:t>
      </w:r>
      <w:r w:rsidR="00AE08AA">
        <w:t>$75,000</w:t>
      </w:r>
      <w:r w:rsidRPr="002B4AB6">
        <w:t xml:space="preserve">/QALY from a base case of </w:t>
      </w:r>
      <w:r w:rsidR="00AE08AA">
        <w:t>$45,000 to &lt;</w:t>
      </w:r>
      <w:r w:rsidR="00AC797D">
        <w:t> </w:t>
      </w:r>
      <w:r w:rsidR="00AE08AA">
        <w:t>$55,000</w:t>
      </w:r>
      <w:r w:rsidRPr="002B4AB6">
        <w:t xml:space="preserve">/QALY. The ICER further increased to </w:t>
      </w:r>
      <w:r w:rsidR="0077463A">
        <w:t>$75,000 to &lt;</w:t>
      </w:r>
      <w:r w:rsidR="00AC797D">
        <w:t> </w:t>
      </w:r>
      <w:r w:rsidR="0077463A">
        <w:t>$95,000</w:t>
      </w:r>
      <w:r w:rsidRPr="002B4AB6">
        <w:t>/QALY i</w:t>
      </w:r>
      <w:r w:rsidR="00F7366F" w:rsidRPr="002B4AB6">
        <w:t>f</w:t>
      </w:r>
      <w:r w:rsidRPr="002B4AB6">
        <w:t xml:space="preserve"> the survival curves were converged over the period</w:t>
      </w:r>
      <w:r w:rsidR="00F7366F" w:rsidRPr="002B4AB6">
        <w:t xml:space="preserve"> </w:t>
      </w:r>
      <w:r w:rsidRPr="002B4AB6">
        <w:t xml:space="preserve">from 3 to </w:t>
      </w:r>
      <w:r w:rsidR="00F7366F" w:rsidRPr="002B4AB6">
        <w:t xml:space="preserve">7.5 years. The PBAC considered the base case ICER to be highly uncertain and </w:t>
      </w:r>
      <w:r w:rsidR="008644CA" w:rsidRPr="002B4AB6">
        <w:t xml:space="preserve">unacceptably </w:t>
      </w:r>
      <w:r w:rsidR="00F7366F" w:rsidRPr="002B4AB6">
        <w:t xml:space="preserve">high </w:t>
      </w:r>
      <w:r w:rsidR="00FC69E7" w:rsidRPr="002B4AB6">
        <w:t xml:space="preserve">even in the context of a difficult to treat and relatively rare disease. The PBAC considered an ICER of </w:t>
      </w:r>
      <w:r w:rsidR="00B1734C">
        <w:t>$45,000 to &lt;</w:t>
      </w:r>
      <w:r w:rsidR="00AC797D">
        <w:t> </w:t>
      </w:r>
      <w:r w:rsidR="00B1734C">
        <w:t>$55,000</w:t>
      </w:r>
      <w:r w:rsidR="00FC69E7" w:rsidRPr="002B4AB6">
        <w:t xml:space="preserve">/QALY based on a </w:t>
      </w:r>
      <w:r w:rsidR="001A21A3" w:rsidRPr="002B4AB6">
        <w:t xml:space="preserve">model with a </w:t>
      </w:r>
      <w:r w:rsidR="00FC69E7" w:rsidRPr="002B4AB6">
        <w:t xml:space="preserve">7.5 year time horizon would be </w:t>
      </w:r>
      <w:r w:rsidR="00A978F2" w:rsidRPr="002B4AB6">
        <w:t>appropriate to ensure the drug is reasonably cost-effective</w:t>
      </w:r>
      <w:r w:rsidR="00FC69E7" w:rsidRPr="002B4AB6">
        <w:t xml:space="preserve">. </w:t>
      </w:r>
    </w:p>
    <w:p w:rsidR="008F72EA" w:rsidRPr="002B4AB6" w:rsidRDefault="008F72EA" w:rsidP="008F72EA">
      <w:pPr>
        <w:pStyle w:val="ExecSumBodyText"/>
        <w:numPr>
          <w:ilvl w:val="1"/>
          <w:numId w:val="1"/>
        </w:numPr>
      </w:pPr>
      <w:r w:rsidRPr="002B4AB6">
        <w:t xml:space="preserve">The PBAC noted the use of advice from ‘key scientific leaders’ in the determination of the proportion of patients who would be eligible for treatment with pembrolizumab in the financial estimates. The PBAC noted that feedback from </w:t>
      </w:r>
      <w:r w:rsidRPr="00492CD9">
        <w:rPr>
          <w:bCs/>
        </w:rPr>
        <w:t xml:space="preserve">eight </w:t>
      </w:r>
      <w:r w:rsidR="006902CA" w:rsidRPr="00492CD9">
        <w:rPr>
          <w:bCs/>
        </w:rPr>
        <w:t xml:space="preserve">Australian </w:t>
      </w:r>
      <w:r w:rsidRPr="002B4AB6">
        <w:rPr>
          <w:bCs/>
        </w:rPr>
        <w:t xml:space="preserve">haematologists estimated 15 patients per year would be eligible for treatment in Australia (see paragraph 6.3). </w:t>
      </w:r>
      <w:r w:rsidR="006902CA" w:rsidRPr="00492CD9">
        <w:rPr>
          <w:bCs/>
        </w:rPr>
        <w:t xml:space="preserve">The PBAC noted the financial estimates were uncertain </w:t>
      </w:r>
      <w:r w:rsidR="006902CA" w:rsidRPr="00492CD9">
        <w:rPr>
          <w:bCs/>
        </w:rPr>
        <w:lastRenderedPageBreak/>
        <w:t>and a</w:t>
      </w:r>
      <w:r w:rsidR="006902CA" w:rsidRPr="002B4AB6">
        <w:rPr>
          <w:bCs/>
        </w:rPr>
        <w:t xml:space="preserve"> number of assumptions informing these estimates could not be assessed or verified during the evaluation process. As such, the PBAC considered the </w:t>
      </w:r>
      <w:r w:rsidR="00A978F2" w:rsidRPr="002B4AB6">
        <w:rPr>
          <w:bCs/>
        </w:rPr>
        <w:t xml:space="preserve">patient </w:t>
      </w:r>
      <w:r w:rsidR="006902CA" w:rsidRPr="002B4AB6">
        <w:rPr>
          <w:bCs/>
        </w:rPr>
        <w:t xml:space="preserve">estimates should </w:t>
      </w:r>
      <w:r w:rsidR="002F12ED" w:rsidRPr="002B4AB6">
        <w:rPr>
          <w:bCs/>
        </w:rPr>
        <w:t>correspond</w:t>
      </w:r>
      <w:r w:rsidR="006902CA" w:rsidRPr="002B4AB6">
        <w:rPr>
          <w:bCs/>
        </w:rPr>
        <w:t xml:space="preserve"> with the </w:t>
      </w:r>
      <w:r w:rsidR="00AF76CA" w:rsidRPr="002B4AB6">
        <w:rPr>
          <w:bCs/>
        </w:rPr>
        <w:t>estimated number of patients eligible for treatment</w:t>
      </w:r>
      <w:r w:rsidR="006902CA" w:rsidRPr="002B4AB6">
        <w:rPr>
          <w:bCs/>
        </w:rPr>
        <w:t xml:space="preserve"> provided by the eight Australian haematologists</w:t>
      </w:r>
      <w:r w:rsidR="002B4AB6">
        <w:rPr>
          <w:bCs/>
        </w:rPr>
        <w:t xml:space="preserve">. </w:t>
      </w:r>
    </w:p>
    <w:p w:rsidR="00D263E9" w:rsidRPr="00F2158A" w:rsidRDefault="00DC23A2" w:rsidP="00F2158A">
      <w:pPr>
        <w:widowControl w:val="0"/>
        <w:numPr>
          <w:ilvl w:val="1"/>
          <w:numId w:val="1"/>
        </w:numPr>
        <w:spacing w:after="120"/>
        <w:rPr>
          <w:rFonts w:asciiTheme="minorHAnsi" w:hAnsiTheme="minorHAnsi"/>
          <w:bCs/>
          <w:snapToGrid w:val="0"/>
        </w:rPr>
      </w:pPr>
      <w:r w:rsidRPr="002B4AB6">
        <w:t xml:space="preserve">The PBAC </w:t>
      </w:r>
      <w:r w:rsidR="00946DDB" w:rsidRPr="002B4AB6">
        <w:t>recommended</w:t>
      </w:r>
      <w:r w:rsidRPr="00492CD9">
        <w:t xml:space="preserve"> that</w:t>
      </w:r>
      <w:r w:rsidR="00465F9A" w:rsidRPr="00492CD9">
        <w:t xml:space="preserve"> </w:t>
      </w:r>
      <w:r w:rsidR="00946DDB" w:rsidRPr="00592C87">
        <w:t xml:space="preserve">a </w:t>
      </w:r>
      <w:r w:rsidR="00465F9A" w:rsidRPr="00592C87">
        <w:t xml:space="preserve">RSA </w:t>
      </w:r>
      <w:r w:rsidR="00946DDB" w:rsidRPr="00592C87">
        <w:t>would be appropriate to mitigate any residual uncertainties regarding the size of the eligible pembrolizumab population.</w:t>
      </w:r>
      <w:r w:rsidRPr="002B4AB6">
        <w:t xml:space="preserve"> </w:t>
      </w:r>
      <w:r w:rsidR="00946DDB" w:rsidRPr="002B4AB6">
        <w:t xml:space="preserve">The PBAC considered that </w:t>
      </w:r>
      <w:r w:rsidRPr="002B4AB6">
        <w:t xml:space="preserve">a </w:t>
      </w:r>
      <w:r w:rsidR="00946DDB" w:rsidRPr="002B4AB6">
        <w:t xml:space="preserve">RSA separate to existing arrangements for R/R Hodgkin lymphoma </w:t>
      </w:r>
      <w:r w:rsidRPr="002B4AB6">
        <w:t xml:space="preserve">would be </w:t>
      </w:r>
      <w:r w:rsidR="00946DDB" w:rsidRPr="002B4AB6">
        <w:t>appropriate</w:t>
      </w:r>
      <w:r w:rsidRPr="002B4AB6">
        <w:t xml:space="preserve"> for the R/R PMBCL population</w:t>
      </w:r>
      <w:r w:rsidR="00706386" w:rsidRPr="002B4AB6">
        <w:t xml:space="preserve"> given they are two distinct patient populations</w:t>
      </w:r>
      <w:r w:rsidR="00946DDB" w:rsidRPr="002B4AB6">
        <w:t xml:space="preserve">. The PBAC advised the R/R PMBCL RSA should be based on the </w:t>
      </w:r>
      <w:r w:rsidR="008A5FDF" w:rsidRPr="002B4AB6">
        <w:t>financial estimates</w:t>
      </w:r>
      <w:r w:rsidR="00644C3C" w:rsidRPr="002B4AB6">
        <w:t xml:space="preserve"> </w:t>
      </w:r>
      <w:r w:rsidR="008A5FDF" w:rsidRPr="002B4AB6">
        <w:t xml:space="preserve">with </w:t>
      </w:r>
      <w:r w:rsidR="00946DDB" w:rsidRPr="002B4AB6">
        <w:t>adju</w:t>
      </w:r>
      <w:r w:rsidR="00560577" w:rsidRPr="002B4AB6">
        <w:t>st</w:t>
      </w:r>
      <w:r w:rsidR="008A5FDF" w:rsidRPr="002B4AB6">
        <w:t>ments for the</w:t>
      </w:r>
      <w:r w:rsidR="00574097" w:rsidRPr="002B4AB6">
        <w:t xml:space="preserve"> pembrolizumab price as outlined in paragraph 7.12</w:t>
      </w:r>
      <w:r w:rsidR="008A5FDF" w:rsidRPr="002B4AB6">
        <w:t xml:space="preserve"> and</w:t>
      </w:r>
      <w:r w:rsidR="00560577" w:rsidRPr="002B4AB6">
        <w:t xml:space="preserve"> number of treated patients</w:t>
      </w:r>
      <w:r w:rsidR="00946DDB" w:rsidRPr="002B4AB6">
        <w:t xml:space="preserve"> </w:t>
      </w:r>
      <w:r w:rsidR="008A5FDF" w:rsidRPr="002B4AB6">
        <w:t>as outlined</w:t>
      </w:r>
      <w:r w:rsidR="00946DDB" w:rsidRPr="002B4AB6">
        <w:t xml:space="preserve"> in paragraph 7.1</w:t>
      </w:r>
      <w:r w:rsidR="002F12ED" w:rsidRPr="002B4AB6">
        <w:t>3</w:t>
      </w:r>
      <w:r w:rsidR="008A5FDF" w:rsidRPr="002B4AB6">
        <w:t xml:space="preserve">. The PBAC </w:t>
      </w:r>
      <w:r w:rsidR="00706386" w:rsidRPr="002B4AB6">
        <w:t xml:space="preserve">further </w:t>
      </w:r>
      <w:r w:rsidR="008A5FDF" w:rsidRPr="002B4AB6">
        <w:t xml:space="preserve">advised </w:t>
      </w:r>
      <w:r w:rsidRPr="002B4AB6">
        <w:t xml:space="preserve">a </w:t>
      </w:r>
      <w:r w:rsidR="00465F9A" w:rsidRPr="002B4AB6">
        <w:t>rebate</w:t>
      </w:r>
      <w:r w:rsidR="002F12ED" w:rsidRPr="002B4AB6">
        <w:t xml:space="preserve"> of </w:t>
      </w:r>
      <w:r w:rsidR="004278F1">
        <w:rPr>
          <w:noProof/>
          <w:color w:val="000000"/>
          <w:highlight w:val="black"/>
        </w:rPr>
        <w:t>'''''''</w:t>
      </w:r>
      <w:r w:rsidR="002F12ED" w:rsidRPr="002B4AB6">
        <w:t>%</w:t>
      </w:r>
      <w:r w:rsidR="00465F9A" w:rsidRPr="002B4AB6">
        <w:t xml:space="preserve"> for use exceeding the </w:t>
      </w:r>
      <w:r w:rsidR="008A5FDF" w:rsidRPr="002B4AB6">
        <w:t xml:space="preserve">financial </w:t>
      </w:r>
      <w:r w:rsidR="00465F9A" w:rsidRPr="002B4AB6">
        <w:t>caps</w:t>
      </w:r>
      <w:r w:rsidR="008A5FDF" w:rsidRPr="00492CD9">
        <w:t xml:space="preserve"> would be appropriate</w:t>
      </w:r>
      <w:r w:rsidR="00465F9A" w:rsidRPr="00492CD9">
        <w:t>.</w:t>
      </w:r>
    </w:p>
    <w:p w:rsidR="00216BC2" w:rsidRDefault="00216BC2" w:rsidP="001727F1">
      <w:pPr>
        <w:widowControl w:val="0"/>
        <w:numPr>
          <w:ilvl w:val="1"/>
          <w:numId w:val="1"/>
        </w:numPr>
        <w:spacing w:after="120"/>
      </w:pPr>
      <w:r>
        <w:t xml:space="preserve">The PBAC recommended a grandfather listing be in operation for 12 months to transition the small number of patients commenced on non-PBS subsidised treatment to PBS-subsidised treatment. </w:t>
      </w:r>
    </w:p>
    <w:p w:rsidR="000B46D2" w:rsidRPr="00492CD9" w:rsidRDefault="000B46D2" w:rsidP="001727F1">
      <w:pPr>
        <w:widowControl w:val="0"/>
        <w:numPr>
          <w:ilvl w:val="1"/>
          <w:numId w:val="1"/>
        </w:numPr>
        <w:spacing w:after="120"/>
      </w:pPr>
      <w:r w:rsidRPr="00492CD9">
        <w:t xml:space="preserve">The PBAC advised that pembrolizumab is not suitable for prescribing by nurse practitioners. </w:t>
      </w:r>
    </w:p>
    <w:p w:rsidR="005032D4" w:rsidRPr="00F2158A" w:rsidRDefault="0065124D" w:rsidP="008F4DB8">
      <w:pPr>
        <w:widowControl w:val="0"/>
        <w:numPr>
          <w:ilvl w:val="1"/>
          <w:numId w:val="1"/>
        </w:numPr>
        <w:spacing w:after="120"/>
        <w:rPr>
          <w:rFonts w:asciiTheme="minorHAnsi" w:hAnsiTheme="minorHAnsi"/>
          <w:bCs/>
          <w:snapToGrid w:val="0"/>
        </w:rPr>
      </w:pPr>
      <w:r w:rsidRPr="00F2158A">
        <w:rPr>
          <w:rFonts w:asciiTheme="minorHAnsi" w:hAnsiTheme="minorHAnsi"/>
          <w:bCs/>
          <w:snapToGrid w:val="0"/>
        </w:rPr>
        <w:t xml:space="preserve">The PBAC </w:t>
      </w:r>
      <w:r w:rsidR="000B46D2" w:rsidRPr="00F2158A">
        <w:rPr>
          <w:rFonts w:asciiTheme="minorHAnsi" w:hAnsiTheme="minorHAnsi"/>
          <w:bCs/>
          <w:snapToGrid w:val="0"/>
        </w:rPr>
        <w:t xml:space="preserve">recommended that </w:t>
      </w:r>
      <w:r w:rsidRPr="00F2158A">
        <w:rPr>
          <w:rFonts w:asciiTheme="minorHAnsi" w:hAnsiTheme="minorHAnsi"/>
          <w:bCs/>
          <w:snapToGrid w:val="0"/>
        </w:rPr>
        <w:t xml:space="preserve">the Early Supply Rule </w:t>
      </w:r>
      <w:r w:rsidR="000B46D2" w:rsidRPr="00F2158A">
        <w:rPr>
          <w:rFonts w:asciiTheme="minorHAnsi" w:hAnsiTheme="minorHAnsi"/>
          <w:bCs/>
          <w:snapToGrid w:val="0"/>
        </w:rPr>
        <w:t xml:space="preserve">should </w:t>
      </w:r>
      <w:r w:rsidR="00630D88" w:rsidRPr="00F2158A">
        <w:rPr>
          <w:rFonts w:asciiTheme="minorHAnsi" w:hAnsiTheme="minorHAnsi"/>
          <w:bCs/>
          <w:snapToGrid w:val="0"/>
        </w:rPr>
        <w:t>not apply.</w:t>
      </w:r>
    </w:p>
    <w:p w:rsidR="002B46D5" w:rsidRPr="00F2158A" w:rsidRDefault="002B46D5" w:rsidP="002B46D5">
      <w:pPr>
        <w:pStyle w:val="3-BodyText"/>
        <w:spacing w:after="120"/>
        <w:rPr>
          <w:snapToGrid/>
        </w:rPr>
      </w:pPr>
      <w:r w:rsidRPr="00F2158A">
        <w:rPr>
          <w:snapToGrid/>
        </w:rPr>
        <w:t>The PBAC found that the criteria prescribed by the National Health (Pharmaceutical and Vaccines – Cost Recovery) Regulations 2009 for Pricing Pathway A were not met. Specifically, the PBAC found that in the circumstances of its recommendation for pembrolizumab:</w:t>
      </w:r>
    </w:p>
    <w:p w:rsidR="002B46D5" w:rsidRPr="00F2158A" w:rsidRDefault="004114FB" w:rsidP="002B46D5">
      <w:pPr>
        <w:pStyle w:val="3-BodyText"/>
        <w:numPr>
          <w:ilvl w:val="1"/>
          <w:numId w:val="17"/>
        </w:numPr>
        <w:spacing w:after="120"/>
        <w:ind w:left="964" w:hanging="284"/>
      </w:pPr>
      <w:r w:rsidRPr="00F2158A">
        <w:t xml:space="preserve">The treatment is not </w:t>
      </w:r>
      <w:r w:rsidR="002B46D5" w:rsidRPr="00F2158A">
        <w:t xml:space="preserve">expected to provide a substantial and clinically relevant improvement in efficacy over </w:t>
      </w:r>
      <w:r w:rsidR="00592C87" w:rsidRPr="00F2158A">
        <w:t>S</w:t>
      </w:r>
      <w:r w:rsidR="00592C87">
        <w:t>O</w:t>
      </w:r>
      <w:r w:rsidR="00592C87" w:rsidRPr="00F2158A">
        <w:t>C</w:t>
      </w:r>
      <w:r w:rsidRPr="00F2158A">
        <w:t xml:space="preserve">. The PBAC considered this criteria was not met as </w:t>
      </w:r>
      <w:r w:rsidR="008644CA" w:rsidRPr="00F2158A">
        <w:t>the available</w:t>
      </w:r>
      <w:r w:rsidRPr="00F2158A">
        <w:t xml:space="preserve"> data</w:t>
      </w:r>
      <w:r w:rsidR="008644CA" w:rsidRPr="00F2158A">
        <w:t xml:space="preserve"> did not allow a reliable assessment of the magnitude of the incremental benefit</w:t>
      </w:r>
      <w:r w:rsidR="002B46D5" w:rsidRPr="00F2158A">
        <w:t>;</w:t>
      </w:r>
    </w:p>
    <w:p w:rsidR="002B46D5" w:rsidRPr="00F2158A" w:rsidRDefault="002B46D5" w:rsidP="002B46D5">
      <w:pPr>
        <w:pStyle w:val="3-BodyText"/>
        <w:numPr>
          <w:ilvl w:val="1"/>
          <w:numId w:val="17"/>
        </w:numPr>
        <w:spacing w:after="120"/>
        <w:ind w:left="964" w:hanging="284"/>
      </w:pPr>
      <w:r w:rsidRPr="00F2158A">
        <w:t xml:space="preserve">The treatment is expected to address a high and urgent unmet clinical need; and </w:t>
      </w:r>
    </w:p>
    <w:p w:rsidR="002B46D5" w:rsidRPr="00F2158A" w:rsidRDefault="002B46D5" w:rsidP="002B46D5">
      <w:pPr>
        <w:pStyle w:val="3-BodyText"/>
        <w:numPr>
          <w:ilvl w:val="1"/>
          <w:numId w:val="17"/>
        </w:numPr>
        <w:spacing w:after="120"/>
        <w:ind w:left="964" w:hanging="284"/>
      </w:pPr>
      <w:r w:rsidRPr="002B4AB6">
        <w:rPr>
          <w:rFonts w:cstheme="minorHAnsi"/>
        </w:rPr>
        <w:t>It was not necessary to make a finding in relation to whether it would be in the public interest for the subsequent pricing application to be progressed under Pricing Pathway A because one or more of the preceding tests had failed.</w:t>
      </w:r>
    </w:p>
    <w:p w:rsidR="005032D4" w:rsidRPr="00492CD9" w:rsidRDefault="005032D4" w:rsidP="005032D4">
      <w:pPr>
        <w:pStyle w:val="3Bodytext"/>
        <w:numPr>
          <w:ilvl w:val="1"/>
          <w:numId w:val="1"/>
        </w:numPr>
        <w:rPr>
          <w:snapToGrid w:val="0"/>
        </w:rPr>
      </w:pPr>
      <w:r w:rsidRPr="002B4AB6">
        <w:rPr>
          <w:snapToGrid w:val="0"/>
        </w:rPr>
        <w:t xml:space="preserve">The PBAC noted that this submission was not eligible for an Independent Review as it received a positive recommendation. </w:t>
      </w:r>
    </w:p>
    <w:p w:rsidR="0065124D" w:rsidRPr="00F2158A" w:rsidRDefault="0065124D" w:rsidP="005032D4">
      <w:pPr>
        <w:widowControl w:val="0"/>
        <w:spacing w:after="120"/>
        <w:rPr>
          <w:rFonts w:asciiTheme="minorHAnsi" w:hAnsiTheme="minorHAnsi"/>
          <w:bCs/>
          <w:snapToGrid w:val="0"/>
        </w:rPr>
      </w:pPr>
      <w:r w:rsidRPr="00F2158A">
        <w:rPr>
          <w:rFonts w:asciiTheme="minorHAnsi" w:hAnsiTheme="minorHAnsi"/>
          <w:b/>
          <w:bCs/>
          <w:snapToGrid w:val="0"/>
        </w:rPr>
        <w:t>Outcome:</w:t>
      </w:r>
    </w:p>
    <w:p w:rsidR="0065124D" w:rsidRPr="00F2158A" w:rsidRDefault="0065124D" w:rsidP="0065124D">
      <w:pPr>
        <w:rPr>
          <w:rFonts w:asciiTheme="minorHAnsi" w:hAnsiTheme="minorHAnsi"/>
          <w:bCs/>
          <w:snapToGrid w:val="0"/>
        </w:rPr>
      </w:pPr>
      <w:r w:rsidRPr="00F2158A">
        <w:rPr>
          <w:rFonts w:asciiTheme="minorHAnsi" w:hAnsiTheme="minorHAnsi"/>
          <w:bCs/>
          <w:snapToGrid w:val="0"/>
        </w:rPr>
        <w:t xml:space="preserve">Recommended </w:t>
      </w:r>
    </w:p>
    <w:p w:rsidR="0065124D" w:rsidRPr="00F2158A" w:rsidRDefault="0065124D" w:rsidP="00A60853">
      <w:pPr>
        <w:pStyle w:val="2-SectionHeading"/>
        <w:rPr>
          <w:i/>
        </w:rPr>
      </w:pPr>
      <w:r w:rsidRPr="00F2158A">
        <w:t>Recommended listing</w:t>
      </w:r>
    </w:p>
    <w:p w:rsidR="0065124D" w:rsidRPr="00492CD9" w:rsidRDefault="0065124D" w:rsidP="005E1B81">
      <w:pPr>
        <w:pStyle w:val="3-BodyText"/>
      </w:pPr>
      <w:r w:rsidRPr="002B4AB6">
        <w:t>A</w:t>
      </w:r>
      <w:r w:rsidR="005E1B81" w:rsidRPr="002B4AB6">
        <w:t>dd new</w:t>
      </w:r>
      <w:r w:rsidR="00614F93">
        <w:t xml:space="preserve"> indication</w:t>
      </w:r>
      <w:r w:rsidRPr="002B4AB6">
        <w:rPr>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2"/>
        <w:gridCol w:w="1077"/>
        <w:gridCol w:w="941"/>
        <w:gridCol w:w="808"/>
        <w:gridCol w:w="2559"/>
      </w:tblGrid>
      <w:tr w:rsidR="000205BB" w:rsidRPr="002B4AB6" w:rsidTr="002772F1">
        <w:trPr>
          <w:cantSplit/>
          <w:trHeight w:val="471"/>
        </w:trPr>
        <w:tc>
          <w:tcPr>
            <w:tcW w:w="2014" w:type="pct"/>
          </w:tcPr>
          <w:bookmarkEnd w:id="53"/>
          <w:bookmarkEnd w:id="54"/>
          <w:p w:rsidR="000205BB" w:rsidRPr="002B4AB6" w:rsidRDefault="000205BB" w:rsidP="001D6A8C">
            <w:pPr>
              <w:keepNext/>
              <w:ind w:left="-108"/>
              <w:rPr>
                <w:rFonts w:ascii="Arial Narrow" w:eastAsiaTheme="minorHAnsi" w:hAnsi="Arial Narrow"/>
                <w:b/>
                <w:sz w:val="18"/>
                <w:szCs w:val="18"/>
              </w:rPr>
            </w:pPr>
            <w:r w:rsidRPr="002B4AB6">
              <w:rPr>
                <w:rFonts w:ascii="Arial Narrow" w:eastAsiaTheme="minorHAnsi" w:hAnsi="Arial Narrow"/>
                <w:b/>
                <w:sz w:val="18"/>
                <w:szCs w:val="18"/>
              </w:rPr>
              <w:lastRenderedPageBreak/>
              <w:t>Name, Restriction,</w:t>
            </w:r>
          </w:p>
          <w:p w:rsidR="000205BB" w:rsidRPr="002B4AB6" w:rsidRDefault="000205BB" w:rsidP="001D6A8C">
            <w:pPr>
              <w:keepNext/>
              <w:ind w:left="-108"/>
              <w:rPr>
                <w:rFonts w:ascii="Arial Narrow" w:eastAsiaTheme="minorHAnsi" w:hAnsi="Arial Narrow"/>
                <w:b/>
                <w:sz w:val="18"/>
                <w:szCs w:val="18"/>
              </w:rPr>
            </w:pPr>
            <w:r w:rsidRPr="002B4AB6">
              <w:rPr>
                <w:rFonts w:ascii="Arial Narrow" w:eastAsiaTheme="minorHAnsi" w:hAnsi="Arial Narrow"/>
                <w:b/>
                <w:sz w:val="18"/>
                <w:szCs w:val="18"/>
              </w:rPr>
              <w:t>Manner of administration and form</w:t>
            </w:r>
          </w:p>
        </w:tc>
        <w:tc>
          <w:tcPr>
            <w:tcW w:w="597" w:type="pct"/>
          </w:tcPr>
          <w:p w:rsidR="000205BB" w:rsidRPr="002B4AB6" w:rsidRDefault="000205BB" w:rsidP="001D6A8C">
            <w:pPr>
              <w:keepNext/>
              <w:ind w:left="-108"/>
              <w:jc w:val="center"/>
              <w:rPr>
                <w:rFonts w:ascii="Arial Narrow" w:eastAsiaTheme="minorHAnsi" w:hAnsi="Arial Narrow"/>
                <w:b/>
                <w:sz w:val="18"/>
                <w:szCs w:val="18"/>
              </w:rPr>
            </w:pPr>
            <w:r w:rsidRPr="002B4AB6">
              <w:rPr>
                <w:rFonts w:ascii="Arial Narrow" w:eastAsiaTheme="minorHAnsi" w:hAnsi="Arial Narrow"/>
                <w:b/>
                <w:sz w:val="18"/>
                <w:szCs w:val="18"/>
              </w:rPr>
              <w:t>PBS item code</w:t>
            </w:r>
          </w:p>
        </w:tc>
        <w:tc>
          <w:tcPr>
            <w:tcW w:w="522" w:type="pct"/>
          </w:tcPr>
          <w:p w:rsidR="000205BB" w:rsidRPr="002B4AB6" w:rsidRDefault="000205BB" w:rsidP="001D6A8C">
            <w:pPr>
              <w:keepNext/>
              <w:ind w:left="-108"/>
              <w:jc w:val="center"/>
              <w:rPr>
                <w:rFonts w:ascii="Arial Narrow" w:eastAsiaTheme="minorHAnsi" w:hAnsi="Arial Narrow"/>
                <w:b/>
                <w:sz w:val="18"/>
                <w:szCs w:val="18"/>
              </w:rPr>
            </w:pPr>
            <w:r w:rsidRPr="002B4AB6">
              <w:rPr>
                <w:rFonts w:ascii="Arial Narrow" w:eastAsiaTheme="minorHAnsi" w:hAnsi="Arial Narrow"/>
                <w:b/>
                <w:sz w:val="18"/>
                <w:szCs w:val="18"/>
              </w:rPr>
              <w:t>Max.</w:t>
            </w:r>
          </w:p>
          <w:p w:rsidR="000205BB" w:rsidRPr="002B4AB6" w:rsidRDefault="000205BB" w:rsidP="001D6A8C">
            <w:pPr>
              <w:keepNext/>
              <w:ind w:left="-108"/>
              <w:jc w:val="center"/>
              <w:rPr>
                <w:rFonts w:ascii="Arial Narrow" w:eastAsiaTheme="minorHAnsi" w:hAnsi="Arial Narrow"/>
                <w:b/>
                <w:sz w:val="18"/>
                <w:szCs w:val="18"/>
              </w:rPr>
            </w:pPr>
            <w:r w:rsidRPr="002B4AB6">
              <w:rPr>
                <w:rFonts w:ascii="Arial Narrow" w:eastAsiaTheme="minorHAnsi" w:hAnsi="Arial Narrow"/>
                <w:b/>
                <w:sz w:val="18"/>
                <w:szCs w:val="18"/>
              </w:rPr>
              <w:t>Amount</w:t>
            </w:r>
          </w:p>
        </w:tc>
        <w:tc>
          <w:tcPr>
            <w:tcW w:w="448" w:type="pct"/>
          </w:tcPr>
          <w:p w:rsidR="000205BB" w:rsidRPr="002B4AB6" w:rsidRDefault="000205BB" w:rsidP="001D6A8C">
            <w:pPr>
              <w:keepNext/>
              <w:ind w:left="-108"/>
              <w:jc w:val="center"/>
              <w:rPr>
                <w:rFonts w:ascii="Arial Narrow" w:eastAsiaTheme="minorHAnsi" w:hAnsi="Arial Narrow"/>
                <w:b/>
                <w:sz w:val="18"/>
                <w:szCs w:val="18"/>
              </w:rPr>
            </w:pPr>
            <w:r w:rsidRPr="002B4AB6">
              <w:rPr>
                <w:rFonts w:ascii="Arial Narrow" w:eastAsiaTheme="minorHAnsi" w:hAnsi="Arial Narrow"/>
                <w:b/>
                <w:sz w:val="18"/>
                <w:szCs w:val="18"/>
              </w:rPr>
              <w:t>№.of</w:t>
            </w:r>
          </w:p>
          <w:p w:rsidR="000205BB" w:rsidRPr="002B4AB6" w:rsidRDefault="000205BB" w:rsidP="001D6A8C">
            <w:pPr>
              <w:keepNext/>
              <w:ind w:left="-108"/>
              <w:jc w:val="center"/>
              <w:rPr>
                <w:rFonts w:ascii="Arial Narrow" w:eastAsiaTheme="minorHAnsi" w:hAnsi="Arial Narrow"/>
                <w:b/>
                <w:sz w:val="18"/>
                <w:szCs w:val="18"/>
              </w:rPr>
            </w:pPr>
            <w:r w:rsidRPr="002B4AB6">
              <w:rPr>
                <w:rFonts w:ascii="Arial Narrow" w:eastAsiaTheme="minorHAnsi" w:hAnsi="Arial Narrow"/>
                <w:b/>
                <w:sz w:val="18"/>
                <w:szCs w:val="18"/>
              </w:rPr>
              <w:t>Rpts</w:t>
            </w:r>
          </w:p>
        </w:tc>
        <w:tc>
          <w:tcPr>
            <w:tcW w:w="1419" w:type="pct"/>
          </w:tcPr>
          <w:p w:rsidR="000205BB" w:rsidRPr="00F2158A" w:rsidRDefault="000205BB" w:rsidP="001D6A8C">
            <w:pPr>
              <w:keepNext/>
              <w:rPr>
                <w:rFonts w:ascii="Arial Narrow" w:eastAsiaTheme="minorHAnsi" w:hAnsi="Arial Narrow"/>
                <w:b/>
                <w:sz w:val="18"/>
                <w:szCs w:val="18"/>
              </w:rPr>
            </w:pPr>
            <w:r w:rsidRPr="002B4AB6">
              <w:rPr>
                <w:rFonts w:ascii="Arial Narrow" w:eastAsiaTheme="minorHAnsi" w:hAnsi="Arial Narrow"/>
                <w:b/>
                <w:sz w:val="18"/>
                <w:szCs w:val="18"/>
              </w:rPr>
              <w:t>Manufacturer</w:t>
            </w:r>
          </w:p>
        </w:tc>
      </w:tr>
      <w:tr w:rsidR="000205BB" w:rsidRPr="002B4AB6" w:rsidTr="002772F1">
        <w:trPr>
          <w:cantSplit/>
          <w:trHeight w:val="577"/>
        </w:trPr>
        <w:tc>
          <w:tcPr>
            <w:tcW w:w="2014" w:type="pct"/>
          </w:tcPr>
          <w:p w:rsidR="000205BB" w:rsidRPr="002B4AB6" w:rsidRDefault="000205BB" w:rsidP="001D6A8C">
            <w:pPr>
              <w:keepNext/>
              <w:ind w:left="-108"/>
              <w:rPr>
                <w:rFonts w:ascii="Arial Narrow" w:eastAsiaTheme="minorHAnsi" w:hAnsi="Arial Narrow"/>
                <w:sz w:val="18"/>
                <w:szCs w:val="18"/>
              </w:rPr>
            </w:pPr>
            <w:r w:rsidRPr="002B4AB6">
              <w:rPr>
                <w:rFonts w:ascii="Arial Narrow" w:eastAsiaTheme="minorHAnsi" w:hAnsi="Arial Narrow"/>
                <w:sz w:val="18"/>
                <w:szCs w:val="18"/>
              </w:rPr>
              <w:t xml:space="preserve">PEMBROLIZUMAB </w:t>
            </w:r>
          </w:p>
          <w:p w:rsidR="000205BB" w:rsidRPr="002B4AB6" w:rsidRDefault="000205BB" w:rsidP="001D6A8C">
            <w:pPr>
              <w:keepNext/>
              <w:ind w:left="-108"/>
              <w:rPr>
                <w:rFonts w:ascii="Arial Narrow" w:eastAsiaTheme="minorHAnsi" w:hAnsi="Arial Narrow"/>
                <w:sz w:val="18"/>
                <w:szCs w:val="18"/>
              </w:rPr>
            </w:pPr>
            <w:r w:rsidRPr="002B4AB6">
              <w:rPr>
                <w:rFonts w:ascii="Arial Narrow" w:eastAsiaTheme="minorHAnsi" w:hAnsi="Arial Narrow" w:cs="Arial Narrow"/>
                <w:sz w:val="20"/>
                <w:szCs w:val="20"/>
              </w:rPr>
              <w:t>Injection</w:t>
            </w:r>
          </w:p>
        </w:tc>
        <w:tc>
          <w:tcPr>
            <w:tcW w:w="597" w:type="pct"/>
          </w:tcPr>
          <w:p w:rsidR="000205BB" w:rsidRPr="002B4AB6" w:rsidRDefault="000205BB" w:rsidP="001D6A8C">
            <w:pPr>
              <w:keepNext/>
              <w:rPr>
                <w:rFonts w:ascii="Arial Narrow" w:eastAsiaTheme="minorHAnsi" w:hAnsi="Arial Narrow"/>
                <w:sz w:val="18"/>
                <w:szCs w:val="18"/>
              </w:rPr>
            </w:pPr>
          </w:p>
          <w:p w:rsidR="000205BB" w:rsidRPr="002B4AB6" w:rsidRDefault="000205BB" w:rsidP="001D6A8C">
            <w:pPr>
              <w:keepNext/>
              <w:ind w:left="-108"/>
              <w:jc w:val="center"/>
              <w:rPr>
                <w:rFonts w:ascii="Arial Narrow" w:eastAsiaTheme="minorHAnsi" w:hAnsi="Arial Narrow"/>
                <w:sz w:val="18"/>
                <w:szCs w:val="18"/>
              </w:rPr>
            </w:pPr>
            <w:r w:rsidRPr="002B4AB6">
              <w:rPr>
                <w:rFonts w:ascii="Arial Narrow" w:eastAsiaTheme="minorHAnsi" w:hAnsi="Arial Narrow"/>
                <w:sz w:val="18"/>
                <w:szCs w:val="18"/>
              </w:rPr>
              <w:t>NEW (Public)</w:t>
            </w:r>
          </w:p>
          <w:p w:rsidR="000205BB" w:rsidRPr="002B4AB6" w:rsidRDefault="000205BB" w:rsidP="001D6A8C">
            <w:pPr>
              <w:keepNext/>
              <w:ind w:left="-108"/>
              <w:jc w:val="center"/>
              <w:rPr>
                <w:rFonts w:ascii="Arial Narrow" w:eastAsiaTheme="minorHAnsi" w:hAnsi="Arial Narrow"/>
                <w:sz w:val="18"/>
                <w:szCs w:val="18"/>
              </w:rPr>
            </w:pPr>
            <w:r w:rsidRPr="002B4AB6">
              <w:rPr>
                <w:rFonts w:ascii="Arial Narrow" w:eastAsiaTheme="minorHAnsi" w:hAnsi="Arial Narrow"/>
                <w:sz w:val="18"/>
                <w:szCs w:val="18"/>
              </w:rPr>
              <w:t>NEW (Private)</w:t>
            </w:r>
          </w:p>
        </w:tc>
        <w:tc>
          <w:tcPr>
            <w:tcW w:w="522" w:type="pct"/>
          </w:tcPr>
          <w:p w:rsidR="000205BB" w:rsidRPr="002B4AB6" w:rsidRDefault="000205BB" w:rsidP="001D6A8C">
            <w:pPr>
              <w:keepNext/>
              <w:ind w:left="-108"/>
              <w:jc w:val="center"/>
              <w:rPr>
                <w:rFonts w:ascii="Arial Narrow" w:eastAsiaTheme="minorHAnsi" w:hAnsi="Arial Narrow"/>
                <w:sz w:val="18"/>
                <w:szCs w:val="18"/>
              </w:rPr>
            </w:pPr>
          </w:p>
          <w:p w:rsidR="000205BB" w:rsidRPr="002B4AB6" w:rsidRDefault="000205BB" w:rsidP="001D6A8C">
            <w:pPr>
              <w:keepNext/>
              <w:ind w:left="-108"/>
              <w:jc w:val="center"/>
              <w:rPr>
                <w:rFonts w:ascii="Arial Narrow" w:eastAsiaTheme="minorHAnsi" w:hAnsi="Arial Narrow"/>
                <w:sz w:val="18"/>
                <w:szCs w:val="18"/>
              </w:rPr>
            </w:pPr>
            <w:r w:rsidRPr="002B4AB6">
              <w:rPr>
                <w:rFonts w:ascii="Arial Narrow" w:eastAsiaTheme="minorHAnsi" w:hAnsi="Arial Narrow"/>
                <w:sz w:val="18"/>
                <w:szCs w:val="18"/>
              </w:rPr>
              <w:t>200 mg</w:t>
            </w:r>
          </w:p>
        </w:tc>
        <w:tc>
          <w:tcPr>
            <w:tcW w:w="448" w:type="pct"/>
          </w:tcPr>
          <w:p w:rsidR="000205BB" w:rsidRPr="002B4AB6" w:rsidRDefault="000205BB" w:rsidP="001D6A8C">
            <w:pPr>
              <w:keepNext/>
              <w:ind w:left="-108"/>
              <w:jc w:val="center"/>
              <w:rPr>
                <w:rFonts w:ascii="Arial Narrow" w:eastAsiaTheme="minorHAnsi" w:hAnsi="Arial Narrow"/>
                <w:i/>
                <w:sz w:val="18"/>
                <w:szCs w:val="18"/>
              </w:rPr>
            </w:pPr>
          </w:p>
          <w:p w:rsidR="000205BB" w:rsidRPr="002B4AB6" w:rsidRDefault="000205BB" w:rsidP="001D6A8C">
            <w:pPr>
              <w:keepNext/>
              <w:ind w:left="-108"/>
              <w:jc w:val="center"/>
              <w:rPr>
                <w:rFonts w:ascii="Arial Narrow" w:eastAsiaTheme="minorHAnsi" w:hAnsi="Arial Narrow"/>
                <w:sz w:val="18"/>
                <w:szCs w:val="18"/>
              </w:rPr>
            </w:pPr>
            <w:r w:rsidRPr="002B4AB6">
              <w:rPr>
                <w:rFonts w:ascii="Arial Narrow" w:hAnsi="Arial Narrow"/>
                <w:sz w:val="20"/>
                <w:szCs w:val="20"/>
              </w:rPr>
              <w:t>6</w:t>
            </w:r>
          </w:p>
          <w:p w:rsidR="000205BB" w:rsidRPr="002B4AB6" w:rsidRDefault="000205BB" w:rsidP="001D6A8C">
            <w:pPr>
              <w:keepNext/>
              <w:ind w:left="-108"/>
              <w:jc w:val="center"/>
              <w:rPr>
                <w:rFonts w:ascii="Arial Narrow" w:eastAsiaTheme="minorHAnsi" w:hAnsi="Arial Narrow"/>
                <w:sz w:val="18"/>
                <w:szCs w:val="18"/>
              </w:rPr>
            </w:pPr>
          </w:p>
        </w:tc>
        <w:tc>
          <w:tcPr>
            <w:tcW w:w="1419" w:type="pct"/>
          </w:tcPr>
          <w:p w:rsidR="000205BB" w:rsidRPr="002B4AB6" w:rsidRDefault="000205BB" w:rsidP="001D6A8C">
            <w:pPr>
              <w:keepNext/>
              <w:jc w:val="left"/>
              <w:rPr>
                <w:rFonts w:ascii="Arial Narrow" w:eastAsiaTheme="minorHAnsi" w:hAnsi="Arial Narrow"/>
                <w:sz w:val="18"/>
                <w:szCs w:val="18"/>
              </w:rPr>
            </w:pPr>
          </w:p>
          <w:p w:rsidR="000205BB" w:rsidRPr="002B4AB6" w:rsidRDefault="000205BB" w:rsidP="001D6A8C">
            <w:pPr>
              <w:keepNext/>
              <w:jc w:val="left"/>
              <w:rPr>
                <w:rFonts w:ascii="Arial Narrow" w:eastAsiaTheme="minorHAnsi" w:hAnsi="Arial Narrow"/>
                <w:sz w:val="18"/>
                <w:szCs w:val="18"/>
              </w:rPr>
            </w:pPr>
            <w:r w:rsidRPr="002B4AB6">
              <w:rPr>
                <w:rFonts w:ascii="Arial Narrow" w:eastAsiaTheme="minorHAnsi" w:hAnsi="Arial Narrow"/>
                <w:sz w:val="18"/>
                <w:szCs w:val="18"/>
              </w:rPr>
              <w:t>Merck Sharp and Dohme Pty Ltd</w:t>
            </w:r>
          </w:p>
        </w:tc>
      </w:tr>
      <w:tr w:rsidR="000205BB" w:rsidRPr="002B4AB6" w:rsidTr="002772F1">
        <w:trPr>
          <w:cantSplit/>
          <w:trHeight w:val="225"/>
        </w:trPr>
        <w:tc>
          <w:tcPr>
            <w:tcW w:w="5000" w:type="pct"/>
            <w:gridSpan w:val="5"/>
          </w:tcPr>
          <w:p w:rsidR="000205BB" w:rsidRPr="002B4AB6" w:rsidRDefault="000205BB" w:rsidP="001D6A8C">
            <w:pPr>
              <w:keepNext/>
              <w:jc w:val="left"/>
              <w:rPr>
                <w:rFonts w:ascii="Arial Narrow" w:eastAsiaTheme="minorHAnsi" w:hAnsi="Arial Narrow"/>
                <w:b/>
                <w:sz w:val="18"/>
                <w:szCs w:val="18"/>
              </w:rPr>
            </w:pPr>
            <w:r w:rsidRPr="002B4AB6">
              <w:rPr>
                <w:rFonts w:ascii="Arial Narrow" w:eastAsiaTheme="minorHAnsi" w:hAnsi="Arial Narrow"/>
                <w:b/>
                <w:sz w:val="18"/>
                <w:szCs w:val="18"/>
              </w:rPr>
              <w:t>Available brands</w:t>
            </w:r>
          </w:p>
        </w:tc>
      </w:tr>
      <w:tr w:rsidR="000205BB" w:rsidRPr="002B4AB6" w:rsidTr="002772F1">
        <w:trPr>
          <w:cantSplit/>
          <w:trHeight w:val="360"/>
        </w:trPr>
        <w:tc>
          <w:tcPr>
            <w:tcW w:w="5000" w:type="pct"/>
            <w:gridSpan w:val="5"/>
          </w:tcPr>
          <w:p w:rsidR="000205BB" w:rsidRPr="002B4AB6" w:rsidRDefault="000205BB" w:rsidP="001D6A8C">
            <w:pPr>
              <w:rPr>
                <w:rFonts w:ascii="Arial Narrow" w:eastAsiaTheme="minorHAnsi" w:hAnsi="Arial Narrow"/>
                <w:sz w:val="18"/>
                <w:szCs w:val="18"/>
              </w:rPr>
            </w:pPr>
            <w:r w:rsidRPr="002B4AB6">
              <w:rPr>
                <w:rFonts w:ascii="Arial Narrow" w:eastAsiaTheme="minorHAnsi" w:hAnsi="Arial Narrow"/>
                <w:sz w:val="18"/>
                <w:szCs w:val="18"/>
              </w:rPr>
              <w:t>Keytruda</w:t>
            </w:r>
          </w:p>
          <w:p w:rsidR="000205BB" w:rsidRPr="002B4AB6" w:rsidRDefault="000205BB" w:rsidP="001D6A8C">
            <w:pPr>
              <w:rPr>
                <w:rFonts w:ascii="Arial Narrow" w:eastAsiaTheme="minorHAnsi" w:hAnsi="Arial Narrow"/>
                <w:sz w:val="18"/>
                <w:szCs w:val="18"/>
              </w:rPr>
            </w:pPr>
            <w:r w:rsidRPr="002B4AB6">
              <w:rPr>
                <w:rFonts w:ascii="Arial Narrow" w:eastAsiaTheme="minorHAnsi" w:hAnsi="Arial Narrow"/>
                <w:sz w:val="18"/>
                <w:szCs w:val="18"/>
              </w:rPr>
              <w:t>(pembrolizumab 100 mg/4 mL injection, 4 mL vial)</w:t>
            </w:r>
          </w:p>
        </w:tc>
      </w:tr>
    </w:tbl>
    <w:p w:rsidR="000205BB" w:rsidRPr="002B4AB6" w:rsidRDefault="000205BB" w:rsidP="000205BB">
      <w:pPr>
        <w:spacing w:after="120"/>
        <w:rPr>
          <w:rFonts w:ascii="Arial Narrow" w:hAnsi="Arial Narrow"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1E5A42" w:rsidRPr="002B4AB6" w:rsidTr="002772F1">
        <w:tc>
          <w:tcPr>
            <w:tcW w:w="5000" w:type="pct"/>
            <w:tcBorders>
              <w:top w:val="single" w:sz="4" w:space="0" w:color="auto"/>
              <w:left w:val="single" w:sz="4" w:space="0" w:color="auto"/>
              <w:bottom w:val="single" w:sz="4" w:space="0" w:color="auto"/>
              <w:right w:val="single" w:sz="4" w:space="0" w:color="auto"/>
            </w:tcBorders>
          </w:tcPr>
          <w:p w:rsidR="001E5A42" w:rsidRPr="002B4AB6" w:rsidRDefault="001E5A42" w:rsidP="00D96A47">
            <w:pPr>
              <w:rPr>
                <w:rFonts w:ascii="Arial Narrow" w:hAnsi="Arial Narrow"/>
                <w:sz w:val="18"/>
                <w:szCs w:val="18"/>
              </w:rPr>
            </w:pPr>
            <w:r w:rsidRPr="002B4AB6">
              <w:rPr>
                <w:rFonts w:ascii="Arial Narrow" w:hAnsi="Arial Narrow"/>
                <w:b/>
                <w:sz w:val="18"/>
                <w:szCs w:val="18"/>
              </w:rPr>
              <w:t xml:space="preserve">Category / Program:   </w:t>
            </w:r>
            <w:r w:rsidRPr="002B4AB6">
              <w:rPr>
                <w:rFonts w:ascii="Arial Narrow" w:hAnsi="Arial Narrow"/>
                <w:sz w:val="18"/>
                <w:szCs w:val="18"/>
              </w:rPr>
              <w:t xml:space="preserve">Section 100 – Efficient Funding of Chemotherapy </w:t>
            </w:r>
          </w:p>
        </w:tc>
      </w:tr>
      <w:tr w:rsidR="001E5A42" w:rsidRPr="002B4AB6" w:rsidTr="002772F1">
        <w:tc>
          <w:tcPr>
            <w:tcW w:w="5000" w:type="pct"/>
            <w:tcBorders>
              <w:top w:val="single" w:sz="4" w:space="0" w:color="auto"/>
              <w:left w:val="single" w:sz="4" w:space="0" w:color="auto"/>
              <w:bottom w:val="single" w:sz="4" w:space="0" w:color="auto"/>
              <w:right w:val="single" w:sz="4" w:space="0" w:color="auto"/>
            </w:tcBorders>
          </w:tcPr>
          <w:p w:rsidR="001E5A42" w:rsidRPr="002B4AB6" w:rsidRDefault="001E5A42" w:rsidP="001D6A8C">
            <w:pPr>
              <w:jc w:val="left"/>
              <w:rPr>
                <w:rFonts w:ascii="Arial Narrow" w:hAnsi="Arial Narrow"/>
                <w:b/>
                <w:bCs/>
                <w:color w:val="333333"/>
                <w:sz w:val="18"/>
                <w:szCs w:val="18"/>
              </w:rPr>
            </w:pPr>
            <w:r w:rsidRPr="002B4AB6">
              <w:rPr>
                <w:rFonts w:ascii="Arial Narrow" w:hAnsi="Arial Narrow"/>
                <w:b/>
                <w:sz w:val="18"/>
                <w:szCs w:val="18"/>
              </w:rPr>
              <w:t xml:space="preserve">Prescriber type:   </w:t>
            </w:r>
            <w:r w:rsidRPr="00F2158A">
              <w:rPr>
                <w:rFonts w:ascii="Arial Narrow" w:hAnsi="Arial Narrow"/>
                <w:sz w:val="18"/>
                <w:szCs w:val="18"/>
              </w:rPr>
              <w:fldChar w:fldCharType="begin">
                <w:ffData>
                  <w:name w:val="Check1"/>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F2158A">
              <w:rPr>
                <w:rFonts w:ascii="Arial Narrow" w:hAnsi="Arial Narrow"/>
                <w:sz w:val="18"/>
                <w:szCs w:val="18"/>
              </w:rPr>
              <w:fldChar w:fldCharType="end"/>
            </w:r>
            <w:r w:rsidRPr="002B4AB6">
              <w:rPr>
                <w:rFonts w:ascii="Arial Narrow" w:hAnsi="Arial Narrow"/>
                <w:sz w:val="18"/>
                <w:szCs w:val="18"/>
              </w:rPr>
              <w:t xml:space="preserve">Dental    </w:t>
            </w:r>
            <w:r w:rsidRPr="00F2158A">
              <w:rPr>
                <w:rFonts w:ascii="Arial Narrow" w:hAnsi="Arial Narrow"/>
                <w:sz w:val="18"/>
                <w:szCs w:val="18"/>
              </w:rPr>
              <w:fldChar w:fldCharType="begin">
                <w:ffData>
                  <w:name w:val=""/>
                  <w:enabled/>
                  <w:calcOnExit w:val="0"/>
                  <w:checkBox>
                    <w:sizeAuto/>
                    <w:default w:val="1"/>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F2158A">
              <w:rPr>
                <w:rFonts w:ascii="Arial Narrow" w:hAnsi="Arial Narrow"/>
                <w:sz w:val="18"/>
                <w:szCs w:val="18"/>
              </w:rPr>
              <w:fldChar w:fldCharType="end"/>
            </w:r>
            <w:r w:rsidRPr="002B4AB6">
              <w:rPr>
                <w:rFonts w:ascii="Arial Narrow" w:hAnsi="Arial Narrow"/>
                <w:sz w:val="18"/>
                <w:szCs w:val="18"/>
              </w:rPr>
              <w:t xml:space="preserve">Medical Practitioners    </w:t>
            </w:r>
            <w:r w:rsidRPr="00F2158A">
              <w:rPr>
                <w:rFonts w:ascii="Arial Narrow" w:hAnsi="Arial Narrow"/>
                <w:sz w:val="18"/>
                <w:szCs w:val="18"/>
              </w:rPr>
              <w:fldChar w:fldCharType="begin">
                <w:ffData>
                  <w:name w:val="Check3"/>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F2158A">
              <w:rPr>
                <w:rFonts w:ascii="Arial Narrow" w:hAnsi="Arial Narrow"/>
                <w:sz w:val="18"/>
                <w:szCs w:val="18"/>
              </w:rPr>
              <w:fldChar w:fldCharType="end"/>
            </w:r>
            <w:r w:rsidRPr="002B4AB6">
              <w:rPr>
                <w:rFonts w:ascii="Arial Narrow" w:hAnsi="Arial Narrow"/>
                <w:sz w:val="18"/>
                <w:szCs w:val="18"/>
              </w:rPr>
              <w:t xml:space="preserve">Nurse practitioners     </w:t>
            </w:r>
            <w:r w:rsidRPr="00F2158A">
              <w:rPr>
                <w:rFonts w:ascii="Arial Narrow" w:hAnsi="Arial Narrow"/>
                <w:sz w:val="18"/>
                <w:szCs w:val="18"/>
              </w:rPr>
              <w:fldChar w:fldCharType="begin">
                <w:ffData>
                  <w:name w:val=""/>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F2158A">
              <w:rPr>
                <w:rFonts w:ascii="Arial Narrow" w:hAnsi="Arial Narrow"/>
                <w:sz w:val="18"/>
                <w:szCs w:val="18"/>
              </w:rPr>
              <w:fldChar w:fldCharType="end"/>
            </w:r>
            <w:r w:rsidRPr="002B4AB6">
              <w:rPr>
                <w:rFonts w:ascii="Arial Narrow" w:hAnsi="Arial Narrow"/>
                <w:sz w:val="18"/>
                <w:szCs w:val="18"/>
              </w:rPr>
              <w:t xml:space="preserve">Optometrists    </w:t>
            </w:r>
            <w:r w:rsidRPr="00F2158A">
              <w:rPr>
                <w:rFonts w:ascii="Arial Narrow" w:hAnsi="Arial Narrow"/>
                <w:sz w:val="18"/>
                <w:szCs w:val="18"/>
              </w:rPr>
              <w:fldChar w:fldCharType="begin">
                <w:ffData>
                  <w:name w:val="Check5"/>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F2158A">
              <w:rPr>
                <w:rFonts w:ascii="Arial Narrow" w:hAnsi="Arial Narrow"/>
                <w:sz w:val="18"/>
                <w:szCs w:val="18"/>
              </w:rPr>
              <w:fldChar w:fldCharType="end"/>
            </w:r>
            <w:r w:rsidRPr="002B4AB6">
              <w:rPr>
                <w:rFonts w:ascii="Arial Narrow" w:hAnsi="Arial Narrow"/>
                <w:sz w:val="18"/>
                <w:szCs w:val="18"/>
              </w:rPr>
              <w:t>Midwives</w:t>
            </w:r>
          </w:p>
        </w:tc>
      </w:tr>
      <w:tr w:rsidR="001E5A42" w:rsidRPr="002B4AB6" w:rsidTr="002772F1">
        <w:tc>
          <w:tcPr>
            <w:tcW w:w="5000" w:type="pct"/>
            <w:tcBorders>
              <w:top w:val="single" w:sz="4" w:space="0" w:color="auto"/>
              <w:left w:val="single" w:sz="4" w:space="0" w:color="auto"/>
              <w:bottom w:val="single" w:sz="4" w:space="0" w:color="auto"/>
              <w:right w:val="single" w:sz="4" w:space="0" w:color="auto"/>
            </w:tcBorders>
          </w:tcPr>
          <w:p w:rsidR="001E5A42" w:rsidRPr="001E5A42" w:rsidRDefault="001E5A42" w:rsidP="001E5A42">
            <w:pPr>
              <w:rPr>
                <w:rFonts w:ascii="Arial Narrow" w:hAnsi="Arial Narrow"/>
                <w:b/>
                <w:sz w:val="18"/>
                <w:szCs w:val="18"/>
              </w:rPr>
            </w:pPr>
            <w:r w:rsidRPr="002B4AB6">
              <w:rPr>
                <w:rFonts w:ascii="Arial Narrow" w:hAnsi="Arial Narrow"/>
                <w:b/>
                <w:sz w:val="18"/>
                <w:szCs w:val="18"/>
              </w:rPr>
              <w:t>Restriction Level / Method:</w:t>
            </w:r>
            <w:r>
              <w:rPr>
                <w:rFonts w:ascii="Arial Narrow" w:hAnsi="Arial Narrow"/>
                <w:b/>
                <w:sz w:val="18"/>
                <w:szCs w:val="18"/>
              </w:rPr>
              <w:t xml:space="preserve"> </w:t>
            </w:r>
            <w:r w:rsidRPr="00F2158A">
              <w:rPr>
                <w:rFonts w:ascii="Arial Narrow" w:hAnsi="Arial Narrow"/>
                <w:sz w:val="18"/>
                <w:szCs w:val="18"/>
              </w:rPr>
              <w:fldChar w:fldCharType="begin">
                <w:ffData>
                  <w:name w:val=""/>
                  <w:enabled/>
                  <w:calcOnExit w:val="0"/>
                  <w:checkBox>
                    <w:sizeAuto/>
                    <w:default w:val="1"/>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F2158A">
              <w:rPr>
                <w:rFonts w:ascii="Arial Narrow" w:hAnsi="Arial Narrow"/>
                <w:sz w:val="18"/>
                <w:szCs w:val="18"/>
              </w:rPr>
              <w:fldChar w:fldCharType="end"/>
            </w:r>
            <w:r w:rsidR="00614F93">
              <w:rPr>
                <w:rFonts w:ascii="Arial Narrow" w:hAnsi="Arial Narrow"/>
                <w:sz w:val="18"/>
                <w:szCs w:val="18"/>
              </w:rPr>
              <w:t xml:space="preserve"> </w:t>
            </w:r>
            <w:r w:rsidRPr="002B4AB6">
              <w:rPr>
                <w:rFonts w:ascii="Arial Narrow" w:hAnsi="Arial Narrow"/>
                <w:sz w:val="18"/>
                <w:szCs w:val="18"/>
              </w:rPr>
              <w:t>Authority Required – In Writing</w:t>
            </w:r>
            <w:r>
              <w:rPr>
                <w:rFonts w:ascii="Arial Narrow" w:hAnsi="Arial Narrow"/>
                <w:sz w:val="18"/>
                <w:szCs w:val="18"/>
              </w:rPr>
              <w:t xml:space="preserve"> Only</w:t>
            </w:r>
          </w:p>
        </w:tc>
      </w:tr>
      <w:tr w:rsidR="001E5A42" w:rsidRPr="002B4AB6" w:rsidTr="002772F1">
        <w:trPr>
          <w:trHeight w:val="1088"/>
        </w:trPr>
        <w:tc>
          <w:tcPr>
            <w:tcW w:w="5000" w:type="pct"/>
            <w:tcBorders>
              <w:bottom w:val="single" w:sz="4" w:space="0" w:color="auto"/>
            </w:tcBorders>
            <w:vAlign w:val="center"/>
            <w:hideMark/>
          </w:tcPr>
          <w:p w:rsidR="001E5A42" w:rsidRDefault="001E5A42" w:rsidP="001D6A8C">
            <w:pPr>
              <w:jc w:val="left"/>
              <w:rPr>
                <w:rFonts w:ascii="Arial Narrow" w:hAnsi="Arial Narrow"/>
                <w:color w:val="333333"/>
                <w:sz w:val="18"/>
                <w:szCs w:val="18"/>
              </w:rPr>
            </w:pPr>
            <w:r w:rsidRPr="002B4AB6">
              <w:rPr>
                <w:rFonts w:ascii="Arial Narrow" w:hAnsi="Arial Narrow"/>
                <w:b/>
                <w:bCs/>
                <w:color w:val="333333"/>
                <w:sz w:val="18"/>
                <w:szCs w:val="18"/>
              </w:rPr>
              <w:t>Administrative Advice:</w:t>
            </w:r>
            <w:r w:rsidRPr="002B4AB6">
              <w:rPr>
                <w:rFonts w:ascii="Arial Narrow" w:hAnsi="Arial Narrow"/>
                <w:color w:val="333333"/>
                <w:sz w:val="18"/>
                <w:szCs w:val="18"/>
              </w:rPr>
              <w:t xml:space="preserve"> </w:t>
            </w:r>
          </w:p>
          <w:p w:rsidR="001E5A42" w:rsidRPr="002B4AB6" w:rsidRDefault="001E5A42" w:rsidP="001D6A8C">
            <w:pPr>
              <w:jc w:val="left"/>
              <w:rPr>
                <w:rFonts w:ascii="Arial Narrow" w:hAnsi="Arial Narrow"/>
                <w:color w:val="333333"/>
                <w:sz w:val="18"/>
                <w:szCs w:val="18"/>
              </w:rPr>
            </w:pPr>
            <w:r w:rsidRPr="002B4AB6">
              <w:rPr>
                <w:rFonts w:ascii="Arial Narrow" w:hAnsi="Arial Narrow"/>
                <w:color w:val="333333"/>
                <w:sz w:val="18"/>
                <w:szCs w:val="18"/>
              </w:rPr>
              <w:t>No increase in the maximum quantity or number of units may be authorised.</w:t>
            </w:r>
          </w:p>
          <w:p w:rsidR="001E5A42" w:rsidRPr="002B4AB6" w:rsidRDefault="001E5A42" w:rsidP="001D6A8C">
            <w:pPr>
              <w:jc w:val="left"/>
              <w:rPr>
                <w:rFonts w:ascii="Arial Narrow" w:hAnsi="Arial Narrow"/>
                <w:color w:val="333333"/>
                <w:sz w:val="18"/>
                <w:szCs w:val="18"/>
              </w:rPr>
            </w:pPr>
            <w:r w:rsidRPr="002B4AB6">
              <w:rPr>
                <w:rFonts w:ascii="Arial Narrow" w:hAnsi="Arial Narrow"/>
                <w:color w:val="333333"/>
                <w:sz w:val="18"/>
                <w:szCs w:val="18"/>
              </w:rPr>
              <w:t>No increase in the maximum number of repeats may be authorised.</w:t>
            </w:r>
          </w:p>
          <w:p w:rsidR="001E5A42" w:rsidRPr="002B4AB6" w:rsidRDefault="001E5A42" w:rsidP="001D6A8C">
            <w:pPr>
              <w:jc w:val="left"/>
              <w:rPr>
                <w:rFonts w:ascii="Arial Narrow" w:hAnsi="Arial Narrow"/>
                <w:color w:val="333333"/>
                <w:sz w:val="18"/>
                <w:szCs w:val="18"/>
              </w:rPr>
            </w:pPr>
            <w:r w:rsidRPr="002B4AB6">
              <w:rPr>
                <w:rFonts w:ascii="Arial Narrow" w:hAnsi="Arial Narrow"/>
                <w:color w:val="333333"/>
                <w:sz w:val="18"/>
                <w:szCs w:val="18"/>
              </w:rPr>
              <w:t>Special Pricing Arrangements apply.</w:t>
            </w:r>
          </w:p>
          <w:p w:rsidR="001E5A42" w:rsidRPr="002B4AB6" w:rsidRDefault="001E5A42" w:rsidP="001D6A8C">
            <w:pPr>
              <w:jc w:val="left"/>
              <w:rPr>
                <w:rFonts w:ascii="Arial Narrow" w:hAnsi="Arial Narrow"/>
                <w:color w:val="333333"/>
                <w:sz w:val="18"/>
                <w:szCs w:val="18"/>
              </w:rPr>
            </w:pPr>
            <w:r w:rsidRPr="002B4AB6">
              <w:rPr>
                <w:rFonts w:ascii="Arial Narrow" w:hAnsi="Arial Narrow"/>
                <w:color w:val="333333"/>
                <w:sz w:val="18"/>
                <w:szCs w:val="18"/>
              </w:rPr>
              <w:t>Patient should be treated with the recommended dose of pembrolizumab according to the TGA-approved Product Information.</w:t>
            </w:r>
          </w:p>
        </w:tc>
      </w:tr>
      <w:tr w:rsidR="001E5A42"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right w:val="single" w:sz="4" w:space="0" w:color="auto"/>
            </w:tcBorders>
            <w:vAlign w:val="center"/>
            <w:hideMark/>
          </w:tcPr>
          <w:p w:rsidR="001E5A42" w:rsidRPr="002B4AB6" w:rsidRDefault="001E5A42" w:rsidP="001D6A8C">
            <w:pPr>
              <w:jc w:val="left"/>
              <w:rPr>
                <w:rFonts w:ascii="Arial Narrow" w:hAnsi="Arial Narrow"/>
                <w:color w:val="333333"/>
                <w:sz w:val="18"/>
                <w:szCs w:val="18"/>
              </w:rPr>
            </w:pPr>
            <w:r w:rsidRPr="002B4AB6">
              <w:rPr>
                <w:rFonts w:ascii="Arial Narrow" w:hAnsi="Arial Narrow"/>
                <w:b/>
                <w:bCs/>
                <w:color w:val="333333"/>
                <w:sz w:val="18"/>
                <w:szCs w:val="18"/>
              </w:rPr>
              <w:t>Indication:</w:t>
            </w:r>
            <w:r w:rsidRPr="002B4AB6">
              <w:rPr>
                <w:rFonts w:ascii="Arial Narrow" w:hAnsi="Arial Narrow"/>
                <w:color w:val="333333"/>
                <w:sz w:val="18"/>
                <w:szCs w:val="18"/>
              </w:rPr>
              <w:t xml:space="preserve"> Relapsed or refractory primary mediastinal B-Cell lymphoma </w:t>
            </w:r>
          </w:p>
        </w:tc>
      </w:tr>
      <w:tr w:rsidR="001E5A42"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left w:val="single" w:sz="4" w:space="0" w:color="auto"/>
              <w:right w:val="single" w:sz="4" w:space="0" w:color="auto"/>
            </w:tcBorders>
            <w:vAlign w:val="center"/>
            <w:hideMark/>
          </w:tcPr>
          <w:p w:rsidR="001E5A42" w:rsidRPr="002B4AB6" w:rsidRDefault="001E5A42" w:rsidP="001D6A8C">
            <w:pPr>
              <w:jc w:val="left"/>
              <w:rPr>
                <w:rFonts w:ascii="Arial Narrow" w:hAnsi="Arial Narrow"/>
                <w:color w:val="333333"/>
                <w:sz w:val="18"/>
                <w:szCs w:val="18"/>
              </w:rPr>
            </w:pPr>
            <w:r w:rsidRPr="002B4AB6">
              <w:rPr>
                <w:rFonts w:ascii="Arial Narrow" w:hAnsi="Arial Narrow"/>
                <w:b/>
                <w:bCs/>
                <w:color w:val="333333"/>
                <w:sz w:val="18"/>
                <w:szCs w:val="18"/>
              </w:rPr>
              <w:t>Treatment Phase:</w:t>
            </w:r>
            <w:r w:rsidRPr="002B4AB6">
              <w:rPr>
                <w:rFonts w:ascii="Arial Narrow" w:hAnsi="Arial Narrow"/>
                <w:color w:val="333333"/>
                <w:sz w:val="18"/>
                <w:szCs w:val="18"/>
              </w:rPr>
              <w:t xml:space="preserve"> Initial treatment</w:t>
            </w:r>
          </w:p>
        </w:tc>
      </w:tr>
      <w:tr w:rsidR="001E5A42"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left w:val="single" w:sz="4" w:space="0" w:color="auto"/>
              <w:right w:val="single" w:sz="4" w:space="0" w:color="auto"/>
            </w:tcBorders>
            <w:vAlign w:val="center"/>
          </w:tcPr>
          <w:p w:rsidR="001E5A42" w:rsidRPr="002B4AB6" w:rsidRDefault="001E5A42" w:rsidP="001D6A8C">
            <w:pPr>
              <w:jc w:val="left"/>
              <w:rPr>
                <w:rFonts w:ascii="Arial Narrow" w:hAnsi="Arial Narrow"/>
                <w:b/>
                <w:bCs/>
                <w:color w:val="333333"/>
                <w:sz w:val="18"/>
                <w:szCs w:val="18"/>
                <w:highlight w:val="yellow"/>
              </w:rPr>
            </w:pPr>
            <w:r w:rsidRPr="002B4AB6">
              <w:rPr>
                <w:rFonts w:ascii="Arial Narrow" w:hAnsi="Arial Narrow"/>
                <w:b/>
                <w:bCs/>
                <w:color w:val="333333"/>
                <w:sz w:val="18"/>
                <w:szCs w:val="18"/>
              </w:rPr>
              <w:t>Clinical criteria</w:t>
            </w:r>
          </w:p>
        </w:tc>
      </w:tr>
      <w:tr w:rsidR="001E5A42"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5000" w:type="pct"/>
            <w:tcBorders>
              <w:left w:val="single" w:sz="4" w:space="0" w:color="auto"/>
              <w:right w:val="single" w:sz="4" w:space="0" w:color="auto"/>
            </w:tcBorders>
            <w:vAlign w:val="center"/>
          </w:tcPr>
          <w:p w:rsidR="001E5A42" w:rsidRPr="001E5A42" w:rsidRDefault="001E5A42" w:rsidP="001E5A42">
            <w:pPr>
              <w:pStyle w:val="ListParagraph"/>
              <w:numPr>
                <w:ilvl w:val="0"/>
                <w:numId w:val="19"/>
              </w:numPr>
              <w:spacing w:after="0"/>
              <w:ind w:left="714" w:hanging="357"/>
              <w:rPr>
                <w:rFonts w:ascii="Arial Narrow" w:hAnsi="Arial Narrow"/>
                <w:color w:val="333333"/>
                <w:sz w:val="18"/>
                <w:szCs w:val="18"/>
              </w:rPr>
            </w:pPr>
            <w:r w:rsidRPr="001E5A42">
              <w:rPr>
                <w:rFonts w:ascii="Arial Narrow" w:hAnsi="Arial Narrow"/>
                <w:color w:val="333333"/>
                <w:sz w:val="18"/>
                <w:szCs w:val="18"/>
              </w:rPr>
              <w:t xml:space="preserve">Patient must have refractory Primary Mediastinal B-cell Lymphoma following rituximab-based chemotherapy for this condition; OR </w:t>
            </w:r>
          </w:p>
        </w:tc>
      </w:tr>
      <w:tr w:rsidR="001E5A42"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left w:val="single" w:sz="4" w:space="0" w:color="auto"/>
              <w:right w:val="single" w:sz="4" w:space="0" w:color="auto"/>
            </w:tcBorders>
            <w:vAlign w:val="center"/>
            <w:hideMark/>
          </w:tcPr>
          <w:p w:rsidR="001E5A42" w:rsidRPr="001E5A42" w:rsidRDefault="001E5A42" w:rsidP="001E5A42">
            <w:pPr>
              <w:pStyle w:val="ListParagraph"/>
              <w:numPr>
                <w:ilvl w:val="0"/>
                <w:numId w:val="19"/>
              </w:numPr>
              <w:spacing w:after="0"/>
              <w:ind w:left="714" w:hanging="357"/>
              <w:jc w:val="left"/>
              <w:rPr>
                <w:rFonts w:ascii="Arial Narrow" w:hAnsi="Arial Narrow"/>
                <w:color w:val="333333"/>
                <w:sz w:val="18"/>
                <w:szCs w:val="18"/>
              </w:rPr>
            </w:pPr>
            <w:r w:rsidRPr="001E5A42">
              <w:rPr>
                <w:rFonts w:ascii="Arial Narrow" w:hAnsi="Arial Narrow"/>
                <w:color w:val="333333"/>
                <w:sz w:val="18"/>
                <w:szCs w:val="18"/>
              </w:rPr>
              <w:t>Patient must have undergone an autologous stem cell transplant (ASCT) for this condition and have experienced relapsed or refractory disease post ASCT;</w:t>
            </w:r>
            <w:r w:rsidRPr="001E5A42">
              <w:rPr>
                <w:rFonts w:ascii="Arial Narrow" w:hAnsi="Arial Narrow"/>
                <w:i/>
                <w:color w:val="333333"/>
                <w:sz w:val="18"/>
                <w:szCs w:val="18"/>
              </w:rPr>
              <w:t xml:space="preserve"> </w:t>
            </w:r>
            <w:r w:rsidRPr="001E5A42">
              <w:rPr>
                <w:rFonts w:ascii="Arial Narrow" w:hAnsi="Arial Narrow"/>
                <w:color w:val="333333"/>
                <w:sz w:val="18"/>
                <w:szCs w:val="18"/>
              </w:rPr>
              <w:t>OR</w:t>
            </w:r>
          </w:p>
        </w:tc>
      </w:tr>
      <w:tr w:rsidR="001E5A42"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left w:val="single" w:sz="4" w:space="0" w:color="auto"/>
              <w:right w:val="single" w:sz="4" w:space="0" w:color="auto"/>
            </w:tcBorders>
            <w:vAlign w:val="center"/>
          </w:tcPr>
          <w:p w:rsidR="001E5A42" w:rsidRPr="001E5A42" w:rsidRDefault="001E5A42" w:rsidP="001E5A42">
            <w:pPr>
              <w:pStyle w:val="ListParagraph"/>
              <w:numPr>
                <w:ilvl w:val="0"/>
                <w:numId w:val="19"/>
              </w:numPr>
              <w:spacing w:after="0"/>
              <w:ind w:left="714" w:hanging="357"/>
              <w:jc w:val="left"/>
              <w:rPr>
                <w:rFonts w:ascii="Arial Narrow" w:hAnsi="Arial Narrow"/>
                <w:b/>
                <w:bCs/>
                <w:color w:val="333333"/>
                <w:sz w:val="18"/>
                <w:szCs w:val="18"/>
              </w:rPr>
            </w:pPr>
            <w:r w:rsidRPr="001E5A42">
              <w:rPr>
                <w:rFonts w:ascii="Arial Narrow" w:hAnsi="Arial Narrow"/>
                <w:color w:val="333333"/>
                <w:sz w:val="18"/>
                <w:szCs w:val="18"/>
              </w:rPr>
              <w:t xml:space="preserve">Patient must not be suitable for ASCT for this condition and have experienced relapsed or refractory disease following at least 2 prior treatments for this condition, one of which must include rituximab with chemotherapy </w:t>
            </w:r>
          </w:p>
        </w:tc>
      </w:tr>
      <w:tr w:rsidR="001E5A42"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left w:val="single" w:sz="4" w:space="0" w:color="auto"/>
              <w:right w:val="single" w:sz="4" w:space="0" w:color="auto"/>
            </w:tcBorders>
            <w:vAlign w:val="center"/>
          </w:tcPr>
          <w:p w:rsidR="001E5A42" w:rsidRPr="001E5A42" w:rsidRDefault="001E5A42" w:rsidP="001E5A42">
            <w:pPr>
              <w:pStyle w:val="ListParagraph"/>
              <w:numPr>
                <w:ilvl w:val="0"/>
                <w:numId w:val="0"/>
              </w:numPr>
              <w:spacing w:after="0"/>
              <w:ind w:left="714"/>
              <w:jc w:val="left"/>
              <w:rPr>
                <w:rFonts w:ascii="Arial Narrow" w:hAnsi="Arial Narrow"/>
                <w:b/>
                <w:bCs/>
                <w:color w:val="333333"/>
                <w:sz w:val="18"/>
                <w:szCs w:val="18"/>
              </w:rPr>
            </w:pPr>
            <w:r w:rsidRPr="001E5A42">
              <w:rPr>
                <w:rFonts w:ascii="Arial Narrow" w:hAnsi="Arial Narrow"/>
                <w:b/>
                <w:bCs/>
                <w:color w:val="333333"/>
                <w:sz w:val="18"/>
                <w:szCs w:val="18"/>
              </w:rPr>
              <w:t>AND</w:t>
            </w:r>
          </w:p>
        </w:tc>
      </w:tr>
      <w:tr w:rsidR="001E5A42"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left w:val="single" w:sz="4" w:space="0" w:color="auto"/>
              <w:right w:val="single" w:sz="4" w:space="0" w:color="auto"/>
            </w:tcBorders>
            <w:vAlign w:val="center"/>
          </w:tcPr>
          <w:p w:rsidR="001E5A42" w:rsidRPr="001E5A42" w:rsidRDefault="001E5A42" w:rsidP="001E5A42">
            <w:pPr>
              <w:pStyle w:val="ListParagraph"/>
              <w:numPr>
                <w:ilvl w:val="0"/>
                <w:numId w:val="19"/>
              </w:numPr>
              <w:spacing w:after="0"/>
              <w:ind w:left="714" w:hanging="357"/>
              <w:jc w:val="left"/>
              <w:rPr>
                <w:rFonts w:ascii="Arial Narrow" w:hAnsi="Arial Narrow"/>
                <w:color w:val="333333"/>
                <w:sz w:val="18"/>
                <w:szCs w:val="18"/>
              </w:rPr>
            </w:pPr>
            <w:r w:rsidRPr="001E5A42">
              <w:rPr>
                <w:rFonts w:ascii="Arial Narrow" w:hAnsi="Arial Narrow"/>
                <w:color w:val="333333"/>
                <w:sz w:val="18"/>
                <w:szCs w:val="18"/>
              </w:rPr>
              <w:t>Patient must not have received prior treatment with a programmed cell death-1 (PD-1) inhibitor or a programmed cell death ligand-1 (PD-L1) inhibitor for this condition</w:t>
            </w:r>
          </w:p>
        </w:tc>
      </w:tr>
      <w:tr w:rsidR="001E5A42"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left w:val="single" w:sz="4" w:space="0" w:color="auto"/>
              <w:right w:val="single" w:sz="4" w:space="0" w:color="auto"/>
            </w:tcBorders>
            <w:vAlign w:val="center"/>
            <w:hideMark/>
          </w:tcPr>
          <w:p w:rsidR="001E5A42" w:rsidRPr="001E5A42" w:rsidRDefault="001E5A42" w:rsidP="001E5A42">
            <w:pPr>
              <w:pStyle w:val="ListParagraph"/>
              <w:numPr>
                <w:ilvl w:val="0"/>
                <w:numId w:val="0"/>
              </w:numPr>
              <w:spacing w:after="0"/>
              <w:ind w:left="714"/>
              <w:jc w:val="left"/>
              <w:rPr>
                <w:rFonts w:ascii="Arial Narrow" w:hAnsi="Arial Narrow"/>
                <w:color w:val="333333"/>
                <w:sz w:val="18"/>
                <w:szCs w:val="18"/>
              </w:rPr>
            </w:pPr>
            <w:r w:rsidRPr="001E5A42">
              <w:rPr>
                <w:rFonts w:ascii="Arial Narrow" w:hAnsi="Arial Narrow"/>
                <w:b/>
                <w:bCs/>
                <w:color w:val="333333"/>
                <w:sz w:val="18"/>
                <w:szCs w:val="18"/>
              </w:rPr>
              <w:t>AND</w:t>
            </w:r>
          </w:p>
        </w:tc>
      </w:tr>
      <w:tr w:rsidR="001E5A42"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left w:val="single" w:sz="4" w:space="0" w:color="auto"/>
              <w:right w:val="single" w:sz="4" w:space="0" w:color="auto"/>
            </w:tcBorders>
            <w:vAlign w:val="center"/>
            <w:hideMark/>
          </w:tcPr>
          <w:p w:rsidR="001E5A42" w:rsidRPr="001E5A42" w:rsidRDefault="001E5A42" w:rsidP="001E5A42">
            <w:pPr>
              <w:pStyle w:val="ListParagraph"/>
              <w:numPr>
                <w:ilvl w:val="0"/>
                <w:numId w:val="19"/>
              </w:numPr>
              <w:spacing w:after="0"/>
              <w:ind w:left="714" w:hanging="357"/>
              <w:jc w:val="left"/>
              <w:rPr>
                <w:rFonts w:ascii="Arial Narrow" w:hAnsi="Arial Narrow"/>
                <w:color w:val="333333"/>
                <w:sz w:val="18"/>
                <w:szCs w:val="18"/>
              </w:rPr>
            </w:pPr>
            <w:r w:rsidRPr="001E5A42">
              <w:rPr>
                <w:rFonts w:ascii="Arial Narrow" w:hAnsi="Arial Narrow"/>
                <w:color w:val="333333"/>
                <w:sz w:val="18"/>
                <w:szCs w:val="18"/>
              </w:rPr>
              <w:t>The treatment must be the sole PBS-subsidised therapy for this condition</w:t>
            </w:r>
          </w:p>
        </w:tc>
      </w:tr>
      <w:tr w:rsidR="001E5A42"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left w:val="single" w:sz="4" w:space="0" w:color="auto"/>
              <w:right w:val="single" w:sz="4" w:space="0" w:color="auto"/>
            </w:tcBorders>
            <w:vAlign w:val="center"/>
            <w:hideMark/>
          </w:tcPr>
          <w:p w:rsidR="001E5A42" w:rsidRPr="001E5A42" w:rsidRDefault="001E5A42" w:rsidP="001E5A42">
            <w:pPr>
              <w:pStyle w:val="ListParagraph"/>
              <w:numPr>
                <w:ilvl w:val="0"/>
                <w:numId w:val="0"/>
              </w:numPr>
              <w:spacing w:after="0"/>
              <w:ind w:left="714"/>
              <w:jc w:val="left"/>
              <w:rPr>
                <w:rFonts w:ascii="Arial Narrow" w:hAnsi="Arial Narrow"/>
                <w:color w:val="333333"/>
                <w:sz w:val="18"/>
                <w:szCs w:val="18"/>
              </w:rPr>
            </w:pPr>
            <w:r w:rsidRPr="001E5A42">
              <w:rPr>
                <w:rFonts w:ascii="Arial Narrow" w:hAnsi="Arial Narrow"/>
                <w:b/>
                <w:bCs/>
                <w:color w:val="333333"/>
                <w:sz w:val="18"/>
                <w:szCs w:val="18"/>
              </w:rPr>
              <w:t>AND</w:t>
            </w:r>
          </w:p>
        </w:tc>
      </w:tr>
      <w:tr w:rsidR="001E5A42"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left w:val="single" w:sz="4" w:space="0" w:color="auto"/>
              <w:bottom w:val="single" w:sz="4" w:space="0" w:color="auto"/>
              <w:right w:val="single" w:sz="4" w:space="0" w:color="auto"/>
            </w:tcBorders>
            <w:vAlign w:val="center"/>
            <w:hideMark/>
          </w:tcPr>
          <w:p w:rsidR="001E5A42" w:rsidRPr="001E5A42" w:rsidRDefault="001E5A42" w:rsidP="001E5A42">
            <w:pPr>
              <w:pStyle w:val="ListParagraph"/>
              <w:numPr>
                <w:ilvl w:val="0"/>
                <w:numId w:val="19"/>
              </w:numPr>
              <w:spacing w:after="0"/>
              <w:ind w:left="714" w:hanging="357"/>
              <w:jc w:val="left"/>
              <w:rPr>
                <w:rFonts w:ascii="Arial Narrow" w:hAnsi="Arial Narrow"/>
                <w:color w:val="333333"/>
                <w:sz w:val="18"/>
                <w:szCs w:val="18"/>
              </w:rPr>
            </w:pPr>
            <w:r w:rsidRPr="001E5A42">
              <w:rPr>
                <w:rFonts w:ascii="Arial Narrow" w:hAnsi="Arial Narrow"/>
                <w:color w:val="333333"/>
                <w:sz w:val="18"/>
                <w:szCs w:val="18"/>
              </w:rPr>
              <w:t>The treatment must not exceed a total of 7 doses under this restriction</w:t>
            </w:r>
          </w:p>
        </w:tc>
      </w:tr>
      <w:tr w:rsidR="001E5A42"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1E5A42" w:rsidRPr="002B4AB6" w:rsidRDefault="001E5A42" w:rsidP="0048451C">
            <w:pPr>
              <w:jc w:val="left"/>
              <w:rPr>
                <w:rFonts w:ascii="Arial Narrow" w:hAnsi="Arial Narrow"/>
                <w:color w:val="333333"/>
                <w:sz w:val="18"/>
                <w:szCs w:val="18"/>
              </w:rPr>
            </w:pPr>
            <w:r w:rsidRPr="002B4AB6">
              <w:rPr>
                <w:rFonts w:ascii="Arial Narrow" w:hAnsi="Arial Narrow"/>
                <w:b/>
                <w:bCs/>
                <w:color w:val="333333"/>
                <w:sz w:val="18"/>
                <w:szCs w:val="18"/>
              </w:rPr>
              <w:t>Prescribing Instructions:</w:t>
            </w:r>
          </w:p>
          <w:p w:rsidR="001E5A42" w:rsidRPr="002B4AB6" w:rsidRDefault="001E5A42" w:rsidP="0048451C">
            <w:pPr>
              <w:jc w:val="left"/>
              <w:rPr>
                <w:rFonts w:ascii="Arial Narrow" w:hAnsi="Arial Narrow"/>
                <w:color w:val="333333"/>
                <w:sz w:val="18"/>
                <w:szCs w:val="18"/>
              </w:rPr>
            </w:pPr>
            <w:r w:rsidRPr="002B4AB6">
              <w:rPr>
                <w:rFonts w:ascii="Arial Narrow" w:hAnsi="Arial Narrow"/>
                <w:color w:val="333333"/>
                <w:sz w:val="18"/>
                <w:szCs w:val="18"/>
              </w:rPr>
              <w:t>Applications for authorisation of initial treatment must be in writing and must include:</w:t>
            </w:r>
          </w:p>
          <w:p w:rsidR="001E5A42" w:rsidRPr="002B4AB6" w:rsidRDefault="001E5A42" w:rsidP="0048451C">
            <w:pPr>
              <w:jc w:val="left"/>
              <w:rPr>
                <w:rFonts w:ascii="Arial Narrow" w:hAnsi="Arial Narrow"/>
                <w:color w:val="333333"/>
                <w:sz w:val="18"/>
                <w:szCs w:val="18"/>
              </w:rPr>
            </w:pPr>
            <w:r w:rsidRPr="002B4AB6">
              <w:rPr>
                <w:rFonts w:ascii="Arial Narrow" w:hAnsi="Arial Narrow"/>
                <w:color w:val="333333"/>
                <w:sz w:val="18"/>
                <w:szCs w:val="18"/>
              </w:rPr>
              <w:t>(a) a completed authority prescription form;</w:t>
            </w:r>
          </w:p>
          <w:p w:rsidR="001E5A42" w:rsidRPr="002B4AB6" w:rsidRDefault="001E5A42" w:rsidP="0048451C">
            <w:pPr>
              <w:jc w:val="left"/>
              <w:rPr>
                <w:rFonts w:ascii="Arial Narrow" w:hAnsi="Arial Narrow"/>
                <w:color w:val="333333"/>
                <w:sz w:val="18"/>
                <w:szCs w:val="18"/>
              </w:rPr>
            </w:pPr>
            <w:r w:rsidRPr="002B4AB6">
              <w:rPr>
                <w:rFonts w:ascii="Arial Narrow" w:hAnsi="Arial Narrow"/>
                <w:color w:val="333333"/>
                <w:sz w:val="18"/>
                <w:szCs w:val="18"/>
              </w:rPr>
              <w:t>(b) a completed primary mediastinal B-Cell lymphoma pembrolizumab PBS Authority Application, which includes:</w:t>
            </w:r>
          </w:p>
          <w:p w:rsidR="001E5A42" w:rsidRPr="002B4AB6" w:rsidRDefault="001E5A42" w:rsidP="0048451C">
            <w:pPr>
              <w:jc w:val="left"/>
              <w:rPr>
                <w:rFonts w:ascii="Arial Narrow" w:hAnsi="Arial Narrow"/>
                <w:color w:val="333333"/>
                <w:sz w:val="18"/>
                <w:szCs w:val="18"/>
              </w:rPr>
            </w:pPr>
            <w:r w:rsidRPr="002B4AB6">
              <w:rPr>
                <w:rFonts w:ascii="Arial Narrow" w:hAnsi="Arial Narrow"/>
                <w:color w:val="333333"/>
                <w:sz w:val="18"/>
                <w:szCs w:val="18"/>
              </w:rPr>
              <w:t xml:space="preserve">(i) a declaration that PET and/or CT scans and histology results supporting a diagnosis of primary mediastinal B-Cell lymphoma have been retained on the patient’s medical records; </w:t>
            </w:r>
          </w:p>
          <w:p w:rsidR="001E5A42" w:rsidRPr="002B4AB6" w:rsidRDefault="001E5A42" w:rsidP="0048451C">
            <w:pPr>
              <w:jc w:val="left"/>
              <w:rPr>
                <w:rFonts w:ascii="Arial Narrow" w:hAnsi="Arial Narrow"/>
                <w:color w:val="333333"/>
                <w:sz w:val="18"/>
                <w:szCs w:val="18"/>
              </w:rPr>
            </w:pPr>
            <w:r w:rsidRPr="002B4AB6">
              <w:rPr>
                <w:rFonts w:ascii="Arial Narrow" w:hAnsi="Arial Narrow"/>
                <w:color w:val="333333"/>
                <w:sz w:val="18"/>
                <w:szCs w:val="18"/>
              </w:rPr>
              <w:t>(ii) a declaration of whether the patient's disease is relapsed or refractory, and the date and means by which the patient's disease was assessed as being relapsed or refractory.</w:t>
            </w:r>
          </w:p>
          <w:p w:rsidR="001E5A42" w:rsidRPr="002B4AB6" w:rsidRDefault="001E5A42" w:rsidP="0048451C">
            <w:pPr>
              <w:jc w:val="left"/>
              <w:rPr>
                <w:rFonts w:ascii="Arial Narrow" w:hAnsi="Arial Narrow"/>
                <w:color w:val="333333"/>
                <w:sz w:val="18"/>
                <w:szCs w:val="18"/>
              </w:rPr>
            </w:pPr>
            <w:r w:rsidRPr="002B4AB6">
              <w:rPr>
                <w:rFonts w:ascii="Arial Narrow" w:hAnsi="Arial Narrow"/>
                <w:color w:val="333333"/>
                <w:sz w:val="18"/>
                <w:szCs w:val="18"/>
              </w:rPr>
              <w:t>(iii) dates of commencement and completion of 2 prior lines of treatment for patients not suitable for ASCT, one of which must include rituximab with chemotherapy.</w:t>
            </w:r>
          </w:p>
        </w:tc>
      </w:tr>
      <w:tr w:rsidR="001E5A42"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1E5A42" w:rsidRPr="002B4AB6" w:rsidRDefault="001E5A42" w:rsidP="0048451C">
            <w:pPr>
              <w:jc w:val="left"/>
              <w:rPr>
                <w:rFonts w:ascii="Arial Narrow" w:hAnsi="Arial Narrow"/>
                <w:color w:val="333333"/>
                <w:sz w:val="18"/>
                <w:szCs w:val="18"/>
              </w:rPr>
            </w:pPr>
            <w:r w:rsidRPr="002B4AB6">
              <w:rPr>
                <w:rFonts w:ascii="Arial Narrow" w:hAnsi="Arial Narrow"/>
                <w:b/>
                <w:bCs/>
                <w:color w:val="333333"/>
                <w:sz w:val="18"/>
                <w:szCs w:val="18"/>
              </w:rPr>
              <w:t>Administrative Advice:</w:t>
            </w:r>
          </w:p>
          <w:p w:rsidR="001E5A42" w:rsidRPr="002B4AB6" w:rsidRDefault="001E5A42" w:rsidP="0048451C">
            <w:pPr>
              <w:jc w:val="left"/>
              <w:rPr>
                <w:rFonts w:ascii="Arial Narrow" w:hAnsi="Arial Narrow"/>
                <w:color w:val="333333"/>
                <w:sz w:val="18"/>
                <w:szCs w:val="18"/>
              </w:rPr>
            </w:pPr>
            <w:r w:rsidRPr="002B4AB6">
              <w:rPr>
                <w:rFonts w:ascii="Arial Narrow" w:hAnsi="Arial Narrow"/>
                <w:color w:val="333333"/>
                <w:sz w:val="18"/>
                <w:szCs w:val="18"/>
              </w:rPr>
              <w:t xml:space="preserve">Any queries concerning the arrangements to prescribe may be directed to the Department of Human Services on 1800 700 270 (hours of operation 8 a.m. to 5 p.m. EST Monday to Friday). </w:t>
            </w:r>
          </w:p>
          <w:p w:rsidR="001E5A42" w:rsidRPr="002B4AB6" w:rsidRDefault="001E5A42" w:rsidP="0048451C">
            <w:pPr>
              <w:jc w:val="left"/>
              <w:rPr>
                <w:rFonts w:ascii="Arial Narrow" w:hAnsi="Arial Narrow"/>
                <w:color w:val="333333"/>
                <w:sz w:val="18"/>
                <w:szCs w:val="18"/>
              </w:rPr>
            </w:pPr>
          </w:p>
          <w:p w:rsidR="001E5A42" w:rsidRPr="002B4AB6" w:rsidRDefault="001E5A42" w:rsidP="0048451C">
            <w:pPr>
              <w:jc w:val="left"/>
              <w:rPr>
                <w:rFonts w:ascii="Arial Narrow" w:hAnsi="Arial Narrow"/>
                <w:color w:val="333333"/>
                <w:sz w:val="18"/>
                <w:szCs w:val="18"/>
              </w:rPr>
            </w:pPr>
            <w:r w:rsidRPr="002B4AB6">
              <w:rPr>
                <w:rFonts w:ascii="Arial Narrow" w:hAnsi="Arial Narrow"/>
                <w:color w:val="333333"/>
                <w:sz w:val="18"/>
                <w:szCs w:val="18"/>
              </w:rPr>
              <w:t xml:space="preserve">Prescribing information (including Authority Application forms and other relevant documentation as applicable) is available on the Department of Human Services website at </w:t>
            </w:r>
            <w:r w:rsidRPr="004278F1">
              <w:rPr>
                <w:rFonts w:ascii="Arial Narrow" w:hAnsi="Arial Narrow"/>
                <w:sz w:val="18"/>
                <w:szCs w:val="18"/>
              </w:rPr>
              <w:t>www.humanservices.gov.au</w:t>
            </w:r>
          </w:p>
          <w:p w:rsidR="001E5A42" w:rsidRPr="002B4AB6" w:rsidRDefault="001E5A42" w:rsidP="0048451C">
            <w:pPr>
              <w:jc w:val="left"/>
              <w:rPr>
                <w:rFonts w:ascii="Arial Narrow" w:hAnsi="Arial Narrow"/>
                <w:color w:val="333333"/>
                <w:sz w:val="18"/>
                <w:szCs w:val="18"/>
              </w:rPr>
            </w:pPr>
          </w:p>
          <w:p w:rsidR="001E5A42" w:rsidRPr="00492CD9" w:rsidRDefault="001E5A42" w:rsidP="0048451C">
            <w:pPr>
              <w:jc w:val="left"/>
              <w:rPr>
                <w:rFonts w:ascii="Arial Narrow" w:hAnsi="Arial Narrow"/>
                <w:color w:val="333333"/>
                <w:sz w:val="18"/>
                <w:szCs w:val="18"/>
              </w:rPr>
            </w:pPr>
            <w:r w:rsidRPr="00492CD9">
              <w:rPr>
                <w:rFonts w:ascii="Arial Narrow" w:hAnsi="Arial Narrow"/>
                <w:color w:val="333333"/>
                <w:sz w:val="18"/>
                <w:szCs w:val="18"/>
              </w:rPr>
              <w:t xml:space="preserve">Applications for authority to prescribe should be forwarded to: </w:t>
            </w:r>
          </w:p>
          <w:p w:rsidR="001E5A42" w:rsidRPr="002B4AB6" w:rsidRDefault="001E5A42" w:rsidP="0048451C">
            <w:pPr>
              <w:jc w:val="left"/>
              <w:rPr>
                <w:rFonts w:ascii="Arial Narrow" w:hAnsi="Arial Narrow"/>
                <w:color w:val="333333"/>
                <w:sz w:val="18"/>
                <w:szCs w:val="18"/>
              </w:rPr>
            </w:pPr>
            <w:r w:rsidRPr="002B4AB6">
              <w:rPr>
                <w:rFonts w:ascii="Arial Narrow" w:hAnsi="Arial Narrow"/>
                <w:color w:val="333333"/>
                <w:sz w:val="18"/>
                <w:szCs w:val="18"/>
              </w:rPr>
              <w:t>Department of Human Services</w:t>
            </w:r>
          </w:p>
          <w:p w:rsidR="001E5A42" w:rsidRPr="002B4AB6" w:rsidRDefault="001E5A42" w:rsidP="0048451C">
            <w:pPr>
              <w:jc w:val="left"/>
              <w:rPr>
                <w:rFonts w:ascii="Arial Narrow" w:hAnsi="Arial Narrow"/>
                <w:color w:val="333333"/>
                <w:sz w:val="18"/>
                <w:szCs w:val="18"/>
              </w:rPr>
            </w:pPr>
            <w:r w:rsidRPr="002B4AB6">
              <w:rPr>
                <w:rFonts w:ascii="Arial Narrow" w:hAnsi="Arial Narrow"/>
                <w:color w:val="333333"/>
                <w:sz w:val="18"/>
                <w:szCs w:val="18"/>
              </w:rPr>
              <w:t>Complex Drugs</w:t>
            </w:r>
          </w:p>
          <w:p w:rsidR="001E5A42" w:rsidRPr="002B4AB6" w:rsidRDefault="001E5A42" w:rsidP="0048451C">
            <w:pPr>
              <w:jc w:val="left"/>
              <w:rPr>
                <w:rFonts w:ascii="Arial Narrow" w:hAnsi="Arial Narrow"/>
                <w:color w:val="333333"/>
                <w:sz w:val="18"/>
                <w:szCs w:val="18"/>
              </w:rPr>
            </w:pPr>
            <w:r w:rsidRPr="002B4AB6">
              <w:rPr>
                <w:rFonts w:ascii="Arial Narrow" w:hAnsi="Arial Narrow"/>
                <w:color w:val="333333"/>
                <w:sz w:val="18"/>
                <w:szCs w:val="18"/>
              </w:rPr>
              <w:t>Reply Paid 9826</w:t>
            </w:r>
          </w:p>
          <w:p w:rsidR="001E5A42" w:rsidRPr="002B4AB6" w:rsidRDefault="001E5A42" w:rsidP="0048451C">
            <w:pPr>
              <w:jc w:val="left"/>
              <w:rPr>
                <w:rFonts w:ascii="Arial Narrow" w:hAnsi="Arial Narrow"/>
                <w:color w:val="333333"/>
                <w:sz w:val="18"/>
                <w:szCs w:val="18"/>
              </w:rPr>
            </w:pPr>
            <w:r w:rsidRPr="002B4AB6">
              <w:rPr>
                <w:rFonts w:ascii="Arial Narrow" w:hAnsi="Arial Narrow"/>
                <w:color w:val="333333"/>
                <w:sz w:val="18"/>
                <w:szCs w:val="18"/>
              </w:rPr>
              <w:t>HOBART TAS 7001</w:t>
            </w:r>
          </w:p>
        </w:tc>
      </w:tr>
    </w:tbl>
    <w:p w:rsidR="000205BB" w:rsidRPr="002B4AB6" w:rsidRDefault="000205BB" w:rsidP="000205BB">
      <w:pPr>
        <w:spacing w:after="12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4"/>
        <w:gridCol w:w="1111"/>
        <w:gridCol w:w="972"/>
        <w:gridCol w:w="833"/>
        <w:gridCol w:w="2357"/>
      </w:tblGrid>
      <w:tr w:rsidR="000205BB" w:rsidRPr="002B4AB6" w:rsidTr="002772F1">
        <w:trPr>
          <w:cantSplit/>
          <w:trHeight w:val="471"/>
        </w:trPr>
        <w:tc>
          <w:tcPr>
            <w:tcW w:w="2076" w:type="pct"/>
          </w:tcPr>
          <w:p w:rsidR="000205BB" w:rsidRPr="002B4AB6" w:rsidRDefault="000205BB" w:rsidP="001D6A8C">
            <w:pPr>
              <w:keepNext/>
              <w:ind w:left="-108"/>
              <w:rPr>
                <w:rFonts w:ascii="Arial Narrow" w:eastAsiaTheme="minorHAnsi" w:hAnsi="Arial Narrow"/>
                <w:b/>
                <w:sz w:val="18"/>
                <w:szCs w:val="18"/>
              </w:rPr>
            </w:pPr>
            <w:r w:rsidRPr="002B4AB6">
              <w:rPr>
                <w:rFonts w:ascii="Arial Narrow" w:eastAsiaTheme="minorHAnsi" w:hAnsi="Arial Narrow"/>
                <w:b/>
                <w:sz w:val="18"/>
                <w:szCs w:val="18"/>
              </w:rPr>
              <w:lastRenderedPageBreak/>
              <w:t>Name, Restriction,</w:t>
            </w:r>
          </w:p>
          <w:p w:rsidR="000205BB" w:rsidRPr="002B4AB6" w:rsidRDefault="000205BB" w:rsidP="001D6A8C">
            <w:pPr>
              <w:keepNext/>
              <w:ind w:left="-108"/>
              <w:rPr>
                <w:rFonts w:ascii="Arial Narrow" w:eastAsiaTheme="minorHAnsi" w:hAnsi="Arial Narrow"/>
                <w:b/>
                <w:sz w:val="18"/>
                <w:szCs w:val="18"/>
              </w:rPr>
            </w:pPr>
            <w:r w:rsidRPr="002B4AB6">
              <w:rPr>
                <w:rFonts w:ascii="Arial Narrow" w:eastAsiaTheme="minorHAnsi" w:hAnsi="Arial Narrow"/>
                <w:b/>
                <w:sz w:val="18"/>
                <w:szCs w:val="18"/>
              </w:rPr>
              <w:t>Manner of administration and form</w:t>
            </w:r>
          </w:p>
        </w:tc>
        <w:tc>
          <w:tcPr>
            <w:tcW w:w="616" w:type="pct"/>
          </w:tcPr>
          <w:p w:rsidR="000205BB" w:rsidRPr="002B4AB6" w:rsidRDefault="000205BB" w:rsidP="001D6A8C">
            <w:pPr>
              <w:keepNext/>
              <w:ind w:left="-108"/>
              <w:jc w:val="center"/>
              <w:rPr>
                <w:rFonts w:ascii="Arial Narrow" w:eastAsiaTheme="minorHAnsi" w:hAnsi="Arial Narrow"/>
                <w:b/>
                <w:sz w:val="18"/>
                <w:szCs w:val="18"/>
              </w:rPr>
            </w:pPr>
            <w:r w:rsidRPr="002B4AB6">
              <w:rPr>
                <w:rFonts w:ascii="Arial Narrow" w:eastAsiaTheme="minorHAnsi" w:hAnsi="Arial Narrow"/>
                <w:b/>
                <w:sz w:val="18"/>
                <w:szCs w:val="18"/>
              </w:rPr>
              <w:t>PBS item code</w:t>
            </w:r>
          </w:p>
        </w:tc>
        <w:tc>
          <w:tcPr>
            <w:tcW w:w="539" w:type="pct"/>
          </w:tcPr>
          <w:p w:rsidR="000205BB" w:rsidRPr="002B4AB6" w:rsidRDefault="000205BB" w:rsidP="001D6A8C">
            <w:pPr>
              <w:keepNext/>
              <w:ind w:left="-108"/>
              <w:jc w:val="center"/>
              <w:rPr>
                <w:rFonts w:ascii="Arial Narrow" w:eastAsiaTheme="minorHAnsi" w:hAnsi="Arial Narrow"/>
                <w:b/>
                <w:sz w:val="18"/>
                <w:szCs w:val="18"/>
              </w:rPr>
            </w:pPr>
            <w:r w:rsidRPr="002B4AB6">
              <w:rPr>
                <w:rFonts w:ascii="Arial Narrow" w:eastAsiaTheme="minorHAnsi" w:hAnsi="Arial Narrow"/>
                <w:b/>
                <w:sz w:val="18"/>
                <w:szCs w:val="18"/>
              </w:rPr>
              <w:t>Max.</w:t>
            </w:r>
          </w:p>
          <w:p w:rsidR="000205BB" w:rsidRPr="002B4AB6" w:rsidRDefault="000205BB" w:rsidP="001D6A8C">
            <w:pPr>
              <w:keepNext/>
              <w:ind w:left="-108"/>
              <w:jc w:val="center"/>
              <w:rPr>
                <w:rFonts w:ascii="Arial Narrow" w:eastAsiaTheme="minorHAnsi" w:hAnsi="Arial Narrow"/>
                <w:b/>
                <w:sz w:val="18"/>
                <w:szCs w:val="18"/>
              </w:rPr>
            </w:pPr>
            <w:r w:rsidRPr="002B4AB6">
              <w:rPr>
                <w:rFonts w:ascii="Arial Narrow" w:eastAsiaTheme="minorHAnsi" w:hAnsi="Arial Narrow"/>
                <w:b/>
                <w:sz w:val="18"/>
                <w:szCs w:val="18"/>
              </w:rPr>
              <w:t>Amount</w:t>
            </w:r>
          </w:p>
        </w:tc>
        <w:tc>
          <w:tcPr>
            <w:tcW w:w="462" w:type="pct"/>
          </w:tcPr>
          <w:p w:rsidR="000205BB" w:rsidRPr="002B4AB6" w:rsidRDefault="000205BB" w:rsidP="001D6A8C">
            <w:pPr>
              <w:keepNext/>
              <w:ind w:left="-108"/>
              <w:jc w:val="center"/>
              <w:rPr>
                <w:rFonts w:ascii="Arial Narrow" w:eastAsiaTheme="minorHAnsi" w:hAnsi="Arial Narrow"/>
                <w:b/>
                <w:sz w:val="18"/>
                <w:szCs w:val="18"/>
              </w:rPr>
            </w:pPr>
            <w:r w:rsidRPr="002B4AB6">
              <w:rPr>
                <w:rFonts w:ascii="Arial Narrow" w:eastAsiaTheme="minorHAnsi" w:hAnsi="Arial Narrow"/>
                <w:b/>
                <w:sz w:val="18"/>
                <w:szCs w:val="18"/>
              </w:rPr>
              <w:t>№.of</w:t>
            </w:r>
          </w:p>
          <w:p w:rsidR="000205BB" w:rsidRPr="002B4AB6" w:rsidRDefault="000205BB" w:rsidP="001D6A8C">
            <w:pPr>
              <w:keepNext/>
              <w:ind w:left="-108"/>
              <w:jc w:val="center"/>
              <w:rPr>
                <w:rFonts w:ascii="Arial Narrow" w:eastAsiaTheme="minorHAnsi" w:hAnsi="Arial Narrow"/>
                <w:b/>
                <w:sz w:val="18"/>
                <w:szCs w:val="18"/>
              </w:rPr>
            </w:pPr>
            <w:r w:rsidRPr="002B4AB6">
              <w:rPr>
                <w:rFonts w:ascii="Arial Narrow" w:eastAsiaTheme="minorHAnsi" w:hAnsi="Arial Narrow"/>
                <w:b/>
                <w:sz w:val="18"/>
                <w:szCs w:val="18"/>
              </w:rPr>
              <w:t>Rpts</w:t>
            </w:r>
          </w:p>
        </w:tc>
        <w:tc>
          <w:tcPr>
            <w:tcW w:w="1309" w:type="pct"/>
          </w:tcPr>
          <w:p w:rsidR="000205BB" w:rsidRPr="00F2158A" w:rsidRDefault="000205BB" w:rsidP="001D6A8C">
            <w:pPr>
              <w:keepNext/>
              <w:rPr>
                <w:rFonts w:ascii="Arial Narrow" w:eastAsiaTheme="minorHAnsi" w:hAnsi="Arial Narrow"/>
                <w:b/>
                <w:sz w:val="18"/>
                <w:szCs w:val="18"/>
              </w:rPr>
            </w:pPr>
            <w:r w:rsidRPr="002B4AB6">
              <w:rPr>
                <w:rFonts w:ascii="Arial Narrow" w:eastAsiaTheme="minorHAnsi" w:hAnsi="Arial Narrow"/>
                <w:b/>
                <w:sz w:val="18"/>
                <w:szCs w:val="18"/>
              </w:rPr>
              <w:t>Manufacturer</w:t>
            </w:r>
          </w:p>
        </w:tc>
      </w:tr>
      <w:tr w:rsidR="000205BB" w:rsidRPr="002B4AB6" w:rsidTr="002772F1">
        <w:trPr>
          <w:cantSplit/>
          <w:trHeight w:val="577"/>
        </w:trPr>
        <w:tc>
          <w:tcPr>
            <w:tcW w:w="2076" w:type="pct"/>
          </w:tcPr>
          <w:p w:rsidR="000205BB" w:rsidRPr="002B4AB6" w:rsidRDefault="000205BB" w:rsidP="001D6A8C">
            <w:pPr>
              <w:keepNext/>
              <w:ind w:left="-108"/>
              <w:rPr>
                <w:rFonts w:ascii="Arial Narrow" w:eastAsiaTheme="minorHAnsi" w:hAnsi="Arial Narrow"/>
                <w:sz w:val="18"/>
                <w:szCs w:val="18"/>
              </w:rPr>
            </w:pPr>
            <w:r w:rsidRPr="002B4AB6">
              <w:rPr>
                <w:rFonts w:ascii="Arial Narrow" w:eastAsiaTheme="minorHAnsi" w:hAnsi="Arial Narrow"/>
                <w:sz w:val="18"/>
                <w:szCs w:val="18"/>
              </w:rPr>
              <w:t xml:space="preserve">PEMBROLIZUMAB </w:t>
            </w:r>
          </w:p>
          <w:p w:rsidR="000205BB" w:rsidRPr="002B4AB6" w:rsidRDefault="000205BB" w:rsidP="001D6A8C">
            <w:pPr>
              <w:keepNext/>
              <w:ind w:left="-108"/>
              <w:rPr>
                <w:rFonts w:ascii="Arial Narrow" w:eastAsiaTheme="minorHAnsi" w:hAnsi="Arial Narrow"/>
                <w:sz w:val="18"/>
                <w:szCs w:val="18"/>
              </w:rPr>
            </w:pPr>
            <w:r w:rsidRPr="002B4AB6">
              <w:rPr>
                <w:rFonts w:ascii="Arial Narrow" w:eastAsiaTheme="minorHAnsi" w:hAnsi="Arial Narrow" w:cs="Arial Narrow"/>
                <w:sz w:val="20"/>
                <w:szCs w:val="20"/>
              </w:rPr>
              <w:t>Injection</w:t>
            </w:r>
          </w:p>
        </w:tc>
        <w:tc>
          <w:tcPr>
            <w:tcW w:w="616" w:type="pct"/>
          </w:tcPr>
          <w:p w:rsidR="000205BB" w:rsidRPr="002B4AB6" w:rsidRDefault="000205BB" w:rsidP="001D6A8C">
            <w:pPr>
              <w:keepNext/>
              <w:rPr>
                <w:rFonts w:ascii="Arial Narrow" w:eastAsiaTheme="minorHAnsi" w:hAnsi="Arial Narrow"/>
                <w:sz w:val="18"/>
                <w:szCs w:val="18"/>
              </w:rPr>
            </w:pPr>
          </w:p>
          <w:p w:rsidR="000205BB" w:rsidRPr="002B4AB6" w:rsidRDefault="000205BB" w:rsidP="001D6A8C">
            <w:pPr>
              <w:keepNext/>
              <w:ind w:left="-108"/>
              <w:jc w:val="center"/>
              <w:rPr>
                <w:rFonts w:ascii="Arial Narrow" w:eastAsiaTheme="minorHAnsi" w:hAnsi="Arial Narrow"/>
                <w:sz w:val="18"/>
                <w:szCs w:val="18"/>
              </w:rPr>
            </w:pPr>
            <w:r w:rsidRPr="002B4AB6">
              <w:rPr>
                <w:rFonts w:ascii="Arial Narrow" w:eastAsiaTheme="minorHAnsi" w:hAnsi="Arial Narrow"/>
                <w:sz w:val="18"/>
                <w:szCs w:val="18"/>
              </w:rPr>
              <w:t>NEW (Public)</w:t>
            </w:r>
          </w:p>
          <w:p w:rsidR="000205BB" w:rsidRPr="002B4AB6" w:rsidRDefault="000205BB" w:rsidP="001D6A8C">
            <w:pPr>
              <w:keepNext/>
              <w:ind w:left="-108"/>
              <w:jc w:val="center"/>
              <w:rPr>
                <w:rFonts w:ascii="Arial Narrow" w:eastAsiaTheme="minorHAnsi" w:hAnsi="Arial Narrow"/>
                <w:sz w:val="18"/>
                <w:szCs w:val="18"/>
              </w:rPr>
            </w:pPr>
            <w:r w:rsidRPr="002B4AB6">
              <w:rPr>
                <w:rFonts w:ascii="Arial Narrow" w:eastAsiaTheme="minorHAnsi" w:hAnsi="Arial Narrow"/>
                <w:sz w:val="18"/>
                <w:szCs w:val="18"/>
              </w:rPr>
              <w:t>NEW (Private)</w:t>
            </w:r>
          </w:p>
        </w:tc>
        <w:tc>
          <w:tcPr>
            <w:tcW w:w="539" w:type="pct"/>
          </w:tcPr>
          <w:p w:rsidR="000205BB" w:rsidRPr="002B4AB6" w:rsidRDefault="000205BB" w:rsidP="001D6A8C">
            <w:pPr>
              <w:keepNext/>
              <w:ind w:left="-108"/>
              <w:jc w:val="center"/>
              <w:rPr>
                <w:rFonts w:ascii="Arial Narrow" w:eastAsiaTheme="minorHAnsi" w:hAnsi="Arial Narrow"/>
                <w:sz w:val="18"/>
                <w:szCs w:val="18"/>
              </w:rPr>
            </w:pPr>
          </w:p>
          <w:p w:rsidR="000205BB" w:rsidRPr="002B4AB6" w:rsidRDefault="000205BB" w:rsidP="001D6A8C">
            <w:pPr>
              <w:keepNext/>
              <w:ind w:left="-108"/>
              <w:jc w:val="center"/>
              <w:rPr>
                <w:rFonts w:ascii="Arial Narrow" w:eastAsiaTheme="minorHAnsi" w:hAnsi="Arial Narrow"/>
                <w:sz w:val="18"/>
                <w:szCs w:val="18"/>
              </w:rPr>
            </w:pPr>
            <w:r w:rsidRPr="002B4AB6">
              <w:rPr>
                <w:rFonts w:ascii="Arial Narrow" w:eastAsiaTheme="minorHAnsi" w:hAnsi="Arial Narrow"/>
                <w:sz w:val="18"/>
                <w:szCs w:val="18"/>
              </w:rPr>
              <w:t>200 mg</w:t>
            </w:r>
          </w:p>
        </w:tc>
        <w:tc>
          <w:tcPr>
            <w:tcW w:w="462" w:type="pct"/>
          </w:tcPr>
          <w:p w:rsidR="000205BB" w:rsidRPr="002B4AB6" w:rsidRDefault="000205BB" w:rsidP="001D6A8C">
            <w:pPr>
              <w:keepNext/>
              <w:ind w:left="-108"/>
              <w:jc w:val="center"/>
              <w:rPr>
                <w:rFonts w:ascii="Arial Narrow" w:eastAsiaTheme="minorHAnsi" w:hAnsi="Arial Narrow"/>
                <w:i/>
                <w:sz w:val="18"/>
                <w:szCs w:val="18"/>
              </w:rPr>
            </w:pPr>
          </w:p>
          <w:p w:rsidR="000205BB" w:rsidRPr="002B4AB6" w:rsidRDefault="000205BB" w:rsidP="001D6A8C">
            <w:pPr>
              <w:keepNext/>
              <w:ind w:left="-108"/>
              <w:jc w:val="center"/>
              <w:rPr>
                <w:rFonts w:ascii="Arial Narrow" w:eastAsiaTheme="minorHAnsi" w:hAnsi="Arial Narrow"/>
                <w:i/>
                <w:sz w:val="18"/>
                <w:szCs w:val="18"/>
              </w:rPr>
            </w:pPr>
            <w:r w:rsidRPr="002B4AB6">
              <w:rPr>
                <w:rFonts w:ascii="Arial Narrow" w:hAnsi="Arial Narrow"/>
                <w:sz w:val="20"/>
                <w:szCs w:val="20"/>
              </w:rPr>
              <w:t>6</w:t>
            </w:r>
          </w:p>
          <w:p w:rsidR="000205BB" w:rsidRPr="002B4AB6" w:rsidRDefault="000205BB" w:rsidP="001D6A8C">
            <w:pPr>
              <w:keepNext/>
              <w:ind w:left="-108"/>
              <w:jc w:val="center"/>
              <w:rPr>
                <w:rFonts w:ascii="Arial Narrow" w:eastAsiaTheme="minorHAnsi" w:hAnsi="Arial Narrow"/>
                <w:sz w:val="18"/>
                <w:szCs w:val="18"/>
              </w:rPr>
            </w:pPr>
          </w:p>
        </w:tc>
        <w:tc>
          <w:tcPr>
            <w:tcW w:w="1309" w:type="pct"/>
          </w:tcPr>
          <w:p w:rsidR="000205BB" w:rsidRPr="002B4AB6" w:rsidRDefault="000205BB" w:rsidP="001D6A8C">
            <w:pPr>
              <w:keepNext/>
              <w:jc w:val="left"/>
              <w:rPr>
                <w:rFonts w:ascii="Arial Narrow" w:eastAsiaTheme="minorHAnsi" w:hAnsi="Arial Narrow"/>
                <w:sz w:val="18"/>
                <w:szCs w:val="18"/>
              </w:rPr>
            </w:pPr>
          </w:p>
          <w:p w:rsidR="000205BB" w:rsidRPr="002B4AB6" w:rsidRDefault="000205BB" w:rsidP="001D6A8C">
            <w:pPr>
              <w:keepNext/>
              <w:jc w:val="left"/>
              <w:rPr>
                <w:rFonts w:ascii="Arial Narrow" w:eastAsiaTheme="minorHAnsi" w:hAnsi="Arial Narrow"/>
                <w:sz w:val="18"/>
                <w:szCs w:val="18"/>
              </w:rPr>
            </w:pPr>
            <w:r w:rsidRPr="002B4AB6">
              <w:rPr>
                <w:rFonts w:ascii="Arial Narrow" w:eastAsiaTheme="minorHAnsi" w:hAnsi="Arial Narrow"/>
                <w:sz w:val="18"/>
                <w:szCs w:val="18"/>
              </w:rPr>
              <w:t>Merck Sharp and Dohme Pty Ltd</w:t>
            </w:r>
          </w:p>
        </w:tc>
      </w:tr>
      <w:tr w:rsidR="000205BB" w:rsidRPr="002B4AB6" w:rsidTr="002772F1">
        <w:trPr>
          <w:cantSplit/>
          <w:trHeight w:val="225"/>
        </w:trPr>
        <w:tc>
          <w:tcPr>
            <w:tcW w:w="5000" w:type="pct"/>
            <w:gridSpan w:val="5"/>
          </w:tcPr>
          <w:p w:rsidR="000205BB" w:rsidRPr="002B4AB6" w:rsidRDefault="000205BB" w:rsidP="001D6A8C">
            <w:pPr>
              <w:keepNext/>
              <w:jc w:val="left"/>
              <w:rPr>
                <w:rFonts w:ascii="Arial Narrow" w:eastAsiaTheme="minorHAnsi" w:hAnsi="Arial Narrow"/>
                <w:b/>
                <w:sz w:val="18"/>
                <w:szCs w:val="18"/>
              </w:rPr>
            </w:pPr>
            <w:r w:rsidRPr="002B4AB6">
              <w:rPr>
                <w:rFonts w:ascii="Arial Narrow" w:eastAsiaTheme="minorHAnsi" w:hAnsi="Arial Narrow"/>
                <w:b/>
                <w:sz w:val="18"/>
                <w:szCs w:val="18"/>
              </w:rPr>
              <w:t>Available brands</w:t>
            </w:r>
          </w:p>
        </w:tc>
      </w:tr>
      <w:tr w:rsidR="000205BB" w:rsidRPr="002B4AB6" w:rsidTr="002772F1">
        <w:trPr>
          <w:cantSplit/>
          <w:trHeight w:val="360"/>
        </w:trPr>
        <w:tc>
          <w:tcPr>
            <w:tcW w:w="5000" w:type="pct"/>
            <w:gridSpan w:val="5"/>
          </w:tcPr>
          <w:p w:rsidR="000205BB" w:rsidRPr="002B4AB6" w:rsidRDefault="000205BB" w:rsidP="001D6A8C">
            <w:pPr>
              <w:rPr>
                <w:rFonts w:ascii="Arial Narrow" w:eastAsiaTheme="minorHAnsi" w:hAnsi="Arial Narrow"/>
                <w:sz w:val="18"/>
                <w:szCs w:val="18"/>
              </w:rPr>
            </w:pPr>
            <w:r w:rsidRPr="002B4AB6">
              <w:rPr>
                <w:rFonts w:ascii="Arial Narrow" w:eastAsiaTheme="minorHAnsi" w:hAnsi="Arial Narrow"/>
                <w:sz w:val="18"/>
                <w:szCs w:val="18"/>
              </w:rPr>
              <w:t>Keytruda</w:t>
            </w:r>
          </w:p>
          <w:p w:rsidR="000205BB" w:rsidRPr="002B4AB6" w:rsidRDefault="000205BB" w:rsidP="001D6A8C">
            <w:pPr>
              <w:rPr>
                <w:rFonts w:ascii="Arial Narrow" w:eastAsiaTheme="minorHAnsi" w:hAnsi="Arial Narrow"/>
                <w:sz w:val="18"/>
                <w:szCs w:val="18"/>
              </w:rPr>
            </w:pPr>
            <w:r w:rsidRPr="002B4AB6">
              <w:rPr>
                <w:rFonts w:ascii="Arial Narrow" w:eastAsiaTheme="minorHAnsi" w:hAnsi="Arial Narrow"/>
                <w:sz w:val="18"/>
                <w:szCs w:val="18"/>
              </w:rPr>
              <w:t>(pembrolizumab 100 mg/4 mL injection, 4 mL vial)</w:t>
            </w:r>
          </w:p>
        </w:tc>
      </w:tr>
    </w:tbl>
    <w:p w:rsidR="000205BB" w:rsidRPr="002B4AB6" w:rsidRDefault="000205BB" w:rsidP="000205BB">
      <w:pPr>
        <w:spacing w:after="120"/>
        <w:rPr>
          <w:rFonts w:ascii="Arial Narrow" w:hAnsi="Arial Narrow"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7D460F" w:rsidRPr="002B4AB6" w:rsidTr="002772F1">
        <w:tc>
          <w:tcPr>
            <w:tcW w:w="5000" w:type="pct"/>
            <w:tcBorders>
              <w:top w:val="single" w:sz="4" w:space="0" w:color="auto"/>
              <w:left w:val="single" w:sz="4" w:space="0" w:color="auto"/>
              <w:bottom w:val="single" w:sz="4" w:space="0" w:color="auto"/>
              <w:right w:val="single" w:sz="4" w:space="0" w:color="auto"/>
            </w:tcBorders>
          </w:tcPr>
          <w:p w:rsidR="007D460F" w:rsidRPr="002B4AB6" w:rsidRDefault="007D460F" w:rsidP="00D96A47">
            <w:pPr>
              <w:jc w:val="left"/>
              <w:rPr>
                <w:rFonts w:ascii="Arial Narrow" w:hAnsi="Arial Narrow"/>
                <w:b/>
                <w:bCs/>
                <w:color w:val="333333"/>
                <w:sz w:val="18"/>
                <w:szCs w:val="18"/>
              </w:rPr>
            </w:pPr>
            <w:r w:rsidRPr="002B4AB6">
              <w:rPr>
                <w:rFonts w:ascii="Arial Narrow" w:hAnsi="Arial Narrow"/>
                <w:b/>
                <w:sz w:val="18"/>
                <w:szCs w:val="18"/>
              </w:rPr>
              <w:t xml:space="preserve">Category / Program:   </w:t>
            </w:r>
            <w:r w:rsidRPr="002B4AB6">
              <w:rPr>
                <w:rFonts w:ascii="Arial Narrow" w:hAnsi="Arial Narrow"/>
                <w:sz w:val="18"/>
                <w:szCs w:val="18"/>
              </w:rPr>
              <w:t xml:space="preserve">Section 100 – Efficient Funding of Chemotherapy </w:t>
            </w:r>
          </w:p>
        </w:tc>
      </w:tr>
      <w:tr w:rsidR="007D460F" w:rsidRPr="002B4AB6" w:rsidTr="002772F1">
        <w:tc>
          <w:tcPr>
            <w:tcW w:w="5000" w:type="pct"/>
            <w:tcBorders>
              <w:top w:val="single" w:sz="4" w:space="0" w:color="auto"/>
              <w:left w:val="single" w:sz="4" w:space="0" w:color="auto"/>
              <w:bottom w:val="single" w:sz="4" w:space="0" w:color="auto"/>
              <w:right w:val="single" w:sz="4" w:space="0" w:color="auto"/>
            </w:tcBorders>
          </w:tcPr>
          <w:p w:rsidR="007D460F" w:rsidRPr="002B4AB6" w:rsidRDefault="007D460F" w:rsidP="001D6A8C">
            <w:pPr>
              <w:jc w:val="left"/>
              <w:rPr>
                <w:rFonts w:ascii="Arial Narrow" w:hAnsi="Arial Narrow"/>
                <w:b/>
                <w:bCs/>
                <w:color w:val="333333"/>
                <w:sz w:val="18"/>
                <w:szCs w:val="18"/>
              </w:rPr>
            </w:pPr>
            <w:r w:rsidRPr="002B4AB6">
              <w:rPr>
                <w:rFonts w:ascii="Arial Narrow" w:hAnsi="Arial Narrow"/>
                <w:b/>
                <w:sz w:val="18"/>
                <w:szCs w:val="18"/>
              </w:rPr>
              <w:t xml:space="preserve">Prescriber type:   </w:t>
            </w:r>
            <w:r w:rsidRPr="00F2158A">
              <w:rPr>
                <w:rFonts w:ascii="Arial Narrow" w:hAnsi="Arial Narrow"/>
                <w:sz w:val="18"/>
                <w:szCs w:val="18"/>
              </w:rPr>
              <w:fldChar w:fldCharType="begin">
                <w:ffData>
                  <w:name w:val="Check1"/>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F2158A">
              <w:rPr>
                <w:rFonts w:ascii="Arial Narrow" w:hAnsi="Arial Narrow"/>
                <w:sz w:val="18"/>
                <w:szCs w:val="18"/>
              </w:rPr>
              <w:fldChar w:fldCharType="end"/>
            </w:r>
            <w:r w:rsidRPr="002B4AB6">
              <w:rPr>
                <w:rFonts w:ascii="Arial Narrow" w:hAnsi="Arial Narrow"/>
                <w:sz w:val="18"/>
                <w:szCs w:val="18"/>
              </w:rPr>
              <w:t xml:space="preserve">Dental    </w:t>
            </w:r>
            <w:r w:rsidRPr="00F2158A">
              <w:rPr>
                <w:rFonts w:ascii="Arial Narrow" w:hAnsi="Arial Narrow"/>
                <w:sz w:val="18"/>
                <w:szCs w:val="18"/>
              </w:rPr>
              <w:fldChar w:fldCharType="begin">
                <w:ffData>
                  <w:name w:val=""/>
                  <w:enabled/>
                  <w:calcOnExit w:val="0"/>
                  <w:checkBox>
                    <w:sizeAuto/>
                    <w:default w:val="1"/>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F2158A">
              <w:rPr>
                <w:rFonts w:ascii="Arial Narrow" w:hAnsi="Arial Narrow"/>
                <w:sz w:val="18"/>
                <w:szCs w:val="18"/>
              </w:rPr>
              <w:fldChar w:fldCharType="end"/>
            </w:r>
            <w:r w:rsidRPr="002B4AB6">
              <w:rPr>
                <w:rFonts w:ascii="Arial Narrow" w:hAnsi="Arial Narrow"/>
                <w:sz w:val="18"/>
                <w:szCs w:val="18"/>
              </w:rPr>
              <w:t xml:space="preserve">Medical Practitioners    </w:t>
            </w:r>
            <w:r w:rsidRPr="00F2158A">
              <w:rPr>
                <w:rFonts w:ascii="Arial Narrow" w:hAnsi="Arial Narrow"/>
                <w:sz w:val="18"/>
                <w:szCs w:val="18"/>
              </w:rPr>
              <w:fldChar w:fldCharType="begin">
                <w:ffData>
                  <w:name w:val="Check3"/>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F2158A">
              <w:rPr>
                <w:rFonts w:ascii="Arial Narrow" w:hAnsi="Arial Narrow"/>
                <w:sz w:val="18"/>
                <w:szCs w:val="18"/>
              </w:rPr>
              <w:fldChar w:fldCharType="end"/>
            </w:r>
            <w:r w:rsidRPr="002B4AB6">
              <w:rPr>
                <w:rFonts w:ascii="Arial Narrow" w:hAnsi="Arial Narrow"/>
                <w:sz w:val="18"/>
                <w:szCs w:val="18"/>
              </w:rPr>
              <w:t xml:space="preserve">Nurse practitioners     </w:t>
            </w:r>
            <w:r w:rsidRPr="00F2158A">
              <w:rPr>
                <w:rFonts w:ascii="Arial Narrow" w:hAnsi="Arial Narrow"/>
                <w:sz w:val="18"/>
                <w:szCs w:val="18"/>
              </w:rPr>
              <w:fldChar w:fldCharType="begin">
                <w:ffData>
                  <w:name w:val=""/>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F2158A">
              <w:rPr>
                <w:rFonts w:ascii="Arial Narrow" w:hAnsi="Arial Narrow"/>
                <w:sz w:val="18"/>
                <w:szCs w:val="18"/>
              </w:rPr>
              <w:fldChar w:fldCharType="end"/>
            </w:r>
            <w:r w:rsidRPr="002B4AB6">
              <w:rPr>
                <w:rFonts w:ascii="Arial Narrow" w:hAnsi="Arial Narrow"/>
                <w:sz w:val="18"/>
                <w:szCs w:val="18"/>
              </w:rPr>
              <w:t xml:space="preserve">Optometrists    </w:t>
            </w:r>
            <w:r w:rsidRPr="00F2158A">
              <w:rPr>
                <w:rFonts w:ascii="Arial Narrow" w:hAnsi="Arial Narrow"/>
                <w:sz w:val="18"/>
                <w:szCs w:val="18"/>
              </w:rPr>
              <w:fldChar w:fldCharType="begin">
                <w:ffData>
                  <w:name w:val="Check5"/>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F2158A">
              <w:rPr>
                <w:rFonts w:ascii="Arial Narrow" w:hAnsi="Arial Narrow"/>
                <w:sz w:val="18"/>
                <w:szCs w:val="18"/>
              </w:rPr>
              <w:fldChar w:fldCharType="end"/>
            </w:r>
            <w:r w:rsidRPr="002B4AB6">
              <w:rPr>
                <w:rFonts w:ascii="Arial Narrow" w:hAnsi="Arial Narrow"/>
                <w:sz w:val="18"/>
                <w:szCs w:val="18"/>
              </w:rPr>
              <w:t>Midwives</w:t>
            </w:r>
          </w:p>
        </w:tc>
      </w:tr>
      <w:tr w:rsidR="007D460F" w:rsidRPr="002B4AB6" w:rsidTr="002772F1">
        <w:tc>
          <w:tcPr>
            <w:tcW w:w="5000" w:type="pct"/>
            <w:tcBorders>
              <w:top w:val="single" w:sz="4" w:space="0" w:color="auto"/>
              <w:left w:val="single" w:sz="4" w:space="0" w:color="auto"/>
              <w:bottom w:val="single" w:sz="4" w:space="0" w:color="auto"/>
              <w:right w:val="single" w:sz="4" w:space="0" w:color="auto"/>
            </w:tcBorders>
          </w:tcPr>
          <w:p w:rsidR="007D460F" w:rsidRPr="007D460F" w:rsidRDefault="007D460F" w:rsidP="007D460F">
            <w:pPr>
              <w:rPr>
                <w:rFonts w:ascii="Arial Narrow" w:hAnsi="Arial Narrow"/>
                <w:b/>
                <w:sz w:val="18"/>
                <w:szCs w:val="18"/>
              </w:rPr>
            </w:pPr>
            <w:r>
              <w:rPr>
                <w:rFonts w:ascii="Arial Narrow" w:hAnsi="Arial Narrow"/>
                <w:b/>
                <w:sz w:val="18"/>
                <w:szCs w:val="18"/>
              </w:rPr>
              <w:t xml:space="preserve">Restriction Level / Method:  </w:t>
            </w:r>
            <w:r w:rsidRPr="00F2158A">
              <w:rPr>
                <w:rFonts w:ascii="Arial Narrow" w:hAnsi="Arial Narrow"/>
                <w:sz w:val="18"/>
                <w:szCs w:val="18"/>
              </w:rPr>
              <w:fldChar w:fldCharType="begin">
                <w:ffData>
                  <w:name w:val=""/>
                  <w:enabled/>
                  <w:calcOnExit w:val="0"/>
                  <w:checkBox>
                    <w:sizeAuto/>
                    <w:default w:val="1"/>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F2158A">
              <w:rPr>
                <w:rFonts w:ascii="Arial Narrow" w:hAnsi="Arial Narrow"/>
                <w:sz w:val="18"/>
                <w:szCs w:val="18"/>
              </w:rPr>
              <w:fldChar w:fldCharType="end"/>
            </w:r>
            <w:r>
              <w:rPr>
                <w:rFonts w:ascii="Arial Narrow" w:hAnsi="Arial Narrow"/>
                <w:sz w:val="18"/>
                <w:szCs w:val="18"/>
              </w:rPr>
              <w:t xml:space="preserve">   </w:t>
            </w:r>
            <w:r w:rsidRPr="002B4AB6">
              <w:rPr>
                <w:rFonts w:ascii="Arial Narrow" w:hAnsi="Arial Narrow"/>
                <w:sz w:val="18"/>
                <w:szCs w:val="18"/>
              </w:rPr>
              <w:t>Authority Required –</w:t>
            </w:r>
            <w:r>
              <w:rPr>
                <w:rFonts w:ascii="Arial Narrow" w:hAnsi="Arial Narrow"/>
                <w:sz w:val="18"/>
                <w:szCs w:val="18"/>
              </w:rPr>
              <w:t xml:space="preserve"> Telephone/Electronic/Emergency</w:t>
            </w:r>
          </w:p>
        </w:tc>
      </w:tr>
      <w:tr w:rsidR="007D460F" w:rsidRPr="002B4AB6" w:rsidTr="002772F1">
        <w:trPr>
          <w:trHeight w:val="1153"/>
        </w:trPr>
        <w:tc>
          <w:tcPr>
            <w:tcW w:w="5000" w:type="pct"/>
            <w:vAlign w:val="center"/>
          </w:tcPr>
          <w:p w:rsidR="007D460F" w:rsidRDefault="007D460F" w:rsidP="001D6A8C">
            <w:pPr>
              <w:jc w:val="left"/>
              <w:rPr>
                <w:rFonts w:ascii="Arial Narrow" w:hAnsi="Arial Narrow"/>
                <w:color w:val="333333"/>
                <w:sz w:val="18"/>
                <w:szCs w:val="18"/>
              </w:rPr>
            </w:pPr>
            <w:r w:rsidRPr="002B4AB6">
              <w:rPr>
                <w:rFonts w:ascii="Arial Narrow" w:hAnsi="Arial Narrow"/>
                <w:b/>
                <w:bCs/>
                <w:color w:val="333333"/>
                <w:sz w:val="18"/>
                <w:szCs w:val="18"/>
              </w:rPr>
              <w:t>Administrative Advice:</w:t>
            </w:r>
            <w:r w:rsidRPr="002B4AB6">
              <w:rPr>
                <w:rFonts w:ascii="Arial Narrow" w:hAnsi="Arial Narrow"/>
                <w:color w:val="333333"/>
                <w:sz w:val="18"/>
                <w:szCs w:val="18"/>
              </w:rPr>
              <w:t xml:space="preserve"> </w:t>
            </w:r>
          </w:p>
          <w:p w:rsidR="007D460F" w:rsidRPr="002B4AB6" w:rsidRDefault="007D460F" w:rsidP="001D6A8C">
            <w:pPr>
              <w:jc w:val="left"/>
              <w:rPr>
                <w:rFonts w:ascii="Arial Narrow" w:hAnsi="Arial Narrow"/>
                <w:b/>
                <w:bCs/>
                <w:color w:val="333333"/>
                <w:sz w:val="18"/>
                <w:szCs w:val="18"/>
              </w:rPr>
            </w:pPr>
            <w:r w:rsidRPr="002B4AB6">
              <w:rPr>
                <w:rFonts w:ascii="Arial Narrow" w:hAnsi="Arial Narrow"/>
                <w:color w:val="333333"/>
                <w:sz w:val="18"/>
                <w:szCs w:val="18"/>
              </w:rPr>
              <w:t>No increase in the maximum quantity or number of units may be authorised.</w:t>
            </w:r>
          </w:p>
          <w:p w:rsidR="007D460F" w:rsidRPr="002B4AB6" w:rsidRDefault="007D460F" w:rsidP="001D6A8C">
            <w:pPr>
              <w:jc w:val="left"/>
              <w:rPr>
                <w:rFonts w:ascii="Arial Narrow" w:hAnsi="Arial Narrow"/>
                <w:b/>
                <w:bCs/>
                <w:color w:val="333333"/>
                <w:sz w:val="18"/>
                <w:szCs w:val="18"/>
              </w:rPr>
            </w:pPr>
            <w:r w:rsidRPr="002B4AB6">
              <w:rPr>
                <w:rFonts w:ascii="Arial Narrow" w:hAnsi="Arial Narrow"/>
                <w:color w:val="333333"/>
                <w:sz w:val="18"/>
                <w:szCs w:val="18"/>
              </w:rPr>
              <w:t>No increase in the maximum number of repeats may be authorised.</w:t>
            </w:r>
          </w:p>
          <w:p w:rsidR="007D460F" w:rsidRPr="002B4AB6" w:rsidRDefault="007D460F" w:rsidP="001D6A8C">
            <w:pPr>
              <w:jc w:val="left"/>
              <w:rPr>
                <w:rFonts w:ascii="Arial Narrow" w:hAnsi="Arial Narrow"/>
                <w:b/>
                <w:bCs/>
                <w:color w:val="333333"/>
                <w:sz w:val="18"/>
                <w:szCs w:val="18"/>
              </w:rPr>
            </w:pPr>
            <w:r w:rsidRPr="002B4AB6">
              <w:rPr>
                <w:rFonts w:ascii="Arial Narrow" w:hAnsi="Arial Narrow"/>
                <w:color w:val="333333"/>
                <w:sz w:val="18"/>
                <w:szCs w:val="18"/>
              </w:rPr>
              <w:t>Special Pricing Arrangements apply.</w:t>
            </w:r>
          </w:p>
          <w:p w:rsidR="007D460F" w:rsidRPr="002B4AB6" w:rsidRDefault="007D460F" w:rsidP="001D6A8C">
            <w:pPr>
              <w:jc w:val="left"/>
              <w:rPr>
                <w:rFonts w:ascii="Arial Narrow" w:hAnsi="Arial Narrow"/>
                <w:b/>
                <w:bCs/>
                <w:color w:val="333333"/>
                <w:sz w:val="18"/>
                <w:szCs w:val="18"/>
              </w:rPr>
            </w:pPr>
            <w:r w:rsidRPr="002B4AB6">
              <w:rPr>
                <w:rFonts w:ascii="Arial Narrow" w:hAnsi="Arial Narrow"/>
                <w:color w:val="333333"/>
                <w:sz w:val="18"/>
                <w:szCs w:val="18"/>
              </w:rPr>
              <w:t>Patient should be treated with the recommended dose of pembrolizumab according to the TGA-approved Product Information.</w:t>
            </w:r>
          </w:p>
        </w:tc>
      </w:tr>
      <w:tr w:rsidR="007D460F"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7D460F" w:rsidRPr="002B4AB6" w:rsidRDefault="007D460F" w:rsidP="001D6A8C">
            <w:pPr>
              <w:jc w:val="left"/>
              <w:rPr>
                <w:rFonts w:ascii="Arial Narrow" w:hAnsi="Arial Narrow"/>
                <w:color w:val="333333"/>
                <w:sz w:val="18"/>
                <w:szCs w:val="18"/>
              </w:rPr>
            </w:pPr>
            <w:r w:rsidRPr="002B4AB6">
              <w:rPr>
                <w:rFonts w:ascii="Arial Narrow" w:hAnsi="Arial Narrow"/>
                <w:b/>
                <w:bCs/>
                <w:color w:val="333333"/>
                <w:sz w:val="18"/>
                <w:szCs w:val="18"/>
              </w:rPr>
              <w:t>Indication:</w:t>
            </w:r>
            <w:r w:rsidRPr="002B4AB6">
              <w:rPr>
                <w:rFonts w:ascii="Arial Narrow" w:hAnsi="Arial Narrow"/>
                <w:color w:val="333333"/>
                <w:sz w:val="18"/>
                <w:szCs w:val="18"/>
              </w:rPr>
              <w:t xml:space="preserve"> Relapsed or refractory</w:t>
            </w:r>
            <w:r w:rsidR="00463FDB">
              <w:rPr>
                <w:rFonts w:ascii="Arial Narrow" w:hAnsi="Arial Narrow"/>
                <w:color w:val="333333"/>
                <w:sz w:val="18"/>
                <w:szCs w:val="18"/>
              </w:rPr>
              <w:t xml:space="preserve"> primary</w:t>
            </w:r>
            <w:r w:rsidRPr="002B4AB6">
              <w:rPr>
                <w:rFonts w:ascii="Arial Narrow" w:hAnsi="Arial Narrow"/>
                <w:color w:val="333333"/>
                <w:sz w:val="18"/>
                <w:szCs w:val="18"/>
              </w:rPr>
              <w:t xml:space="preserve"> mediastinal B-Cell lymphoma</w:t>
            </w:r>
          </w:p>
        </w:tc>
      </w:tr>
      <w:tr w:rsidR="007D460F"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7D460F" w:rsidRPr="002B4AB6" w:rsidRDefault="007D460F" w:rsidP="001D6A8C">
            <w:pPr>
              <w:jc w:val="left"/>
              <w:rPr>
                <w:rFonts w:ascii="Arial Narrow" w:hAnsi="Arial Narrow"/>
                <w:color w:val="333333"/>
                <w:sz w:val="18"/>
                <w:szCs w:val="18"/>
              </w:rPr>
            </w:pPr>
            <w:r w:rsidRPr="002B4AB6">
              <w:rPr>
                <w:rFonts w:ascii="Arial Narrow" w:hAnsi="Arial Narrow"/>
                <w:b/>
                <w:bCs/>
                <w:color w:val="333333"/>
                <w:sz w:val="18"/>
                <w:szCs w:val="18"/>
              </w:rPr>
              <w:t>Treatment Phase:</w:t>
            </w:r>
            <w:r w:rsidRPr="002B4AB6">
              <w:rPr>
                <w:rFonts w:ascii="Arial Narrow" w:hAnsi="Arial Narrow"/>
                <w:color w:val="333333"/>
                <w:sz w:val="18"/>
                <w:szCs w:val="18"/>
              </w:rPr>
              <w:t xml:space="preserve"> Continuing treatment</w:t>
            </w:r>
          </w:p>
        </w:tc>
      </w:tr>
      <w:tr w:rsidR="007D460F"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7D460F" w:rsidRPr="002B4AB6" w:rsidRDefault="007D460F" w:rsidP="001D6A8C">
            <w:pPr>
              <w:jc w:val="left"/>
              <w:rPr>
                <w:rFonts w:ascii="Arial Narrow" w:hAnsi="Arial Narrow"/>
                <w:color w:val="333333"/>
                <w:sz w:val="18"/>
                <w:szCs w:val="18"/>
              </w:rPr>
            </w:pPr>
            <w:r w:rsidRPr="002B4AB6">
              <w:rPr>
                <w:rFonts w:ascii="Arial Narrow" w:hAnsi="Arial Narrow"/>
                <w:b/>
                <w:bCs/>
                <w:color w:val="333333"/>
                <w:sz w:val="18"/>
                <w:szCs w:val="18"/>
              </w:rPr>
              <w:t>Clinical criteria:</w:t>
            </w:r>
          </w:p>
        </w:tc>
      </w:tr>
      <w:tr w:rsidR="007D460F"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7D460F" w:rsidRPr="007D460F" w:rsidRDefault="007D460F" w:rsidP="007D460F">
            <w:pPr>
              <w:pStyle w:val="ListParagraph"/>
              <w:numPr>
                <w:ilvl w:val="0"/>
                <w:numId w:val="20"/>
              </w:numPr>
              <w:spacing w:after="0"/>
              <w:ind w:left="714" w:hanging="357"/>
              <w:jc w:val="left"/>
              <w:rPr>
                <w:rFonts w:ascii="Arial Narrow" w:hAnsi="Arial Narrow"/>
                <w:color w:val="333333"/>
                <w:sz w:val="18"/>
                <w:szCs w:val="18"/>
              </w:rPr>
            </w:pPr>
            <w:r w:rsidRPr="007D460F">
              <w:rPr>
                <w:rFonts w:ascii="Arial Narrow" w:hAnsi="Arial Narrow"/>
                <w:color w:val="333333"/>
                <w:sz w:val="18"/>
                <w:szCs w:val="18"/>
              </w:rPr>
              <w:t>Patient must have previously received PBS-subsidised treatment with this drug for this condition</w:t>
            </w:r>
          </w:p>
        </w:tc>
      </w:tr>
      <w:tr w:rsidR="007D460F"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7D460F" w:rsidRPr="007D460F" w:rsidRDefault="007D460F" w:rsidP="007D460F">
            <w:pPr>
              <w:pStyle w:val="ListParagraph"/>
              <w:numPr>
                <w:ilvl w:val="0"/>
                <w:numId w:val="20"/>
              </w:numPr>
              <w:spacing w:after="0"/>
              <w:ind w:left="714" w:hanging="357"/>
              <w:jc w:val="left"/>
              <w:rPr>
                <w:rFonts w:ascii="Arial Narrow" w:hAnsi="Arial Narrow"/>
                <w:color w:val="333333"/>
                <w:sz w:val="18"/>
                <w:szCs w:val="18"/>
              </w:rPr>
            </w:pPr>
            <w:r w:rsidRPr="007D460F">
              <w:rPr>
                <w:rFonts w:ascii="Arial Narrow" w:hAnsi="Arial Narrow"/>
                <w:b/>
                <w:bCs/>
                <w:color w:val="333333"/>
                <w:sz w:val="18"/>
                <w:szCs w:val="18"/>
              </w:rPr>
              <w:t>AND</w:t>
            </w:r>
          </w:p>
        </w:tc>
      </w:tr>
      <w:tr w:rsidR="007D460F"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7D460F" w:rsidRPr="007D460F" w:rsidRDefault="007D460F" w:rsidP="007D460F">
            <w:pPr>
              <w:pStyle w:val="ListParagraph"/>
              <w:numPr>
                <w:ilvl w:val="0"/>
                <w:numId w:val="20"/>
              </w:numPr>
              <w:spacing w:after="0"/>
              <w:ind w:left="714" w:hanging="357"/>
              <w:jc w:val="left"/>
              <w:rPr>
                <w:rFonts w:ascii="Arial Narrow" w:hAnsi="Arial Narrow"/>
                <w:color w:val="333333"/>
                <w:sz w:val="18"/>
                <w:szCs w:val="18"/>
              </w:rPr>
            </w:pPr>
            <w:r w:rsidRPr="007D460F">
              <w:rPr>
                <w:rFonts w:ascii="Arial Narrow" w:hAnsi="Arial Narrow"/>
                <w:color w:val="333333"/>
                <w:sz w:val="18"/>
                <w:szCs w:val="18"/>
              </w:rPr>
              <w:t>Patient must not develop disease progression while receiving PBS-subsidised treatment with this drug for this condition</w:t>
            </w:r>
          </w:p>
        </w:tc>
      </w:tr>
      <w:tr w:rsidR="007D460F"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7D460F" w:rsidRPr="007D460F" w:rsidRDefault="007D460F" w:rsidP="007D460F">
            <w:pPr>
              <w:pStyle w:val="ListParagraph"/>
              <w:numPr>
                <w:ilvl w:val="0"/>
                <w:numId w:val="20"/>
              </w:numPr>
              <w:spacing w:after="0"/>
              <w:ind w:left="714" w:hanging="357"/>
              <w:jc w:val="left"/>
              <w:rPr>
                <w:rFonts w:ascii="Arial Narrow" w:hAnsi="Arial Narrow"/>
                <w:color w:val="333333"/>
                <w:sz w:val="18"/>
                <w:szCs w:val="18"/>
              </w:rPr>
            </w:pPr>
            <w:r w:rsidRPr="007D460F">
              <w:rPr>
                <w:rFonts w:ascii="Arial Narrow" w:hAnsi="Arial Narrow"/>
                <w:b/>
                <w:bCs/>
                <w:color w:val="333333"/>
                <w:sz w:val="18"/>
                <w:szCs w:val="18"/>
              </w:rPr>
              <w:t>AND</w:t>
            </w:r>
          </w:p>
        </w:tc>
      </w:tr>
      <w:tr w:rsidR="007D460F"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7D460F" w:rsidRPr="007D460F" w:rsidRDefault="007D460F" w:rsidP="007D460F">
            <w:pPr>
              <w:pStyle w:val="ListParagraph"/>
              <w:numPr>
                <w:ilvl w:val="0"/>
                <w:numId w:val="20"/>
              </w:numPr>
              <w:spacing w:after="0"/>
              <w:ind w:left="714" w:hanging="357"/>
              <w:jc w:val="left"/>
              <w:rPr>
                <w:rFonts w:ascii="Arial Narrow" w:hAnsi="Arial Narrow"/>
                <w:color w:val="333333"/>
                <w:sz w:val="18"/>
                <w:szCs w:val="18"/>
              </w:rPr>
            </w:pPr>
            <w:r w:rsidRPr="007D460F">
              <w:rPr>
                <w:rFonts w:ascii="Arial Narrow" w:hAnsi="Arial Narrow"/>
                <w:color w:val="333333"/>
                <w:sz w:val="18"/>
                <w:szCs w:val="18"/>
              </w:rPr>
              <w:t>The treatment must not exceed a total of 35 cycles in a lifetime</w:t>
            </w:r>
          </w:p>
        </w:tc>
      </w:tr>
      <w:tr w:rsidR="007D460F"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7D460F" w:rsidRPr="002B4AB6" w:rsidRDefault="007D460F" w:rsidP="001D6A8C">
            <w:pPr>
              <w:jc w:val="left"/>
              <w:rPr>
                <w:rFonts w:ascii="Arial Narrow" w:hAnsi="Arial Narrow"/>
                <w:color w:val="333333"/>
                <w:sz w:val="18"/>
                <w:szCs w:val="18"/>
              </w:rPr>
            </w:pPr>
            <w:r w:rsidRPr="002B4AB6">
              <w:rPr>
                <w:rFonts w:ascii="Arial Narrow" w:hAnsi="Arial Narrow"/>
                <w:b/>
                <w:bCs/>
                <w:color w:val="333333"/>
                <w:sz w:val="18"/>
                <w:szCs w:val="18"/>
              </w:rPr>
              <w:t>Administrative Advice:</w:t>
            </w:r>
          </w:p>
          <w:p w:rsidR="007D460F" w:rsidRPr="002B4AB6" w:rsidRDefault="007D460F" w:rsidP="001D6A8C">
            <w:pPr>
              <w:jc w:val="left"/>
              <w:rPr>
                <w:rFonts w:ascii="Arial Narrow" w:hAnsi="Arial Narrow"/>
                <w:color w:val="333333"/>
                <w:sz w:val="18"/>
                <w:szCs w:val="18"/>
              </w:rPr>
            </w:pPr>
            <w:r w:rsidRPr="002B4AB6">
              <w:rPr>
                <w:rFonts w:ascii="Arial Narrow" w:hAnsi="Arial Narrow"/>
                <w:color w:val="333333"/>
                <w:sz w:val="18"/>
                <w:szCs w:val="18"/>
              </w:rPr>
              <w:t>Authority applications for continuing treatment may be made by telephone to the Department of Human Services on 1800 700 270 (hours of operation 8 a.m. to 5 p.m. EST Monday to Friday).</w:t>
            </w:r>
          </w:p>
        </w:tc>
      </w:tr>
    </w:tbl>
    <w:p w:rsidR="00BB3A7C" w:rsidRPr="002B4AB6" w:rsidRDefault="00BB3A7C" w:rsidP="000205BB">
      <w:pPr>
        <w:rPr>
          <w:rFonts w:asciiTheme="minorHAnsi" w:hAnsiTheme="minorHAnsi" w:cstheme="minorHAnsi"/>
          <w:color w:val="365F91" w:themeColor="accent1" w:themeShade="B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7D460F" w:rsidRPr="002B4AB6" w:rsidTr="002772F1">
        <w:tc>
          <w:tcPr>
            <w:tcW w:w="5000" w:type="pct"/>
            <w:tcBorders>
              <w:top w:val="single" w:sz="4" w:space="0" w:color="auto"/>
              <w:left w:val="single" w:sz="4" w:space="0" w:color="auto"/>
              <w:bottom w:val="single" w:sz="4" w:space="0" w:color="auto"/>
              <w:right w:val="single" w:sz="4" w:space="0" w:color="auto"/>
            </w:tcBorders>
          </w:tcPr>
          <w:p w:rsidR="007D460F" w:rsidRPr="002B4AB6" w:rsidRDefault="007D460F" w:rsidP="00D96A47">
            <w:pPr>
              <w:rPr>
                <w:rFonts w:ascii="Arial Narrow" w:hAnsi="Arial Narrow"/>
                <w:sz w:val="18"/>
                <w:szCs w:val="18"/>
              </w:rPr>
            </w:pPr>
            <w:r w:rsidRPr="002B4AB6">
              <w:rPr>
                <w:rFonts w:ascii="Arial Narrow" w:hAnsi="Arial Narrow"/>
                <w:b/>
                <w:sz w:val="18"/>
                <w:szCs w:val="18"/>
              </w:rPr>
              <w:t xml:space="preserve">Category / Program:   </w:t>
            </w:r>
            <w:r w:rsidRPr="002B4AB6">
              <w:rPr>
                <w:rFonts w:ascii="Arial Narrow" w:hAnsi="Arial Narrow"/>
                <w:sz w:val="18"/>
                <w:szCs w:val="18"/>
              </w:rPr>
              <w:t xml:space="preserve">Section 100 – Efficient Funding of Chemotherapy </w:t>
            </w:r>
          </w:p>
        </w:tc>
      </w:tr>
      <w:tr w:rsidR="007D460F" w:rsidRPr="002B4AB6" w:rsidTr="002772F1">
        <w:tc>
          <w:tcPr>
            <w:tcW w:w="5000" w:type="pct"/>
            <w:tcBorders>
              <w:top w:val="single" w:sz="4" w:space="0" w:color="auto"/>
              <w:left w:val="single" w:sz="4" w:space="0" w:color="auto"/>
              <w:bottom w:val="single" w:sz="4" w:space="0" w:color="auto"/>
              <w:right w:val="single" w:sz="4" w:space="0" w:color="auto"/>
            </w:tcBorders>
          </w:tcPr>
          <w:p w:rsidR="007D460F" w:rsidRPr="002B4AB6" w:rsidRDefault="007D460F" w:rsidP="001D6A8C">
            <w:pPr>
              <w:jc w:val="left"/>
              <w:rPr>
                <w:rFonts w:ascii="Arial Narrow" w:hAnsi="Arial Narrow"/>
                <w:b/>
                <w:bCs/>
                <w:color w:val="333333"/>
                <w:sz w:val="18"/>
                <w:szCs w:val="18"/>
              </w:rPr>
            </w:pPr>
            <w:r w:rsidRPr="002B4AB6">
              <w:rPr>
                <w:rFonts w:ascii="Arial Narrow" w:hAnsi="Arial Narrow"/>
                <w:b/>
                <w:sz w:val="18"/>
                <w:szCs w:val="18"/>
              </w:rPr>
              <w:t xml:space="preserve">Prescriber type:   </w:t>
            </w:r>
            <w:r w:rsidRPr="00F2158A">
              <w:rPr>
                <w:rFonts w:ascii="Arial Narrow" w:hAnsi="Arial Narrow"/>
                <w:sz w:val="18"/>
                <w:szCs w:val="18"/>
              </w:rPr>
              <w:fldChar w:fldCharType="begin">
                <w:ffData>
                  <w:name w:val="Check1"/>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F2158A">
              <w:rPr>
                <w:rFonts w:ascii="Arial Narrow" w:hAnsi="Arial Narrow"/>
                <w:sz w:val="18"/>
                <w:szCs w:val="18"/>
              </w:rPr>
              <w:fldChar w:fldCharType="end"/>
            </w:r>
            <w:r w:rsidRPr="002B4AB6">
              <w:rPr>
                <w:rFonts w:ascii="Arial Narrow" w:hAnsi="Arial Narrow"/>
                <w:sz w:val="18"/>
                <w:szCs w:val="18"/>
              </w:rPr>
              <w:t xml:space="preserve">Dental    </w:t>
            </w:r>
            <w:r w:rsidRPr="00F2158A">
              <w:rPr>
                <w:rFonts w:ascii="Arial Narrow" w:hAnsi="Arial Narrow"/>
                <w:sz w:val="18"/>
                <w:szCs w:val="18"/>
              </w:rPr>
              <w:fldChar w:fldCharType="begin">
                <w:ffData>
                  <w:name w:val=""/>
                  <w:enabled/>
                  <w:calcOnExit w:val="0"/>
                  <w:checkBox>
                    <w:sizeAuto/>
                    <w:default w:val="1"/>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F2158A">
              <w:rPr>
                <w:rFonts w:ascii="Arial Narrow" w:hAnsi="Arial Narrow"/>
                <w:sz w:val="18"/>
                <w:szCs w:val="18"/>
              </w:rPr>
              <w:fldChar w:fldCharType="end"/>
            </w:r>
            <w:r w:rsidRPr="002B4AB6">
              <w:rPr>
                <w:rFonts w:ascii="Arial Narrow" w:hAnsi="Arial Narrow"/>
                <w:sz w:val="18"/>
                <w:szCs w:val="18"/>
              </w:rPr>
              <w:t xml:space="preserve">Medical Practitioners    </w:t>
            </w:r>
            <w:r w:rsidRPr="00F2158A">
              <w:rPr>
                <w:rFonts w:ascii="Arial Narrow" w:hAnsi="Arial Narrow"/>
                <w:sz w:val="18"/>
                <w:szCs w:val="18"/>
              </w:rPr>
              <w:fldChar w:fldCharType="begin">
                <w:ffData>
                  <w:name w:val="Check3"/>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F2158A">
              <w:rPr>
                <w:rFonts w:ascii="Arial Narrow" w:hAnsi="Arial Narrow"/>
                <w:sz w:val="18"/>
                <w:szCs w:val="18"/>
              </w:rPr>
              <w:fldChar w:fldCharType="end"/>
            </w:r>
            <w:r w:rsidRPr="002B4AB6">
              <w:rPr>
                <w:rFonts w:ascii="Arial Narrow" w:hAnsi="Arial Narrow"/>
                <w:sz w:val="18"/>
                <w:szCs w:val="18"/>
              </w:rPr>
              <w:t xml:space="preserve">Nurse practitioners     </w:t>
            </w:r>
            <w:r w:rsidRPr="00F2158A">
              <w:rPr>
                <w:rFonts w:ascii="Arial Narrow" w:hAnsi="Arial Narrow"/>
                <w:sz w:val="18"/>
                <w:szCs w:val="18"/>
              </w:rPr>
              <w:fldChar w:fldCharType="begin">
                <w:ffData>
                  <w:name w:val=""/>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F2158A">
              <w:rPr>
                <w:rFonts w:ascii="Arial Narrow" w:hAnsi="Arial Narrow"/>
                <w:sz w:val="18"/>
                <w:szCs w:val="18"/>
              </w:rPr>
              <w:fldChar w:fldCharType="end"/>
            </w:r>
            <w:r w:rsidRPr="002B4AB6">
              <w:rPr>
                <w:rFonts w:ascii="Arial Narrow" w:hAnsi="Arial Narrow"/>
                <w:sz w:val="18"/>
                <w:szCs w:val="18"/>
              </w:rPr>
              <w:t xml:space="preserve">Optometrists    </w:t>
            </w:r>
            <w:r w:rsidRPr="00F2158A">
              <w:rPr>
                <w:rFonts w:ascii="Arial Narrow" w:hAnsi="Arial Narrow"/>
                <w:sz w:val="18"/>
                <w:szCs w:val="18"/>
              </w:rPr>
              <w:fldChar w:fldCharType="begin">
                <w:ffData>
                  <w:name w:val="Check5"/>
                  <w:enabled/>
                  <w:calcOnExit w:val="0"/>
                  <w:checkBox>
                    <w:sizeAuto/>
                    <w:default w:val="0"/>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F2158A">
              <w:rPr>
                <w:rFonts w:ascii="Arial Narrow" w:hAnsi="Arial Narrow"/>
                <w:sz w:val="18"/>
                <w:szCs w:val="18"/>
              </w:rPr>
              <w:fldChar w:fldCharType="end"/>
            </w:r>
            <w:r w:rsidRPr="002B4AB6">
              <w:rPr>
                <w:rFonts w:ascii="Arial Narrow" w:hAnsi="Arial Narrow"/>
                <w:sz w:val="18"/>
                <w:szCs w:val="18"/>
              </w:rPr>
              <w:t>Midwives</w:t>
            </w:r>
          </w:p>
        </w:tc>
      </w:tr>
      <w:tr w:rsidR="007D460F" w:rsidRPr="002B4AB6" w:rsidTr="002772F1">
        <w:trPr>
          <w:trHeight w:val="240"/>
        </w:trPr>
        <w:tc>
          <w:tcPr>
            <w:tcW w:w="5000" w:type="pct"/>
            <w:tcBorders>
              <w:top w:val="single" w:sz="4" w:space="0" w:color="auto"/>
              <w:left w:val="single" w:sz="4" w:space="0" w:color="auto"/>
              <w:bottom w:val="single" w:sz="4" w:space="0" w:color="auto"/>
              <w:right w:val="single" w:sz="4" w:space="0" w:color="auto"/>
            </w:tcBorders>
          </w:tcPr>
          <w:p w:rsidR="007D460F" w:rsidRPr="007D460F" w:rsidRDefault="007D460F" w:rsidP="007D460F">
            <w:pPr>
              <w:rPr>
                <w:rFonts w:ascii="Arial Narrow" w:hAnsi="Arial Narrow"/>
                <w:b/>
                <w:sz w:val="18"/>
                <w:szCs w:val="18"/>
              </w:rPr>
            </w:pPr>
            <w:r>
              <w:rPr>
                <w:rFonts w:ascii="Arial Narrow" w:hAnsi="Arial Narrow"/>
                <w:b/>
                <w:sz w:val="18"/>
                <w:szCs w:val="18"/>
              </w:rPr>
              <w:t xml:space="preserve">Restriction Level / Method: </w:t>
            </w:r>
            <w:r w:rsidRPr="00F2158A">
              <w:rPr>
                <w:rFonts w:ascii="Arial Narrow" w:hAnsi="Arial Narrow"/>
                <w:sz w:val="18"/>
                <w:szCs w:val="18"/>
              </w:rPr>
              <w:fldChar w:fldCharType="begin">
                <w:ffData>
                  <w:name w:val=""/>
                  <w:enabled/>
                  <w:calcOnExit w:val="0"/>
                  <w:checkBox>
                    <w:sizeAuto/>
                    <w:default w:val="1"/>
                  </w:checkBox>
                </w:ffData>
              </w:fldChar>
            </w:r>
            <w:r w:rsidRPr="002B4AB6">
              <w:rPr>
                <w:rFonts w:ascii="Arial Narrow" w:hAnsi="Arial Narrow"/>
                <w:sz w:val="18"/>
                <w:szCs w:val="18"/>
              </w:rPr>
              <w:instrText xml:space="preserve"> FORMCHECKBOX </w:instrText>
            </w:r>
            <w:r w:rsidR="00D96A47">
              <w:rPr>
                <w:rFonts w:ascii="Arial Narrow" w:hAnsi="Arial Narrow"/>
                <w:sz w:val="18"/>
                <w:szCs w:val="18"/>
              </w:rPr>
            </w:r>
            <w:r w:rsidR="00D96A47">
              <w:rPr>
                <w:rFonts w:ascii="Arial Narrow" w:hAnsi="Arial Narrow"/>
                <w:sz w:val="18"/>
                <w:szCs w:val="18"/>
              </w:rPr>
              <w:fldChar w:fldCharType="separate"/>
            </w:r>
            <w:r w:rsidRPr="00F2158A">
              <w:rPr>
                <w:rFonts w:ascii="Arial Narrow" w:hAnsi="Arial Narrow"/>
                <w:sz w:val="18"/>
                <w:szCs w:val="18"/>
              </w:rPr>
              <w:fldChar w:fldCharType="end"/>
            </w:r>
            <w:r>
              <w:rPr>
                <w:rFonts w:ascii="Arial Narrow" w:hAnsi="Arial Narrow"/>
                <w:sz w:val="18"/>
                <w:szCs w:val="18"/>
              </w:rPr>
              <w:t xml:space="preserve">  </w:t>
            </w:r>
            <w:r w:rsidRPr="002B4AB6">
              <w:rPr>
                <w:rFonts w:ascii="Arial Narrow" w:hAnsi="Arial Narrow"/>
                <w:sz w:val="18"/>
                <w:szCs w:val="18"/>
              </w:rPr>
              <w:t>Authority Required – In Writing</w:t>
            </w:r>
            <w:r>
              <w:rPr>
                <w:rFonts w:ascii="Arial Narrow" w:hAnsi="Arial Narrow"/>
                <w:sz w:val="18"/>
                <w:szCs w:val="18"/>
              </w:rPr>
              <w:t xml:space="preserve"> Only</w:t>
            </w:r>
          </w:p>
        </w:tc>
      </w:tr>
      <w:tr w:rsidR="007D460F" w:rsidRPr="002B4AB6" w:rsidTr="002772F1">
        <w:trPr>
          <w:trHeight w:val="1122"/>
        </w:trPr>
        <w:tc>
          <w:tcPr>
            <w:tcW w:w="5000" w:type="pct"/>
            <w:tcBorders>
              <w:bottom w:val="single" w:sz="4" w:space="0" w:color="auto"/>
            </w:tcBorders>
            <w:vAlign w:val="center"/>
            <w:hideMark/>
          </w:tcPr>
          <w:p w:rsidR="007D460F" w:rsidRDefault="007D460F" w:rsidP="001D6A8C">
            <w:pPr>
              <w:jc w:val="left"/>
              <w:rPr>
                <w:rFonts w:ascii="Arial Narrow" w:hAnsi="Arial Narrow"/>
                <w:color w:val="333333"/>
                <w:sz w:val="18"/>
                <w:szCs w:val="18"/>
              </w:rPr>
            </w:pPr>
            <w:r w:rsidRPr="002B4AB6">
              <w:rPr>
                <w:rFonts w:ascii="Arial Narrow" w:hAnsi="Arial Narrow"/>
                <w:b/>
                <w:bCs/>
                <w:color w:val="333333"/>
                <w:sz w:val="18"/>
                <w:szCs w:val="18"/>
              </w:rPr>
              <w:t>Administrative Advice:</w:t>
            </w:r>
            <w:r w:rsidRPr="002B4AB6">
              <w:rPr>
                <w:rFonts w:ascii="Arial Narrow" w:hAnsi="Arial Narrow"/>
                <w:color w:val="333333"/>
                <w:sz w:val="18"/>
                <w:szCs w:val="18"/>
              </w:rPr>
              <w:t xml:space="preserve"> </w:t>
            </w:r>
          </w:p>
          <w:p w:rsidR="007D460F" w:rsidRPr="002B4AB6" w:rsidRDefault="007D460F" w:rsidP="001D6A8C">
            <w:pPr>
              <w:jc w:val="left"/>
              <w:rPr>
                <w:rFonts w:ascii="Arial Narrow" w:hAnsi="Arial Narrow"/>
                <w:color w:val="333333"/>
                <w:sz w:val="18"/>
                <w:szCs w:val="18"/>
              </w:rPr>
            </w:pPr>
            <w:r w:rsidRPr="002B4AB6">
              <w:rPr>
                <w:rFonts w:ascii="Arial Narrow" w:hAnsi="Arial Narrow"/>
                <w:color w:val="333333"/>
                <w:sz w:val="18"/>
                <w:szCs w:val="18"/>
              </w:rPr>
              <w:t>No increase in the maximum quantity or number of units may be authorised.</w:t>
            </w:r>
          </w:p>
          <w:p w:rsidR="007D460F" w:rsidRPr="002B4AB6" w:rsidRDefault="007D460F" w:rsidP="001D6A8C">
            <w:pPr>
              <w:jc w:val="left"/>
              <w:rPr>
                <w:rFonts w:ascii="Arial Narrow" w:hAnsi="Arial Narrow"/>
                <w:color w:val="333333"/>
                <w:sz w:val="18"/>
                <w:szCs w:val="18"/>
              </w:rPr>
            </w:pPr>
            <w:r w:rsidRPr="002B4AB6">
              <w:rPr>
                <w:rFonts w:ascii="Arial Narrow" w:hAnsi="Arial Narrow"/>
                <w:color w:val="333333"/>
                <w:sz w:val="18"/>
                <w:szCs w:val="18"/>
              </w:rPr>
              <w:t>No increase in the maximum number of repeats may be authorised.</w:t>
            </w:r>
          </w:p>
          <w:p w:rsidR="007D460F" w:rsidRPr="002B4AB6" w:rsidRDefault="007D460F" w:rsidP="001D6A8C">
            <w:pPr>
              <w:jc w:val="left"/>
              <w:rPr>
                <w:rFonts w:ascii="Arial Narrow" w:hAnsi="Arial Narrow"/>
                <w:color w:val="333333"/>
                <w:sz w:val="18"/>
                <w:szCs w:val="18"/>
              </w:rPr>
            </w:pPr>
            <w:r w:rsidRPr="002B4AB6">
              <w:rPr>
                <w:rFonts w:ascii="Arial Narrow" w:hAnsi="Arial Narrow"/>
                <w:color w:val="333333"/>
                <w:sz w:val="18"/>
                <w:szCs w:val="18"/>
              </w:rPr>
              <w:t>Special Pricing Arrangements apply.</w:t>
            </w:r>
          </w:p>
          <w:p w:rsidR="007D460F" w:rsidRPr="002B4AB6" w:rsidRDefault="007D460F" w:rsidP="001D6A8C">
            <w:pPr>
              <w:jc w:val="left"/>
              <w:rPr>
                <w:rFonts w:ascii="Arial Narrow" w:hAnsi="Arial Narrow"/>
                <w:color w:val="333333"/>
                <w:sz w:val="18"/>
                <w:szCs w:val="18"/>
              </w:rPr>
            </w:pPr>
            <w:r w:rsidRPr="002B4AB6">
              <w:rPr>
                <w:rFonts w:ascii="Arial Narrow" w:hAnsi="Arial Narrow"/>
                <w:color w:val="333333"/>
                <w:sz w:val="18"/>
                <w:szCs w:val="18"/>
              </w:rPr>
              <w:t>Patient should be treated with the recommended dose of pembrolizumab according to the TGA-approved Product Information.</w:t>
            </w:r>
          </w:p>
        </w:tc>
      </w:tr>
      <w:tr w:rsidR="007D460F"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right w:val="single" w:sz="4" w:space="0" w:color="auto"/>
            </w:tcBorders>
            <w:vAlign w:val="center"/>
            <w:hideMark/>
          </w:tcPr>
          <w:p w:rsidR="007D460F" w:rsidRPr="002B4AB6" w:rsidRDefault="007D460F" w:rsidP="001D6A8C">
            <w:pPr>
              <w:jc w:val="left"/>
              <w:rPr>
                <w:rFonts w:ascii="Arial Narrow" w:hAnsi="Arial Narrow"/>
                <w:color w:val="333333"/>
                <w:sz w:val="18"/>
                <w:szCs w:val="18"/>
              </w:rPr>
            </w:pPr>
            <w:r w:rsidRPr="002B4AB6">
              <w:rPr>
                <w:rFonts w:ascii="Arial Narrow" w:hAnsi="Arial Narrow"/>
                <w:b/>
                <w:bCs/>
                <w:color w:val="333333"/>
                <w:sz w:val="18"/>
                <w:szCs w:val="18"/>
              </w:rPr>
              <w:t>Indication:</w:t>
            </w:r>
            <w:r w:rsidRPr="002B4AB6">
              <w:rPr>
                <w:rFonts w:ascii="Arial Narrow" w:hAnsi="Arial Narrow"/>
                <w:color w:val="333333"/>
                <w:sz w:val="18"/>
                <w:szCs w:val="18"/>
              </w:rPr>
              <w:t xml:space="preserve"> Relapsed or refractory primary mediastinal B-Cell lymphoma </w:t>
            </w:r>
          </w:p>
        </w:tc>
      </w:tr>
      <w:tr w:rsidR="007D460F"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left w:val="single" w:sz="4" w:space="0" w:color="auto"/>
              <w:right w:val="single" w:sz="4" w:space="0" w:color="auto"/>
            </w:tcBorders>
            <w:vAlign w:val="center"/>
            <w:hideMark/>
          </w:tcPr>
          <w:p w:rsidR="007D460F" w:rsidRPr="002B4AB6" w:rsidRDefault="007D460F" w:rsidP="00614F93">
            <w:pPr>
              <w:jc w:val="left"/>
              <w:rPr>
                <w:rFonts w:ascii="Arial Narrow" w:hAnsi="Arial Narrow"/>
                <w:color w:val="333333"/>
                <w:sz w:val="18"/>
                <w:szCs w:val="18"/>
              </w:rPr>
            </w:pPr>
            <w:r w:rsidRPr="002B4AB6">
              <w:rPr>
                <w:rFonts w:ascii="Arial Narrow" w:hAnsi="Arial Narrow"/>
                <w:b/>
                <w:bCs/>
                <w:color w:val="333333"/>
                <w:sz w:val="18"/>
                <w:szCs w:val="18"/>
              </w:rPr>
              <w:t>Treatment Phase:</w:t>
            </w:r>
            <w:r w:rsidRPr="002B4AB6">
              <w:rPr>
                <w:rFonts w:ascii="Arial Narrow" w:hAnsi="Arial Narrow"/>
                <w:color w:val="333333"/>
                <w:sz w:val="18"/>
                <w:szCs w:val="18"/>
              </w:rPr>
              <w:t xml:space="preserve">  Grandfather treatment (initial treatment of a patient commenced on non-PBS-subsidised treatment)</w:t>
            </w:r>
          </w:p>
        </w:tc>
      </w:tr>
      <w:tr w:rsidR="007D460F"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left w:val="single" w:sz="4" w:space="0" w:color="auto"/>
              <w:right w:val="single" w:sz="4" w:space="0" w:color="auto"/>
            </w:tcBorders>
            <w:vAlign w:val="center"/>
          </w:tcPr>
          <w:p w:rsidR="007D460F" w:rsidRPr="002B4AB6" w:rsidRDefault="007D460F" w:rsidP="001D6A8C">
            <w:pPr>
              <w:jc w:val="left"/>
              <w:rPr>
                <w:rFonts w:ascii="Arial Narrow" w:hAnsi="Arial Narrow"/>
                <w:b/>
                <w:bCs/>
                <w:color w:val="333333"/>
                <w:sz w:val="18"/>
                <w:szCs w:val="18"/>
              </w:rPr>
            </w:pPr>
            <w:r w:rsidRPr="002B4AB6">
              <w:rPr>
                <w:rFonts w:ascii="Arial Narrow" w:hAnsi="Arial Narrow"/>
                <w:b/>
                <w:bCs/>
                <w:color w:val="333333"/>
                <w:sz w:val="18"/>
                <w:szCs w:val="18"/>
              </w:rPr>
              <w:t>Clinical criteria:</w:t>
            </w:r>
          </w:p>
        </w:tc>
      </w:tr>
      <w:tr w:rsidR="007D460F"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left w:val="single" w:sz="4" w:space="0" w:color="auto"/>
              <w:right w:val="single" w:sz="4" w:space="0" w:color="auto"/>
            </w:tcBorders>
            <w:vAlign w:val="center"/>
          </w:tcPr>
          <w:p w:rsidR="007D460F" w:rsidRPr="007D460F" w:rsidRDefault="007D460F" w:rsidP="007D460F">
            <w:pPr>
              <w:pStyle w:val="ListParagraph"/>
              <w:numPr>
                <w:ilvl w:val="0"/>
                <w:numId w:val="21"/>
              </w:numPr>
              <w:spacing w:after="0"/>
              <w:ind w:left="714" w:hanging="357"/>
              <w:jc w:val="left"/>
              <w:rPr>
                <w:rFonts w:ascii="Arial Narrow" w:hAnsi="Arial Narrow"/>
                <w:bCs/>
                <w:color w:val="333333"/>
                <w:sz w:val="18"/>
                <w:szCs w:val="18"/>
              </w:rPr>
            </w:pPr>
            <w:r w:rsidRPr="007D460F">
              <w:rPr>
                <w:rFonts w:ascii="Arial Narrow" w:hAnsi="Arial Narrow"/>
                <w:bCs/>
                <w:color w:val="333333"/>
                <w:sz w:val="18"/>
                <w:szCs w:val="18"/>
              </w:rPr>
              <w:t>Patient must have received non-PBS-subsidised treatment with this drug for this condition prior to [date of listing on the PBS]</w:t>
            </w:r>
          </w:p>
        </w:tc>
      </w:tr>
      <w:tr w:rsidR="007D460F"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left w:val="single" w:sz="4" w:space="0" w:color="auto"/>
              <w:right w:val="single" w:sz="4" w:space="0" w:color="auto"/>
            </w:tcBorders>
            <w:vAlign w:val="center"/>
          </w:tcPr>
          <w:p w:rsidR="007D460F" w:rsidRPr="007D460F" w:rsidRDefault="007D460F" w:rsidP="007D460F">
            <w:pPr>
              <w:pStyle w:val="ListParagraph"/>
              <w:numPr>
                <w:ilvl w:val="0"/>
                <w:numId w:val="0"/>
              </w:numPr>
              <w:spacing w:after="0"/>
              <w:ind w:left="714"/>
              <w:jc w:val="left"/>
              <w:rPr>
                <w:rFonts w:ascii="Arial Narrow" w:hAnsi="Arial Narrow"/>
                <w:bCs/>
                <w:strike/>
                <w:color w:val="333333"/>
                <w:sz w:val="18"/>
                <w:szCs w:val="18"/>
              </w:rPr>
            </w:pPr>
            <w:r w:rsidRPr="007D460F">
              <w:rPr>
                <w:rFonts w:ascii="Arial Narrow" w:hAnsi="Arial Narrow"/>
                <w:b/>
                <w:bCs/>
                <w:color w:val="333333"/>
                <w:sz w:val="18"/>
                <w:szCs w:val="18"/>
              </w:rPr>
              <w:t>AND</w:t>
            </w:r>
          </w:p>
        </w:tc>
      </w:tr>
      <w:tr w:rsidR="007D460F"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left w:val="single" w:sz="4" w:space="0" w:color="auto"/>
              <w:right w:val="single" w:sz="4" w:space="0" w:color="auto"/>
            </w:tcBorders>
            <w:vAlign w:val="center"/>
          </w:tcPr>
          <w:p w:rsidR="007D460F" w:rsidRPr="007D460F" w:rsidRDefault="007D460F" w:rsidP="007D460F">
            <w:pPr>
              <w:pStyle w:val="ListParagraph"/>
              <w:numPr>
                <w:ilvl w:val="0"/>
                <w:numId w:val="21"/>
              </w:numPr>
              <w:spacing w:after="0"/>
              <w:ind w:left="714" w:hanging="357"/>
              <w:jc w:val="left"/>
              <w:rPr>
                <w:rFonts w:ascii="Arial Narrow" w:hAnsi="Arial Narrow"/>
                <w:bCs/>
                <w:strike/>
                <w:color w:val="333333"/>
                <w:sz w:val="18"/>
                <w:szCs w:val="18"/>
              </w:rPr>
            </w:pPr>
            <w:r w:rsidRPr="007D460F">
              <w:rPr>
                <w:rFonts w:ascii="Arial Narrow" w:hAnsi="Arial Narrow"/>
                <w:color w:val="333333"/>
                <w:sz w:val="18"/>
                <w:szCs w:val="18"/>
              </w:rPr>
              <w:t xml:space="preserve">Patient must have refractory Primary Mediastinal B-cell Lymphoma following rituximab-based chemotherapy </w:t>
            </w:r>
            <w:r w:rsidRPr="007D460F">
              <w:rPr>
                <w:rFonts w:ascii="Arial Narrow" w:hAnsi="Arial Narrow"/>
                <w:bCs/>
                <w:color w:val="333333"/>
                <w:sz w:val="18"/>
                <w:szCs w:val="18"/>
              </w:rPr>
              <w:t>prior to initiating non-PBS-subsidised treatment with this drug for this condition; OR</w:t>
            </w:r>
          </w:p>
        </w:tc>
      </w:tr>
      <w:tr w:rsidR="007D460F"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left w:val="single" w:sz="4" w:space="0" w:color="auto"/>
              <w:right w:val="single" w:sz="4" w:space="0" w:color="auto"/>
            </w:tcBorders>
            <w:vAlign w:val="center"/>
          </w:tcPr>
          <w:p w:rsidR="007D460F" w:rsidRPr="007D460F" w:rsidRDefault="007D460F" w:rsidP="007D460F">
            <w:pPr>
              <w:pStyle w:val="ListParagraph"/>
              <w:numPr>
                <w:ilvl w:val="0"/>
                <w:numId w:val="21"/>
              </w:numPr>
              <w:spacing w:after="0"/>
              <w:ind w:left="714" w:hanging="357"/>
              <w:jc w:val="left"/>
              <w:rPr>
                <w:rFonts w:ascii="Arial Narrow" w:hAnsi="Arial Narrow"/>
                <w:strike/>
                <w:color w:val="333333"/>
                <w:sz w:val="18"/>
                <w:szCs w:val="18"/>
              </w:rPr>
            </w:pPr>
            <w:r w:rsidRPr="007D460F">
              <w:rPr>
                <w:rFonts w:ascii="Arial Narrow" w:hAnsi="Arial Narrow"/>
                <w:color w:val="333333"/>
                <w:sz w:val="18"/>
                <w:szCs w:val="18"/>
              </w:rPr>
              <w:t>Patient must have undergone an autologous stem cell transplant (ASCT) for this condition and have experienced relapsed or refractory disease post ASCT prior to initiating non-PBS-subsidised treatment with this drug for this condition; OR</w:t>
            </w:r>
          </w:p>
        </w:tc>
      </w:tr>
      <w:tr w:rsidR="007D460F"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left w:val="single" w:sz="4" w:space="0" w:color="auto"/>
              <w:right w:val="single" w:sz="4" w:space="0" w:color="auto"/>
            </w:tcBorders>
            <w:vAlign w:val="center"/>
            <w:hideMark/>
          </w:tcPr>
          <w:p w:rsidR="007D460F" w:rsidRPr="007D460F" w:rsidRDefault="007D460F" w:rsidP="007D460F">
            <w:pPr>
              <w:pStyle w:val="ListParagraph"/>
              <w:numPr>
                <w:ilvl w:val="0"/>
                <w:numId w:val="21"/>
              </w:numPr>
              <w:spacing w:after="0"/>
              <w:ind w:left="714" w:hanging="357"/>
              <w:jc w:val="left"/>
              <w:rPr>
                <w:rFonts w:ascii="Arial Narrow" w:hAnsi="Arial Narrow"/>
                <w:color w:val="333333"/>
                <w:sz w:val="18"/>
                <w:szCs w:val="18"/>
              </w:rPr>
            </w:pPr>
            <w:r w:rsidRPr="007D460F">
              <w:rPr>
                <w:rFonts w:ascii="Arial Narrow" w:hAnsi="Arial Narrow"/>
                <w:color w:val="333333"/>
                <w:sz w:val="18"/>
                <w:szCs w:val="18"/>
              </w:rPr>
              <w:t>Patient must not be suitable for ASCT for this condition and have experienced relapsed or refractory disease following at least 2 prior treatments for this condition, one of which must include rituximab with chemotherapy, prior to initiating non-PBS-subsidised treatment with this drug for this condition</w:t>
            </w:r>
          </w:p>
        </w:tc>
      </w:tr>
      <w:tr w:rsidR="007D460F"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left w:val="single" w:sz="4" w:space="0" w:color="auto"/>
              <w:right w:val="single" w:sz="4" w:space="0" w:color="auto"/>
            </w:tcBorders>
            <w:vAlign w:val="center"/>
            <w:hideMark/>
          </w:tcPr>
          <w:p w:rsidR="007D460F" w:rsidRPr="007D460F" w:rsidRDefault="007D460F" w:rsidP="007D460F">
            <w:pPr>
              <w:pStyle w:val="ListParagraph"/>
              <w:numPr>
                <w:ilvl w:val="0"/>
                <w:numId w:val="0"/>
              </w:numPr>
              <w:spacing w:after="0"/>
              <w:ind w:left="714"/>
              <w:jc w:val="left"/>
              <w:rPr>
                <w:rFonts w:ascii="Arial Narrow" w:hAnsi="Arial Narrow"/>
                <w:color w:val="333333"/>
                <w:sz w:val="18"/>
                <w:szCs w:val="18"/>
              </w:rPr>
            </w:pPr>
            <w:r w:rsidRPr="007D460F">
              <w:rPr>
                <w:rFonts w:ascii="Arial Narrow" w:hAnsi="Arial Narrow"/>
                <w:b/>
                <w:bCs/>
                <w:color w:val="333333"/>
                <w:sz w:val="18"/>
                <w:szCs w:val="18"/>
              </w:rPr>
              <w:t>AND</w:t>
            </w:r>
          </w:p>
        </w:tc>
      </w:tr>
      <w:tr w:rsidR="007D460F"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left w:val="single" w:sz="4" w:space="0" w:color="auto"/>
              <w:right w:val="single" w:sz="4" w:space="0" w:color="auto"/>
            </w:tcBorders>
            <w:vAlign w:val="center"/>
          </w:tcPr>
          <w:p w:rsidR="007D460F" w:rsidRPr="007D460F" w:rsidRDefault="007D460F" w:rsidP="007D460F">
            <w:pPr>
              <w:pStyle w:val="ListParagraph"/>
              <w:numPr>
                <w:ilvl w:val="0"/>
                <w:numId w:val="21"/>
              </w:numPr>
              <w:spacing w:after="0"/>
              <w:ind w:left="714" w:hanging="357"/>
              <w:jc w:val="left"/>
              <w:rPr>
                <w:rFonts w:ascii="Arial Narrow" w:hAnsi="Arial Narrow"/>
                <w:b/>
                <w:bCs/>
                <w:color w:val="333333"/>
                <w:sz w:val="18"/>
                <w:szCs w:val="18"/>
              </w:rPr>
            </w:pPr>
            <w:r w:rsidRPr="007D460F">
              <w:rPr>
                <w:rFonts w:ascii="Arial Narrow" w:hAnsi="Arial Narrow"/>
                <w:color w:val="333333"/>
                <w:sz w:val="18"/>
                <w:szCs w:val="18"/>
              </w:rPr>
              <w:t>Patient must not have received treatment with a programmed cell death-1 (PD-1) inhibitor or a programmed cell death ligand-1 (PD-L1) inhibitor for this condition</w:t>
            </w:r>
            <w:r w:rsidRPr="002B4AB6">
              <w:t xml:space="preserve"> </w:t>
            </w:r>
            <w:r w:rsidRPr="007D460F">
              <w:rPr>
                <w:rFonts w:ascii="Arial Narrow" w:hAnsi="Arial Narrow"/>
                <w:color w:val="333333"/>
                <w:sz w:val="18"/>
                <w:szCs w:val="18"/>
              </w:rPr>
              <w:t>prior to initiating non-PBS-subsidised treatment with this drug for this condition</w:t>
            </w:r>
          </w:p>
        </w:tc>
      </w:tr>
      <w:tr w:rsidR="007D460F"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left w:val="single" w:sz="4" w:space="0" w:color="auto"/>
              <w:right w:val="single" w:sz="4" w:space="0" w:color="auto"/>
            </w:tcBorders>
            <w:vAlign w:val="center"/>
          </w:tcPr>
          <w:p w:rsidR="007D460F" w:rsidRPr="007D460F" w:rsidRDefault="007D460F" w:rsidP="007D460F">
            <w:pPr>
              <w:pStyle w:val="ListParagraph"/>
              <w:numPr>
                <w:ilvl w:val="0"/>
                <w:numId w:val="0"/>
              </w:numPr>
              <w:spacing w:after="0"/>
              <w:ind w:left="714"/>
              <w:jc w:val="left"/>
              <w:rPr>
                <w:rFonts w:ascii="Arial Narrow" w:hAnsi="Arial Narrow"/>
                <w:bCs/>
                <w:i/>
                <w:color w:val="333333"/>
                <w:sz w:val="18"/>
                <w:szCs w:val="18"/>
              </w:rPr>
            </w:pPr>
            <w:r w:rsidRPr="007D460F">
              <w:rPr>
                <w:rFonts w:ascii="Arial Narrow" w:hAnsi="Arial Narrow"/>
                <w:b/>
                <w:bCs/>
                <w:color w:val="333333"/>
                <w:sz w:val="18"/>
                <w:szCs w:val="18"/>
              </w:rPr>
              <w:t>AND</w:t>
            </w:r>
          </w:p>
        </w:tc>
      </w:tr>
      <w:tr w:rsidR="007D460F"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left w:val="single" w:sz="4" w:space="0" w:color="auto"/>
              <w:right w:val="single" w:sz="4" w:space="0" w:color="auto"/>
            </w:tcBorders>
            <w:vAlign w:val="center"/>
            <w:hideMark/>
          </w:tcPr>
          <w:p w:rsidR="007D460F" w:rsidRPr="007D460F" w:rsidRDefault="007D460F" w:rsidP="007D460F">
            <w:pPr>
              <w:pStyle w:val="ListParagraph"/>
              <w:numPr>
                <w:ilvl w:val="0"/>
                <w:numId w:val="21"/>
              </w:numPr>
              <w:spacing w:after="0"/>
              <w:ind w:left="714" w:hanging="357"/>
              <w:jc w:val="left"/>
              <w:rPr>
                <w:rFonts w:ascii="Arial Narrow" w:hAnsi="Arial Narrow"/>
                <w:color w:val="333333"/>
                <w:sz w:val="18"/>
                <w:szCs w:val="18"/>
              </w:rPr>
            </w:pPr>
            <w:r w:rsidRPr="007D460F">
              <w:rPr>
                <w:rFonts w:ascii="Arial Narrow" w:hAnsi="Arial Narrow"/>
                <w:color w:val="333333"/>
                <w:sz w:val="18"/>
                <w:szCs w:val="18"/>
              </w:rPr>
              <w:lastRenderedPageBreak/>
              <w:t>Patient must not have developed disease progression while receiving treatment with this drug for this condition</w:t>
            </w:r>
          </w:p>
        </w:tc>
      </w:tr>
      <w:tr w:rsidR="007D460F"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left w:val="single" w:sz="4" w:space="0" w:color="auto"/>
              <w:right w:val="single" w:sz="4" w:space="0" w:color="auto"/>
            </w:tcBorders>
            <w:vAlign w:val="center"/>
          </w:tcPr>
          <w:p w:rsidR="007D460F" w:rsidRPr="007D460F" w:rsidRDefault="007D460F" w:rsidP="007D460F">
            <w:pPr>
              <w:pStyle w:val="ListParagraph"/>
              <w:numPr>
                <w:ilvl w:val="0"/>
                <w:numId w:val="0"/>
              </w:numPr>
              <w:spacing w:after="0"/>
              <w:ind w:left="714"/>
              <w:jc w:val="left"/>
              <w:rPr>
                <w:rFonts w:ascii="Arial Narrow" w:hAnsi="Arial Narrow"/>
                <w:i/>
                <w:color w:val="333333"/>
                <w:sz w:val="18"/>
                <w:szCs w:val="18"/>
              </w:rPr>
            </w:pPr>
            <w:r w:rsidRPr="007D460F">
              <w:rPr>
                <w:rFonts w:ascii="Arial Narrow" w:hAnsi="Arial Narrow"/>
                <w:b/>
                <w:bCs/>
                <w:color w:val="333333"/>
                <w:sz w:val="18"/>
                <w:szCs w:val="18"/>
              </w:rPr>
              <w:t>AND</w:t>
            </w:r>
          </w:p>
        </w:tc>
      </w:tr>
      <w:tr w:rsidR="007D460F"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left w:val="single" w:sz="4" w:space="0" w:color="auto"/>
              <w:right w:val="single" w:sz="4" w:space="0" w:color="auto"/>
            </w:tcBorders>
            <w:vAlign w:val="center"/>
            <w:hideMark/>
          </w:tcPr>
          <w:p w:rsidR="007D460F" w:rsidRPr="007D460F" w:rsidRDefault="007D460F" w:rsidP="007D460F">
            <w:pPr>
              <w:pStyle w:val="ListParagraph"/>
              <w:numPr>
                <w:ilvl w:val="0"/>
                <w:numId w:val="21"/>
              </w:numPr>
              <w:spacing w:after="0"/>
              <w:ind w:left="714" w:hanging="357"/>
              <w:jc w:val="left"/>
              <w:rPr>
                <w:rFonts w:ascii="Arial Narrow" w:hAnsi="Arial Narrow"/>
                <w:color w:val="333333"/>
                <w:sz w:val="18"/>
                <w:szCs w:val="18"/>
              </w:rPr>
            </w:pPr>
            <w:r w:rsidRPr="007D460F">
              <w:rPr>
                <w:rFonts w:ascii="Arial Narrow" w:hAnsi="Arial Narrow"/>
                <w:color w:val="333333"/>
                <w:sz w:val="18"/>
                <w:szCs w:val="18"/>
              </w:rPr>
              <w:t>The treatment must not exceed a total of 35 cycles in a lifetime</w:t>
            </w:r>
          </w:p>
        </w:tc>
      </w:tr>
      <w:tr w:rsidR="007D460F"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left w:val="single" w:sz="4" w:space="0" w:color="auto"/>
              <w:right w:val="single" w:sz="4" w:space="0" w:color="auto"/>
            </w:tcBorders>
            <w:vAlign w:val="center"/>
            <w:hideMark/>
          </w:tcPr>
          <w:p w:rsidR="007D460F" w:rsidRPr="007D460F" w:rsidRDefault="007D460F" w:rsidP="007D460F">
            <w:pPr>
              <w:pStyle w:val="ListParagraph"/>
              <w:numPr>
                <w:ilvl w:val="0"/>
                <w:numId w:val="0"/>
              </w:numPr>
              <w:spacing w:after="0"/>
              <w:ind w:left="714"/>
              <w:jc w:val="left"/>
              <w:rPr>
                <w:rFonts w:ascii="Arial Narrow" w:hAnsi="Arial Narrow"/>
                <w:color w:val="333333"/>
                <w:sz w:val="18"/>
                <w:szCs w:val="18"/>
              </w:rPr>
            </w:pPr>
            <w:r w:rsidRPr="007D460F">
              <w:rPr>
                <w:rFonts w:ascii="Arial Narrow" w:hAnsi="Arial Narrow"/>
                <w:b/>
                <w:bCs/>
                <w:color w:val="333333"/>
                <w:sz w:val="18"/>
                <w:szCs w:val="18"/>
              </w:rPr>
              <w:t>AND</w:t>
            </w:r>
          </w:p>
        </w:tc>
      </w:tr>
      <w:tr w:rsidR="007D460F"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left w:val="single" w:sz="4" w:space="0" w:color="auto"/>
              <w:bottom w:val="single" w:sz="4" w:space="0" w:color="auto"/>
              <w:right w:val="single" w:sz="4" w:space="0" w:color="auto"/>
            </w:tcBorders>
            <w:vAlign w:val="center"/>
            <w:hideMark/>
          </w:tcPr>
          <w:p w:rsidR="007D460F" w:rsidRPr="007D460F" w:rsidRDefault="007D460F" w:rsidP="007D460F">
            <w:pPr>
              <w:pStyle w:val="ListParagraph"/>
              <w:numPr>
                <w:ilvl w:val="0"/>
                <w:numId w:val="21"/>
              </w:numPr>
              <w:spacing w:after="0"/>
              <w:ind w:left="714" w:hanging="357"/>
              <w:jc w:val="left"/>
              <w:rPr>
                <w:rFonts w:ascii="Arial Narrow" w:hAnsi="Arial Narrow"/>
                <w:color w:val="333333"/>
                <w:sz w:val="18"/>
                <w:szCs w:val="18"/>
              </w:rPr>
            </w:pPr>
            <w:r w:rsidRPr="007D460F">
              <w:rPr>
                <w:rFonts w:ascii="Arial Narrow" w:hAnsi="Arial Narrow"/>
                <w:color w:val="333333"/>
                <w:sz w:val="18"/>
                <w:szCs w:val="18"/>
              </w:rPr>
              <w:t>The treatment must not exceed a total of 7 doses of PBS-subsidised and non-PBS-subsidised supply combined under this restriction</w:t>
            </w:r>
          </w:p>
        </w:tc>
      </w:tr>
      <w:tr w:rsidR="007D460F"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7D460F" w:rsidRPr="002B4AB6" w:rsidRDefault="007D460F" w:rsidP="001D6A8C">
            <w:pPr>
              <w:jc w:val="left"/>
              <w:rPr>
                <w:rFonts w:ascii="Arial Narrow" w:hAnsi="Arial Narrow"/>
                <w:color w:val="333333"/>
                <w:sz w:val="18"/>
                <w:szCs w:val="18"/>
              </w:rPr>
            </w:pPr>
            <w:r w:rsidRPr="002B4AB6">
              <w:rPr>
                <w:rFonts w:ascii="Arial Narrow" w:hAnsi="Arial Narrow"/>
                <w:b/>
                <w:bCs/>
                <w:color w:val="333333"/>
                <w:sz w:val="18"/>
                <w:szCs w:val="18"/>
              </w:rPr>
              <w:t>Prescribing Instructions:</w:t>
            </w:r>
          </w:p>
          <w:p w:rsidR="007D460F" w:rsidRPr="002B4AB6" w:rsidRDefault="007D460F" w:rsidP="001D6A8C">
            <w:pPr>
              <w:jc w:val="left"/>
              <w:rPr>
                <w:rFonts w:ascii="Arial Narrow" w:hAnsi="Arial Narrow"/>
                <w:color w:val="333333"/>
                <w:sz w:val="18"/>
                <w:szCs w:val="18"/>
              </w:rPr>
            </w:pPr>
            <w:r w:rsidRPr="002B4AB6">
              <w:rPr>
                <w:rFonts w:ascii="Arial Narrow" w:hAnsi="Arial Narrow"/>
                <w:color w:val="333333"/>
                <w:sz w:val="18"/>
                <w:szCs w:val="18"/>
              </w:rPr>
              <w:t>Applications for authorisation of initial treatment must be in writing and must include:</w:t>
            </w:r>
          </w:p>
          <w:p w:rsidR="007D460F" w:rsidRPr="002B4AB6" w:rsidRDefault="007D460F" w:rsidP="001D6A8C">
            <w:pPr>
              <w:jc w:val="left"/>
              <w:rPr>
                <w:rFonts w:ascii="Arial Narrow" w:hAnsi="Arial Narrow"/>
                <w:color w:val="333333"/>
                <w:sz w:val="18"/>
                <w:szCs w:val="18"/>
              </w:rPr>
            </w:pPr>
            <w:r w:rsidRPr="002B4AB6">
              <w:rPr>
                <w:rFonts w:ascii="Arial Narrow" w:hAnsi="Arial Narrow"/>
                <w:color w:val="333333"/>
                <w:sz w:val="18"/>
                <w:szCs w:val="18"/>
              </w:rPr>
              <w:t>(a) a completed authority prescription form;</w:t>
            </w:r>
          </w:p>
          <w:p w:rsidR="007D460F" w:rsidRPr="002B4AB6" w:rsidRDefault="007D460F" w:rsidP="001D6A8C">
            <w:pPr>
              <w:jc w:val="left"/>
              <w:rPr>
                <w:rFonts w:ascii="Arial Narrow" w:hAnsi="Arial Narrow"/>
                <w:color w:val="333333"/>
                <w:sz w:val="18"/>
                <w:szCs w:val="18"/>
              </w:rPr>
            </w:pPr>
            <w:r w:rsidRPr="002B4AB6">
              <w:rPr>
                <w:rFonts w:ascii="Arial Narrow" w:hAnsi="Arial Narrow"/>
                <w:color w:val="333333"/>
                <w:sz w:val="18"/>
                <w:szCs w:val="18"/>
              </w:rPr>
              <w:t>(b) a completed Primary Mediastinal B-Cell lymphoma pembrolizumab PBS Authority Application for Grandfathered patients</w:t>
            </w:r>
            <w:r w:rsidRPr="002B4AB6">
              <w:rPr>
                <w:rFonts w:ascii="Arial Narrow" w:hAnsi="Arial Narrow"/>
                <w:i/>
                <w:color w:val="333333"/>
                <w:sz w:val="18"/>
                <w:szCs w:val="18"/>
              </w:rPr>
              <w:t xml:space="preserve">, </w:t>
            </w:r>
            <w:r w:rsidRPr="002B4AB6">
              <w:rPr>
                <w:rFonts w:ascii="Arial Narrow" w:hAnsi="Arial Narrow"/>
                <w:color w:val="333333"/>
                <w:sz w:val="18"/>
                <w:szCs w:val="18"/>
              </w:rPr>
              <w:t>which includes:</w:t>
            </w:r>
          </w:p>
          <w:p w:rsidR="007D460F" w:rsidRPr="002B4AB6" w:rsidRDefault="007D460F" w:rsidP="001D6A8C">
            <w:pPr>
              <w:jc w:val="left"/>
              <w:rPr>
                <w:rFonts w:ascii="Arial Narrow" w:hAnsi="Arial Narrow"/>
                <w:color w:val="333333"/>
                <w:sz w:val="18"/>
                <w:szCs w:val="18"/>
              </w:rPr>
            </w:pPr>
            <w:r w:rsidRPr="002B4AB6">
              <w:rPr>
                <w:rFonts w:ascii="Arial Narrow" w:hAnsi="Arial Narrow"/>
                <w:color w:val="333333"/>
                <w:sz w:val="18"/>
                <w:szCs w:val="18"/>
              </w:rPr>
              <w:t xml:space="preserve">(i) a declaration that PET and/or CT scans and histology results supporting a diagnosis of primary mediastinal B-Cell lymphoma have been retained on the patient’s medical records; </w:t>
            </w:r>
          </w:p>
          <w:p w:rsidR="007D460F" w:rsidRPr="002B4AB6" w:rsidRDefault="007D460F" w:rsidP="001D6A8C">
            <w:pPr>
              <w:jc w:val="left"/>
              <w:rPr>
                <w:rFonts w:ascii="Arial Narrow" w:hAnsi="Arial Narrow"/>
                <w:color w:val="333333"/>
                <w:sz w:val="18"/>
                <w:szCs w:val="18"/>
              </w:rPr>
            </w:pPr>
            <w:r w:rsidRPr="002B4AB6">
              <w:rPr>
                <w:rFonts w:ascii="Arial Narrow" w:hAnsi="Arial Narrow"/>
                <w:color w:val="333333"/>
                <w:sz w:val="18"/>
                <w:szCs w:val="18"/>
              </w:rPr>
              <w:t>(ii) a declaration of whether the patient's disease had relapsed or was refractory, and the date and means by which the patient's disease was assessed as being relapsed or refractory prior to initiating non-PBS subsidised treatment.</w:t>
            </w:r>
          </w:p>
          <w:p w:rsidR="007D460F" w:rsidRPr="002B4AB6" w:rsidRDefault="007D460F" w:rsidP="001D6A8C">
            <w:pPr>
              <w:jc w:val="left"/>
              <w:rPr>
                <w:rFonts w:ascii="Arial Narrow" w:hAnsi="Arial Narrow"/>
                <w:color w:val="333333"/>
                <w:sz w:val="18"/>
                <w:szCs w:val="18"/>
              </w:rPr>
            </w:pPr>
            <w:r w:rsidRPr="002B4AB6">
              <w:rPr>
                <w:rFonts w:ascii="Arial Narrow" w:hAnsi="Arial Narrow"/>
                <w:color w:val="333333"/>
                <w:sz w:val="18"/>
                <w:szCs w:val="18"/>
              </w:rPr>
              <w:t>(iii) dates of commencement and completion of 2 prior lines of treatment for patients not suitable for ASCT, one of which must include rituximab with chemotherapy;</w:t>
            </w:r>
          </w:p>
        </w:tc>
      </w:tr>
      <w:tr w:rsidR="007D460F" w:rsidRPr="002B4AB6" w:rsidTr="002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91"/>
        </w:trPr>
        <w:tc>
          <w:tcPr>
            <w:tcW w:w="5000" w:type="pct"/>
            <w:tcBorders>
              <w:top w:val="single" w:sz="4" w:space="0" w:color="auto"/>
              <w:left w:val="single" w:sz="4" w:space="0" w:color="auto"/>
              <w:bottom w:val="single" w:sz="4" w:space="0" w:color="auto"/>
              <w:right w:val="single" w:sz="4" w:space="0" w:color="auto"/>
            </w:tcBorders>
            <w:vAlign w:val="center"/>
          </w:tcPr>
          <w:p w:rsidR="007D460F" w:rsidRPr="002B4AB6" w:rsidRDefault="007D460F" w:rsidP="001D6A8C">
            <w:pPr>
              <w:jc w:val="left"/>
              <w:rPr>
                <w:rFonts w:ascii="Arial Narrow" w:hAnsi="Arial Narrow"/>
                <w:color w:val="333333"/>
                <w:sz w:val="18"/>
                <w:szCs w:val="18"/>
              </w:rPr>
            </w:pPr>
            <w:r w:rsidRPr="002B4AB6">
              <w:rPr>
                <w:rFonts w:ascii="Arial Narrow" w:hAnsi="Arial Narrow"/>
                <w:bCs/>
                <w:color w:val="333333"/>
                <w:sz w:val="18"/>
                <w:szCs w:val="18"/>
              </w:rPr>
              <w:t>Patients may qualify for PBS-subsidised treatment under this restriction once only. For continuing PBS-subsidised treatment, a 'Grandfathered' patient must qualify under the 'Continuing treatment' criteria</w:t>
            </w:r>
          </w:p>
          <w:p w:rsidR="007D460F" w:rsidRDefault="007D460F" w:rsidP="001D6A8C">
            <w:pPr>
              <w:jc w:val="left"/>
              <w:rPr>
                <w:rFonts w:ascii="Arial Narrow" w:hAnsi="Arial Narrow"/>
                <w:bCs/>
                <w:color w:val="333333"/>
                <w:sz w:val="18"/>
                <w:szCs w:val="18"/>
              </w:rPr>
            </w:pPr>
          </w:p>
          <w:p w:rsidR="007D460F" w:rsidRPr="002B4AB6" w:rsidRDefault="007D460F" w:rsidP="001D6A8C">
            <w:pPr>
              <w:jc w:val="left"/>
              <w:rPr>
                <w:rFonts w:ascii="Arial Narrow" w:hAnsi="Arial Narrow"/>
                <w:color w:val="333333"/>
                <w:sz w:val="18"/>
                <w:szCs w:val="18"/>
              </w:rPr>
            </w:pPr>
            <w:r w:rsidRPr="002B4AB6">
              <w:rPr>
                <w:rFonts w:ascii="Arial Narrow" w:hAnsi="Arial Narrow"/>
                <w:bCs/>
                <w:color w:val="333333"/>
                <w:sz w:val="18"/>
                <w:szCs w:val="18"/>
              </w:rPr>
              <w:t>This grandfathering restric</w:t>
            </w:r>
            <w:r>
              <w:rPr>
                <w:rFonts w:ascii="Arial Narrow" w:hAnsi="Arial Narrow"/>
                <w:bCs/>
                <w:color w:val="333333"/>
                <w:sz w:val="18"/>
                <w:szCs w:val="18"/>
              </w:rPr>
              <w:t>tion will cease to operate 12 months after the date specified in the clinical criteria.</w:t>
            </w:r>
          </w:p>
          <w:p w:rsidR="007D460F" w:rsidRDefault="007D460F" w:rsidP="001D6A8C">
            <w:pPr>
              <w:jc w:val="left"/>
              <w:rPr>
                <w:rFonts w:ascii="Arial Narrow" w:hAnsi="Arial Narrow"/>
                <w:color w:val="333333"/>
                <w:sz w:val="18"/>
                <w:szCs w:val="18"/>
              </w:rPr>
            </w:pPr>
          </w:p>
          <w:p w:rsidR="007D460F" w:rsidRPr="002B4AB6" w:rsidRDefault="007D460F" w:rsidP="001D6A8C">
            <w:pPr>
              <w:jc w:val="left"/>
              <w:rPr>
                <w:rFonts w:ascii="Arial Narrow" w:hAnsi="Arial Narrow"/>
                <w:color w:val="333333"/>
                <w:sz w:val="18"/>
                <w:szCs w:val="18"/>
              </w:rPr>
            </w:pPr>
            <w:r w:rsidRPr="002B4AB6">
              <w:rPr>
                <w:rFonts w:ascii="Arial Narrow" w:hAnsi="Arial Narrow"/>
                <w:color w:val="333333"/>
                <w:sz w:val="18"/>
                <w:szCs w:val="18"/>
              </w:rPr>
              <w:t xml:space="preserve">Any queries concerning the arrangements to prescribe may be directed to the Department of Human Services on 1800 700 270 (hours of operation 8 a.m. to 5 p.m. EST Monday to Friday). </w:t>
            </w:r>
          </w:p>
          <w:p w:rsidR="007D460F" w:rsidRPr="002B4AB6" w:rsidRDefault="007D460F" w:rsidP="001D6A8C">
            <w:pPr>
              <w:jc w:val="left"/>
              <w:rPr>
                <w:rFonts w:ascii="Arial Narrow" w:hAnsi="Arial Narrow"/>
                <w:color w:val="333333"/>
                <w:sz w:val="18"/>
                <w:szCs w:val="18"/>
              </w:rPr>
            </w:pPr>
          </w:p>
          <w:p w:rsidR="007D460F" w:rsidRPr="002B4AB6" w:rsidRDefault="007D460F" w:rsidP="001D6A8C">
            <w:pPr>
              <w:jc w:val="left"/>
              <w:rPr>
                <w:rFonts w:ascii="Arial Narrow" w:hAnsi="Arial Narrow"/>
                <w:color w:val="333333"/>
                <w:sz w:val="18"/>
                <w:szCs w:val="18"/>
              </w:rPr>
            </w:pPr>
            <w:r w:rsidRPr="002B4AB6">
              <w:rPr>
                <w:rFonts w:ascii="Arial Narrow" w:hAnsi="Arial Narrow"/>
                <w:color w:val="333333"/>
                <w:sz w:val="18"/>
                <w:szCs w:val="18"/>
              </w:rPr>
              <w:t xml:space="preserve">Prescribing information (including Authority Application forms and other relevant documentation as applicable) is available on the Department of Human Services website at </w:t>
            </w:r>
            <w:r w:rsidRPr="004278F1">
              <w:rPr>
                <w:rFonts w:ascii="Arial Narrow" w:hAnsi="Arial Narrow"/>
                <w:sz w:val="18"/>
                <w:szCs w:val="18"/>
              </w:rPr>
              <w:t>www.humanservices.gov.au</w:t>
            </w:r>
          </w:p>
          <w:p w:rsidR="007D460F" w:rsidRPr="002B4AB6" w:rsidRDefault="007D460F" w:rsidP="001D6A8C">
            <w:pPr>
              <w:jc w:val="left"/>
              <w:rPr>
                <w:rFonts w:ascii="Arial Narrow" w:hAnsi="Arial Narrow"/>
                <w:color w:val="333333"/>
                <w:sz w:val="18"/>
                <w:szCs w:val="18"/>
              </w:rPr>
            </w:pPr>
          </w:p>
          <w:p w:rsidR="007D460F" w:rsidRPr="00492CD9" w:rsidRDefault="007D460F" w:rsidP="001D6A8C">
            <w:pPr>
              <w:jc w:val="left"/>
              <w:rPr>
                <w:rFonts w:ascii="Arial Narrow" w:hAnsi="Arial Narrow"/>
                <w:color w:val="333333"/>
                <w:sz w:val="18"/>
                <w:szCs w:val="18"/>
              </w:rPr>
            </w:pPr>
            <w:r w:rsidRPr="00492CD9">
              <w:rPr>
                <w:rFonts w:ascii="Arial Narrow" w:hAnsi="Arial Narrow"/>
                <w:color w:val="333333"/>
                <w:sz w:val="18"/>
                <w:szCs w:val="18"/>
              </w:rPr>
              <w:t xml:space="preserve">Applications for authority to prescribe should be forwarded to: </w:t>
            </w:r>
          </w:p>
          <w:p w:rsidR="007D460F" w:rsidRPr="002B4AB6" w:rsidRDefault="007D460F" w:rsidP="001D6A8C">
            <w:pPr>
              <w:jc w:val="left"/>
              <w:rPr>
                <w:rFonts w:ascii="Arial Narrow" w:hAnsi="Arial Narrow"/>
                <w:color w:val="333333"/>
                <w:sz w:val="18"/>
                <w:szCs w:val="18"/>
              </w:rPr>
            </w:pPr>
            <w:r w:rsidRPr="002B4AB6">
              <w:rPr>
                <w:rFonts w:ascii="Arial Narrow" w:hAnsi="Arial Narrow"/>
                <w:color w:val="333333"/>
                <w:sz w:val="18"/>
                <w:szCs w:val="18"/>
              </w:rPr>
              <w:t>Department of Human Services</w:t>
            </w:r>
          </w:p>
          <w:p w:rsidR="007D460F" w:rsidRPr="002B4AB6" w:rsidRDefault="007D460F" w:rsidP="001D6A8C">
            <w:pPr>
              <w:jc w:val="left"/>
              <w:rPr>
                <w:rFonts w:ascii="Arial Narrow" w:hAnsi="Arial Narrow"/>
                <w:color w:val="333333"/>
                <w:sz w:val="18"/>
                <w:szCs w:val="18"/>
              </w:rPr>
            </w:pPr>
            <w:r w:rsidRPr="002B4AB6">
              <w:rPr>
                <w:rFonts w:ascii="Arial Narrow" w:hAnsi="Arial Narrow"/>
                <w:color w:val="333333"/>
                <w:sz w:val="18"/>
                <w:szCs w:val="18"/>
              </w:rPr>
              <w:t>Complex Drugs</w:t>
            </w:r>
          </w:p>
          <w:p w:rsidR="007D460F" w:rsidRPr="002B4AB6" w:rsidRDefault="007D460F" w:rsidP="001D6A8C">
            <w:pPr>
              <w:jc w:val="left"/>
              <w:rPr>
                <w:rFonts w:ascii="Arial Narrow" w:hAnsi="Arial Narrow"/>
                <w:color w:val="333333"/>
                <w:sz w:val="18"/>
                <w:szCs w:val="18"/>
              </w:rPr>
            </w:pPr>
            <w:r w:rsidRPr="002B4AB6">
              <w:rPr>
                <w:rFonts w:ascii="Arial Narrow" w:hAnsi="Arial Narrow"/>
                <w:color w:val="333333"/>
                <w:sz w:val="18"/>
                <w:szCs w:val="18"/>
              </w:rPr>
              <w:t>Reply Paid 9826</w:t>
            </w:r>
          </w:p>
          <w:p w:rsidR="007D460F" w:rsidRPr="002B4AB6" w:rsidRDefault="007D460F" w:rsidP="001D6A8C">
            <w:pPr>
              <w:jc w:val="left"/>
              <w:rPr>
                <w:rFonts w:ascii="Arial Narrow" w:hAnsi="Arial Narrow"/>
                <w:color w:val="333333"/>
                <w:sz w:val="18"/>
                <w:szCs w:val="18"/>
              </w:rPr>
            </w:pPr>
            <w:r w:rsidRPr="002B4AB6">
              <w:rPr>
                <w:rFonts w:ascii="Arial Narrow" w:hAnsi="Arial Narrow"/>
                <w:color w:val="333333"/>
                <w:sz w:val="18"/>
                <w:szCs w:val="18"/>
              </w:rPr>
              <w:t>HOBART TAS 7001</w:t>
            </w:r>
          </w:p>
        </w:tc>
      </w:tr>
    </w:tbl>
    <w:p w:rsidR="000205BB" w:rsidRPr="00BE44F1" w:rsidRDefault="000205BB" w:rsidP="000205BB">
      <w:pPr>
        <w:rPr>
          <w:rFonts w:asciiTheme="minorHAnsi" w:hAnsiTheme="minorHAnsi" w:cstheme="minorHAnsi"/>
          <w:b/>
          <w:color w:val="365F91" w:themeColor="accent1" w:themeShade="BF"/>
        </w:rPr>
      </w:pPr>
    </w:p>
    <w:p w:rsidR="00B403C1" w:rsidRDefault="008B12D5">
      <w:pPr>
        <w:jc w:val="left"/>
        <w:rPr>
          <w:rFonts w:asciiTheme="minorHAnsi" w:hAnsiTheme="minorHAnsi" w:cstheme="minorHAnsi"/>
          <w:b/>
          <w:i/>
        </w:rPr>
      </w:pPr>
      <w:r w:rsidRPr="00BE44F1">
        <w:rPr>
          <w:rFonts w:asciiTheme="minorHAnsi" w:hAnsiTheme="minorHAnsi" w:cstheme="minorHAnsi"/>
          <w:b/>
          <w:i/>
        </w:rPr>
        <w:t>This restriction may be subject to further review. Should there be any changes made to the restriction the Sponsor will be informed.</w:t>
      </w:r>
    </w:p>
    <w:p w:rsidR="00B403C1" w:rsidRDefault="00B403C1" w:rsidP="00B403C1">
      <w:pPr>
        <w:pStyle w:val="2-SectionHeading"/>
        <w:rPr>
          <w:color w:val="1F497D"/>
        </w:rPr>
      </w:pPr>
      <w:r w:rsidRPr="00C07617">
        <w:t>Context for Decision</w:t>
      </w:r>
    </w:p>
    <w:p w:rsidR="00B403C1" w:rsidRPr="007129F2" w:rsidRDefault="00B403C1" w:rsidP="00B403C1">
      <w:pPr>
        <w:ind w:left="709"/>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B403C1" w:rsidRPr="00C07617" w:rsidRDefault="00B403C1" w:rsidP="00B403C1">
      <w:pPr>
        <w:pStyle w:val="2-SectionHeading"/>
        <w:rPr>
          <w:b w:val="0"/>
        </w:rPr>
      </w:pPr>
      <w:r w:rsidRPr="00C07617" w:rsidDel="007129F2">
        <w:lastRenderedPageBreak/>
        <w:t xml:space="preserve"> </w:t>
      </w:r>
      <w:r>
        <w:t>Sponsor’s Comment</w:t>
      </w:r>
    </w:p>
    <w:p w:rsidR="00B403C1" w:rsidRPr="00B403C1" w:rsidRDefault="001C7EB0" w:rsidP="001C7EB0">
      <w:pPr>
        <w:spacing w:after="120"/>
        <w:ind w:left="851"/>
        <w:rPr>
          <w:rFonts w:asciiTheme="minorHAnsi" w:hAnsiTheme="minorHAnsi"/>
          <w:bCs/>
        </w:rPr>
      </w:pPr>
      <w:r>
        <w:t>MSD is pleased with the outcome, since this will provide an additional treatment option for patients with this very rare cancer.  MSD is working with the Department of Health to ensure that listing on the PBS occurs as soon as possible.</w:t>
      </w:r>
    </w:p>
    <w:sectPr w:rsidR="00B403C1" w:rsidRPr="00B403C1" w:rsidSect="00251006">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51E8D2" w16cid:durableId="21FD790E"/>
  <w16cid:commentId w16cid:paraId="702FB74A" w16cid:durableId="21FD7CCA"/>
  <w16cid:commentId w16cid:paraId="189D0543" w16cid:durableId="21FD790F"/>
  <w16cid:commentId w16cid:paraId="1A8083DB" w16cid:durableId="21FD7DE6"/>
  <w16cid:commentId w16cid:paraId="049B442E" w16cid:durableId="21FD7910"/>
  <w16cid:commentId w16cid:paraId="6A856099" w16cid:durableId="21FD7E36"/>
  <w16cid:commentId w16cid:paraId="7A86B820" w16cid:durableId="21FD79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8F1" w:rsidRDefault="004278F1" w:rsidP="00124A51">
      <w:r>
        <w:separator/>
      </w:r>
    </w:p>
    <w:p w:rsidR="004278F1" w:rsidRDefault="004278F1"/>
  </w:endnote>
  <w:endnote w:type="continuationSeparator" w:id="0">
    <w:p w:rsidR="004278F1" w:rsidRDefault="004278F1" w:rsidP="00124A51">
      <w:r>
        <w:continuationSeparator/>
      </w:r>
    </w:p>
    <w:p w:rsidR="004278F1" w:rsidRDefault="00427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D39" w:rsidRDefault="008F6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452856"/>
      <w:docPartObj>
        <w:docPartGallery w:val="Page Numbers (Bottom of Page)"/>
        <w:docPartUnique/>
      </w:docPartObj>
    </w:sdtPr>
    <w:sdtEndPr>
      <w:rPr>
        <w:b/>
        <w:noProof/>
      </w:rPr>
    </w:sdtEndPr>
    <w:sdtContent>
      <w:p w:rsidR="0054383A" w:rsidRDefault="0054383A" w:rsidP="009A700F">
        <w:pPr>
          <w:pStyle w:val="Footer"/>
          <w:jc w:val="center"/>
        </w:pPr>
      </w:p>
      <w:p w:rsidR="0054383A" w:rsidRPr="009A700F" w:rsidRDefault="0054383A" w:rsidP="009A700F">
        <w:pPr>
          <w:pStyle w:val="PageFooter"/>
          <w:rPr>
            <w:b/>
          </w:rPr>
        </w:pPr>
        <w:r w:rsidRPr="009A700F">
          <w:rPr>
            <w:b/>
          </w:rPr>
          <w:fldChar w:fldCharType="begin"/>
        </w:r>
        <w:r w:rsidRPr="009A700F">
          <w:rPr>
            <w:b/>
          </w:rPr>
          <w:instrText xml:space="preserve"> PAGE   \* MERGEFORMAT </w:instrText>
        </w:r>
        <w:r w:rsidRPr="009A700F">
          <w:rPr>
            <w:b/>
          </w:rPr>
          <w:fldChar w:fldCharType="separate"/>
        </w:r>
        <w:r w:rsidR="00D96A47">
          <w:rPr>
            <w:b/>
            <w:noProof/>
          </w:rPr>
          <w:t>31</w:t>
        </w:r>
        <w:r w:rsidRPr="009A700F">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D39" w:rsidRDefault="008F6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8F1" w:rsidRDefault="004278F1" w:rsidP="00124A51">
      <w:r>
        <w:separator/>
      </w:r>
    </w:p>
    <w:p w:rsidR="004278F1" w:rsidRDefault="004278F1"/>
  </w:footnote>
  <w:footnote w:type="continuationSeparator" w:id="0">
    <w:p w:rsidR="004278F1" w:rsidRDefault="004278F1" w:rsidP="00124A51">
      <w:r>
        <w:continuationSeparator/>
      </w:r>
    </w:p>
    <w:p w:rsidR="004278F1" w:rsidRDefault="004278F1"/>
  </w:footnote>
  <w:footnote w:id="1">
    <w:p w:rsidR="0054383A" w:rsidRDefault="0054383A">
      <w:pPr>
        <w:pStyle w:val="FootnoteText"/>
      </w:pPr>
      <w:r>
        <w:rPr>
          <w:rStyle w:val="FootnoteReference"/>
        </w:rPr>
        <w:footnoteRef/>
      </w:r>
      <w:r>
        <w:t xml:space="preserve"> </w:t>
      </w:r>
      <w:hyperlink r:id="rId1" w:history="1">
        <w:r>
          <w:rPr>
            <w:rStyle w:val="Hyperlink"/>
          </w:rPr>
          <w:t>https://www.fda.gov/drugs/resources-information-approved-drugs/fda-approves-pembrolizumab-treatment-relapsed-or-refractory-pmbcl</w:t>
        </w:r>
      </w:hyperlink>
    </w:p>
  </w:footnote>
  <w:footnote w:id="2">
    <w:p w:rsidR="0054383A" w:rsidRDefault="0054383A" w:rsidP="00B23DF4">
      <w:pPr>
        <w:pStyle w:val="FootnoteText"/>
        <w:rPr>
          <w:noProof/>
        </w:rPr>
      </w:pPr>
      <w:r>
        <w:rPr>
          <w:rStyle w:val="FootnoteReference"/>
        </w:rPr>
        <w:footnoteRef/>
      </w:r>
      <w:r>
        <w:t xml:space="preserve"> </w:t>
      </w:r>
      <w:r>
        <w:fldChar w:fldCharType="begin"/>
      </w:r>
      <w:r>
        <w:instrText xml:space="preserve"> BIBLIOGRAPHY  \l 3081 </w:instrText>
      </w:r>
      <w:r>
        <w:fldChar w:fldCharType="separate"/>
      </w:r>
      <w:r>
        <w:rPr>
          <w:noProof/>
        </w:rPr>
        <w:t xml:space="preserve">Giulino-Roth, L. How I treat primary mediastinal B-cell lymphoma. </w:t>
      </w:r>
      <w:r w:rsidRPr="00B23DF4">
        <w:rPr>
          <w:iCs/>
          <w:noProof/>
        </w:rPr>
        <w:t>Blood, 2</w:t>
      </w:r>
      <w:r>
        <w:rPr>
          <w:i/>
          <w:iCs/>
          <w:noProof/>
        </w:rPr>
        <w:t>018 132</w:t>
      </w:r>
      <w:r>
        <w:rPr>
          <w:noProof/>
        </w:rPr>
        <w:t>(8), 782-790. doi:10.1182/blood-2018-04-791566</w:t>
      </w:r>
    </w:p>
    <w:p w:rsidR="0054383A" w:rsidRDefault="0054383A" w:rsidP="00CB5934">
      <w:pPr>
        <w:pStyle w:val="FootnoteText"/>
      </w:pPr>
      <w:r>
        <w:fldChar w:fldCharType="end"/>
      </w:r>
    </w:p>
  </w:footnote>
  <w:footnote w:id="3">
    <w:p w:rsidR="0054383A" w:rsidRDefault="0054383A" w:rsidP="00D54537">
      <w:pPr>
        <w:pStyle w:val="FootnoteText"/>
        <w:ind w:left="142" w:hanging="142"/>
      </w:pPr>
      <w:r>
        <w:rPr>
          <w:rStyle w:val="FootnoteReference"/>
        </w:rPr>
        <w:footnoteRef/>
      </w:r>
      <w:r>
        <w:t xml:space="preserve"> </w:t>
      </w:r>
      <w:r w:rsidRPr="00532A61">
        <w:t>Vardhana S, Hamlin PA, Yang J, Zelenetz A, Sauter CS, Matasar MJ, et al. Outcomes of relapsed and refractory primary mediastinal (thymic) large B cell lymphoma treated with second-line therapy and intent to transplant. Biology of Blood and Marrow Transplantation. 2018;</w:t>
      </w:r>
      <w:r>
        <w:t xml:space="preserve"> </w:t>
      </w:r>
      <w:r w:rsidRPr="00532A61">
        <w:t>24(10):2133-8</w:t>
      </w:r>
      <w:r>
        <w:t>.</w:t>
      </w:r>
    </w:p>
  </w:footnote>
  <w:footnote w:id="4">
    <w:p w:rsidR="0054383A" w:rsidRDefault="0054383A" w:rsidP="005E503C">
      <w:pPr>
        <w:pStyle w:val="FootnoteText"/>
        <w:ind w:left="142" w:hanging="142"/>
      </w:pPr>
      <w:r>
        <w:rPr>
          <w:rStyle w:val="FootnoteReference"/>
        </w:rPr>
        <w:footnoteRef/>
      </w:r>
      <w:r>
        <w:t xml:space="preserve"> </w:t>
      </w:r>
      <w:r w:rsidRPr="00033267">
        <w:t>Ng AK, Yahalom J, Goda JS, Constine LS, Pinnix CC, Kelsey CR, et al. Role of radiation therapy in patients with relapsed/refractory diffuse large B-cell lymphoma: guidelines from the International Lymphoma Radiation Oncology Group. International Journal of Radiation Oncology* Biology* Physics. 2018;100(3):652-69</w:t>
      </w:r>
    </w:p>
  </w:footnote>
  <w:footnote w:id="5">
    <w:p w:rsidR="0054383A" w:rsidRDefault="0054383A" w:rsidP="00DC3DFF">
      <w:pPr>
        <w:pStyle w:val="FootnoteText"/>
      </w:pPr>
      <w:r>
        <w:rPr>
          <w:rStyle w:val="FootnoteReference"/>
        </w:rPr>
        <w:footnoteRef/>
      </w:r>
      <w:r>
        <w:t xml:space="preserve"> </w:t>
      </w:r>
      <w:r w:rsidRPr="00A931C9">
        <w:t>Approximately 40% of patients in Vardhana 2018 received a rituximab-based chemotherapy regimen (R-ICE/R-CHOP, R-EPOCH) in the first-line setting, and 58% of patients were refractory to their initial therapy. Second-line chemotherapy consisted of ICE (33%) and ICE with rituximab (48%) in most cases.</w:t>
      </w:r>
    </w:p>
  </w:footnote>
  <w:footnote w:id="6">
    <w:p w:rsidR="0054383A" w:rsidRDefault="0054383A">
      <w:pPr>
        <w:pStyle w:val="FootnoteText"/>
      </w:pPr>
      <w:r>
        <w:rPr>
          <w:rStyle w:val="FootnoteReference"/>
        </w:rPr>
        <w:footnoteRef/>
      </w:r>
      <w:r>
        <w:t xml:space="preserve"> </w:t>
      </w:r>
      <w:r w:rsidRPr="009F7023">
        <w:t xml:space="preserve">Lee C, et al. </w:t>
      </w:r>
      <w:r w:rsidRPr="00616DFB">
        <w:rPr>
          <w:lang w:val="en"/>
        </w:rPr>
        <w:t>Biology and therapy of primary mediastinal B‐cell lymphoma: current status and future directions</w:t>
      </w:r>
      <w:r w:rsidRPr="00616DFB">
        <w:t xml:space="preserve"> </w:t>
      </w:r>
      <w:hyperlink r:id="rId2" w:history="1">
        <w:r w:rsidRPr="009F7023">
          <w:rPr>
            <w:rStyle w:val="Hyperlink"/>
            <w:lang w:val="en"/>
          </w:rPr>
          <w:t>Br J Haematol</w:t>
        </w:r>
      </w:hyperlink>
      <w:r w:rsidRPr="009F7023">
        <w:rPr>
          <w:rStyle w:val="cit"/>
          <w:lang w:val="en"/>
        </w:rPr>
        <w:t>. 2019 Apr; 185(1): 25–41.</w:t>
      </w:r>
    </w:p>
  </w:footnote>
  <w:footnote w:id="7">
    <w:p w:rsidR="0054383A" w:rsidRDefault="0054383A" w:rsidP="00ED3B16">
      <w:pPr>
        <w:pStyle w:val="FootnoteText"/>
        <w:ind w:left="142" w:hanging="142"/>
      </w:pPr>
      <w:r>
        <w:rPr>
          <w:rStyle w:val="FootnoteReference"/>
        </w:rPr>
        <w:footnoteRef/>
      </w:r>
      <w:r>
        <w:t xml:space="preserve"> </w:t>
      </w:r>
      <w:r w:rsidRPr="00A0187F">
        <w:t>Buyse M, Burzykowski T, Saad ED. The search for surrogate endpoints for immunotherapy trials. Annals of translational medicine. 2018;</w:t>
      </w:r>
      <w:r>
        <w:t xml:space="preserve"> </w:t>
      </w:r>
      <w:r w:rsidRPr="00A0187F">
        <w:t>6(11):231</w:t>
      </w:r>
      <w:r>
        <w:t>.</w:t>
      </w:r>
    </w:p>
  </w:footnote>
  <w:footnote w:id="8">
    <w:p w:rsidR="0054383A" w:rsidRDefault="0054383A" w:rsidP="00ED3B16">
      <w:pPr>
        <w:pStyle w:val="FootnoteText"/>
        <w:ind w:left="142" w:hanging="142"/>
      </w:pPr>
      <w:r>
        <w:rPr>
          <w:rStyle w:val="FootnoteReference"/>
        </w:rPr>
        <w:footnoteRef/>
      </w:r>
      <w:r>
        <w:t xml:space="preserve"> </w:t>
      </w:r>
      <w:r w:rsidRPr="00A0187F">
        <w:t>Haslam A, Hey SP, Gill J, Prasad V. A systematic review of trial-level meta-analyses measuring the strength of association between surrogate end-points and overall survival in oncology. Eur J Cancer. 2019 Jan;</w:t>
      </w:r>
      <w:r>
        <w:t xml:space="preserve"> </w:t>
      </w:r>
      <w:r w:rsidRPr="00A0187F">
        <w:t>106:196-211</w:t>
      </w:r>
      <w:r>
        <w:t>.</w:t>
      </w:r>
    </w:p>
  </w:footnote>
  <w:footnote w:id="9">
    <w:p w:rsidR="0054383A" w:rsidRDefault="0054383A" w:rsidP="00ED3B16">
      <w:pPr>
        <w:pStyle w:val="FootnoteText"/>
        <w:ind w:left="142" w:hanging="142"/>
      </w:pPr>
      <w:r>
        <w:rPr>
          <w:rStyle w:val="FootnoteReference"/>
        </w:rPr>
        <w:footnoteRef/>
      </w:r>
      <w:r>
        <w:t xml:space="preserve"> </w:t>
      </w:r>
      <w:r w:rsidRPr="00A0187F">
        <w:t>Kumar S, Rajkumar SV. Surrogate endpoints in randomised controlled trials: a reality check. Lancet. 2019 Jul 27;</w:t>
      </w:r>
      <w:r>
        <w:t xml:space="preserve"> </w:t>
      </w:r>
      <w:r w:rsidRPr="00A0187F">
        <w:t>394(10195):281-3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D39" w:rsidRDefault="008F6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83A" w:rsidRPr="00B403C1" w:rsidRDefault="00B403C1" w:rsidP="00B403C1">
    <w:pPr>
      <w:pStyle w:val="Header"/>
      <w:ind w:left="360"/>
      <w:rPr>
        <w:rFonts w:asciiTheme="minorHAnsi" w:hAnsiTheme="minorHAnsi"/>
        <w:i/>
        <w:color w:val="808080"/>
      </w:rPr>
    </w:pPr>
    <w:r w:rsidRPr="00B403C1">
      <w:rPr>
        <w:rFonts w:asciiTheme="minorHAnsi" w:hAnsiTheme="minorHAnsi"/>
        <w:i/>
        <w:color w:val="808080"/>
      </w:rPr>
      <w:t xml:space="preserve">Public Summary Document </w:t>
    </w:r>
    <w:r w:rsidR="0054383A" w:rsidRPr="00056684">
      <w:rPr>
        <w:rFonts w:asciiTheme="minorHAnsi" w:hAnsiTheme="minorHAnsi"/>
        <w:i/>
        <w:color w:val="808080"/>
      </w:rPr>
      <w:t xml:space="preserve">– </w:t>
    </w:r>
    <w:r w:rsidR="0054383A">
      <w:rPr>
        <w:rFonts w:asciiTheme="minorHAnsi" w:hAnsiTheme="minorHAnsi"/>
        <w:i/>
        <w:color w:val="808080"/>
      </w:rPr>
      <w:t>March 2020</w:t>
    </w:r>
    <w:r w:rsidR="0054383A" w:rsidRPr="00056684">
      <w:rPr>
        <w:rFonts w:asciiTheme="minorHAnsi" w:hAnsiTheme="minorHAnsi"/>
        <w:i/>
        <w:color w:val="808080"/>
      </w:rPr>
      <w:t xml:space="preserve"> PBAC Meeti</w:t>
    </w:r>
    <w:r>
      <w:rPr>
        <w:rFonts w:asciiTheme="minorHAnsi" w:hAnsiTheme="minorHAnsi"/>
        <w:i/>
        <w:color w:val="808080"/>
      </w:rPr>
      <w:t>ng</w:t>
    </w:r>
  </w:p>
  <w:p w:rsidR="0054383A" w:rsidRDefault="0054383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D39" w:rsidRDefault="008F6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908201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C23E71C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6401B93"/>
    <w:multiLevelType w:val="multilevel"/>
    <w:tmpl w:val="15523A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B49540A"/>
    <w:multiLevelType w:val="hybridMultilevel"/>
    <w:tmpl w:val="70AE5C7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517877"/>
    <w:multiLevelType w:val="hybridMultilevel"/>
    <w:tmpl w:val="04AA6452"/>
    <w:lvl w:ilvl="0" w:tplc="94BC831E">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0314D2"/>
    <w:multiLevelType w:val="hybridMultilevel"/>
    <w:tmpl w:val="F19E003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376C72"/>
    <w:multiLevelType w:val="hybridMultilevel"/>
    <w:tmpl w:val="D62629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D67A6"/>
    <w:multiLevelType w:val="hybridMultilevel"/>
    <w:tmpl w:val="CB12E942"/>
    <w:lvl w:ilvl="0" w:tplc="41664FA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0445F4"/>
    <w:multiLevelType w:val="multilevel"/>
    <w:tmpl w:val="967CBAFC"/>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1" w15:restartNumberingAfterBreak="0">
    <w:nsid w:val="4FA94EF0"/>
    <w:multiLevelType w:val="hybridMultilevel"/>
    <w:tmpl w:val="1E4E1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677404"/>
    <w:multiLevelType w:val="hybridMultilevel"/>
    <w:tmpl w:val="3D0C7DE2"/>
    <w:lvl w:ilvl="0" w:tplc="99F6EBD8">
      <w:start w:val="1"/>
      <w:numFmt w:val="upperLetter"/>
      <w:pStyle w:val="Background"/>
      <w:lvlText w:val="%1"/>
      <w:lvlJc w:val="left"/>
      <w:pPr>
        <w:tabs>
          <w:tab w:val="num" w:pos="851"/>
        </w:tabs>
        <w:ind w:left="851" w:hanging="851"/>
      </w:pPr>
      <w:rPr>
        <w:rFonts w:hint="default"/>
      </w:rPr>
    </w:lvl>
    <w:lvl w:ilvl="1" w:tplc="443076E2" w:tentative="1">
      <w:start w:val="1"/>
      <w:numFmt w:val="lowerLetter"/>
      <w:lvlText w:val="%2."/>
      <w:lvlJc w:val="left"/>
      <w:pPr>
        <w:tabs>
          <w:tab w:val="num" w:pos="1440"/>
        </w:tabs>
        <w:ind w:left="1440" w:hanging="360"/>
      </w:pPr>
    </w:lvl>
    <w:lvl w:ilvl="2" w:tplc="1988CA7E" w:tentative="1">
      <w:start w:val="1"/>
      <w:numFmt w:val="lowerRoman"/>
      <w:lvlText w:val="%3."/>
      <w:lvlJc w:val="right"/>
      <w:pPr>
        <w:tabs>
          <w:tab w:val="num" w:pos="2160"/>
        </w:tabs>
        <w:ind w:left="2160" w:hanging="180"/>
      </w:pPr>
    </w:lvl>
    <w:lvl w:ilvl="3" w:tplc="BF221F86" w:tentative="1">
      <w:start w:val="1"/>
      <w:numFmt w:val="decimal"/>
      <w:lvlText w:val="%4."/>
      <w:lvlJc w:val="left"/>
      <w:pPr>
        <w:tabs>
          <w:tab w:val="num" w:pos="2880"/>
        </w:tabs>
        <w:ind w:left="2880" w:hanging="360"/>
      </w:pPr>
    </w:lvl>
    <w:lvl w:ilvl="4" w:tplc="B8FC4BD8" w:tentative="1">
      <w:start w:val="1"/>
      <w:numFmt w:val="lowerLetter"/>
      <w:lvlText w:val="%5."/>
      <w:lvlJc w:val="left"/>
      <w:pPr>
        <w:tabs>
          <w:tab w:val="num" w:pos="3600"/>
        </w:tabs>
        <w:ind w:left="3600" w:hanging="360"/>
      </w:pPr>
    </w:lvl>
    <w:lvl w:ilvl="5" w:tplc="324E321E" w:tentative="1">
      <w:start w:val="1"/>
      <w:numFmt w:val="lowerRoman"/>
      <w:lvlText w:val="%6."/>
      <w:lvlJc w:val="right"/>
      <w:pPr>
        <w:tabs>
          <w:tab w:val="num" w:pos="4320"/>
        </w:tabs>
        <w:ind w:left="4320" w:hanging="180"/>
      </w:pPr>
    </w:lvl>
    <w:lvl w:ilvl="6" w:tplc="F6DAA3D2" w:tentative="1">
      <w:start w:val="1"/>
      <w:numFmt w:val="decimal"/>
      <w:lvlText w:val="%7."/>
      <w:lvlJc w:val="left"/>
      <w:pPr>
        <w:tabs>
          <w:tab w:val="num" w:pos="5040"/>
        </w:tabs>
        <w:ind w:left="5040" w:hanging="360"/>
      </w:pPr>
    </w:lvl>
    <w:lvl w:ilvl="7" w:tplc="5972BCF2" w:tentative="1">
      <w:start w:val="1"/>
      <w:numFmt w:val="lowerLetter"/>
      <w:lvlText w:val="%8."/>
      <w:lvlJc w:val="left"/>
      <w:pPr>
        <w:tabs>
          <w:tab w:val="num" w:pos="5760"/>
        </w:tabs>
        <w:ind w:left="5760" w:hanging="360"/>
      </w:pPr>
    </w:lvl>
    <w:lvl w:ilvl="8" w:tplc="3DE867F4" w:tentative="1">
      <w:start w:val="1"/>
      <w:numFmt w:val="lowerRoman"/>
      <w:lvlText w:val="%9."/>
      <w:lvlJc w:val="right"/>
      <w:pPr>
        <w:tabs>
          <w:tab w:val="num" w:pos="6480"/>
        </w:tabs>
        <w:ind w:left="6480" w:hanging="180"/>
      </w:pPr>
    </w:lvl>
  </w:abstractNum>
  <w:abstractNum w:abstractNumId="13" w15:restartNumberingAfterBreak="0">
    <w:nsid w:val="54E52AC3"/>
    <w:multiLevelType w:val="multilevel"/>
    <w:tmpl w:val="6C384208"/>
    <w:lvl w:ilvl="0">
      <w:start w:val="1"/>
      <w:numFmt w:val="decimal"/>
      <w:lvlText w:val="%1"/>
      <w:lvlJc w:val="left"/>
      <w:pPr>
        <w:ind w:left="720" w:hanging="720"/>
      </w:pPr>
      <w:rPr>
        <w:rFonts w:hint="default"/>
        <w:b/>
        <w:i w:val="0"/>
      </w:rPr>
    </w:lvl>
    <w:lvl w:ilvl="1">
      <w:start w:val="1"/>
      <w:numFmt w:val="lowerLetter"/>
      <w:lvlText w:val="%2)"/>
      <w:lvlJc w:val="left"/>
      <w:pPr>
        <w:ind w:left="720" w:hanging="720"/>
      </w:pPr>
      <w:rPr>
        <w:rFonts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7657BB"/>
    <w:multiLevelType w:val="hybridMultilevel"/>
    <w:tmpl w:val="F8FC78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377287"/>
    <w:multiLevelType w:val="hybridMultilevel"/>
    <w:tmpl w:val="04AA6452"/>
    <w:lvl w:ilvl="0" w:tplc="94BC831E">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659209F"/>
    <w:multiLevelType w:val="hybridMultilevel"/>
    <w:tmpl w:val="477CDD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84D033C"/>
    <w:multiLevelType w:val="multilevel"/>
    <w:tmpl w:val="51EC2824"/>
    <w:lvl w:ilvl="0">
      <w:start w:val="1"/>
      <w:numFmt w:val="decimal"/>
      <w:pStyle w:val="2-SectionHeading"/>
      <w:lvlText w:val="%1"/>
      <w:lvlJc w:val="left"/>
      <w:pPr>
        <w:ind w:left="720" w:hanging="720"/>
      </w:pPr>
      <w:rPr>
        <w:rFonts w:asciiTheme="minorHAnsi" w:eastAsia="Times New Roman" w:hAnsiTheme="minorHAnsi" w:cs="Arial"/>
        <w:b/>
        <w:i w:val="0"/>
        <w:color w:val="auto"/>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C3603D4"/>
    <w:multiLevelType w:val="hybridMultilevel"/>
    <w:tmpl w:val="18DAD51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9"/>
  </w:num>
  <w:num w:numId="4">
    <w:abstractNumId w:val="1"/>
  </w:num>
  <w:num w:numId="5">
    <w:abstractNumId w:val="5"/>
  </w:num>
  <w:num w:numId="6">
    <w:abstractNumId w:val="11"/>
  </w:num>
  <w:num w:numId="7">
    <w:abstractNumId w:val="7"/>
  </w:num>
  <w:num w:numId="8">
    <w:abstractNumId w:val="0"/>
  </w:num>
  <w:num w:numId="9">
    <w:abstractNumId w:val="16"/>
  </w:num>
  <w:num w:numId="10">
    <w:abstractNumId w:val="10"/>
  </w:num>
  <w:num w:numId="11">
    <w:abstractNumId w:val="12"/>
  </w:num>
  <w:num w:numId="12">
    <w:abstractNumId w:val="2"/>
  </w:num>
  <w:num w:numId="13">
    <w:abstractNumId w:val="17"/>
  </w:num>
  <w:num w:numId="14">
    <w:abstractNumId w:val="6"/>
  </w:num>
  <w:num w:numId="15">
    <w:abstractNumId w:val="15"/>
  </w:num>
  <w:num w:numId="16">
    <w:abstractNumId w:val="4"/>
  </w:num>
  <w:num w:numId="17">
    <w:abstractNumId w:val="13"/>
  </w:num>
  <w:num w:numId="18">
    <w:abstractNumId w:val="17"/>
  </w:num>
  <w:num w:numId="19">
    <w:abstractNumId w:val="18"/>
  </w:num>
  <w:num w:numId="20">
    <w:abstractNumId w:val="3"/>
  </w:num>
  <w:num w:numId="21">
    <w:abstractNumId w:val="14"/>
  </w:num>
  <w:num w:numId="22">
    <w:abstractNumId w:val="17"/>
  </w:num>
  <w:num w:numId="23">
    <w:abstractNumId w:val="17"/>
  </w:num>
  <w:num w:numId="24">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zzaxffp4f2rxhe2pafxraxl2s5v0ewpz2f5&quot;&gt;rrPMBCL&lt;record-ids&gt;&lt;item&gt;1&lt;/item&gt;&lt;item&gt;2&lt;/item&gt;&lt;item&gt;26&lt;/item&gt;&lt;item&gt;27&lt;/item&gt;&lt;item&gt;28&lt;/item&gt;&lt;item&gt;30&lt;/item&gt;&lt;item&gt;31&lt;/item&gt;&lt;item&gt;32&lt;/item&gt;&lt;item&gt;33&lt;/item&gt;&lt;item&gt;35&lt;/item&gt;&lt;item&gt;36&lt;/item&gt;&lt;/record-ids&gt;&lt;/item&gt;&lt;/Libraries&gt;"/>
  </w:docVars>
  <w:rsids>
    <w:rsidRoot w:val="00E65E79"/>
    <w:rsid w:val="0000020F"/>
    <w:rsid w:val="00000790"/>
    <w:rsid w:val="0000110B"/>
    <w:rsid w:val="0000196B"/>
    <w:rsid w:val="00002C71"/>
    <w:rsid w:val="00003499"/>
    <w:rsid w:val="000039B7"/>
    <w:rsid w:val="00003D98"/>
    <w:rsid w:val="0000639A"/>
    <w:rsid w:val="00006E66"/>
    <w:rsid w:val="000078CE"/>
    <w:rsid w:val="00007CA9"/>
    <w:rsid w:val="00007F92"/>
    <w:rsid w:val="00013247"/>
    <w:rsid w:val="000150EC"/>
    <w:rsid w:val="00015886"/>
    <w:rsid w:val="000162EF"/>
    <w:rsid w:val="000205BB"/>
    <w:rsid w:val="00020714"/>
    <w:rsid w:val="000207C9"/>
    <w:rsid w:val="00020912"/>
    <w:rsid w:val="0002225F"/>
    <w:rsid w:val="00023763"/>
    <w:rsid w:val="00025599"/>
    <w:rsid w:val="000271BC"/>
    <w:rsid w:val="000274B8"/>
    <w:rsid w:val="00027F79"/>
    <w:rsid w:val="00032033"/>
    <w:rsid w:val="00033267"/>
    <w:rsid w:val="00033863"/>
    <w:rsid w:val="00034608"/>
    <w:rsid w:val="00035DC0"/>
    <w:rsid w:val="00036829"/>
    <w:rsid w:val="00037F81"/>
    <w:rsid w:val="00037F84"/>
    <w:rsid w:val="00040482"/>
    <w:rsid w:val="00040895"/>
    <w:rsid w:val="00041052"/>
    <w:rsid w:val="000435EE"/>
    <w:rsid w:val="00043C37"/>
    <w:rsid w:val="00044B89"/>
    <w:rsid w:val="00045017"/>
    <w:rsid w:val="000459F9"/>
    <w:rsid w:val="00045A2B"/>
    <w:rsid w:val="0004698F"/>
    <w:rsid w:val="0005055F"/>
    <w:rsid w:val="00050662"/>
    <w:rsid w:val="000515E6"/>
    <w:rsid w:val="00051A9A"/>
    <w:rsid w:val="000527DE"/>
    <w:rsid w:val="000530D0"/>
    <w:rsid w:val="000536F2"/>
    <w:rsid w:val="000539D0"/>
    <w:rsid w:val="00054621"/>
    <w:rsid w:val="000546D7"/>
    <w:rsid w:val="000547E3"/>
    <w:rsid w:val="00056D38"/>
    <w:rsid w:val="00056ECF"/>
    <w:rsid w:val="00060349"/>
    <w:rsid w:val="000604DF"/>
    <w:rsid w:val="00061E5F"/>
    <w:rsid w:val="000624AC"/>
    <w:rsid w:val="00063E15"/>
    <w:rsid w:val="000644FC"/>
    <w:rsid w:val="00064F3F"/>
    <w:rsid w:val="000651D6"/>
    <w:rsid w:val="000653B5"/>
    <w:rsid w:val="00065A07"/>
    <w:rsid w:val="00066310"/>
    <w:rsid w:val="00066360"/>
    <w:rsid w:val="00066A00"/>
    <w:rsid w:val="00066AF8"/>
    <w:rsid w:val="00067521"/>
    <w:rsid w:val="00067BF6"/>
    <w:rsid w:val="00067C0E"/>
    <w:rsid w:val="00070842"/>
    <w:rsid w:val="00071248"/>
    <w:rsid w:val="000718C2"/>
    <w:rsid w:val="000720B9"/>
    <w:rsid w:val="000737F7"/>
    <w:rsid w:val="0007672F"/>
    <w:rsid w:val="00076B54"/>
    <w:rsid w:val="000774F0"/>
    <w:rsid w:val="00080909"/>
    <w:rsid w:val="000812CA"/>
    <w:rsid w:val="00081E63"/>
    <w:rsid w:val="0008258D"/>
    <w:rsid w:val="0008277F"/>
    <w:rsid w:val="000829C9"/>
    <w:rsid w:val="00083E99"/>
    <w:rsid w:val="000840B4"/>
    <w:rsid w:val="000841BE"/>
    <w:rsid w:val="00084FA8"/>
    <w:rsid w:val="000856C5"/>
    <w:rsid w:val="00085C31"/>
    <w:rsid w:val="00085E48"/>
    <w:rsid w:val="00090285"/>
    <w:rsid w:val="000902D9"/>
    <w:rsid w:val="00090C7E"/>
    <w:rsid w:val="00090E95"/>
    <w:rsid w:val="00091C84"/>
    <w:rsid w:val="00092600"/>
    <w:rsid w:val="0009262B"/>
    <w:rsid w:val="00093310"/>
    <w:rsid w:val="00093E8B"/>
    <w:rsid w:val="0009445C"/>
    <w:rsid w:val="00095200"/>
    <w:rsid w:val="00095A08"/>
    <w:rsid w:val="00095FE5"/>
    <w:rsid w:val="00096284"/>
    <w:rsid w:val="000A199D"/>
    <w:rsid w:val="000A1BC0"/>
    <w:rsid w:val="000A1F9A"/>
    <w:rsid w:val="000A29F2"/>
    <w:rsid w:val="000A3B03"/>
    <w:rsid w:val="000A6039"/>
    <w:rsid w:val="000A7453"/>
    <w:rsid w:val="000A7D08"/>
    <w:rsid w:val="000A7FA6"/>
    <w:rsid w:val="000B0121"/>
    <w:rsid w:val="000B0670"/>
    <w:rsid w:val="000B06FD"/>
    <w:rsid w:val="000B0E75"/>
    <w:rsid w:val="000B2B16"/>
    <w:rsid w:val="000B2DCB"/>
    <w:rsid w:val="000B3035"/>
    <w:rsid w:val="000B46D2"/>
    <w:rsid w:val="000B4960"/>
    <w:rsid w:val="000B581B"/>
    <w:rsid w:val="000B5CE0"/>
    <w:rsid w:val="000B6187"/>
    <w:rsid w:val="000B6CAC"/>
    <w:rsid w:val="000B7612"/>
    <w:rsid w:val="000B78AE"/>
    <w:rsid w:val="000C115C"/>
    <w:rsid w:val="000C1180"/>
    <w:rsid w:val="000C32B9"/>
    <w:rsid w:val="000C3CD2"/>
    <w:rsid w:val="000C3DF9"/>
    <w:rsid w:val="000C4572"/>
    <w:rsid w:val="000C596A"/>
    <w:rsid w:val="000C6713"/>
    <w:rsid w:val="000C7C02"/>
    <w:rsid w:val="000D1BFC"/>
    <w:rsid w:val="000D1D5D"/>
    <w:rsid w:val="000D281A"/>
    <w:rsid w:val="000D2848"/>
    <w:rsid w:val="000D326A"/>
    <w:rsid w:val="000D45A4"/>
    <w:rsid w:val="000D4BBB"/>
    <w:rsid w:val="000D51FB"/>
    <w:rsid w:val="000D601C"/>
    <w:rsid w:val="000D634E"/>
    <w:rsid w:val="000D6C1B"/>
    <w:rsid w:val="000D7EC3"/>
    <w:rsid w:val="000E0640"/>
    <w:rsid w:val="000E0C40"/>
    <w:rsid w:val="000E135D"/>
    <w:rsid w:val="000E17BF"/>
    <w:rsid w:val="000E2850"/>
    <w:rsid w:val="000E2FBE"/>
    <w:rsid w:val="000E471A"/>
    <w:rsid w:val="000E48AF"/>
    <w:rsid w:val="000E4902"/>
    <w:rsid w:val="000E4A5B"/>
    <w:rsid w:val="000E5B25"/>
    <w:rsid w:val="000F00BA"/>
    <w:rsid w:val="000F0DC5"/>
    <w:rsid w:val="000F2EDA"/>
    <w:rsid w:val="000F316A"/>
    <w:rsid w:val="000F3C74"/>
    <w:rsid w:val="000F4BB8"/>
    <w:rsid w:val="000F4FA9"/>
    <w:rsid w:val="000F53FB"/>
    <w:rsid w:val="000F7127"/>
    <w:rsid w:val="000F7B54"/>
    <w:rsid w:val="00100947"/>
    <w:rsid w:val="00100D01"/>
    <w:rsid w:val="00100F8A"/>
    <w:rsid w:val="001015C6"/>
    <w:rsid w:val="00102F20"/>
    <w:rsid w:val="00103ECE"/>
    <w:rsid w:val="0010452E"/>
    <w:rsid w:val="0010568A"/>
    <w:rsid w:val="00105AE2"/>
    <w:rsid w:val="001060C6"/>
    <w:rsid w:val="0010674A"/>
    <w:rsid w:val="00106B80"/>
    <w:rsid w:val="0011032E"/>
    <w:rsid w:val="00111454"/>
    <w:rsid w:val="001114F9"/>
    <w:rsid w:val="0011348B"/>
    <w:rsid w:val="00113FD5"/>
    <w:rsid w:val="00114764"/>
    <w:rsid w:val="0011594E"/>
    <w:rsid w:val="00115982"/>
    <w:rsid w:val="00116491"/>
    <w:rsid w:val="00116C53"/>
    <w:rsid w:val="00120901"/>
    <w:rsid w:val="00121799"/>
    <w:rsid w:val="001222FC"/>
    <w:rsid w:val="00123902"/>
    <w:rsid w:val="0012456A"/>
    <w:rsid w:val="00124A51"/>
    <w:rsid w:val="00126621"/>
    <w:rsid w:val="00126B1D"/>
    <w:rsid w:val="00126F50"/>
    <w:rsid w:val="001301E9"/>
    <w:rsid w:val="00131D82"/>
    <w:rsid w:val="00132756"/>
    <w:rsid w:val="00132B22"/>
    <w:rsid w:val="00133D36"/>
    <w:rsid w:val="00137645"/>
    <w:rsid w:val="0014015A"/>
    <w:rsid w:val="00140E99"/>
    <w:rsid w:val="00143F67"/>
    <w:rsid w:val="00144810"/>
    <w:rsid w:val="00145540"/>
    <w:rsid w:val="001456B0"/>
    <w:rsid w:val="00147F9F"/>
    <w:rsid w:val="0015161D"/>
    <w:rsid w:val="00153527"/>
    <w:rsid w:val="00153919"/>
    <w:rsid w:val="0015587B"/>
    <w:rsid w:val="00155AC2"/>
    <w:rsid w:val="00156F8F"/>
    <w:rsid w:val="00156FAA"/>
    <w:rsid w:val="00157130"/>
    <w:rsid w:val="00157392"/>
    <w:rsid w:val="001576B1"/>
    <w:rsid w:val="0016025E"/>
    <w:rsid w:val="0016047B"/>
    <w:rsid w:val="00160A4C"/>
    <w:rsid w:val="00161698"/>
    <w:rsid w:val="00161FDB"/>
    <w:rsid w:val="001620B2"/>
    <w:rsid w:val="00162913"/>
    <w:rsid w:val="00163E14"/>
    <w:rsid w:val="00163EFF"/>
    <w:rsid w:val="00163F66"/>
    <w:rsid w:val="00164906"/>
    <w:rsid w:val="00164966"/>
    <w:rsid w:val="001661FB"/>
    <w:rsid w:val="001671A0"/>
    <w:rsid w:val="0016767F"/>
    <w:rsid w:val="00171239"/>
    <w:rsid w:val="00171F69"/>
    <w:rsid w:val="001727F1"/>
    <w:rsid w:val="00173565"/>
    <w:rsid w:val="00173B07"/>
    <w:rsid w:val="00174A4A"/>
    <w:rsid w:val="001751FA"/>
    <w:rsid w:val="00176F0A"/>
    <w:rsid w:val="00181053"/>
    <w:rsid w:val="00181533"/>
    <w:rsid w:val="00181D9C"/>
    <w:rsid w:val="00182973"/>
    <w:rsid w:val="00183A4C"/>
    <w:rsid w:val="001846CD"/>
    <w:rsid w:val="00184B0E"/>
    <w:rsid w:val="00184EE5"/>
    <w:rsid w:val="001862B3"/>
    <w:rsid w:val="001872B1"/>
    <w:rsid w:val="0018752F"/>
    <w:rsid w:val="00193838"/>
    <w:rsid w:val="00194AD8"/>
    <w:rsid w:val="001951D8"/>
    <w:rsid w:val="00195222"/>
    <w:rsid w:val="0019750C"/>
    <w:rsid w:val="001975D8"/>
    <w:rsid w:val="001A0060"/>
    <w:rsid w:val="001A14E0"/>
    <w:rsid w:val="001A178E"/>
    <w:rsid w:val="001A21A3"/>
    <w:rsid w:val="001A24D8"/>
    <w:rsid w:val="001A2DEC"/>
    <w:rsid w:val="001A2FF6"/>
    <w:rsid w:val="001A3D50"/>
    <w:rsid w:val="001A43FA"/>
    <w:rsid w:val="001A46AE"/>
    <w:rsid w:val="001A47C5"/>
    <w:rsid w:val="001A5771"/>
    <w:rsid w:val="001A59FB"/>
    <w:rsid w:val="001A5E9E"/>
    <w:rsid w:val="001A6354"/>
    <w:rsid w:val="001A6366"/>
    <w:rsid w:val="001A7AE8"/>
    <w:rsid w:val="001B0A1B"/>
    <w:rsid w:val="001B204E"/>
    <w:rsid w:val="001B2372"/>
    <w:rsid w:val="001B3443"/>
    <w:rsid w:val="001B4D20"/>
    <w:rsid w:val="001B5D4A"/>
    <w:rsid w:val="001B6211"/>
    <w:rsid w:val="001B7007"/>
    <w:rsid w:val="001B78F7"/>
    <w:rsid w:val="001C058E"/>
    <w:rsid w:val="001C2A9B"/>
    <w:rsid w:val="001C4299"/>
    <w:rsid w:val="001C4874"/>
    <w:rsid w:val="001C5790"/>
    <w:rsid w:val="001C58C6"/>
    <w:rsid w:val="001C5F94"/>
    <w:rsid w:val="001C60AB"/>
    <w:rsid w:val="001C6E66"/>
    <w:rsid w:val="001C7E9A"/>
    <w:rsid w:val="001C7EB0"/>
    <w:rsid w:val="001D0256"/>
    <w:rsid w:val="001D1100"/>
    <w:rsid w:val="001D1391"/>
    <w:rsid w:val="001D25D7"/>
    <w:rsid w:val="001D472B"/>
    <w:rsid w:val="001D4DBB"/>
    <w:rsid w:val="001D4E19"/>
    <w:rsid w:val="001D50B2"/>
    <w:rsid w:val="001D545E"/>
    <w:rsid w:val="001D6A8C"/>
    <w:rsid w:val="001D6FAE"/>
    <w:rsid w:val="001D7645"/>
    <w:rsid w:val="001D7B07"/>
    <w:rsid w:val="001D7DDB"/>
    <w:rsid w:val="001E1E86"/>
    <w:rsid w:val="001E1F44"/>
    <w:rsid w:val="001E238E"/>
    <w:rsid w:val="001E2483"/>
    <w:rsid w:val="001E290E"/>
    <w:rsid w:val="001E2B1E"/>
    <w:rsid w:val="001E2CFF"/>
    <w:rsid w:val="001E2F24"/>
    <w:rsid w:val="001E30D4"/>
    <w:rsid w:val="001E3303"/>
    <w:rsid w:val="001E34DF"/>
    <w:rsid w:val="001E52EB"/>
    <w:rsid w:val="001E5A42"/>
    <w:rsid w:val="001E61D2"/>
    <w:rsid w:val="001E7087"/>
    <w:rsid w:val="001E740C"/>
    <w:rsid w:val="001E746A"/>
    <w:rsid w:val="001F076A"/>
    <w:rsid w:val="001F0E0A"/>
    <w:rsid w:val="001F1235"/>
    <w:rsid w:val="001F1957"/>
    <w:rsid w:val="001F1CB3"/>
    <w:rsid w:val="001F360A"/>
    <w:rsid w:val="001F38B5"/>
    <w:rsid w:val="001F4081"/>
    <w:rsid w:val="001F7361"/>
    <w:rsid w:val="001F77D7"/>
    <w:rsid w:val="002011B0"/>
    <w:rsid w:val="0020205E"/>
    <w:rsid w:val="00203181"/>
    <w:rsid w:val="00203783"/>
    <w:rsid w:val="0020385F"/>
    <w:rsid w:val="00204134"/>
    <w:rsid w:val="00205229"/>
    <w:rsid w:val="002068A0"/>
    <w:rsid w:val="00207021"/>
    <w:rsid w:val="0020732F"/>
    <w:rsid w:val="00207D00"/>
    <w:rsid w:val="00207D05"/>
    <w:rsid w:val="002105C1"/>
    <w:rsid w:val="002123EE"/>
    <w:rsid w:val="00212738"/>
    <w:rsid w:val="00213EF5"/>
    <w:rsid w:val="002149A8"/>
    <w:rsid w:val="002167E6"/>
    <w:rsid w:val="00216BC2"/>
    <w:rsid w:val="00216BF5"/>
    <w:rsid w:val="00221378"/>
    <w:rsid w:val="002221B2"/>
    <w:rsid w:val="002227ED"/>
    <w:rsid w:val="00222DDE"/>
    <w:rsid w:val="002231DC"/>
    <w:rsid w:val="00223B49"/>
    <w:rsid w:val="00223D5A"/>
    <w:rsid w:val="00224238"/>
    <w:rsid w:val="0022441F"/>
    <w:rsid w:val="00224DD4"/>
    <w:rsid w:val="00226632"/>
    <w:rsid w:val="0022671B"/>
    <w:rsid w:val="002278A0"/>
    <w:rsid w:val="0023013C"/>
    <w:rsid w:val="002309CC"/>
    <w:rsid w:val="0023209F"/>
    <w:rsid w:val="002332CE"/>
    <w:rsid w:val="00233C01"/>
    <w:rsid w:val="0023413C"/>
    <w:rsid w:val="002346F0"/>
    <w:rsid w:val="00234F10"/>
    <w:rsid w:val="0023508E"/>
    <w:rsid w:val="002357A9"/>
    <w:rsid w:val="0023629D"/>
    <w:rsid w:val="00237255"/>
    <w:rsid w:val="002415C8"/>
    <w:rsid w:val="00241AFF"/>
    <w:rsid w:val="002424AF"/>
    <w:rsid w:val="00243559"/>
    <w:rsid w:val="00243689"/>
    <w:rsid w:val="002439DC"/>
    <w:rsid w:val="00243EC7"/>
    <w:rsid w:val="00244046"/>
    <w:rsid w:val="002441D2"/>
    <w:rsid w:val="00244DC8"/>
    <w:rsid w:val="00244F3A"/>
    <w:rsid w:val="002458BA"/>
    <w:rsid w:val="00245B52"/>
    <w:rsid w:val="00245CE9"/>
    <w:rsid w:val="0024620A"/>
    <w:rsid w:val="0024636C"/>
    <w:rsid w:val="00247925"/>
    <w:rsid w:val="00250034"/>
    <w:rsid w:val="00251006"/>
    <w:rsid w:val="0025195D"/>
    <w:rsid w:val="0025236D"/>
    <w:rsid w:val="002524D5"/>
    <w:rsid w:val="00253B1D"/>
    <w:rsid w:val="00254DCF"/>
    <w:rsid w:val="0025534B"/>
    <w:rsid w:val="002558D4"/>
    <w:rsid w:val="00255BB7"/>
    <w:rsid w:val="00257541"/>
    <w:rsid w:val="00257A39"/>
    <w:rsid w:val="00257AC4"/>
    <w:rsid w:val="0026042B"/>
    <w:rsid w:val="00260996"/>
    <w:rsid w:val="00261EEF"/>
    <w:rsid w:val="00262A1A"/>
    <w:rsid w:val="00262A77"/>
    <w:rsid w:val="00262A87"/>
    <w:rsid w:val="00262B90"/>
    <w:rsid w:val="0026382A"/>
    <w:rsid w:val="0026451B"/>
    <w:rsid w:val="00264869"/>
    <w:rsid w:val="00264D26"/>
    <w:rsid w:val="00265241"/>
    <w:rsid w:val="00267642"/>
    <w:rsid w:val="00267AEA"/>
    <w:rsid w:val="00267C43"/>
    <w:rsid w:val="002700E6"/>
    <w:rsid w:val="00271376"/>
    <w:rsid w:val="00271A44"/>
    <w:rsid w:val="00271FE3"/>
    <w:rsid w:val="002725F9"/>
    <w:rsid w:val="0027294B"/>
    <w:rsid w:val="00272BEB"/>
    <w:rsid w:val="002736E1"/>
    <w:rsid w:val="00273EB4"/>
    <w:rsid w:val="00274682"/>
    <w:rsid w:val="00274FFF"/>
    <w:rsid w:val="00275C5A"/>
    <w:rsid w:val="00275C6E"/>
    <w:rsid w:val="002763CC"/>
    <w:rsid w:val="002772F1"/>
    <w:rsid w:val="002776DF"/>
    <w:rsid w:val="00281014"/>
    <w:rsid w:val="002817D2"/>
    <w:rsid w:val="00282219"/>
    <w:rsid w:val="00283E40"/>
    <w:rsid w:val="002842E3"/>
    <w:rsid w:val="00285660"/>
    <w:rsid w:val="00285D85"/>
    <w:rsid w:val="0028665D"/>
    <w:rsid w:val="00292C7C"/>
    <w:rsid w:val="00292FC3"/>
    <w:rsid w:val="0029380C"/>
    <w:rsid w:val="00297F1A"/>
    <w:rsid w:val="002A14AB"/>
    <w:rsid w:val="002A1604"/>
    <w:rsid w:val="002A223D"/>
    <w:rsid w:val="002A2ADE"/>
    <w:rsid w:val="002A2F50"/>
    <w:rsid w:val="002A37BF"/>
    <w:rsid w:val="002A3AC4"/>
    <w:rsid w:val="002A4753"/>
    <w:rsid w:val="002A57AD"/>
    <w:rsid w:val="002A5D61"/>
    <w:rsid w:val="002A67AB"/>
    <w:rsid w:val="002A69BB"/>
    <w:rsid w:val="002B014D"/>
    <w:rsid w:val="002B05A1"/>
    <w:rsid w:val="002B09A4"/>
    <w:rsid w:val="002B1347"/>
    <w:rsid w:val="002B1C1F"/>
    <w:rsid w:val="002B2A8C"/>
    <w:rsid w:val="002B2C07"/>
    <w:rsid w:val="002B39A5"/>
    <w:rsid w:val="002B4197"/>
    <w:rsid w:val="002B432F"/>
    <w:rsid w:val="002B46D5"/>
    <w:rsid w:val="002B4AB6"/>
    <w:rsid w:val="002B62B3"/>
    <w:rsid w:val="002B6754"/>
    <w:rsid w:val="002B6CCE"/>
    <w:rsid w:val="002B798E"/>
    <w:rsid w:val="002C025A"/>
    <w:rsid w:val="002C2510"/>
    <w:rsid w:val="002C2775"/>
    <w:rsid w:val="002C27C1"/>
    <w:rsid w:val="002C2C8D"/>
    <w:rsid w:val="002C4DDA"/>
    <w:rsid w:val="002C5099"/>
    <w:rsid w:val="002C5889"/>
    <w:rsid w:val="002C5A1B"/>
    <w:rsid w:val="002C71CE"/>
    <w:rsid w:val="002C742E"/>
    <w:rsid w:val="002D08F8"/>
    <w:rsid w:val="002D1EA8"/>
    <w:rsid w:val="002D22CC"/>
    <w:rsid w:val="002D240B"/>
    <w:rsid w:val="002D27FE"/>
    <w:rsid w:val="002D577C"/>
    <w:rsid w:val="002E1071"/>
    <w:rsid w:val="002E12B9"/>
    <w:rsid w:val="002E15B9"/>
    <w:rsid w:val="002E1712"/>
    <w:rsid w:val="002E2158"/>
    <w:rsid w:val="002E3210"/>
    <w:rsid w:val="002E3FAD"/>
    <w:rsid w:val="002E4094"/>
    <w:rsid w:val="002E468B"/>
    <w:rsid w:val="002E4F02"/>
    <w:rsid w:val="002E7722"/>
    <w:rsid w:val="002F0127"/>
    <w:rsid w:val="002F07BA"/>
    <w:rsid w:val="002F0DA9"/>
    <w:rsid w:val="002F0F84"/>
    <w:rsid w:val="002F1014"/>
    <w:rsid w:val="002F12ED"/>
    <w:rsid w:val="002F2049"/>
    <w:rsid w:val="002F2AF6"/>
    <w:rsid w:val="002F3978"/>
    <w:rsid w:val="002F5D3A"/>
    <w:rsid w:val="002F643C"/>
    <w:rsid w:val="002F71C0"/>
    <w:rsid w:val="002F74F1"/>
    <w:rsid w:val="00301017"/>
    <w:rsid w:val="0030155F"/>
    <w:rsid w:val="003023E1"/>
    <w:rsid w:val="00302A10"/>
    <w:rsid w:val="00303243"/>
    <w:rsid w:val="00304DB6"/>
    <w:rsid w:val="003054B9"/>
    <w:rsid w:val="0030587B"/>
    <w:rsid w:val="00306816"/>
    <w:rsid w:val="00306D98"/>
    <w:rsid w:val="00307424"/>
    <w:rsid w:val="0030786C"/>
    <w:rsid w:val="0031031A"/>
    <w:rsid w:val="00310981"/>
    <w:rsid w:val="003124D9"/>
    <w:rsid w:val="00312594"/>
    <w:rsid w:val="00314B0F"/>
    <w:rsid w:val="00315498"/>
    <w:rsid w:val="00315D1C"/>
    <w:rsid w:val="00316474"/>
    <w:rsid w:val="00320AF1"/>
    <w:rsid w:val="00322107"/>
    <w:rsid w:val="00322355"/>
    <w:rsid w:val="00322846"/>
    <w:rsid w:val="003233CB"/>
    <w:rsid w:val="00323757"/>
    <w:rsid w:val="00323B1D"/>
    <w:rsid w:val="00325FC6"/>
    <w:rsid w:val="00326BA9"/>
    <w:rsid w:val="00326DA7"/>
    <w:rsid w:val="003270E4"/>
    <w:rsid w:val="00327D36"/>
    <w:rsid w:val="00330C1E"/>
    <w:rsid w:val="00330DAA"/>
    <w:rsid w:val="00330F5C"/>
    <w:rsid w:val="003310D7"/>
    <w:rsid w:val="00331B32"/>
    <w:rsid w:val="0033477D"/>
    <w:rsid w:val="00335D22"/>
    <w:rsid w:val="003366C9"/>
    <w:rsid w:val="003371B0"/>
    <w:rsid w:val="003374A0"/>
    <w:rsid w:val="0034037D"/>
    <w:rsid w:val="00340DF1"/>
    <w:rsid w:val="00341748"/>
    <w:rsid w:val="00341B9C"/>
    <w:rsid w:val="00343580"/>
    <w:rsid w:val="00347DFC"/>
    <w:rsid w:val="00350BE9"/>
    <w:rsid w:val="003517F9"/>
    <w:rsid w:val="00351BA9"/>
    <w:rsid w:val="00352450"/>
    <w:rsid w:val="0035330E"/>
    <w:rsid w:val="00353AD0"/>
    <w:rsid w:val="00353F9C"/>
    <w:rsid w:val="00354F64"/>
    <w:rsid w:val="00355791"/>
    <w:rsid w:val="0035620E"/>
    <w:rsid w:val="003568D4"/>
    <w:rsid w:val="0036007B"/>
    <w:rsid w:val="00360345"/>
    <w:rsid w:val="00361A05"/>
    <w:rsid w:val="003624C4"/>
    <w:rsid w:val="00363B00"/>
    <w:rsid w:val="00364707"/>
    <w:rsid w:val="003654AC"/>
    <w:rsid w:val="00367604"/>
    <w:rsid w:val="00370E6B"/>
    <w:rsid w:val="003710CF"/>
    <w:rsid w:val="00372CAC"/>
    <w:rsid w:val="0037358A"/>
    <w:rsid w:val="003750F6"/>
    <w:rsid w:val="003760FC"/>
    <w:rsid w:val="0037746C"/>
    <w:rsid w:val="00377C77"/>
    <w:rsid w:val="00380034"/>
    <w:rsid w:val="00380AA0"/>
    <w:rsid w:val="0038365C"/>
    <w:rsid w:val="0038369B"/>
    <w:rsid w:val="00383B78"/>
    <w:rsid w:val="00385A9D"/>
    <w:rsid w:val="00387216"/>
    <w:rsid w:val="003902B1"/>
    <w:rsid w:val="0039179C"/>
    <w:rsid w:val="003937A9"/>
    <w:rsid w:val="00395399"/>
    <w:rsid w:val="003954BE"/>
    <w:rsid w:val="00395732"/>
    <w:rsid w:val="003961B2"/>
    <w:rsid w:val="00396896"/>
    <w:rsid w:val="00396FD0"/>
    <w:rsid w:val="00397972"/>
    <w:rsid w:val="00397A17"/>
    <w:rsid w:val="00397A49"/>
    <w:rsid w:val="003A1A7A"/>
    <w:rsid w:val="003A1C85"/>
    <w:rsid w:val="003A2392"/>
    <w:rsid w:val="003A2831"/>
    <w:rsid w:val="003A3CB6"/>
    <w:rsid w:val="003A3ED1"/>
    <w:rsid w:val="003A44DB"/>
    <w:rsid w:val="003A5E2D"/>
    <w:rsid w:val="003A6DF1"/>
    <w:rsid w:val="003A7236"/>
    <w:rsid w:val="003B0356"/>
    <w:rsid w:val="003B0F43"/>
    <w:rsid w:val="003B1580"/>
    <w:rsid w:val="003B2D83"/>
    <w:rsid w:val="003B3971"/>
    <w:rsid w:val="003B55D1"/>
    <w:rsid w:val="003B5B61"/>
    <w:rsid w:val="003B5D0B"/>
    <w:rsid w:val="003B72A0"/>
    <w:rsid w:val="003C0021"/>
    <w:rsid w:val="003C1654"/>
    <w:rsid w:val="003C28CA"/>
    <w:rsid w:val="003C30B7"/>
    <w:rsid w:val="003C3292"/>
    <w:rsid w:val="003C50E0"/>
    <w:rsid w:val="003C5542"/>
    <w:rsid w:val="003C61FC"/>
    <w:rsid w:val="003C692D"/>
    <w:rsid w:val="003C6A34"/>
    <w:rsid w:val="003C7D19"/>
    <w:rsid w:val="003C7D2F"/>
    <w:rsid w:val="003C7FBA"/>
    <w:rsid w:val="003D1828"/>
    <w:rsid w:val="003D1DE4"/>
    <w:rsid w:val="003D1E90"/>
    <w:rsid w:val="003D1E9A"/>
    <w:rsid w:val="003D2422"/>
    <w:rsid w:val="003D34D2"/>
    <w:rsid w:val="003D39A1"/>
    <w:rsid w:val="003D3A16"/>
    <w:rsid w:val="003D3FBF"/>
    <w:rsid w:val="003D4A30"/>
    <w:rsid w:val="003D5658"/>
    <w:rsid w:val="003D573B"/>
    <w:rsid w:val="003D5E3C"/>
    <w:rsid w:val="003D6754"/>
    <w:rsid w:val="003D7452"/>
    <w:rsid w:val="003D79BB"/>
    <w:rsid w:val="003D7C98"/>
    <w:rsid w:val="003D7D9D"/>
    <w:rsid w:val="003E0543"/>
    <w:rsid w:val="003E1411"/>
    <w:rsid w:val="003E386D"/>
    <w:rsid w:val="003E4298"/>
    <w:rsid w:val="003E458E"/>
    <w:rsid w:val="003E719D"/>
    <w:rsid w:val="003E749E"/>
    <w:rsid w:val="003E7F7C"/>
    <w:rsid w:val="003F11B5"/>
    <w:rsid w:val="003F163F"/>
    <w:rsid w:val="003F4156"/>
    <w:rsid w:val="003F4D3F"/>
    <w:rsid w:val="003F5ADF"/>
    <w:rsid w:val="00400B29"/>
    <w:rsid w:val="00402F59"/>
    <w:rsid w:val="0040504B"/>
    <w:rsid w:val="004059F4"/>
    <w:rsid w:val="0040783B"/>
    <w:rsid w:val="00407C4F"/>
    <w:rsid w:val="00407FE5"/>
    <w:rsid w:val="004101B0"/>
    <w:rsid w:val="00410326"/>
    <w:rsid w:val="00410708"/>
    <w:rsid w:val="00410EC7"/>
    <w:rsid w:val="00410F4E"/>
    <w:rsid w:val="004114FB"/>
    <w:rsid w:val="00411B39"/>
    <w:rsid w:val="004127A7"/>
    <w:rsid w:val="00413A1E"/>
    <w:rsid w:val="00413AA1"/>
    <w:rsid w:val="00413E80"/>
    <w:rsid w:val="00414476"/>
    <w:rsid w:val="0041461C"/>
    <w:rsid w:val="00414C2E"/>
    <w:rsid w:val="004151CF"/>
    <w:rsid w:val="00416364"/>
    <w:rsid w:val="004165B6"/>
    <w:rsid w:val="00416CE4"/>
    <w:rsid w:val="0041776E"/>
    <w:rsid w:val="00417A03"/>
    <w:rsid w:val="00417E9D"/>
    <w:rsid w:val="0042047F"/>
    <w:rsid w:val="00420AA6"/>
    <w:rsid w:val="00420B9F"/>
    <w:rsid w:val="00420BA0"/>
    <w:rsid w:val="0042192C"/>
    <w:rsid w:val="00422260"/>
    <w:rsid w:val="004228EC"/>
    <w:rsid w:val="004230AF"/>
    <w:rsid w:val="0042413F"/>
    <w:rsid w:val="004242E5"/>
    <w:rsid w:val="00425EB5"/>
    <w:rsid w:val="00425FAB"/>
    <w:rsid w:val="004277AA"/>
    <w:rsid w:val="004278F1"/>
    <w:rsid w:val="004319F8"/>
    <w:rsid w:val="00431E55"/>
    <w:rsid w:val="004321F6"/>
    <w:rsid w:val="00433044"/>
    <w:rsid w:val="00433643"/>
    <w:rsid w:val="0043364A"/>
    <w:rsid w:val="00434088"/>
    <w:rsid w:val="00434513"/>
    <w:rsid w:val="004375B9"/>
    <w:rsid w:val="0044037F"/>
    <w:rsid w:val="004409EB"/>
    <w:rsid w:val="004428D0"/>
    <w:rsid w:val="00444185"/>
    <w:rsid w:val="004443A7"/>
    <w:rsid w:val="0044442C"/>
    <w:rsid w:val="00444D65"/>
    <w:rsid w:val="00445941"/>
    <w:rsid w:val="004464EB"/>
    <w:rsid w:val="00447504"/>
    <w:rsid w:val="00447D26"/>
    <w:rsid w:val="00447DFC"/>
    <w:rsid w:val="004516C5"/>
    <w:rsid w:val="00451791"/>
    <w:rsid w:val="00451F80"/>
    <w:rsid w:val="00452371"/>
    <w:rsid w:val="00452957"/>
    <w:rsid w:val="00455D45"/>
    <w:rsid w:val="00457998"/>
    <w:rsid w:val="00457DC2"/>
    <w:rsid w:val="00460381"/>
    <w:rsid w:val="00463096"/>
    <w:rsid w:val="00463FDB"/>
    <w:rsid w:val="004643B7"/>
    <w:rsid w:val="00464595"/>
    <w:rsid w:val="004658B5"/>
    <w:rsid w:val="00465AC7"/>
    <w:rsid w:val="00465AF0"/>
    <w:rsid w:val="00465D35"/>
    <w:rsid w:val="00465F9A"/>
    <w:rsid w:val="00471D99"/>
    <w:rsid w:val="00471EA5"/>
    <w:rsid w:val="00472330"/>
    <w:rsid w:val="00472A79"/>
    <w:rsid w:val="004730E8"/>
    <w:rsid w:val="00473B61"/>
    <w:rsid w:val="00473F19"/>
    <w:rsid w:val="00475E22"/>
    <w:rsid w:val="00476BC9"/>
    <w:rsid w:val="00476D0E"/>
    <w:rsid w:val="00480291"/>
    <w:rsid w:val="0048088E"/>
    <w:rsid w:val="00480F2B"/>
    <w:rsid w:val="004820CB"/>
    <w:rsid w:val="00482720"/>
    <w:rsid w:val="004835E7"/>
    <w:rsid w:val="0048415D"/>
    <w:rsid w:val="0048451C"/>
    <w:rsid w:val="00485550"/>
    <w:rsid w:val="004867E2"/>
    <w:rsid w:val="00486B08"/>
    <w:rsid w:val="00487A14"/>
    <w:rsid w:val="00490B17"/>
    <w:rsid w:val="004917BB"/>
    <w:rsid w:val="00491B3A"/>
    <w:rsid w:val="004924BC"/>
    <w:rsid w:val="00492CD9"/>
    <w:rsid w:val="00492CFD"/>
    <w:rsid w:val="00493A41"/>
    <w:rsid w:val="00494207"/>
    <w:rsid w:val="00494DD5"/>
    <w:rsid w:val="00495666"/>
    <w:rsid w:val="004962D2"/>
    <w:rsid w:val="00497361"/>
    <w:rsid w:val="004A0D9D"/>
    <w:rsid w:val="004A0DA1"/>
    <w:rsid w:val="004A13D6"/>
    <w:rsid w:val="004A4B18"/>
    <w:rsid w:val="004A4F49"/>
    <w:rsid w:val="004A5086"/>
    <w:rsid w:val="004A52E9"/>
    <w:rsid w:val="004A56FB"/>
    <w:rsid w:val="004A5E2E"/>
    <w:rsid w:val="004A6040"/>
    <w:rsid w:val="004A6597"/>
    <w:rsid w:val="004A65FE"/>
    <w:rsid w:val="004A7848"/>
    <w:rsid w:val="004B1A00"/>
    <w:rsid w:val="004B1BE9"/>
    <w:rsid w:val="004B1CB4"/>
    <w:rsid w:val="004B1D31"/>
    <w:rsid w:val="004B2F18"/>
    <w:rsid w:val="004B3DDB"/>
    <w:rsid w:val="004B44FD"/>
    <w:rsid w:val="004B5CFC"/>
    <w:rsid w:val="004B699C"/>
    <w:rsid w:val="004B69E0"/>
    <w:rsid w:val="004B6F79"/>
    <w:rsid w:val="004B774D"/>
    <w:rsid w:val="004B7C6F"/>
    <w:rsid w:val="004B7E4D"/>
    <w:rsid w:val="004C4AED"/>
    <w:rsid w:val="004C5006"/>
    <w:rsid w:val="004C52C3"/>
    <w:rsid w:val="004C5721"/>
    <w:rsid w:val="004C6090"/>
    <w:rsid w:val="004C6637"/>
    <w:rsid w:val="004C7672"/>
    <w:rsid w:val="004D1BEF"/>
    <w:rsid w:val="004D22DC"/>
    <w:rsid w:val="004D2C2D"/>
    <w:rsid w:val="004D3531"/>
    <w:rsid w:val="004D69B5"/>
    <w:rsid w:val="004D6FC7"/>
    <w:rsid w:val="004D7227"/>
    <w:rsid w:val="004D761C"/>
    <w:rsid w:val="004D7C33"/>
    <w:rsid w:val="004D7DA5"/>
    <w:rsid w:val="004E0054"/>
    <w:rsid w:val="004E02F2"/>
    <w:rsid w:val="004E03F5"/>
    <w:rsid w:val="004E0E7F"/>
    <w:rsid w:val="004E0EB8"/>
    <w:rsid w:val="004E18E9"/>
    <w:rsid w:val="004E2A88"/>
    <w:rsid w:val="004E2ADC"/>
    <w:rsid w:val="004E3B01"/>
    <w:rsid w:val="004E43B2"/>
    <w:rsid w:val="004E58AB"/>
    <w:rsid w:val="004E5B83"/>
    <w:rsid w:val="004F0997"/>
    <w:rsid w:val="004F0CC9"/>
    <w:rsid w:val="004F1D02"/>
    <w:rsid w:val="004F2679"/>
    <w:rsid w:val="004F2F21"/>
    <w:rsid w:val="004F3DE5"/>
    <w:rsid w:val="004F6913"/>
    <w:rsid w:val="004F7865"/>
    <w:rsid w:val="004F7DDF"/>
    <w:rsid w:val="0050001A"/>
    <w:rsid w:val="0050157C"/>
    <w:rsid w:val="0050174E"/>
    <w:rsid w:val="00501854"/>
    <w:rsid w:val="00501A0B"/>
    <w:rsid w:val="0050219B"/>
    <w:rsid w:val="00502B8B"/>
    <w:rsid w:val="005032D4"/>
    <w:rsid w:val="00503464"/>
    <w:rsid w:val="00503A29"/>
    <w:rsid w:val="00503F17"/>
    <w:rsid w:val="005043A0"/>
    <w:rsid w:val="00504EE2"/>
    <w:rsid w:val="00505063"/>
    <w:rsid w:val="0050535E"/>
    <w:rsid w:val="0050626D"/>
    <w:rsid w:val="00506928"/>
    <w:rsid w:val="0050741C"/>
    <w:rsid w:val="005077EF"/>
    <w:rsid w:val="005100CF"/>
    <w:rsid w:val="00511AD5"/>
    <w:rsid w:val="00511D20"/>
    <w:rsid w:val="00511DC7"/>
    <w:rsid w:val="00513A76"/>
    <w:rsid w:val="005142C5"/>
    <w:rsid w:val="0051501B"/>
    <w:rsid w:val="005152B5"/>
    <w:rsid w:val="00515C7B"/>
    <w:rsid w:val="00516B45"/>
    <w:rsid w:val="0052123C"/>
    <w:rsid w:val="00521319"/>
    <w:rsid w:val="00522ADA"/>
    <w:rsid w:val="00522BC8"/>
    <w:rsid w:val="00523C28"/>
    <w:rsid w:val="00523EFA"/>
    <w:rsid w:val="00527C48"/>
    <w:rsid w:val="005304C8"/>
    <w:rsid w:val="0053176B"/>
    <w:rsid w:val="00532A61"/>
    <w:rsid w:val="00532EB3"/>
    <w:rsid w:val="0053369A"/>
    <w:rsid w:val="00534564"/>
    <w:rsid w:val="0053599F"/>
    <w:rsid w:val="005367A5"/>
    <w:rsid w:val="00536F42"/>
    <w:rsid w:val="00537182"/>
    <w:rsid w:val="0053781C"/>
    <w:rsid w:val="00537937"/>
    <w:rsid w:val="00537E1A"/>
    <w:rsid w:val="00541EDD"/>
    <w:rsid w:val="00541F5E"/>
    <w:rsid w:val="00542743"/>
    <w:rsid w:val="00542C2D"/>
    <w:rsid w:val="0054383A"/>
    <w:rsid w:val="00543E49"/>
    <w:rsid w:val="00544230"/>
    <w:rsid w:val="00544D16"/>
    <w:rsid w:val="00545E6C"/>
    <w:rsid w:val="00546124"/>
    <w:rsid w:val="005478BD"/>
    <w:rsid w:val="00547953"/>
    <w:rsid w:val="005479E3"/>
    <w:rsid w:val="00551985"/>
    <w:rsid w:val="00552BD3"/>
    <w:rsid w:val="005532A0"/>
    <w:rsid w:val="00555109"/>
    <w:rsid w:val="00556B35"/>
    <w:rsid w:val="0055741A"/>
    <w:rsid w:val="005579AE"/>
    <w:rsid w:val="00560577"/>
    <w:rsid w:val="005611B7"/>
    <w:rsid w:val="0056120A"/>
    <w:rsid w:val="005618D4"/>
    <w:rsid w:val="005624AB"/>
    <w:rsid w:val="00562B29"/>
    <w:rsid w:val="00562E8A"/>
    <w:rsid w:val="00565DF0"/>
    <w:rsid w:val="00566664"/>
    <w:rsid w:val="0056696F"/>
    <w:rsid w:val="00566BCF"/>
    <w:rsid w:val="00566D3C"/>
    <w:rsid w:val="0056748F"/>
    <w:rsid w:val="00567555"/>
    <w:rsid w:val="00570E81"/>
    <w:rsid w:val="00572269"/>
    <w:rsid w:val="0057244A"/>
    <w:rsid w:val="005724A2"/>
    <w:rsid w:val="00572F26"/>
    <w:rsid w:val="00573A6C"/>
    <w:rsid w:val="00574097"/>
    <w:rsid w:val="005743F0"/>
    <w:rsid w:val="005750C5"/>
    <w:rsid w:val="005752DE"/>
    <w:rsid w:val="00575D8D"/>
    <w:rsid w:val="00576972"/>
    <w:rsid w:val="00577279"/>
    <w:rsid w:val="005826AE"/>
    <w:rsid w:val="00583699"/>
    <w:rsid w:val="00585B9D"/>
    <w:rsid w:val="00585CDD"/>
    <w:rsid w:val="00587058"/>
    <w:rsid w:val="005877F1"/>
    <w:rsid w:val="00587F49"/>
    <w:rsid w:val="00590A4C"/>
    <w:rsid w:val="00591957"/>
    <w:rsid w:val="00592C87"/>
    <w:rsid w:val="00592D92"/>
    <w:rsid w:val="00592EC9"/>
    <w:rsid w:val="00597BF9"/>
    <w:rsid w:val="005A2FC6"/>
    <w:rsid w:val="005A309A"/>
    <w:rsid w:val="005A373D"/>
    <w:rsid w:val="005A4BF6"/>
    <w:rsid w:val="005A55AE"/>
    <w:rsid w:val="005B0B58"/>
    <w:rsid w:val="005B0B7E"/>
    <w:rsid w:val="005B2565"/>
    <w:rsid w:val="005B4E53"/>
    <w:rsid w:val="005B5857"/>
    <w:rsid w:val="005B5D75"/>
    <w:rsid w:val="005B6641"/>
    <w:rsid w:val="005C1391"/>
    <w:rsid w:val="005C1B83"/>
    <w:rsid w:val="005C1CE3"/>
    <w:rsid w:val="005C25FF"/>
    <w:rsid w:val="005C288C"/>
    <w:rsid w:val="005C2D55"/>
    <w:rsid w:val="005C346B"/>
    <w:rsid w:val="005D0064"/>
    <w:rsid w:val="005D044D"/>
    <w:rsid w:val="005D0ABD"/>
    <w:rsid w:val="005D18AD"/>
    <w:rsid w:val="005D1D82"/>
    <w:rsid w:val="005D26B4"/>
    <w:rsid w:val="005D3C4B"/>
    <w:rsid w:val="005D7230"/>
    <w:rsid w:val="005D73DF"/>
    <w:rsid w:val="005D7BE6"/>
    <w:rsid w:val="005E0BFD"/>
    <w:rsid w:val="005E1B81"/>
    <w:rsid w:val="005E2714"/>
    <w:rsid w:val="005E29B3"/>
    <w:rsid w:val="005E314E"/>
    <w:rsid w:val="005E4A53"/>
    <w:rsid w:val="005E503C"/>
    <w:rsid w:val="005E6CBC"/>
    <w:rsid w:val="005E72FF"/>
    <w:rsid w:val="005E73C0"/>
    <w:rsid w:val="005F1C19"/>
    <w:rsid w:val="005F2706"/>
    <w:rsid w:val="005F2E4D"/>
    <w:rsid w:val="005F4331"/>
    <w:rsid w:val="005F4DF9"/>
    <w:rsid w:val="005F5254"/>
    <w:rsid w:val="005F5719"/>
    <w:rsid w:val="005F6A8F"/>
    <w:rsid w:val="005F6BB7"/>
    <w:rsid w:val="005F7588"/>
    <w:rsid w:val="00600E67"/>
    <w:rsid w:val="00601A27"/>
    <w:rsid w:val="00601C34"/>
    <w:rsid w:val="00602FD9"/>
    <w:rsid w:val="00603DB9"/>
    <w:rsid w:val="006045EB"/>
    <w:rsid w:val="00606FBA"/>
    <w:rsid w:val="00607669"/>
    <w:rsid w:val="006076F4"/>
    <w:rsid w:val="00607AFD"/>
    <w:rsid w:val="006107D2"/>
    <w:rsid w:val="0061191C"/>
    <w:rsid w:val="00612F97"/>
    <w:rsid w:val="0061345D"/>
    <w:rsid w:val="00614345"/>
    <w:rsid w:val="00614DF1"/>
    <w:rsid w:val="00614F93"/>
    <w:rsid w:val="0061501D"/>
    <w:rsid w:val="0061549B"/>
    <w:rsid w:val="0061665B"/>
    <w:rsid w:val="00616802"/>
    <w:rsid w:val="00616A19"/>
    <w:rsid w:val="00616DFB"/>
    <w:rsid w:val="00617E12"/>
    <w:rsid w:val="00617FB0"/>
    <w:rsid w:val="00620C25"/>
    <w:rsid w:val="00621477"/>
    <w:rsid w:val="00621ADA"/>
    <w:rsid w:val="006232EF"/>
    <w:rsid w:val="00623F7B"/>
    <w:rsid w:val="0062433B"/>
    <w:rsid w:val="00625ED1"/>
    <w:rsid w:val="0063001D"/>
    <w:rsid w:val="006307E0"/>
    <w:rsid w:val="00630D88"/>
    <w:rsid w:val="0063158F"/>
    <w:rsid w:val="00631D6B"/>
    <w:rsid w:val="00632183"/>
    <w:rsid w:val="006330A1"/>
    <w:rsid w:val="00633664"/>
    <w:rsid w:val="00633A12"/>
    <w:rsid w:val="00634527"/>
    <w:rsid w:val="0063479F"/>
    <w:rsid w:val="006347EC"/>
    <w:rsid w:val="006353F0"/>
    <w:rsid w:val="006357B5"/>
    <w:rsid w:val="006364A1"/>
    <w:rsid w:val="0063678E"/>
    <w:rsid w:val="00637BFD"/>
    <w:rsid w:val="006403A5"/>
    <w:rsid w:val="00640C44"/>
    <w:rsid w:val="00641C4E"/>
    <w:rsid w:val="00641FB3"/>
    <w:rsid w:val="006427B2"/>
    <w:rsid w:val="00642C5D"/>
    <w:rsid w:val="00642FAA"/>
    <w:rsid w:val="0064434C"/>
    <w:rsid w:val="00644C3C"/>
    <w:rsid w:val="00645444"/>
    <w:rsid w:val="00645B51"/>
    <w:rsid w:val="00646950"/>
    <w:rsid w:val="006471CC"/>
    <w:rsid w:val="00647A29"/>
    <w:rsid w:val="00650734"/>
    <w:rsid w:val="0065079F"/>
    <w:rsid w:val="006509C5"/>
    <w:rsid w:val="00650F19"/>
    <w:rsid w:val="0065124D"/>
    <w:rsid w:val="00652343"/>
    <w:rsid w:val="00652A28"/>
    <w:rsid w:val="0065354E"/>
    <w:rsid w:val="0065379F"/>
    <w:rsid w:val="00653C0C"/>
    <w:rsid w:val="00655F16"/>
    <w:rsid w:val="00656188"/>
    <w:rsid w:val="006563E3"/>
    <w:rsid w:val="0065715A"/>
    <w:rsid w:val="006601BE"/>
    <w:rsid w:val="0066094F"/>
    <w:rsid w:val="006610F1"/>
    <w:rsid w:val="00661C6B"/>
    <w:rsid w:val="006644C3"/>
    <w:rsid w:val="00665A51"/>
    <w:rsid w:val="00667081"/>
    <w:rsid w:val="00671004"/>
    <w:rsid w:val="006718AA"/>
    <w:rsid w:val="00672646"/>
    <w:rsid w:val="00674A07"/>
    <w:rsid w:val="00674E42"/>
    <w:rsid w:val="00680215"/>
    <w:rsid w:val="00680505"/>
    <w:rsid w:val="006813F8"/>
    <w:rsid w:val="00682112"/>
    <w:rsid w:val="00682447"/>
    <w:rsid w:val="00682BA6"/>
    <w:rsid w:val="00683014"/>
    <w:rsid w:val="006834D8"/>
    <w:rsid w:val="0068475F"/>
    <w:rsid w:val="00686957"/>
    <w:rsid w:val="006872BA"/>
    <w:rsid w:val="00687D87"/>
    <w:rsid w:val="00687DD0"/>
    <w:rsid w:val="006902CA"/>
    <w:rsid w:val="006904C3"/>
    <w:rsid w:val="00690795"/>
    <w:rsid w:val="00691648"/>
    <w:rsid w:val="006917D7"/>
    <w:rsid w:val="00691FC5"/>
    <w:rsid w:val="00692288"/>
    <w:rsid w:val="00693CDD"/>
    <w:rsid w:val="0069434C"/>
    <w:rsid w:val="006946D7"/>
    <w:rsid w:val="00694BA7"/>
    <w:rsid w:val="00694C09"/>
    <w:rsid w:val="00694F44"/>
    <w:rsid w:val="006957F4"/>
    <w:rsid w:val="00695986"/>
    <w:rsid w:val="00696F51"/>
    <w:rsid w:val="006979A5"/>
    <w:rsid w:val="006A0AC6"/>
    <w:rsid w:val="006A13C1"/>
    <w:rsid w:val="006A1C01"/>
    <w:rsid w:val="006A3124"/>
    <w:rsid w:val="006A34DE"/>
    <w:rsid w:val="006A417D"/>
    <w:rsid w:val="006A6B99"/>
    <w:rsid w:val="006A7E5F"/>
    <w:rsid w:val="006B071A"/>
    <w:rsid w:val="006B1E28"/>
    <w:rsid w:val="006B1FBB"/>
    <w:rsid w:val="006B20B8"/>
    <w:rsid w:val="006B261B"/>
    <w:rsid w:val="006B2C90"/>
    <w:rsid w:val="006B35E6"/>
    <w:rsid w:val="006B465A"/>
    <w:rsid w:val="006B51E4"/>
    <w:rsid w:val="006B6DD0"/>
    <w:rsid w:val="006C0399"/>
    <w:rsid w:val="006C2A8E"/>
    <w:rsid w:val="006C2FD4"/>
    <w:rsid w:val="006C3255"/>
    <w:rsid w:val="006C3F26"/>
    <w:rsid w:val="006C4095"/>
    <w:rsid w:val="006C45F0"/>
    <w:rsid w:val="006D0D17"/>
    <w:rsid w:val="006D1BF8"/>
    <w:rsid w:val="006D3C7D"/>
    <w:rsid w:val="006D40C0"/>
    <w:rsid w:val="006D4659"/>
    <w:rsid w:val="006D5D5F"/>
    <w:rsid w:val="006D5F8B"/>
    <w:rsid w:val="006D68FB"/>
    <w:rsid w:val="006D7B8C"/>
    <w:rsid w:val="006E0502"/>
    <w:rsid w:val="006E2868"/>
    <w:rsid w:val="006E3B28"/>
    <w:rsid w:val="006E4424"/>
    <w:rsid w:val="006E5091"/>
    <w:rsid w:val="006E669E"/>
    <w:rsid w:val="006E6D31"/>
    <w:rsid w:val="006F1624"/>
    <w:rsid w:val="006F21A5"/>
    <w:rsid w:val="006F2222"/>
    <w:rsid w:val="006F23D0"/>
    <w:rsid w:val="006F292D"/>
    <w:rsid w:val="006F2F5E"/>
    <w:rsid w:val="006F306C"/>
    <w:rsid w:val="006F4F10"/>
    <w:rsid w:val="006F4F38"/>
    <w:rsid w:val="006F5277"/>
    <w:rsid w:val="006F63A5"/>
    <w:rsid w:val="006F7005"/>
    <w:rsid w:val="00700B56"/>
    <w:rsid w:val="0070142B"/>
    <w:rsid w:val="0070276E"/>
    <w:rsid w:val="00702F8F"/>
    <w:rsid w:val="007034BC"/>
    <w:rsid w:val="007039FB"/>
    <w:rsid w:val="00704300"/>
    <w:rsid w:val="007051B1"/>
    <w:rsid w:val="00705D11"/>
    <w:rsid w:val="00706386"/>
    <w:rsid w:val="007079FC"/>
    <w:rsid w:val="0071088A"/>
    <w:rsid w:val="00711820"/>
    <w:rsid w:val="00711A36"/>
    <w:rsid w:val="00712054"/>
    <w:rsid w:val="00712B08"/>
    <w:rsid w:val="007130C9"/>
    <w:rsid w:val="00713D75"/>
    <w:rsid w:val="00714C26"/>
    <w:rsid w:val="00714F9B"/>
    <w:rsid w:val="0071529C"/>
    <w:rsid w:val="00715CC0"/>
    <w:rsid w:val="00715FB5"/>
    <w:rsid w:val="007166B4"/>
    <w:rsid w:val="007170DA"/>
    <w:rsid w:val="007172AD"/>
    <w:rsid w:val="0072022F"/>
    <w:rsid w:val="00720801"/>
    <w:rsid w:val="00722B1B"/>
    <w:rsid w:val="0072416F"/>
    <w:rsid w:val="00727C94"/>
    <w:rsid w:val="00727DB6"/>
    <w:rsid w:val="00730EAD"/>
    <w:rsid w:val="00731B0A"/>
    <w:rsid w:val="00731EAE"/>
    <w:rsid w:val="007329FF"/>
    <w:rsid w:val="00733073"/>
    <w:rsid w:val="00735033"/>
    <w:rsid w:val="00735328"/>
    <w:rsid w:val="0073685B"/>
    <w:rsid w:val="00741764"/>
    <w:rsid w:val="00741A54"/>
    <w:rsid w:val="00741DB5"/>
    <w:rsid w:val="00741F24"/>
    <w:rsid w:val="00742BAF"/>
    <w:rsid w:val="007435AD"/>
    <w:rsid w:val="00744138"/>
    <w:rsid w:val="0074457D"/>
    <w:rsid w:val="007449BF"/>
    <w:rsid w:val="00744CE9"/>
    <w:rsid w:val="0074644D"/>
    <w:rsid w:val="00746BC0"/>
    <w:rsid w:val="007475FC"/>
    <w:rsid w:val="007510B4"/>
    <w:rsid w:val="00752142"/>
    <w:rsid w:val="007523F9"/>
    <w:rsid w:val="00752965"/>
    <w:rsid w:val="0075357E"/>
    <w:rsid w:val="007554A3"/>
    <w:rsid w:val="007573E8"/>
    <w:rsid w:val="007578DD"/>
    <w:rsid w:val="00757D72"/>
    <w:rsid w:val="00760C4E"/>
    <w:rsid w:val="00760F9E"/>
    <w:rsid w:val="00761646"/>
    <w:rsid w:val="00761F7E"/>
    <w:rsid w:val="007627BE"/>
    <w:rsid w:val="00762A5E"/>
    <w:rsid w:val="00763F61"/>
    <w:rsid w:val="00764F03"/>
    <w:rsid w:val="00765B1A"/>
    <w:rsid w:val="00765B24"/>
    <w:rsid w:val="0076660D"/>
    <w:rsid w:val="00767237"/>
    <w:rsid w:val="0077082C"/>
    <w:rsid w:val="00772D69"/>
    <w:rsid w:val="00773470"/>
    <w:rsid w:val="0077463A"/>
    <w:rsid w:val="00774E69"/>
    <w:rsid w:val="0077671C"/>
    <w:rsid w:val="00776F68"/>
    <w:rsid w:val="00777335"/>
    <w:rsid w:val="00780F0F"/>
    <w:rsid w:val="00781BD0"/>
    <w:rsid w:val="00783BA1"/>
    <w:rsid w:val="007843F2"/>
    <w:rsid w:val="00785A9F"/>
    <w:rsid w:val="00785D82"/>
    <w:rsid w:val="00786CC7"/>
    <w:rsid w:val="0079059C"/>
    <w:rsid w:val="007924C9"/>
    <w:rsid w:val="007925DF"/>
    <w:rsid w:val="007931F0"/>
    <w:rsid w:val="007932C2"/>
    <w:rsid w:val="00794580"/>
    <w:rsid w:val="00797EFB"/>
    <w:rsid w:val="007A08AA"/>
    <w:rsid w:val="007A0A12"/>
    <w:rsid w:val="007A132D"/>
    <w:rsid w:val="007A1345"/>
    <w:rsid w:val="007A2111"/>
    <w:rsid w:val="007A2DDB"/>
    <w:rsid w:val="007A31F6"/>
    <w:rsid w:val="007A3329"/>
    <w:rsid w:val="007A70BA"/>
    <w:rsid w:val="007B0857"/>
    <w:rsid w:val="007B0D68"/>
    <w:rsid w:val="007B0F62"/>
    <w:rsid w:val="007B193A"/>
    <w:rsid w:val="007B1D3C"/>
    <w:rsid w:val="007B251D"/>
    <w:rsid w:val="007B4952"/>
    <w:rsid w:val="007B4F58"/>
    <w:rsid w:val="007B528D"/>
    <w:rsid w:val="007B63CA"/>
    <w:rsid w:val="007B77D1"/>
    <w:rsid w:val="007C07C7"/>
    <w:rsid w:val="007C1003"/>
    <w:rsid w:val="007C1816"/>
    <w:rsid w:val="007C1CD9"/>
    <w:rsid w:val="007C32EF"/>
    <w:rsid w:val="007C361D"/>
    <w:rsid w:val="007C387A"/>
    <w:rsid w:val="007C4B84"/>
    <w:rsid w:val="007C6D9E"/>
    <w:rsid w:val="007C6FE7"/>
    <w:rsid w:val="007C70FF"/>
    <w:rsid w:val="007C7323"/>
    <w:rsid w:val="007C7C25"/>
    <w:rsid w:val="007D004F"/>
    <w:rsid w:val="007D0B38"/>
    <w:rsid w:val="007D1A3E"/>
    <w:rsid w:val="007D1FEF"/>
    <w:rsid w:val="007D2407"/>
    <w:rsid w:val="007D3C6A"/>
    <w:rsid w:val="007D460F"/>
    <w:rsid w:val="007D5440"/>
    <w:rsid w:val="007D62C5"/>
    <w:rsid w:val="007D69EB"/>
    <w:rsid w:val="007D7020"/>
    <w:rsid w:val="007D7266"/>
    <w:rsid w:val="007E128F"/>
    <w:rsid w:val="007E2142"/>
    <w:rsid w:val="007E225A"/>
    <w:rsid w:val="007E5389"/>
    <w:rsid w:val="007E5606"/>
    <w:rsid w:val="007F1017"/>
    <w:rsid w:val="007F19D5"/>
    <w:rsid w:val="007F4A3F"/>
    <w:rsid w:val="007F4A61"/>
    <w:rsid w:val="007F5255"/>
    <w:rsid w:val="007F56CC"/>
    <w:rsid w:val="007F5DDA"/>
    <w:rsid w:val="007F61C2"/>
    <w:rsid w:val="00800354"/>
    <w:rsid w:val="008018B0"/>
    <w:rsid w:val="008027AC"/>
    <w:rsid w:val="00803E9D"/>
    <w:rsid w:val="00805142"/>
    <w:rsid w:val="00805FCE"/>
    <w:rsid w:val="00807A8B"/>
    <w:rsid w:val="00807F61"/>
    <w:rsid w:val="00811383"/>
    <w:rsid w:val="00811D78"/>
    <w:rsid w:val="00812149"/>
    <w:rsid w:val="00812CAC"/>
    <w:rsid w:val="00813B24"/>
    <w:rsid w:val="00814449"/>
    <w:rsid w:val="00814625"/>
    <w:rsid w:val="00816361"/>
    <w:rsid w:val="008166EF"/>
    <w:rsid w:val="00816FEF"/>
    <w:rsid w:val="008171F1"/>
    <w:rsid w:val="00820792"/>
    <w:rsid w:val="00820A8C"/>
    <w:rsid w:val="00821358"/>
    <w:rsid w:val="008215FB"/>
    <w:rsid w:val="00822839"/>
    <w:rsid w:val="00823045"/>
    <w:rsid w:val="00823174"/>
    <w:rsid w:val="00825751"/>
    <w:rsid w:val="008258B9"/>
    <w:rsid w:val="008264EB"/>
    <w:rsid w:val="008311FC"/>
    <w:rsid w:val="00831C28"/>
    <w:rsid w:val="00833B05"/>
    <w:rsid w:val="00835079"/>
    <w:rsid w:val="00835CB7"/>
    <w:rsid w:val="00835FCC"/>
    <w:rsid w:val="008362B4"/>
    <w:rsid w:val="00840317"/>
    <w:rsid w:val="00840CA2"/>
    <w:rsid w:val="008418AE"/>
    <w:rsid w:val="0084374F"/>
    <w:rsid w:val="00844A22"/>
    <w:rsid w:val="00846A29"/>
    <w:rsid w:val="0084722B"/>
    <w:rsid w:val="00847703"/>
    <w:rsid w:val="00847DF5"/>
    <w:rsid w:val="00851103"/>
    <w:rsid w:val="0085175A"/>
    <w:rsid w:val="00851D0A"/>
    <w:rsid w:val="0085309D"/>
    <w:rsid w:val="008546B7"/>
    <w:rsid w:val="00856897"/>
    <w:rsid w:val="00856E9A"/>
    <w:rsid w:val="008574E7"/>
    <w:rsid w:val="0086075D"/>
    <w:rsid w:val="00860EF4"/>
    <w:rsid w:val="00860F83"/>
    <w:rsid w:val="00862502"/>
    <w:rsid w:val="008626F4"/>
    <w:rsid w:val="00862904"/>
    <w:rsid w:val="00862CC1"/>
    <w:rsid w:val="008635E0"/>
    <w:rsid w:val="008644CA"/>
    <w:rsid w:val="00865DCB"/>
    <w:rsid w:val="008660D4"/>
    <w:rsid w:val="00866F1F"/>
    <w:rsid w:val="00870C92"/>
    <w:rsid w:val="00871DF8"/>
    <w:rsid w:val="00871FA9"/>
    <w:rsid w:val="008728E9"/>
    <w:rsid w:val="008733F4"/>
    <w:rsid w:val="00877638"/>
    <w:rsid w:val="00880E9A"/>
    <w:rsid w:val="00881790"/>
    <w:rsid w:val="00882874"/>
    <w:rsid w:val="00882E3C"/>
    <w:rsid w:val="0088344E"/>
    <w:rsid w:val="00883787"/>
    <w:rsid w:val="0088492F"/>
    <w:rsid w:val="008855E4"/>
    <w:rsid w:val="00885A9D"/>
    <w:rsid w:val="00885C45"/>
    <w:rsid w:val="00886CD2"/>
    <w:rsid w:val="00890C83"/>
    <w:rsid w:val="00891E6F"/>
    <w:rsid w:val="0089275D"/>
    <w:rsid w:val="00892A36"/>
    <w:rsid w:val="00893239"/>
    <w:rsid w:val="008939A7"/>
    <w:rsid w:val="00894489"/>
    <w:rsid w:val="008963A5"/>
    <w:rsid w:val="00896D5D"/>
    <w:rsid w:val="008A0A16"/>
    <w:rsid w:val="008A3363"/>
    <w:rsid w:val="008A3371"/>
    <w:rsid w:val="008A3BC4"/>
    <w:rsid w:val="008A3C3E"/>
    <w:rsid w:val="008A5FDF"/>
    <w:rsid w:val="008A79DE"/>
    <w:rsid w:val="008B102A"/>
    <w:rsid w:val="008B12D5"/>
    <w:rsid w:val="008B1757"/>
    <w:rsid w:val="008B4A35"/>
    <w:rsid w:val="008B4F41"/>
    <w:rsid w:val="008B50C2"/>
    <w:rsid w:val="008B5AD8"/>
    <w:rsid w:val="008B5D50"/>
    <w:rsid w:val="008B65A0"/>
    <w:rsid w:val="008B7992"/>
    <w:rsid w:val="008B7ACF"/>
    <w:rsid w:val="008B7D7E"/>
    <w:rsid w:val="008C42DB"/>
    <w:rsid w:val="008C4944"/>
    <w:rsid w:val="008C5610"/>
    <w:rsid w:val="008C5739"/>
    <w:rsid w:val="008C7ECB"/>
    <w:rsid w:val="008C7FFA"/>
    <w:rsid w:val="008D0889"/>
    <w:rsid w:val="008D0ECC"/>
    <w:rsid w:val="008D1036"/>
    <w:rsid w:val="008D1EAA"/>
    <w:rsid w:val="008D212A"/>
    <w:rsid w:val="008D2C2C"/>
    <w:rsid w:val="008D3B86"/>
    <w:rsid w:val="008D412C"/>
    <w:rsid w:val="008D4755"/>
    <w:rsid w:val="008D4C3D"/>
    <w:rsid w:val="008D743C"/>
    <w:rsid w:val="008E0945"/>
    <w:rsid w:val="008E0D3C"/>
    <w:rsid w:val="008E1B9E"/>
    <w:rsid w:val="008E3085"/>
    <w:rsid w:val="008E3BB9"/>
    <w:rsid w:val="008E55AB"/>
    <w:rsid w:val="008E64A9"/>
    <w:rsid w:val="008F0EE6"/>
    <w:rsid w:val="008F120A"/>
    <w:rsid w:val="008F1A25"/>
    <w:rsid w:val="008F2424"/>
    <w:rsid w:val="008F27E0"/>
    <w:rsid w:val="008F42C3"/>
    <w:rsid w:val="008F4813"/>
    <w:rsid w:val="008F48EB"/>
    <w:rsid w:val="008F4DB8"/>
    <w:rsid w:val="008F4F0B"/>
    <w:rsid w:val="008F644C"/>
    <w:rsid w:val="008F6D39"/>
    <w:rsid w:val="008F6E51"/>
    <w:rsid w:val="008F726D"/>
    <w:rsid w:val="008F72EA"/>
    <w:rsid w:val="0090284A"/>
    <w:rsid w:val="009046C4"/>
    <w:rsid w:val="009059FF"/>
    <w:rsid w:val="00905DCC"/>
    <w:rsid w:val="009062A5"/>
    <w:rsid w:val="00906D8D"/>
    <w:rsid w:val="009078F8"/>
    <w:rsid w:val="00910FA7"/>
    <w:rsid w:val="00911272"/>
    <w:rsid w:val="009119AD"/>
    <w:rsid w:val="00911A85"/>
    <w:rsid w:val="00912D32"/>
    <w:rsid w:val="009135D6"/>
    <w:rsid w:val="00913AE7"/>
    <w:rsid w:val="00913BA2"/>
    <w:rsid w:val="009142F9"/>
    <w:rsid w:val="009143A1"/>
    <w:rsid w:val="009147D5"/>
    <w:rsid w:val="00914AFA"/>
    <w:rsid w:val="00914C6D"/>
    <w:rsid w:val="00914C77"/>
    <w:rsid w:val="00915191"/>
    <w:rsid w:val="0091520B"/>
    <w:rsid w:val="009169C9"/>
    <w:rsid w:val="00916FDC"/>
    <w:rsid w:val="00921608"/>
    <w:rsid w:val="009219DD"/>
    <w:rsid w:val="00921ACB"/>
    <w:rsid w:val="0092205D"/>
    <w:rsid w:val="0092369B"/>
    <w:rsid w:val="0092454C"/>
    <w:rsid w:val="0092581C"/>
    <w:rsid w:val="00927279"/>
    <w:rsid w:val="00932406"/>
    <w:rsid w:val="00933409"/>
    <w:rsid w:val="00933AE6"/>
    <w:rsid w:val="00934988"/>
    <w:rsid w:val="0093569A"/>
    <w:rsid w:val="009362DB"/>
    <w:rsid w:val="00936B9C"/>
    <w:rsid w:val="00936CF0"/>
    <w:rsid w:val="00937089"/>
    <w:rsid w:val="00937ACC"/>
    <w:rsid w:val="00940087"/>
    <w:rsid w:val="0094027D"/>
    <w:rsid w:val="00941861"/>
    <w:rsid w:val="00943159"/>
    <w:rsid w:val="0094381D"/>
    <w:rsid w:val="009446A8"/>
    <w:rsid w:val="00944F8A"/>
    <w:rsid w:val="00946DDB"/>
    <w:rsid w:val="0095004C"/>
    <w:rsid w:val="009503C7"/>
    <w:rsid w:val="00950452"/>
    <w:rsid w:val="009510A2"/>
    <w:rsid w:val="00952033"/>
    <w:rsid w:val="00953257"/>
    <w:rsid w:val="0095474C"/>
    <w:rsid w:val="009548E1"/>
    <w:rsid w:val="00956411"/>
    <w:rsid w:val="00956A61"/>
    <w:rsid w:val="00956EAB"/>
    <w:rsid w:val="00956F49"/>
    <w:rsid w:val="009579E0"/>
    <w:rsid w:val="0096056B"/>
    <w:rsid w:val="0096092A"/>
    <w:rsid w:val="009627E9"/>
    <w:rsid w:val="00962CB9"/>
    <w:rsid w:val="00962F61"/>
    <w:rsid w:val="00964312"/>
    <w:rsid w:val="00965B8A"/>
    <w:rsid w:val="0096777B"/>
    <w:rsid w:val="0097071F"/>
    <w:rsid w:val="00970E09"/>
    <w:rsid w:val="009717AC"/>
    <w:rsid w:val="0097245A"/>
    <w:rsid w:val="009734BE"/>
    <w:rsid w:val="0097389B"/>
    <w:rsid w:val="00973962"/>
    <w:rsid w:val="00974300"/>
    <w:rsid w:val="009751C1"/>
    <w:rsid w:val="0097599E"/>
    <w:rsid w:val="00975C9F"/>
    <w:rsid w:val="00980335"/>
    <w:rsid w:val="0098104B"/>
    <w:rsid w:val="009811F1"/>
    <w:rsid w:val="009826DA"/>
    <w:rsid w:val="00983E57"/>
    <w:rsid w:val="0098543E"/>
    <w:rsid w:val="00985DE2"/>
    <w:rsid w:val="00986241"/>
    <w:rsid w:val="0098675D"/>
    <w:rsid w:val="009877BA"/>
    <w:rsid w:val="00991818"/>
    <w:rsid w:val="009926E0"/>
    <w:rsid w:val="00992D75"/>
    <w:rsid w:val="0099451E"/>
    <w:rsid w:val="00996B1A"/>
    <w:rsid w:val="00996D7E"/>
    <w:rsid w:val="00997410"/>
    <w:rsid w:val="009A0360"/>
    <w:rsid w:val="009A12B3"/>
    <w:rsid w:val="009A2DCC"/>
    <w:rsid w:val="009A4B61"/>
    <w:rsid w:val="009A4C98"/>
    <w:rsid w:val="009A4F34"/>
    <w:rsid w:val="009A5ABC"/>
    <w:rsid w:val="009A700F"/>
    <w:rsid w:val="009A7065"/>
    <w:rsid w:val="009A7F10"/>
    <w:rsid w:val="009B3E26"/>
    <w:rsid w:val="009B7D8C"/>
    <w:rsid w:val="009C19A1"/>
    <w:rsid w:val="009C20AC"/>
    <w:rsid w:val="009C2F63"/>
    <w:rsid w:val="009C331F"/>
    <w:rsid w:val="009C3706"/>
    <w:rsid w:val="009C38C9"/>
    <w:rsid w:val="009C3A3A"/>
    <w:rsid w:val="009C404B"/>
    <w:rsid w:val="009C444E"/>
    <w:rsid w:val="009C4EB4"/>
    <w:rsid w:val="009C5074"/>
    <w:rsid w:val="009C50DE"/>
    <w:rsid w:val="009C62B8"/>
    <w:rsid w:val="009C6CEA"/>
    <w:rsid w:val="009C7966"/>
    <w:rsid w:val="009C7B85"/>
    <w:rsid w:val="009D0254"/>
    <w:rsid w:val="009D04F4"/>
    <w:rsid w:val="009D1A64"/>
    <w:rsid w:val="009D2B45"/>
    <w:rsid w:val="009D2BC3"/>
    <w:rsid w:val="009D314F"/>
    <w:rsid w:val="009D35D4"/>
    <w:rsid w:val="009D4EDA"/>
    <w:rsid w:val="009D5B91"/>
    <w:rsid w:val="009D792E"/>
    <w:rsid w:val="009D7EC3"/>
    <w:rsid w:val="009E0DFE"/>
    <w:rsid w:val="009E293C"/>
    <w:rsid w:val="009E31F6"/>
    <w:rsid w:val="009E4238"/>
    <w:rsid w:val="009E4C07"/>
    <w:rsid w:val="009E4EC0"/>
    <w:rsid w:val="009E5262"/>
    <w:rsid w:val="009E5F75"/>
    <w:rsid w:val="009F05B6"/>
    <w:rsid w:val="009F3C09"/>
    <w:rsid w:val="009F4EF5"/>
    <w:rsid w:val="009F5395"/>
    <w:rsid w:val="009F7023"/>
    <w:rsid w:val="00A01184"/>
    <w:rsid w:val="00A011D2"/>
    <w:rsid w:val="00A01477"/>
    <w:rsid w:val="00A0187F"/>
    <w:rsid w:val="00A02D59"/>
    <w:rsid w:val="00A037C2"/>
    <w:rsid w:val="00A03D43"/>
    <w:rsid w:val="00A04380"/>
    <w:rsid w:val="00A048C1"/>
    <w:rsid w:val="00A05472"/>
    <w:rsid w:val="00A05730"/>
    <w:rsid w:val="00A05C32"/>
    <w:rsid w:val="00A05F29"/>
    <w:rsid w:val="00A0653F"/>
    <w:rsid w:val="00A10F2F"/>
    <w:rsid w:val="00A10F3C"/>
    <w:rsid w:val="00A11CD0"/>
    <w:rsid w:val="00A1347A"/>
    <w:rsid w:val="00A13948"/>
    <w:rsid w:val="00A14EA9"/>
    <w:rsid w:val="00A1555B"/>
    <w:rsid w:val="00A155C5"/>
    <w:rsid w:val="00A163E3"/>
    <w:rsid w:val="00A16AD8"/>
    <w:rsid w:val="00A16C36"/>
    <w:rsid w:val="00A2025D"/>
    <w:rsid w:val="00A20A25"/>
    <w:rsid w:val="00A21C95"/>
    <w:rsid w:val="00A21CF3"/>
    <w:rsid w:val="00A224C5"/>
    <w:rsid w:val="00A24813"/>
    <w:rsid w:val="00A24FF6"/>
    <w:rsid w:val="00A25014"/>
    <w:rsid w:val="00A25C66"/>
    <w:rsid w:val="00A27AEC"/>
    <w:rsid w:val="00A320DB"/>
    <w:rsid w:val="00A3216F"/>
    <w:rsid w:val="00A3373B"/>
    <w:rsid w:val="00A343C8"/>
    <w:rsid w:val="00A35D16"/>
    <w:rsid w:val="00A37BCD"/>
    <w:rsid w:val="00A40047"/>
    <w:rsid w:val="00A41689"/>
    <w:rsid w:val="00A42592"/>
    <w:rsid w:val="00A43133"/>
    <w:rsid w:val="00A43C59"/>
    <w:rsid w:val="00A43D29"/>
    <w:rsid w:val="00A445B6"/>
    <w:rsid w:val="00A452CB"/>
    <w:rsid w:val="00A453D8"/>
    <w:rsid w:val="00A454DA"/>
    <w:rsid w:val="00A45ED1"/>
    <w:rsid w:val="00A46ECE"/>
    <w:rsid w:val="00A47EFC"/>
    <w:rsid w:val="00A5099B"/>
    <w:rsid w:val="00A50ECD"/>
    <w:rsid w:val="00A518F3"/>
    <w:rsid w:val="00A52729"/>
    <w:rsid w:val="00A528B5"/>
    <w:rsid w:val="00A53179"/>
    <w:rsid w:val="00A53675"/>
    <w:rsid w:val="00A5369A"/>
    <w:rsid w:val="00A550C0"/>
    <w:rsid w:val="00A55DD1"/>
    <w:rsid w:val="00A564D7"/>
    <w:rsid w:val="00A56B6A"/>
    <w:rsid w:val="00A578DC"/>
    <w:rsid w:val="00A5792A"/>
    <w:rsid w:val="00A57E36"/>
    <w:rsid w:val="00A60853"/>
    <w:rsid w:val="00A626E8"/>
    <w:rsid w:val="00A637E9"/>
    <w:rsid w:val="00A640E2"/>
    <w:rsid w:val="00A647C3"/>
    <w:rsid w:val="00A64D65"/>
    <w:rsid w:val="00A65DD5"/>
    <w:rsid w:val="00A6725B"/>
    <w:rsid w:val="00A67C32"/>
    <w:rsid w:val="00A70605"/>
    <w:rsid w:val="00A720D0"/>
    <w:rsid w:val="00A73134"/>
    <w:rsid w:val="00A76001"/>
    <w:rsid w:val="00A76FCA"/>
    <w:rsid w:val="00A777B2"/>
    <w:rsid w:val="00A806F0"/>
    <w:rsid w:val="00A825BA"/>
    <w:rsid w:val="00A825D4"/>
    <w:rsid w:val="00A828F6"/>
    <w:rsid w:val="00A82B36"/>
    <w:rsid w:val="00A82B73"/>
    <w:rsid w:val="00A82F2A"/>
    <w:rsid w:val="00A836D9"/>
    <w:rsid w:val="00A85791"/>
    <w:rsid w:val="00A86623"/>
    <w:rsid w:val="00A867EC"/>
    <w:rsid w:val="00A86877"/>
    <w:rsid w:val="00A86E8B"/>
    <w:rsid w:val="00A87164"/>
    <w:rsid w:val="00A907FB"/>
    <w:rsid w:val="00A91233"/>
    <w:rsid w:val="00A9293C"/>
    <w:rsid w:val="00A93072"/>
    <w:rsid w:val="00A938BD"/>
    <w:rsid w:val="00A93953"/>
    <w:rsid w:val="00A9536A"/>
    <w:rsid w:val="00A957F9"/>
    <w:rsid w:val="00A959D8"/>
    <w:rsid w:val="00A968A4"/>
    <w:rsid w:val="00A978F2"/>
    <w:rsid w:val="00AA113D"/>
    <w:rsid w:val="00AA67F1"/>
    <w:rsid w:val="00AA687A"/>
    <w:rsid w:val="00AA6AD5"/>
    <w:rsid w:val="00AA6BD5"/>
    <w:rsid w:val="00AA6BD8"/>
    <w:rsid w:val="00AA6C7D"/>
    <w:rsid w:val="00AA7FD6"/>
    <w:rsid w:val="00AB02ED"/>
    <w:rsid w:val="00AB042A"/>
    <w:rsid w:val="00AB04B4"/>
    <w:rsid w:val="00AB073D"/>
    <w:rsid w:val="00AB19EF"/>
    <w:rsid w:val="00AB2B04"/>
    <w:rsid w:val="00AB2D34"/>
    <w:rsid w:val="00AB2E57"/>
    <w:rsid w:val="00AB3430"/>
    <w:rsid w:val="00AB35D0"/>
    <w:rsid w:val="00AB37B9"/>
    <w:rsid w:val="00AB4AD1"/>
    <w:rsid w:val="00AB5E07"/>
    <w:rsid w:val="00AB6391"/>
    <w:rsid w:val="00AB6C52"/>
    <w:rsid w:val="00AB7A9F"/>
    <w:rsid w:val="00AB7CFA"/>
    <w:rsid w:val="00AC064F"/>
    <w:rsid w:val="00AC0B14"/>
    <w:rsid w:val="00AC143A"/>
    <w:rsid w:val="00AC1EC8"/>
    <w:rsid w:val="00AC32BD"/>
    <w:rsid w:val="00AC4F60"/>
    <w:rsid w:val="00AC5B48"/>
    <w:rsid w:val="00AC5E4C"/>
    <w:rsid w:val="00AC797D"/>
    <w:rsid w:val="00AC7E35"/>
    <w:rsid w:val="00AD0A07"/>
    <w:rsid w:val="00AD1450"/>
    <w:rsid w:val="00AD2612"/>
    <w:rsid w:val="00AD26C9"/>
    <w:rsid w:val="00AD30C5"/>
    <w:rsid w:val="00AD353A"/>
    <w:rsid w:val="00AD42C9"/>
    <w:rsid w:val="00AD4393"/>
    <w:rsid w:val="00AD6502"/>
    <w:rsid w:val="00AE0695"/>
    <w:rsid w:val="00AE08AA"/>
    <w:rsid w:val="00AE0BA0"/>
    <w:rsid w:val="00AE1360"/>
    <w:rsid w:val="00AE188A"/>
    <w:rsid w:val="00AE20FD"/>
    <w:rsid w:val="00AE3636"/>
    <w:rsid w:val="00AE3E7E"/>
    <w:rsid w:val="00AE4D03"/>
    <w:rsid w:val="00AE590E"/>
    <w:rsid w:val="00AF1315"/>
    <w:rsid w:val="00AF19BF"/>
    <w:rsid w:val="00AF1ED8"/>
    <w:rsid w:val="00AF2DC3"/>
    <w:rsid w:val="00AF76CA"/>
    <w:rsid w:val="00B02AC6"/>
    <w:rsid w:val="00B02B23"/>
    <w:rsid w:val="00B02EFB"/>
    <w:rsid w:val="00B033E5"/>
    <w:rsid w:val="00B03A63"/>
    <w:rsid w:val="00B045AA"/>
    <w:rsid w:val="00B04A16"/>
    <w:rsid w:val="00B100A4"/>
    <w:rsid w:val="00B10593"/>
    <w:rsid w:val="00B10FA1"/>
    <w:rsid w:val="00B12452"/>
    <w:rsid w:val="00B13304"/>
    <w:rsid w:val="00B1734C"/>
    <w:rsid w:val="00B17458"/>
    <w:rsid w:val="00B175E0"/>
    <w:rsid w:val="00B201A4"/>
    <w:rsid w:val="00B201D1"/>
    <w:rsid w:val="00B213A6"/>
    <w:rsid w:val="00B235B0"/>
    <w:rsid w:val="00B23DF4"/>
    <w:rsid w:val="00B23EB0"/>
    <w:rsid w:val="00B23ECB"/>
    <w:rsid w:val="00B247C0"/>
    <w:rsid w:val="00B24DF6"/>
    <w:rsid w:val="00B254FC"/>
    <w:rsid w:val="00B262B0"/>
    <w:rsid w:val="00B300EF"/>
    <w:rsid w:val="00B30A5B"/>
    <w:rsid w:val="00B30C52"/>
    <w:rsid w:val="00B31627"/>
    <w:rsid w:val="00B327B3"/>
    <w:rsid w:val="00B34FE2"/>
    <w:rsid w:val="00B35166"/>
    <w:rsid w:val="00B357D8"/>
    <w:rsid w:val="00B360F4"/>
    <w:rsid w:val="00B36897"/>
    <w:rsid w:val="00B36A00"/>
    <w:rsid w:val="00B36BC0"/>
    <w:rsid w:val="00B37BFC"/>
    <w:rsid w:val="00B40358"/>
    <w:rsid w:val="00B403C1"/>
    <w:rsid w:val="00B41614"/>
    <w:rsid w:val="00B42851"/>
    <w:rsid w:val="00B42F80"/>
    <w:rsid w:val="00B431C2"/>
    <w:rsid w:val="00B435CB"/>
    <w:rsid w:val="00B43C56"/>
    <w:rsid w:val="00B43E0C"/>
    <w:rsid w:val="00B454CA"/>
    <w:rsid w:val="00B45886"/>
    <w:rsid w:val="00B45AF4"/>
    <w:rsid w:val="00B50380"/>
    <w:rsid w:val="00B505C8"/>
    <w:rsid w:val="00B50DB8"/>
    <w:rsid w:val="00B53654"/>
    <w:rsid w:val="00B53905"/>
    <w:rsid w:val="00B54B5B"/>
    <w:rsid w:val="00B54F31"/>
    <w:rsid w:val="00B5562E"/>
    <w:rsid w:val="00B55852"/>
    <w:rsid w:val="00B55D65"/>
    <w:rsid w:val="00B57000"/>
    <w:rsid w:val="00B60939"/>
    <w:rsid w:val="00B60AFD"/>
    <w:rsid w:val="00B62715"/>
    <w:rsid w:val="00B65611"/>
    <w:rsid w:val="00B674A0"/>
    <w:rsid w:val="00B674B3"/>
    <w:rsid w:val="00B70E8E"/>
    <w:rsid w:val="00B7177B"/>
    <w:rsid w:val="00B717F3"/>
    <w:rsid w:val="00B71A20"/>
    <w:rsid w:val="00B71F4F"/>
    <w:rsid w:val="00B764F9"/>
    <w:rsid w:val="00B76C92"/>
    <w:rsid w:val="00B77BE4"/>
    <w:rsid w:val="00B818A4"/>
    <w:rsid w:val="00B81F20"/>
    <w:rsid w:val="00B81F41"/>
    <w:rsid w:val="00B82776"/>
    <w:rsid w:val="00B84117"/>
    <w:rsid w:val="00B85735"/>
    <w:rsid w:val="00B858F0"/>
    <w:rsid w:val="00B85AA2"/>
    <w:rsid w:val="00B86394"/>
    <w:rsid w:val="00B8649C"/>
    <w:rsid w:val="00B8695D"/>
    <w:rsid w:val="00B87F0A"/>
    <w:rsid w:val="00B90D61"/>
    <w:rsid w:val="00B9120C"/>
    <w:rsid w:val="00B92D0B"/>
    <w:rsid w:val="00B94945"/>
    <w:rsid w:val="00B94DD6"/>
    <w:rsid w:val="00B957C0"/>
    <w:rsid w:val="00B95886"/>
    <w:rsid w:val="00B95ABE"/>
    <w:rsid w:val="00B970DA"/>
    <w:rsid w:val="00B97583"/>
    <w:rsid w:val="00B97ECD"/>
    <w:rsid w:val="00BA0741"/>
    <w:rsid w:val="00BA2548"/>
    <w:rsid w:val="00BA2ED9"/>
    <w:rsid w:val="00BA322D"/>
    <w:rsid w:val="00BA3D80"/>
    <w:rsid w:val="00BA53BB"/>
    <w:rsid w:val="00BA63FA"/>
    <w:rsid w:val="00BA669D"/>
    <w:rsid w:val="00BB00B3"/>
    <w:rsid w:val="00BB08FF"/>
    <w:rsid w:val="00BB0BDD"/>
    <w:rsid w:val="00BB176C"/>
    <w:rsid w:val="00BB1DFC"/>
    <w:rsid w:val="00BB2A73"/>
    <w:rsid w:val="00BB2BA6"/>
    <w:rsid w:val="00BB3000"/>
    <w:rsid w:val="00BB326B"/>
    <w:rsid w:val="00BB3A3F"/>
    <w:rsid w:val="00BB3A45"/>
    <w:rsid w:val="00BB3A7C"/>
    <w:rsid w:val="00BB42D6"/>
    <w:rsid w:val="00BB4ACC"/>
    <w:rsid w:val="00BB4CFE"/>
    <w:rsid w:val="00BB703E"/>
    <w:rsid w:val="00BB732D"/>
    <w:rsid w:val="00BB7405"/>
    <w:rsid w:val="00BB7980"/>
    <w:rsid w:val="00BC3631"/>
    <w:rsid w:val="00BC4895"/>
    <w:rsid w:val="00BC591F"/>
    <w:rsid w:val="00BC6B2B"/>
    <w:rsid w:val="00BC7D6D"/>
    <w:rsid w:val="00BD00A3"/>
    <w:rsid w:val="00BD095E"/>
    <w:rsid w:val="00BD1FA5"/>
    <w:rsid w:val="00BD2108"/>
    <w:rsid w:val="00BD4F9B"/>
    <w:rsid w:val="00BD5994"/>
    <w:rsid w:val="00BD68A3"/>
    <w:rsid w:val="00BD6938"/>
    <w:rsid w:val="00BD6CF3"/>
    <w:rsid w:val="00BD7A8E"/>
    <w:rsid w:val="00BD7EBE"/>
    <w:rsid w:val="00BE0E72"/>
    <w:rsid w:val="00BE0ECA"/>
    <w:rsid w:val="00BE2180"/>
    <w:rsid w:val="00BE21F2"/>
    <w:rsid w:val="00BE3207"/>
    <w:rsid w:val="00BE32C9"/>
    <w:rsid w:val="00BE4275"/>
    <w:rsid w:val="00BE44F1"/>
    <w:rsid w:val="00BE589B"/>
    <w:rsid w:val="00BE5A9F"/>
    <w:rsid w:val="00BE6DC2"/>
    <w:rsid w:val="00BF06AE"/>
    <w:rsid w:val="00BF0AE8"/>
    <w:rsid w:val="00BF0F95"/>
    <w:rsid w:val="00BF2433"/>
    <w:rsid w:val="00BF2B96"/>
    <w:rsid w:val="00BF32C7"/>
    <w:rsid w:val="00BF3910"/>
    <w:rsid w:val="00BF3A6D"/>
    <w:rsid w:val="00BF5736"/>
    <w:rsid w:val="00BF61C9"/>
    <w:rsid w:val="00BF6C94"/>
    <w:rsid w:val="00BF712E"/>
    <w:rsid w:val="00BF7C0A"/>
    <w:rsid w:val="00C00424"/>
    <w:rsid w:val="00C00439"/>
    <w:rsid w:val="00C00FEA"/>
    <w:rsid w:val="00C034F5"/>
    <w:rsid w:val="00C03E60"/>
    <w:rsid w:val="00C05664"/>
    <w:rsid w:val="00C059CE"/>
    <w:rsid w:val="00C07C90"/>
    <w:rsid w:val="00C1179F"/>
    <w:rsid w:val="00C11A81"/>
    <w:rsid w:val="00C12C14"/>
    <w:rsid w:val="00C13D57"/>
    <w:rsid w:val="00C15525"/>
    <w:rsid w:val="00C15F04"/>
    <w:rsid w:val="00C167ED"/>
    <w:rsid w:val="00C179B3"/>
    <w:rsid w:val="00C17E3F"/>
    <w:rsid w:val="00C200AA"/>
    <w:rsid w:val="00C202AB"/>
    <w:rsid w:val="00C2261D"/>
    <w:rsid w:val="00C237ED"/>
    <w:rsid w:val="00C23C29"/>
    <w:rsid w:val="00C24632"/>
    <w:rsid w:val="00C25418"/>
    <w:rsid w:val="00C255C3"/>
    <w:rsid w:val="00C25D9C"/>
    <w:rsid w:val="00C25FC5"/>
    <w:rsid w:val="00C2706A"/>
    <w:rsid w:val="00C2778B"/>
    <w:rsid w:val="00C30108"/>
    <w:rsid w:val="00C30B65"/>
    <w:rsid w:val="00C31649"/>
    <w:rsid w:val="00C3166C"/>
    <w:rsid w:val="00C32773"/>
    <w:rsid w:val="00C33EAF"/>
    <w:rsid w:val="00C3434C"/>
    <w:rsid w:val="00C34B7C"/>
    <w:rsid w:val="00C34BC7"/>
    <w:rsid w:val="00C359D7"/>
    <w:rsid w:val="00C40385"/>
    <w:rsid w:val="00C41768"/>
    <w:rsid w:val="00C41A62"/>
    <w:rsid w:val="00C430C8"/>
    <w:rsid w:val="00C43843"/>
    <w:rsid w:val="00C4654E"/>
    <w:rsid w:val="00C475AA"/>
    <w:rsid w:val="00C5116C"/>
    <w:rsid w:val="00C51765"/>
    <w:rsid w:val="00C51CE2"/>
    <w:rsid w:val="00C51E30"/>
    <w:rsid w:val="00C5378D"/>
    <w:rsid w:val="00C53C98"/>
    <w:rsid w:val="00C53DA7"/>
    <w:rsid w:val="00C53EB6"/>
    <w:rsid w:val="00C557D3"/>
    <w:rsid w:val="00C56A80"/>
    <w:rsid w:val="00C56FCF"/>
    <w:rsid w:val="00C57B6C"/>
    <w:rsid w:val="00C57DF4"/>
    <w:rsid w:val="00C60737"/>
    <w:rsid w:val="00C628A6"/>
    <w:rsid w:val="00C642A6"/>
    <w:rsid w:val="00C64344"/>
    <w:rsid w:val="00C65108"/>
    <w:rsid w:val="00C65576"/>
    <w:rsid w:val="00C66165"/>
    <w:rsid w:val="00C67D81"/>
    <w:rsid w:val="00C7060A"/>
    <w:rsid w:val="00C7151A"/>
    <w:rsid w:val="00C717E3"/>
    <w:rsid w:val="00C71F60"/>
    <w:rsid w:val="00C72241"/>
    <w:rsid w:val="00C750C8"/>
    <w:rsid w:val="00C7560F"/>
    <w:rsid w:val="00C80A0E"/>
    <w:rsid w:val="00C8177A"/>
    <w:rsid w:val="00C8213F"/>
    <w:rsid w:val="00C847B6"/>
    <w:rsid w:val="00C85154"/>
    <w:rsid w:val="00C8582F"/>
    <w:rsid w:val="00C8617F"/>
    <w:rsid w:val="00C86184"/>
    <w:rsid w:val="00C874D5"/>
    <w:rsid w:val="00C8797A"/>
    <w:rsid w:val="00C900B8"/>
    <w:rsid w:val="00C905CA"/>
    <w:rsid w:val="00C90620"/>
    <w:rsid w:val="00C90638"/>
    <w:rsid w:val="00C90C71"/>
    <w:rsid w:val="00C91FD1"/>
    <w:rsid w:val="00C931CF"/>
    <w:rsid w:val="00C938CF"/>
    <w:rsid w:val="00C93ED7"/>
    <w:rsid w:val="00C94053"/>
    <w:rsid w:val="00C9576C"/>
    <w:rsid w:val="00C9624D"/>
    <w:rsid w:val="00C969DA"/>
    <w:rsid w:val="00CA1A41"/>
    <w:rsid w:val="00CA2022"/>
    <w:rsid w:val="00CA2C77"/>
    <w:rsid w:val="00CA40EA"/>
    <w:rsid w:val="00CA444F"/>
    <w:rsid w:val="00CA5245"/>
    <w:rsid w:val="00CA56BF"/>
    <w:rsid w:val="00CA71F4"/>
    <w:rsid w:val="00CA7B09"/>
    <w:rsid w:val="00CB0C14"/>
    <w:rsid w:val="00CB12A5"/>
    <w:rsid w:val="00CB141F"/>
    <w:rsid w:val="00CB1CAC"/>
    <w:rsid w:val="00CB2243"/>
    <w:rsid w:val="00CB2F2A"/>
    <w:rsid w:val="00CB35D5"/>
    <w:rsid w:val="00CB53CB"/>
    <w:rsid w:val="00CB5934"/>
    <w:rsid w:val="00CB5B1A"/>
    <w:rsid w:val="00CB6B22"/>
    <w:rsid w:val="00CB7096"/>
    <w:rsid w:val="00CB7167"/>
    <w:rsid w:val="00CB78B2"/>
    <w:rsid w:val="00CB7F5F"/>
    <w:rsid w:val="00CC1B39"/>
    <w:rsid w:val="00CC1E18"/>
    <w:rsid w:val="00CC35EA"/>
    <w:rsid w:val="00CC3848"/>
    <w:rsid w:val="00CC4B44"/>
    <w:rsid w:val="00CC4BEA"/>
    <w:rsid w:val="00CC7200"/>
    <w:rsid w:val="00CD1D76"/>
    <w:rsid w:val="00CD3F77"/>
    <w:rsid w:val="00CD4354"/>
    <w:rsid w:val="00CD57B2"/>
    <w:rsid w:val="00CD6ADC"/>
    <w:rsid w:val="00CD7193"/>
    <w:rsid w:val="00CD7394"/>
    <w:rsid w:val="00CD73B8"/>
    <w:rsid w:val="00CD7AFA"/>
    <w:rsid w:val="00CD7D49"/>
    <w:rsid w:val="00CE29CF"/>
    <w:rsid w:val="00CE38C8"/>
    <w:rsid w:val="00CE3A54"/>
    <w:rsid w:val="00CE5705"/>
    <w:rsid w:val="00CE6274"/>
    <w:rsid w:val="00CE7073"/>
    <w:rsid w:val="00CE71BE"/>
    <w:rsid w:val="00CE77B6"/>
    <w:rsid w:val="00CE7F05"/>
    <w:rsid w:val="00CF0E46"/>
    <w:rsid w:val="00CF2B8D"/>
    <w:rsid w:val="00CF2F0F"/>
    <w:rsid w:val="00CF4209"/>
    <w:rsid w:val="00CF456B"/>
    <w:rsid w:val="00CF4592"/>
    <w:rsid w:val="00CF4B36"/>
    <w:rsid w:val="00CF5A22"/>
    <w:rsid w:val="00CF6F07"/>
    <w:rsid w:val="00CF790E"/>
    <w:rsid w:val="00D00AEA"/>
    <w:rsid w:val="00D0262E"/>
    <w:rsid w:val="00D03411"/>
    <w:rsid w:val="00D04F1A"/>
    <w:rsid w:val="00D05E26"/>
    <w:rsid w:val="00D05E3D"/>
    <w:rsid w:val="00D06139"/>
    <w:rsid w:val="00D0686C"/>
    <w:rsid w:val="00D10F21"/>
    <w:rsid w:val="00D110BD"/>
    <w:rsid w:val="00D1136D"/>
    <w:rsid w:val="00D12406"/>
    <w:rsid w:val="00D13675"/>
    <w:rsid w:val="00D13A97"/>
    <w:rsid w:val="00D141E1"/>
    <w:rsid w:val="00D14D25"/>
    <w:rsid w:val="00D14ED1"/>
    <w:rsid w:val="00D15314"/>
    <w:rsid w:val="00D16C45"/>
    <w:rsid w:val="00D170FB"/>
    <w:rsid w:val="00D17D6C"/>
    <w:rsid w:val="00D20105"/>
    <w:rsid w:val="00D2155B"/>
    <w:rsid w:val="00D2234A"/>
    <w:rsid w:val="00D22D95"/>
    <w:rsid w:val="00D23D11"/>
    <w:rsid w:val="00D244B6"/>
    <w:rsid w:val="00D244C6"/>
    <w:rsid w:val="00D249CD"/>
    <w:rsid w:val="00D25509"/>
    <w:rsid w:val="00D2639E"/>
    <w:rsid w:val="00D263E9"/>
    <w:rsid w:val="00D2754D"/>
    <w:rsid w:val="00D27B27"/>
    <w:rsid w:val="00D31099"/>
    <w:rsid w:val="00D33BE9"/>
    <w:rsid w:val="00D33F93"/>
    <w:rsid w:val="00D357FF"/>
    <w:rsid w:val="00D35B15"/>
    <w:rsid w:val="00D35B21"/>
    <w:rsid w:val="00D35DE1"/>
    <w:rsid w:val="00D35F7E"/>
    <w:rsid w:val="00D40016"/>
    <w:rsid w:val="00D419FD"/>
    <w:rsid w:val="00D42162"/>
    <w:rsid w:val="00D424C7"/>
    <w:rsid w:val="00D42D69"/>
    <w:rsid w:val="00D43106"/>
    <w:rsid w:val="00D43B2A"/>
    <w:rsid w:val="00D43D83"/>
    <w:rsid w:val="00D47575"/>
    <w:rsid w:val="00D50181"/>
    <w:rsid w:val="00D5243B"/>
    <w:rsid w:val="00D52C57"/>
    <w:rsid w:val="00D53146"/>
    <w:rsid w:val="00D533EC"/>
    <w:rsid w:val="00D5377A"/>
    <w:rsid w:val="00D53AF2"/>
    <w:rsid w:val="00D54537"/>
    <w:rsid w:val="00D54592"/>
    <w:rsid w:val="00D54A6C"/>
    <w:rsid w:val="00D551CF"/>
    <w:rsid w:val="00D55817"/>
    <w:rsid w:val="00D56327"/>
    <w:rsid w:val="00D56A95"/>
    <w:rsid w:val="00D56B67"/>
    <w:rsid w:val="00D56B77"/>
    <w:rsid w:val="00D5709A"/>
    <w:rsid w:val="00D57529"/>
    <w:rsid w:val="00D57C06"/>
    <w:rsid w:val="00D60A85"/>
    <w:rsid w:val="00D64879"/>
    <w:rsid w:val="00D64B47"/>
    <w:rsid w:val="00D65D6B"/>
    <w:rsid w:val="00D6728B"/>
    <w:rsid w:val="00D70288"/>
    <w:rsid w:val="00D70F16"/>
    <w:rsid w:val="00D7280F"/>
    <w:rsid w:val="00D72F57"/>
    <w:rsid w:val="00D73023"/>
    <w:rsid w:val="00D7495F"/>
    <w:rsid w:val="00D753C7"/>
    <w:rsid w:val="00D757E4"/>
    <w:rsid w:val="00D75B73"/>
    <w:rsid w:val="00D76A44"/>
    <w:rsid w:val="00D770CB"/>
    <w:rsid w:val="00D77AB6"/>
    <w:rsid w:val="00D803CD"/>
    <w:rsid w:val="00D80690"/>
    <w:rsid w:val="00D80E76"/>
    <w:rsid w:val="00D81526"/>
    <w:rsid w:val="00D815EF"/>
    <w:rsid w:val="00D81F26"/>
    <w:rsid w:val="00D8326A"/>
    <w:rsid w:val="00D83737"/>
    <w:rsid w:val="00D84FE3"/>
    <w:rsid w:val="00D850CE"/>
    <w:rsid w:val="00D86231"/>
    <w:rsid w:val="00D8630C"/>
    <w:rsid w:val="00D87589"/>
    <w:rsid w:val="00D878C2"/>
    <w:rsid w:val="00D91923"/>
    <w:rsid w:val="00D92BE5"/>
    <w:rsid w:val="00D92D5F"/>
    <w:rsid w:val="00D93753"/>
    <w:rsid w:val="00D96A47"/>
    <w:rsid w:val="00DA0F4C"/>
    <w:rsid w:val="00DA2562"/>
    <w:rsid w:val="00DA268B"/>
    <w:rsid w:val="00DA3167"/>
    <w:rsid w:val="00DA41FE"/>
    <w:rsid w:val="00DA476A"/>
    <w:rsid w:val="00DA4DC3"/>
    <w:rsid w:val="00DA5E6A"/>
    <w:rsid w:val="00DA694E"/>
    <w:rsid w:val="00DA6FB3"/>
    <w:rsid w:val="00DA77A5"/>
    <w:rsid w:val="00DA7AB7"/>
    <w:rsid w:val="00DB0DB4"/>
    <w:rsid w:val="00DB392C"/>
    <w:rsid w:val="00DB3DBF"/>
    <w:rsid w:val="00DB4553"/>
    <w:rsid w:val="00DB484F"/>
    <w:rsid w:val="00DB66CD"/>
    <w:rsid w:val="00DB7890"/>
    <w:rsid w:val="00DC04F6"/>
    <w:rsid w:val="00DC0690"/>
    <w:rsid w:val="00DC0F04"/>
    <w:rsid w:val="00DC1D09"/>
    <w:rsid w:val="00DC1D65"/>
    <w:rsid w:val="00DC23A2"/>
    <w:rsid w:val="00DC2ACD"/>
    <w:rsid w:val="00DC3C57"/>
    <w:rsid w:val="00DC3DAA"/>
    <w:rsid w:val="00DC3DFF"/>
    <w:rsid w:val="00DC4A68"/>
    <w:rsid w:val="00DC527D"/>
    <w:rsid w:val="00DC5501"/>
    <w:rsid w:val="00DC6D93"/>
    <w:rsid w:val="00DC7154"/>
    <w:rsid w:val="00DC7AD8"/>
    <w:rsid w:val="00DC7E8A"/>
    <w:rsid w:val="00DD01E8"/>
    <w:rsid w:val="00DD05A3"/>
    <w:rsid w:val="00DD0F78"/>
    <w:rsid w:val="00DD273C"/>
    <w:rsid w:val="00DD3F28"/>
    <w:rsid w:val="00DD4537"/>
    <w:rsid w:val="00DD4E15"/>
    <w:rsid w:val="00DD5189"/>
    <w:rsid w:val="00DE007B"/>
    <w:rsid w:val="00DE0624"/>
    <w:rsid w:val="00DE2304"/>
    <w:rsid w:val="00DE3138"/>
    <w:rsid w:val="00DE37F8"/>
    <w:rsid w:val="00DE3AB6"/>
    <w:rsid w:val="00DE4FCB"/>
    <w:rsid w:val="00DE5D07"/>
    <w:rsid w:val="00DE63F4"/>
    <w:rsid w:val="00DE72A7"/>
    <w:rsid w:val="00DE75E9"/>
    <w:rsid w:val="00DE7832"/>
    <w:rsid w:val="00DE7B09"/>
    <w:rsid w:val="00DE7C83"/>
    <w:rsid w:val="00DF18FC"/>
    <w:rsid w:val="00DF5A10"/>
    <w:rsid w:val="00DF5D2B"/>
    <w:rsid w:val="00DF69E8"/>
    <w:rsid w:val="00E00E8E"/>
    <w:rsid w:val="00E033AE"/>
    <w:rsid w:val="00E04BC9"/>
    <w:rsid w:val="00E05630"/>
    <w:rsid w:val="00E06DBB"/>
    <w:rsid w:val="00E10149"/>
    <w:rsid w:val="00E10327"/>
    <w:rsid w:val="00E11340"/>
    <w:rsid w:val="00E11BF2"/>
    <w:rsid w:val="00E12080"/>
    <w:rsid w:val="00E122A1"/>
    <w:rsid w:val="00E16372"/>
    <w:rsid w:val="00E20E4D"/>
    <w:rsid w:val="00E20ED6"/>
    <w:rsid w:val="00E21358"/>
    <w:rsid w:val="00E21C13"/>
    <w:rsid w:val="00E2249B"/>
    <w:rsid w:val="00E227F0"/>
    <w:rsid w:val="00E22A0D"/>
    <w:rsid w:val="00E22C44"/>
    <w:rsid w:val="00E244F6"/>
    <w:rsid w:val="00E245E4"/>
    <w:rsid w:val="00E256B1"/>
    <w:rsid w:val="00E25F7F"/>
    <w:rsid w:val="00E26358"/>
    <w:rsid w:val="00E26F14"/>
    <w:rsid w:val="00E2771E"/>
    <w:rsid w:val="00E27D1F"/>
    <w:rsid w:val="00E27F5E"/>
    <w:rsid w:val="00E311EF"/>
    <w:rsid w:val="00E32180"/>
    <w:rsid w:val="00E34948"/>
    <w:rsid w:val="00E35804"/>
    <w:rsid w:val="00E35AE0"/>
    <w:rsid w:val="00E36970"/>
    <w:rsid w:val="00E36CEC"/>
    <w:rsid w:val="00E37569"/>
    <w:rsid w:val="00E37687"/>
    <w:rsid w:val="00E401B2"/>
    <w:rsid w:val="00E402B5"/>
    <w:rsid w:val="00E41E30"/>
    <w:rsid w:val="00E42301"/>
    <w:rsid w:val="00E42A96"/>
    <w:rsid w:val="00E42F73"/>
    <w:rsid w:val="00E43D70"/>
    <w:rsid w:val="00E444F0"/>
    <w:rsid w:val="00E44692"/>
    <w:rsid w:val="00E45A69"/>
    <w:rsid w:val="00E466F3"/>
    <w:rsid w:val="00E47B2C"/>
    <w:rsid w:val="00E51560"/>
    <w:rsid w:val="00E53FC8"/>
    <w:rsid w:val="00E54347"/>
    <w:rsid w:val="00E54D66"/>
    <w:rsid w:val="00E55424"/>
    <w:rsid w:val="00E55915"/>
    <w:rsid w:val="00E55BB5"/>
    <w:rsid w:val="00E5753B"/>
    <w:rsid w:val="00E600C6"/>
    <w:rsid w:val="00E60F41"/>
    <w:rsid w:val="00E61A87"/>
    <w:rsid w:val="00E64274"/>
    <w:rsid w:val="00E6430E"/>
    <w:rsid w:val="00E654A1"/>
    <w:rsid w:val="00E65E79"/>
    <w:rsid w:val="00E66BA2"/>
    <w:rsid w:val="00E67416"/>
    <w:rsid w:val="00E679E8"/>
    <w:rsid w:val="00E70867"/>
    <w:rsid w:val="00E70A3A"/>
    <w:rsid w:val="00E718B6"/>
    <w:rsid w:val="00E723BA"/>
    <w:rsid w:val="00E72BEF"/>
    <w:rsid w:val="00E730CC"/>
    <w:rsid w:val="00E73581"/>
    <w:rsid w:val="00E754D0"/>
    <w:rsid w:val="00E7576B"/>
    <w:rsid w:val="00E75A4E"/>
    <w:rsid w:val="00E7610C"/>
    <w:rsid w:val="00E76255"/>
    <w:rsid w:val="00E76A93"/>
    <w:rsid w:val="00E771BE"/>
    <w:rsid w:val="00E80313"/>
    <w:rsid w:val="00E818A3"/>
    <w:rsid w:val="00E82C4A"/>
    <w:rsid w:val="00E833F7"/>
    <w:rsid w:val="00E83BDF"/>
    <w:rsid w:val="00E85698"/>
    <w:rsid w:val="00E85C03"/>
    <w:rsid w:val="00E87A1D"/>
    <w:rsid w:val="00E9094A"/>
    <w:rsid w:val="00E90A50"/>
    <w:rsid w:val="00E9110E"/>
    <w:rsid w:val="00E91D35"/>
    <w:rsid w:val="00E926A5"/>
    <w:rsid w:val="00E96972"/>
    <w:rsid w:val="00EA0B1B"/>
    <w:rsid w:val="00EA17C3"/>
    <w:rsid w:val="00EA2CAA"/>
    <w:rsid w:val="00EA3864"/>
    <w:rsid w:val="00EA5906"/>
    <w:rsid w:val="00EA64E6"/>
    <w:rsid w:val="00EA6FD8"/>
    <w:rsid w:val="00EA735D"/>
    <w:rsid w:val="00EA7EEE"/>
    <w:rsid w:val="00EA7F1C"/>
    <w:rsid w:val="00EB15B6"/>
    <w:rsid w:val="00EB20B6"/>
    <w:rsid w:val="00EB2134"/>
    <w:rsid w:val="00EB3D06"/>
    <w:rsid w:val="00EB3D4A"/>
    <w:rsid w:val="00EB4916"/>
    <w:rsid w:val="00EB4A08"/>
    <w:rsid w:val="00EB6C27"/>
    <w:rsid w:val="00EB7708"/>
    <w:rsid w:val="00EC00C9"/>
    <w:rsid w:val="00EC0DD9"/>
    <w:rsid w:val="00EC18DB"/>
    <w:rsid w:val="00EC2649"/>
    <w:rsid w:val="00EC2B55"/>
    <w:rsid w:val="00EC31ED"/>
    <w:rsid w:val="00EC321C"/>
    <w:rsid w:val="00EC37AF"/>
    <w:rsid w:val="00EC4545"/>
    <w:rsid w:val="00EC4C14"/>
    <w:rsid w:val="00EC4C16"/>
    <w:rsid w:val="00EC5836"/>
    <w:rsid w:val="00EC688C"/>
    <w:rsid w:val="00EC70F8"/>
    <w:rsid w:val="00EC7621"/>
    <w:rsid w:val="00ED31FB"/>
    <w:rsid w:val="00ED3B16"/>
    <w:rsid w:val="00ED4BF7"/>
    <w:rsid w:val="00ED57EA"/>
    <w:rsid w:val="00ED5BD4"/>
    <w:rsid w:val="00ED63A1"/>
    <w:rsid w:val="00ED775C"/>
    <w:rsid w:val="00EE07D3"/>
    <w:rsid w:val="00EE0CD8"/>
    <w:rsid w:val="00EE0EF3"/>
    <w:rsid w:val="00EE1996"/>
    <w:rsid w:val="00EE1C01"/>
    <w:rsid w:val="00EE22AF"/>
    <w:rsid w:val="00EE23CE"/>
    <w:rsid w:val="00EE27F7"/>
    <w:rsid w:val="00EE2C5E"/>
    <w:rsid w:val="00EE4BED"/>
    <w:rsid w:val="00EE5833"/>
    <w:rsid w:val="00EE5B9B"/>
    <w:rsid w:val="00EE5FCB"/>
    <w:rsid w:val="00EE6220"/>
    <w:rsid w:val="00EE6F33"/>
    <w:rsid w:val="00EE7C86"/>
    <w:rsid w:val="00EF0171"/>
    <w:rsid w:val="00EF0533"/>
    <w:rsid w:val="00EF1B25"/>
    <w:rsid w:val="00EF1DA0"/>
    <w:rsid w:val="00EF4747"/>
    <w:rsid w:val="00EF4BF8"/>
    <w:rsid w:val="00EF6168"/>
    <w:rsid w:val="00EF73D5"/>
    <w:rsid w:val="00F010AA"/>
    <w:rsid w:val="00F02253"/>
    <w:rsid w:val="00F037CD"/>
    <w:rsid w:val="00F03C2E"/>
    <w:rsid w:val="00F04680"/>
    <w:rsid w:val="00F04A66"/>
    <w:rsid w:val="00F04B4B"/>
    <w:rsid w:val="00F0516C"/>
    <w:rsid w:val="00F05553"/>
    <w:rsid w:val="00F06207"/>
    <w:rsid w:val="00F067A2"/>
    <w:rsid w:val="00F079F3"/>
    <w:rsid w:val="00F07B9E"/>
    <w:rsid w:val="00F10C3E"/>
    <w:rsid w:val="00F1116F"/>
    <w:rsid w:val="00F11687"/>
    <w:rsid w:val="00F116A0"/>
    <w:rsid w:val="00F11BA8"/>
    <w:rsid w:val="00F1263A"/>
    <w:rsid w:val="00F131CF"/>
    <w:rsid w:val="00F13592"/>
    <w:rsid w:val="00F144E0"/>
    <w:rsid w:val="00F14AD8"/>
    <w:rsid w:val="00F15906"/>
    <w:rsid w:val="00F15B77"/>
    <w:rsid w:val="00F15E48"/>
    <w:rsid w:val="00F20699"/>
    <w:rsid w:val="00F20919"/>
    <w:rsid w:val="00F20C28"/>
    <w:rsid w:val="00F2158A"/>
    <w:rsid w:val="00F21F17"/>
    <w:rsid w:val="00F230FA"/>
    <w:rsid w:val="00F23E67"/>
    <w:rsid w:val="00F24837"/>
    <w:rsid w:val="00F2519C"/>
    <w:rsid w:val="00F2575F"/>
    <w:rsid w:val="00F25B48"/>
    <w:rsid w:val="00F27565"/>
    <w:rsid w:val="00F310D4"/>
    <w:rsid w:val="00F31D5A"/>
    <w:rsid w:val="00F33975"/>
    <w:rsid w:val="00F33DE9"/>
    <w:rsid w:val="00F34C51"/>
    <w:rsid w:val="00F35E6D"/>
    <w:rsid w:val="00F3619A"/>
    <w:rsid w:val="00F40AAA"/>
    <w:rsid w:val="00F40BA7"/>
    <w:rsid w:val="00F40DAB"/>
    <w:rsid w:val="00F40F9D"/>
    <w:rsid w:val="00F41ACD"/>
    <w:rsid w:val="00F42596"/>
    <w:rsid w:val="00F42929"/>
    <w:rsid w:val="00F45DFF"/>
    <w:rsid w:val="00F46494"/>
    <w:rsid w:val="00F46CB6"/>
    <w:rsid w:val="00F47075"/>
    <w:rsid w:val="00F4756D"/>
    <w:rsid w:val="00F47DE8"/>
    <w:rsid w:val="00F5071B"/>
    <w:rsid w:val="00F50FE6"/>
    <w:rsid w:val="00F51B65"/>
    <w:rsid w:val="00F52F59"/>
    <w:rsid w:val="00F531CF"/>
    <w:rsid w:val="00F53E30"/>
    <w:rsid w:val="00F542C1"/>
    <w:rsid w:val="00F555D6"/>
    <w:rsid w:val="00F55E73"/>
    <w:rsid w:val="00F55EDA"/>
    <w:rsid w:val="00F56939"/>
    <w:rsid w:val="00F56C80"/>
    <w:rsid w:val="00F570EA"/>
    <w:rsid w:val="00F60092"/>
    <w:rsid w:val="00F60E3F"/>
    <w:rsid w:val="00F60EC6"/>
    <w:rsid w:val="00F6131F"/>
    <w:rsid w:val="00F61C18"/>
    <w:rsid w:val="00F62732"/>
    <w:rsid w:val="00F64991"/>
    <w:rsid w:val="00F65F4B"/>
    <w:rsid w:val="00F671AF"/>
    <w:rsid w:val="00F67A69"/>
    <w:rsid w:val="00F70BFF"/>
    <w:rsid w:val="00F70C9D"/>
    <w:rsid w:val="00F72502"/>
    <w:rsid w:val="00F7366F"/>
    <w:rsid w:val="00F74530"/>
    <w:rsid w:val="00F74CD9"/>
    <w:rsid w:val="00F75D04"/>
    <w:rsid w:val="00F801F8"/>
    <w:rsid w:val="00F80A7B"/>
    <w:rsid w:val="00F80E5D"/>
    <w:rsid w:val="00F81E78"/>
    <w:rsid w:val="00F82045"/>
    <w:rsid w:val="00F8322C"/>
    <w:rsid w:val="00F851CE"/>
    <w:rsid w:val="00F8651D"/>
    <w:rsid w:val="00F91219"/>
    <w:rsid w:val="00F9213B"/>
    <w:rsid w:val="00F92444"/>
    <w:rsid w:val="00F93840"/>
    <w:rsid w:val="00F9393E"/>
    <w:rsid w:val="00F93DC4"/>
    <w:rsid w:val="00F94D4F"/>
    <w:rsid w:val="00F95C0D"/>
    <w:rsid w:val="00F96FD0"/>
    <w:rsid w:val="00F9780C"/>
    <w:rsid w:val="00F97A78"/>
    <w:rsid w:val="00FA0AF5"/>
    <w:rsid w:val="00FA0B20"/>
    <w:rsid w:val="00FA24E7"/>
    <w:rsid w:val="00FA25DD"/>
    <w:rsid w:val="00FA5EE6"/>
    <w:rsid w:val="00FA7956"/>
    <w:rsid w:val="00FB08B4"/>
    <w:rsid w:val="00FB0C95"/>
    <w:rsid w:val="00FB21FE"/>
    <w:rsid w:val="00FB2923"/>
    <w:rsid w:val="00FB2FCB"/>
    <w:rsid w:val="00FB3072"/>
    <w:rsid w:val="00FB315D"/>
    <w:rsid w:val="00FB3298"/>
    <w:rsid w:val="00FB3CBD"/>
    <w:rsid w:val="00FB59F1"/>
    <w:rsid w:val="00FB7C55"/>
    <w:rsid w:val="00FC1074"/>
    <w:rsid w:val="00FC1884"/>
    <w:rsid w:val="00FC24B3"/>
    <w:rsid w:val="00FC25A1"/>
    <w:rsid w:val="00FC371D"/>
    <w:rsid w:val="00FC4455"/>
    <w:rsid w:val="00FC4B80"/>
    <w:rsid w:val="00FC577F"/>
    <w:rsid w:val="00FC5F0B"/>
    <w:rsid w:val="00FC6447"/>
    <w:rsid w:val="00FC69E7"/>
    <w:rsid w:val="00FC73EA"/>
    <w:rsid w:val="00FD2100"/>
    <w:rsid w:val="00FD2BEE"/>
    <w:rsid w:val="00FD351D"/>
    <w:rsid w:val="00FD3E86"/>
    <w:rsid w:val="00FD436C"/>
    <w:rsid w:val="00FD43BA"/>
    <w:rsid w:val="00FD446D"/>
    <w:rsid w:val="00FD4D7F"/>
    <w:rsid w:val="00FD4F2C"/>
    <w:rsid w:val="00FD6394"/>
    <w:rsid w:val="00FD6C48"/>
    <w:rsid w:val="00FE0E6C"/>
    <w:rsid w:val="00FE1CDC"/>
    <w:rsid w:val="00FE5121"/>
    <w:rsid w:val="00FE70C3"/>
    <w:rsid w:val="00FF12D7"/>
    <w:rsid w:val="00FF2023"/>
    <w:rsid w:val="00FF2AD9"/>
    <w:rsid w:val="00FF359F"/>
    <w:rsid w:val="00FF3B80"/>
    <w:rsid w:val="00FF3DCF"/>
    <w:rsid w:val="00FF3E55"/>
    <w:rsid w:val="00FF3F46"/>
    <w:rsid w:val="00FF492C"/>
    <w:rsid w:val="00FF4A21"/>
    <w:rsid w:val="00FF5600"/>
    <w:rsid w:val="00FF5AA3"/>
    <w:rsid w:val="00FF5AD8"/>
    <w:rsid w:val="00FF6ACC"/>
    <w:rsid w:val="00FF7FA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6"/>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16" w:unhideWhenUsed="1"/>
    <w:lsdException w:name="List Number 4" w:semiHidden="1" w:uiPriority="16"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Styl moj,Akapit z listą11,Figure_name"/>
    <w:next w:val="ListBullet"/>
    <w:link w:val="ListParagraphChar"/>
    <w:uiPriority w:val="72"/>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72"/>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F52F59"/>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11594E"/>
    <w:pPr>
      <w:numPr>
        <w:ilvl w:val="1"/>
        <w:numId w:val="1"/>
      </w:numPr>
      <w:spacing w:after="160"/>
    </w:pPr>
  </w:style>
  <w:style w:type="character" w:customStyle="1" w:styleId="3-BodyTextChar">
    <w:name w:val="3-Body Text Char"/>
    <w:basedOn w:val="ListParagraphChar"/>
    <w:link w:val="3-BodyText"/>
    <w:rsid w:val="0011594E"/>
    <w:rPr>
      <w:rFonts w:asciiTheme="minorHAnsi" w:hAnsiTheme="minorHAnsi" w:cs="Arial"/>
      <w:snapToGrid w:val="0"/>
      <w:sz w:val="24"/>
      <w:szCs w:val="24"/>
    </w:rPr>
  </w:style>
  <w:style w:type="paragraph" w:customStyle="1" w:styleId="PageFooter">
    <w:name w:val="Page Footer"/>
    <w:basedOn w:val="Normal"/>
    <w:link w:val="PageFooterChar"/>
    <w:qFormat/>
    <w:rsid w:val="00EC4C16"/>
    <w:pPr>
      <w:keepNext/>
      <w:tabs>
        <w:tab w:val="center" w:pos="4153"/>
        <w:tab w:val="center" w:pos="4513"/>
        <w:tab w:val="right" w:pos="8306"/>
        <w:tab w:val="right" w:pos="9026"/>
      </w:tabs>
      <w:jc w:val="center"/>
    </w:pPr>
  </w:style>
  <w:style w:type="character" w:customStyle="1" w:styleId="PageFooterChar">
    <w:name w:val="Page Footer Char"/>
    <w:basedOn w:val="DefaultParagraphFont"/>
    <w:link w:val="PageFooter"/>
    <w:rsid w:val="00EC4C16"/>
    <w:rPr>
      <w:rFonts w:ascii="Calibri" w:hAnsi="Calibri" w:cs="Arial"/>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styleId="ListBullet3">
    <w:name w:val="List Bullet 3"/>
    <w:basedOn w:val="Normal"/>
    <w:semiHidden/>
    <w:unhideWhenUsed/>
    <w:rsid w:val="00D8326A"/>
    <w:pPr>
      <w:numPr>
        <w:numId w:val="8"/>
      </w:numPr>
      <w:tabs>
        <w:tab w:val="clear" w:pos="926"/>
        <w:tab w:val="num" w:pos="360"/>
      </w:tabs>
      <w:ind w:left="0" w:firstLine="0"/>
      <w:contextualSpacing/>
    </w:pPr>
  </w:style>
  <w:style w:type="paragraph" w:customStyle="1" w:styleId="TableHeading0">
    <w:name w:val="Table Heading"/>
    <w:basedOn w:val="Normal"/>
    <w:rsid w:val="00D8326A"/>
    <w:pPr>
      <w:keepNext/>
      <w:spacing w:after="60"/>
      <w:jc w:val="left"/>
    </w:pPr>
    <w:rPr>
      <w:rFonts w:ascii="Arial Narrow" w:eastAsiaTheme="minorHAnsi" w:hAnsi="Arial Narrow" w:cstheme="minorBidi"/>
      <w:b/>
      <w:sz w:val="20"/>
      <w:szCs w:val="22"/>
      <w:lang w:eastAsia="en-US"/>
    </w:rPr>
  </w:style>
  <w:style w:type="numbering" w:customStyle="1" w:styleId="Lists">
    <w:name w:val="Lists"/>
    <w:uiPriority w:val="99"/>
    <w:rsid w:val="00D8326A"/>
    <w:pPr>
      <w:numPr>
        <w:numId w:val="10"/>
      </w:numPr>
    </w:pPr>
  </w:style>
  <w:style w:type="paragraph" w:styleId="FootnoteText">
    <w:name w:val="footnote text"/>
    <w:basedOn w:val="Normal"/>
    <w:link w:val="FootnoteTextChar"/>
    <w:unhideWhenUsed/>
    <w:rsid w:val="00AC32BD"/>
    <w:pPr>
      <w:widowControl w:val="0"/>
    </w:pPr>
    <w:rPr>
      <w:snapToGrid w:val="0"/>
      <w:sz w:val="20"/>
      <w:szCs w:val="20"/>
      <w:lang w:eastAsia="en-US"/>
    </w:rPr>
  </w:style>
  <w:style w:type="character" w:customStyle="1" w:styleId="FootnoteTextChar">
    <w:name w:val="Footnote Text Char"/>
    <w:basedOn w:val="DefaultParagraphFont"/>
    <w:link w:val="FootnoteText"/>
    <w:rsid w:val="00AC32BD"/>
    <w:rPr>
      <w:rFonts w:ascii="Calibri" w:hAnsi="Calibri" w:cs="Arial"/>
      <w:snapToGrid w:val="0"/>
      <w:lang w:eastAsia="en-US"/>
    </w:rPr>
  </w:style>
  <w:style w:type="character" w:styleId="FootnoteReference">
    <w:name w:val="footnote reference"/>
    <w:basedOn w:val="DefaultParagraphFont"/>
    <w:semiHidden/>
    <w:unhideWhenUsed/>
    <w:rsid w:val="00AC32BD"/>
    <w:rPr>
      <w:vertAlign w:val="superscript"/>
    </w:rPr>
  </w:style>
  <w:style w:type="table" w:customStyle="1" w:styleId="TableGrid1">
    <w:name w:val="Table Grid1"/>
    <w:basedOn w:val="TableNormal"/>
    <w:next w:val="TableGrid"/>
    <w:uiPriority w:val="39"/>
    <w:rsid w:val="002713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573A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5826AE"/>
    <w:pPr>
      <w:jc w:val="center"/>
    </w:pPr>
    <w:rPr>
      <w:rFonts w:cs="Calibri"/>
      <w:noProof/>
    </w:rPr>
  </w:style>
  <w:style w:type="character" w:customStyle="1" w:styleId="EndNoteBibliographyTitleChar">
    <w:name w:val="EndNote Bibliography Title Char"/>
    <w:basedOn w:val="TableTextChar0"/>
    <w:link w:val="EndNoteBibliographyTitle"/>
    <w:rsid w:val="005826AE"/>
    <w:rPr>
      <w:rFonts w:ascii="Calibri" w:eastAsiaTheme="majorEastAsia" w:hAnsi="Calibri" w:cs="Calibri"/>
      <w:bCs w:val="0"/>
      <w:noProof/>
      <w:sz w:val="24"/>
      <w:szCs w:val="24"/>
    </w:rPr>
  </w:style>
  <w:style w:type="paragraph" w:customStyle="1" w:styleId="EndNoteBibliography">
    <w:name w:val="EndNote Bibliography"/>
    <w:basedOn w:val="Normal"/>
    <w:link w:val="EndNoteBibliographyChar"/>
    <w:rsid w:val="005826AE"/>
    <w:rPr>
      <w:rFonts w:cs="Calibri"/>
      <w:noProof/>
    </w:rPr>
  </w:style>
  <w:style w:type="character" w:customStyle="1" w:styleId="EndNoteBibliographyChar">
    <w:name w:val="EndNote Bibliography Char"/>
    <w:basedOn w:val="TableTextChar0"/>
    <w:link w:val="EndNoteBibliography"/>
    <w:rsid w:val="005826AE"/>
    <w:rPr>
      <w:rFonts w:ascii="Calibri" w:eastAsiaTheme="majorEastAsia" w:hAnsi="Calibri" w:cs="Calibri"/>
      <w:bCs w:val="0"/>
      <w:noProof/>
      <w:sz w:val="24"/>
      <w:szCs w:val="24"/>
    </w:rPr>
  </w:style>
  <w:style w:type="character" w:styleId="Emphasis">
    <w:name w:val="Emphasis"/>
    <w:basedOn w:val="DefaultParagraphFont"/>
    <w:uiPriority w:val="20"/>
    <w:rsid w:val="00DA2562"/>
    <w:rPr>
      <w:i/>
      <w:iCs/>
    </w:rPr>
  </w:style>
  <w:style w:type="table" w:styleId="ColorfulGrid-Accent6">
    <w:name w:val="Colorful Grid Accent 6"/>
    <w:basedOn w:val="TableNormal"/>
    <w:uiPriority w:val="73"/>
    <w:rsid w:val="00DA2562"/>
    <w:rPr>
      <w:rFonts w:ascii="Arial" w:eastAsiaTheme="minorHAnsi" w:hAnsi="Arial" w:cstheme="minorBidi"/>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ListNumber">
    <w:name w:val="List Number"/>
    <w:basedOn w:val="Normal"/>
    <w:uiPriority w:val="16"/>
    <w:rsid w:val="00DA2562"/>
    <w:pPr>
      <w:tabs>
        <w:tab w:val="num" w:pos="357"/>
      </w:tabs>
      <w:spacing w:after="240" w:line="360" w:lineRule="auto"/>
      <w:ind w:left="357" w:hanging="357"/>
      <w:jc w:val="left"/>
    </w:pPr>
    <w:rPr>
      <w:rFonts w:ascii="Arial" w:eastAsiaTheme="minorHAnsi" w:hAnsi="Arial" w:cstheme="minorBidi"/>
      <w:sz w:val="20"/>
      <w:szCs w:val="20"/>
      <w:lang w:eastAsia="en-US"/>
    </w:rPr>
  </w:style>
  <w:style w:type="paragraph" w:styleId="ListNumber3">
    <w:name w:val="List Number 3"/>
    <w:aliases w:val="Char"/>
    <w:basedOn w:val="Normal"/>
    <w:uiPriority w:val="16"/>
    <w:rsid w:val="00DA2562"/>
    <w:pPr>
      <w:tabs>
        <w:tab w:val="num" w:pos="1077"/>
      </w:tabs>
      <w:spacing w:after="240" w:line="360" w:lineRule="auto"/>
      <w:ind w:left="1077" w:hanging="357"/>
      <w:jc w:val="left"/>
    </w:pPr>
    <w:rPr>
      <w:rFonts w:ascii="Arial" w:eastAsiaTheme="minorHAnsi" w:hAnsi="Arial" w:cstheme="minorBidi"/>
      <w:sz w:val="20"/>
      <w:szCs w:val="20"/>
      <w:lang w:eastAsia="en-US"/>
    </w:rPr>
  </w:style>
  <w:style w:type="paragraph" w:styleId="ListNumber4">
    <w:name w:val="List Number 4"/>
    <w:basedOn w:val="Normal"/>
    <w:uiPriority w:val="16"/>
    <w:rsid w:val="00DA2562"/>
    <w:pPr>
      <w:tabs>
        <w:tab w:val="num" w:pos="1435"/>
      </w:tabs>
      <w:spacing w:after="240" w:line="360" w:lineRule="auto"/>
      <w:ind w:left="1435" w:hanging="358"/>
      <w:contextualSpacing/>
      <w:jc w:val="left"/>
    </w:pPr>
    <w:rPr>
      <w:rFonts w:ascii="Arial" w:eastAsiaTheme="minorHAnsi" w:hAnsi="Arial" w:cstheme="minorBidi"/>
      <w:sz w:val="20"/>
      <w:szCs w:val="20"/>
      <w:lang w:eastAsia="en-US"/>
    </w:rPr>
  </w:style>
  <w:style w:type="paragraph" w:customStyle="1" w:styleId="Source">
    <w:name w:val="Source"/>
    <w:basedOn w:val="Normal"/>
    <w:uiPriority w:val="35"/>
    <w:rsid w:val="00DA2562"/>
    <w:pPr>
      <w:tabs>
        <w:tab w:val="left" w:pos="284"/>
      </w:tabs>
      <w:spacing w:before="60" w:after="240" w:line="360" w:lineRule="auto"/>
      <w:contextualSpacing/>
      <w:jc w:val="left"/>
    </w:pPr>
    <w:rPr>
      <w:rFonts w:ascii="Arial" w:eastAsiaTheme="minorHAnsi" w:hAnsi="Arial" w:cstheme="minorBidi"/>
      <w:sz w:val="18"/>
      <w:szCs w:val="20"/>
      <w:lang w:eastAsia="en-US"/>
    </w:rPr>
  </w:style>
  <w:style w:type="numbering" w:customStyle="1" w:styleId="Lists1">
    <w:name w:val="Lists1"/>
    <w:uiPriority w:val="99"/>
    <w:rsid w:val="00330C1E"/>
  </w:style>
  <w:style w:type="numbering" w:customStyle="1" w:styleId="Lists2">
    <w:name w:val="Lists2"/>
    <w:uiPriority w:val="99"/>
    <w:rsid w:val="00330C1E"/>
  </w:style>
  <w:style w:type="table" w:customStyle="1" w:styleId="TableHTAsimple">
    <w:name w:val="Table HTA simple"/>
    <w:basedOn w:val="TableNormal"/>
    <w:uiPriority w:val="99"/>
    <w:rsid w:val="003961B2"/>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paragraph" w:styleId="Bibliography">
    <w:name w:val="Bibliography"/>
    <w:basedOn w:val="Normal"/>
    <w:next w:val="Normal"/>
    <w:uiPriority w:val="37"/>
    <w:unhideWhenUsed/>
    <w:rsid w:val="00CB5934"/>
  </w:style>
  <w:style w:type="character" w:customStyle="1" w:styleId="cit">
    <w:name w:val="cit"/>
    <w:basedOn w:val="DefaultParagraphFont"/>
    <w:rsid w:val="00CB53CB"/>
  </w:style>
  <w:style w:type="character" w:customStyle="1" w:styleId="e24kjd">
    <w:name w:val="e24kjd"/>
    <w:basedOn w:val="DefaultParagraphFont"/>
    <w:rsid w:val="004A56FB"/>
  </w:style>
  <w:style w:type="character" w:customStyle="1" w:styleId="Heading1Char">
    <w:name w:val="Heading 1 Char"/>
    <w:basedOn w:val="DefaultParagraphFont"/>
    <w:link w:val="Heading1"/>
    <w:uiPriority w:val="1"/>
    <w:rsid w:val="009A700F"/>
    <w:rPr>
      <w:rFonts w:ascii="Calibri" w:hAnsi="Calibri" w:cs="Arial"/>
      <w:b/>
      <w:caps/>
      <w:sz w:val="32"/>
      <w:szCs w:val="24"/>
    </w:rPr>
  </w:style>
  <w:style w:type="paragraph" w:customStyle="1" w:styleId="3Bodytext">
    <w:name w:val="3. Body text"/>
    <w:basedOn w:val="Normal"/>
    <w:link w:val="3BodytextChar"/>
    <w:qFormat/>
    <w:rsid w:val="005032D4"/>
    <w:pPr>
      <w:spacing w:after="120"/>
      <w:ind w:left="720" w:hanging="720"/>
      <w:jc w:val="left"/>
    </w:pPr>
    <w:rPr>
      <w:rFonts w:asciiTheme="minorHAnsi" w:eastAsiaTheme="minorHAnsi" w:hAnsiTheme="minorHAnsi" w:cstheme="minorBidi"/>
      <w:szCs w:val="22"/>
    </w:rPr>
  </w:style>
  <w:style w:type="character" w:customStyle="1" w:styleId="3BodytextChar">
    <w:name w:val="3. Body text Char"/>
    <w:basedOn w:val="DefaultParagraphFont"/>
    <w:link w:val="3Bodytext"/>
    <w:rsid w:val="005032D4"/>
    <w:rPr>
      <w:rFonts w:asciiTheme="minorHAnsi" w:eastAsiaTheme="minorHAnsi" w:hAnsiTheme="minorHAnsi" w:cstheme="minorBidi"/>
      <w:sz w:val="24"/>
      <w:szCs w:val="22"/>
    </w:rPr>
  </w:style>
  <w:style w:type="paragraph" w:customStyle="1" w:styleId="Background">
    <w:name w:val="Background"/>
    <w:basedOn w:val="Normal"/>
    <w:rsid w:val="009C5074"/>
    <w:pPr>
      <w:numPr>
        <w:numId w:val="11"/>
      </w:numPr>
      <w:spacing w:after="113" w:line="245" w:lineRule="atLeast"/>
      <w:jc w:val="left"/>
    </w:pPr>
    <w:rPr>
      <w:rFonts w:ascii="Arial" w:hAnsi="Arial" w:cs="Times New Roman"/>
      <w:sz w:val="21"/>
      <w:szCs w:val="20"/>
    </w:rPr>
  </w:style>
  <w:style w:type="paragraph" w:customStyle="1" w:styleId="ExecSumBodyText">
    <w:name w:val="Exec Sum Body Text"/>
    <w:basedOn w:val="Normal"/>
    <w:link w:val="ExecSumBodyTextChar"/>
    <w:qFormat/>
    <w:rsid w:val="008F72EA"/>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8F72EA"/>
    <w:rPr>
      <w:rFonts w:asciiTheme="minorHAnsi" w:hAnsiTheme="minorHAnsi" w:cs="Arial"/>
      <w:snapToGrid w:val="0"/>
      <w:sz w:val="24"/>
      <w:szCs w:val="24"/>
    </w:rPr>
  </w:style>
  <w:style w:type="paragraph" w:customStyle="1" w:styleId="PBACheading10">
    <w:name w:val="PBAC heading 1"/>
    <w:qFormat/>
    <w:rsid w:val="000B46D2"/>
    <w:pPr>
      <w:ind w:left="720" w:hanging="720"/>
      <w:outlineLvl w:val="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4510">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84593850">
      <w:bodyDiv w:val="1"/>
      <w:marLeft w:val="0"/>
      <w:marRight w:val="0"/>
      <w:marTop w:val="0"/>
      <w:marBottom w:val="0"/>
      <w:divBdr>
        <w:top w:val="none" w:sz="0" w:space="0" w:color="auto"/>
        <w:left w:val="none" w:sz="0" w:space="0" w:color="auto"/>
        <w:bottom w:val="none" w:sz="0" w:space="0" w:color="auto"/>
        <w:right w:val="none" w:sz="0" w:space="0" w:color="auto"/>
      </w:divBdr>
    </w:div>
    <w:div w:id="535973019">
      <w:bodyDiv w:val="1"/>
      <w:marLeft w:val="0"/>
      <w:marRight w:val="0"/>
      <w:marTop w:val="0"/>
      <w:marBottom w:val="0"/>
      <w:divBdr>
        <w:top w:val="none" w:sz="0" w:space="0" w:color="auto"/>
        <w:left w:val="none" w:sz="0" w:space="0" w:color="auto"/>
        <w:bottom w:val="none" w:sz="0" w:space="0" w:color="auto"/>
        <w:right w:val="none" w:sz="0" w:space="0" w:color="auto"/>
      </w:divBdr>
      <w:divsChild>
        <w:div w:id="554197476">
          <w:marLeft w:val="806"/>
          <w:marRight w:val="0"/>
          <w:marTop w:val="75"/>
          <w:marBottom w:val="0"/>
          <w:divBdr>
            <w:top w:val="none" w:sz="0" w:space="0" w:color="auto"/>
            <w:left w:val="none" w:sz="0" w:space="0" w:color="auto"/>
            <w:bottom w:val="none" w:sz="0" w:space="0" w:color="auto"/>
            <w:right w:val="none" w:sz="0" w:space="0" w:color="auto"/>
          </w:divBdr>
        </w:div>
      </w:divsChild>
    </w:div>
    <w:div w:id="810632840">
      <w:bodyDiv w:val="1"/>
      <w:marLeft w:val="0"/>
      <w:marRight w:val="0"/>
      <w:marTop w:val="0"/>
      <w:marBottom w:val="0"/>
      <w:divBdr>
        <w:top w:val="none" w:sz="0" w:space="0" w:color="auto"/>
        <w:left w:val="none" w:sz="0" w:space="0" w:color="auto"/>
        <w:bottom w:val="none" w:sz="0" w:space="0" w:color="auto"/>
        <w:right w:val="none" w:sz="0" w:space="0" w:color="auto"/>
      </w:divBdr>
    </w:div>
    <w:div w:id="866910814">
      <w:bodyDiv w:val="1"/>
      <w:marLeft w:val="0"/>
      <w:marRight w:val="0"/>
      <w:marTop w:val="0"/>
      <w:marBottom w:val="0"/>
      <w:divBdr>
        <w:top w:val="none" w:sz="0" w:space="0" w:color="auto"/>
        <w:left w:val="none" w:sz="0" w:space="0" w:color="auto"/>
        <w:bottom w:val="none" w:sz="0" w:space="0" w:color="auto"/>
        <w:right w:val="none" w:sz="0" w:space="0" w:color="auto"/>
      </w:divBdr>
      <w:divsChild>
        <w:div w:id="1192106172">
          <w:marLeft w:val="274"/>
          <w:marRight w:val="0"/>
          <w:marTop w:val="0"/>
          <w:marBottom w:val="0"/>
          <w:divBdr>
            <w:top w:val="none" w:sz="0" w:space="0" w:color="auto"/>
            <w:left w:val="none" w:sz="0" w:space="0" w:color="auto"/>
            <w:bottom w:val="none" w:sz="0" w:space="0" w:color="auto"/>
            <w:right w:val="none" w:sz="0" w:space="0" w:color="auto"/>
          </w:divBdr>
        </w:div>
        <w:div w:id="1470904499">
          <w:marLeft w:val="274"/>
          <w:marRight w:val="0"/>
          <w:marTop w:val="0"/>
          <w:marBottom w:val="0"/>
          <w:divBdr>
            <w:top w:val="none" w:sz="0" w:space="0" w:color="auto"/>
            <w:left w:val="none" w:sz="0" w:space="0" w:color="auto"/>
            <w:bottom w:val="none" w:sz="0" w:space="0" w:color="auto"/>
            <w:right w:val="none" w:sz="0" w:space="0" w:color="auto"/>
          </w:divBdr>
        </w:div>
        <w:div w:id="500043875">
          <w:marLeft w:val="274"/>
          <w:marRight w:val="0"/>
          <w:marTop w:val="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31707">
      <w:bodyDiv w:val="1"/>
      <w:marLeft w:val="0"/>
      <w:marRight w:val="0"/>
      <w:marTop w:val="0"/>
      <w:marBottom w:val="0"/>
      <w:divBdr>
        <w:top w:val="none" w:sz="0" w:space="0" w:color="auto"/>
        <w:left w:val="none" w:sz="0" w:space="0" w:color="auto"/>
        <w:bottom w:val="none" w:sz="0" w:space="0" w:color="auto"/>
        <w:right w:val="none" w:sz="0" w:space="0" w:color="auto"/>
      </w:divBdr>
    </w:div>
    <w:div w:id="1439325989">
      <w:bodyDiv w:val="1"/>
      <w:marLeft w:val="0"/>
      <w:marRight w:val="0"/>
      <w:marTop w:val="0"/>
      <w:marBottom w:val="0"/>
      <w:divBdr>
        <w:top w:val="none" w:sz="0" w:space="0" w:color="auto"/>
        <w:left w:val="none" w:sz="0" w:space="0" w:color="auto"/>
        <w:bottom w:val="none" w:sz="0" w:space="0" w:color="auto"/>
        <w:right w:val="none" w:sz="0" w:space="0" w:color="auto"/>
      </w:divBdr>
      <w:divsChild>
        <w:div w:id="22750219">
          <w:marLeft w:val="806"/>
          <w:marRight w:val="0"/>
          <w:marTop w:val="75"/>
          <w:marBottom w:val="0"/>
          <w:divBdr>
            <w:top w:val="none" w:sz="0" w:space="0" w:color="auto"/>
            <w:left w:val="none" w:sz="0" w:space="0" w:color="auto"/>
            <w:bottom w:val="none" w:sz="0" w:space="0" w:color="auto"/>
            <w:right w:val="none" w:sz="0" w:space="0" w:color="auto"/>
          </w:divBdr>
        </w:div>
        <w:div w:id="1658876835">
          <w:marLeft w:val="806"/>
          <w:marRight w:val="0"/>
          <w:marTop w:val="75"/>
          <w:marBottom w:val="0"/>
          <w:divBdr>
            <w:top w:val="none" w:sz="0" w:space="0" w:color="auto"/>
            <w:left w:val="none" w:sz="0" w:space="0" w:color="auto"/>
            <w:bottom w:val="none" w:sz="0" w:space="0" w:color="auto"/>
            <w:right w:val="none" w:sz="0" w:space="0" w:color="auto"/>
          </w:divBdr>
        </w:div>
      </w:divsChild>
    </w:div>
    <w:div w:id="1729261638">
      <w:bodyDiv w:val="1"/>
      <w:marLeft w:val="0"/>
      <w:marRight w:val="0"/>
      <w:marTop w:val="0"/>
      <w:marBottom w:val="0"/>
      <w:divBdr>
        <w:top w:val="none" w:sz="0" w:space="0" w:color="auto"/>
        <w:left w:val="none" w:sz="0" w:space="0" w:color="auto"/>
        <w:bottom w:val="none" w:sz="0" w:space="0" w:color="auto"/>
        <w:right w:val="none" w:sz="0" w:space="0" w:color="auto"/>
      </w:divBdr>
      <w:divsChild>
        <w:div w:id="783619576">
          <w:marLeft w:val="274"/>
          <w:marRight w:val="0"/>
          <w:marTop w:val="150"/>
          <w:marBottom w:val="0"/>
          <w:divBdr>
            <w:top w:val="none" w:sz="0" w:space="0" w:color="auto"/>
            <w:left w:val="none" w:sz="0" w:space="0" w:color="auto"/>
            <w:bottom w:val="none" w:sz="0" w:space="0" w:color="auto"/>
            <w:right w:val="none" w:sz="0" w:space="0" w:color="auto"/>
          </w:divBdr>
        </w:div>
      </w:divsChild>
    </w:div>
    <w:div w:id="1741517663">
      <w:bodyDiv w:val="1"/>
      <w:marLeft w:val="0"/>
      <w:marRight w:val="0"/>
      <w:marTop w:val="0"/>
      <w:marBottom w:val="0"/>
      <w:divBdr>
        <w:top w:val="none" w:sz="0" w:space="0" w:color="auto"/>
        <w:left w:val="none" w:sz="0" w:space="0" w:color="auto"/>
        <w:bottom w:val="none" w:sz="0" w:space="0" w:color="auto"/>
        <w:right w:val="none" w:sz="0" w:space="0" w:color="auto"/>
      </w:divBdr>
      <w:divsChild>
        <w:div w:id="64454389">
          <w:marLeft w:val="274"/>
          <w:marRight w:val="0"/>
          <w:marTop w:val="0"/>
          <w:marBottom w:val="0"/>
          <w:divBdr>
            <w:top w:val="none" w:sz="0" w:space="0" w:color="auto"/>
            <w:left w:val="none" w:sz="0" w:space="0" w:color="auto"/>
            <w:bottom w:val="none" w:sz="0" w:space="0" w:color="auto"/>
            <w:right w:val="none" w:sz="0" w:space="0" w:color="auto"/>
          </w:divBdr>
        </w:div>
        <w:div w:id="953438253">
          <w:marLeft w:val="274"/>
          <w:marRight w:val="0"/>
          <w:marTop w:val="0"/>
          <w:marBottom w:val="0"/>
          <w:divBdr>
            <w:top w:val="none" w:sz="0" w:space="0" w:color="auto"/>
            <w:left w:val="none" w:sz="0" w:space="0" w:color="auto"/>
            <w:bottom w:val="none" w:sz="0" w:space="0" w:color="auto"/>
            <w:right w:val="none" w:sz="0" w:space="0" w:color="auto"/>
          </w:divBdr>
        </w:div>
        <w:div w:id="2126072821">
          <w:marLeft w:val="274"/>
          <w:marRight w:val="0"/>
          <w:marTop w:val="0"/>
          <w:marBottom w:val="0"/>
          <w:divBdr>
            <w:top w:val="none" w:sz="0" w:space="0" w:color="auto"/>
            <w:left w:val="none" w:sz="0" w:space="0" w:color="auto"/>
            <w:bottom w:val="none" w:sz="0" w:space="0" w:color="auto"/>
            <w:right w:val="none" w:sz="0" w:space="0" w:color="auto"/>
          </w:divBdr>
        </w:div>
        <w:div w:id="37363053">
          <w:marLeft w:val="274"/>
          <w:marRight w:val="0"/>
          <w:marTop w:val="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28" Type="http://schemas.microsoft.com/office/2016/09/relationships/commentsIds" Target="commentsIds.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cbi.nlm.nih.gov/pmc/articles/PMC6594147/" TargetMode="External"/><Relationship Id="rId1" Type="http://schemas.openxmlformats.org/officeDocument/2006/relationships/hyperlink" Target="https://www.fda.gov/drugs/resources-information-approved-drugs/fda-approves-pembrolizumab-treatment-relapsed-or-refractory-pmb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Giu18</b:Tag>
    <b:SourceType>JournalArticle</b:SourceType>
    <b:Guid>{F9151BF8-4C30-449C-A835-08366D3D73EF}</b:Guid>
    <b:Title>How I treat primary mediastinal B-cell lymphoma.</b:Title>
    <b:JournalName>Blood</b:JournalName>
    <b:Year>2018</b:Year>
    <b:Pages>782-790</b:Pages>
    <b:Author>
      <b:Author>
        <b:NameList>
          <b:Person>
            <b:Last>Giulino-Roth</b:Last>
            <b:First>L</b:First>
          </b:Person>
        </b:NameList>
      </b:Author>
    </b:Author>
    <b:Month>August </b:Month>
    <b:Day>23</b:Day>
    <b:Volume>132</b:Volume>
    <b:Issue>8</b:Issue>
    <b:DOI>10.1182/blood-2018-04-791566</b:DOI>
    <b:RefOrder>1</b:RefOrder>
  </b:Source>
</b:Sources>
</file>

<file path=customXml/itemProps1.xml><?xml version="1.0" encoding="utf-8"?>
<ds:datastoreItem xmlns:ds="http://schemas.openxmlformats.org/officeDocument/2006/customXml" ds:itemID="{4AFDC1CE-2323-4423-8A9E-89063E86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17618</Words>
  <Characters>98732</Characters>
  <Application>Microsoft Office Word</Application>
  <DocSecurity>0</DocSecurity>
  <Lines>822</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2020-06-15T08:59:00Z</dcterms:created>
  <dcterms:modified xsi:type="dcterms:W3CDTF">2020-06-15T09:06:00Z</dcterms:modified>
</cp:coreProperties>
</file>