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AE" w:rsidRDefault="00CA2CA2" w:rsidP="00CA74AE">
      <w:pPr>
        <w:pStyle w:val="1MainTitle"/>
        <w:jc w:val="left"/>
      </w:pPr>
      <w:r w:rsidRPr="003D5BD7">
        <w:t>7.14</w:t>
      </w:r>
      <w:r w:rsidR="00FC3647" w:rsidRPr="003D5BD7">
        <w:tab/>
      </w:r>
      <w:r w:rsidRPr="003D5BD7">
        <w:t>SEMAGLUTIDE</w:t>
      </w:r>
      <w:r w:rsidR="00FC3647" w:rsidRPr="003D5BD7">
        <w:t xml:space="preserve"> </w:t>
      </w:r>
      <w:r w:rsidR="00FC3647" w:rsidRPr="003D5BD7">
        <w:br/>
      </w:r>
      <w:r w:rsidRPr="003D5BD7">
        <w:t>Injection</w:t>
      </w:r>
      <w:r w:rsidR="005C5E33" w:rsidRPr="003D5BD7">
        <w:t>,</w:t>
      </w:r>
      <w:r w:rsidR="00CA74AE">
        <w:t xml:space="preserve"> </w:t>
      </w:r>
      <w:r w:rsidR="005C5E33" w:rsidRPr="003D5BD7">
        <w:t>2.0 mg in 1.5 mL and 4.0 mg in 3.0 mL pre-filled</w:t>
      </w:r>
      <w:r w:rsidR="00CA74AE">
        <w:t xml:space="preserve"> </w:t>
      </w:r>
      <w:r w:rsidR="005C5E33" w:rsidRPr="003D5BD7">
        <w:t>syringe,</w:t>
      </w:r>
      <w:r w:rsidR="00FC3647" w:rsidRPr="003D5BD7">
        <w:br/>
      </w:r>
      <w:proofErr w:type="spellStart"/>
      <w:r w:rsidRPr="003D5BD7">
        <w:t>Ozempic</w:t>
      </w:r>
      <w:proofErr w:type="spellEnd"/>
      <w:r w:rsidR="00FC3647" w:rsidRPr="003D5BD7">
        <w:rPr>
          <w:vertAlign w:val="superscript"/>
        </w:rPr>
        <w:t>®</w:t>
      </w:r>
      <w:r w:rsidR="00FC3647" w:rsidRPr="003D5BD7">
        <w:t xml:space="preserve">, </w:t>
      </w:r>
    </w:p>
    <w:p w:rsidR="00FC3647" w:rsidRPr="003D5BD7" w:rsidRDefault="00CA2CA2" w:rsidP="00CA74AE">
      <w:pPr>
        <w:pStyle w:val="1MainTitle"/>
        <w:ind w:firstLine="0"/>
      </w:pPr>
      <w:r w:rsidRPr="003D5BD7">
        <w:t xml:space="preserve">Novo Nordisk </w:t>
      </w:r>
      <w:r w:rsidR="005C5E33" w:rsidRPr="003D5BD7">
        <w:t xml:space="preserve">Pharmaceuticals </w:t>
      </w:r>
      <w:r w:rsidRPr="003D5BD7">
        <w:t>Pty Ltd</w:t>
      </w:r>
    </w:p>
    <w:p w:rsidR="00FC3647" w:rsidRPr="003D5BD7" w:rsidRDefault="00FC3647" w:rsidP="00DC2086">
      <w:pPr>
        <w:pStyle w:val="2Sections"/>
        <w:numPr>
          <w:ilvl w:val="0"/>
          <w:numId w:val="2"/>
        </w:numPr>
      </w:pPr>
      <w:r w:rsidRPr="003D5BD7">
        <w:t xml:space="preserve">Purpose of Application </w:t>
      </w:r>
    </w:p>
    <w:p w:rsidR="00562C34" w:rsidRPr="003D5BD7" w:rsidRDefault="00FC3647" w:rsidP="004E3C97">
      <w:pPr>
        <w:pStyle w:val="ListParagraph"/>
        <w:numPr>
          <w:ilvl w:val="1"/>
          <w:numId w:val="2"/>
        </w:numPr>
        <w:jc w:val="both"/>
        <w:rPr>
          <w:rFonts w:eastAsiaTheme="minorHAnsi" w:cstheme="minorBidi"/>
          <w:snapToGrid/>
          <w:szCs w:val="22"/>
        </w:rPr>
      </w:pPr>
      <w:r w:rsidRPr="003D5BD7">
        <w:rPr>
          <w:rFonts w:eastAsiaTheme="minorHAnsi" w:cstheme="minorBidi"/>
          <w:snapToGrid/>
          <w:szCs w:val="22"/>
        </w:rPr>
        <w:t xml:space="preserve">The minor submission </w:t>
      </w:r>
      <w:r w:rsidR="003149A0" w:rsidRPr="003D5BD7">
        <w:rPr>
          <w:rFonts w:eastAsiaTheme="minorHAnsi" w:cstheme="minorBidi"/>
          <w:snapToGrid/>
          <w:szCs w:val="22"/>
        </w:rPr>
        <w:t>requested an amendment to the</w:t>
      </w:r>
      <w:r w:rsidR="00782D22" w:rsidRPr="003D5BD7">
        <w:rPr>
          <w:rFonts w:eastAsiaTheme="minorHAnsi" w:cstheme="minorBidi"/>
          <w:snapToGrid/>
          <w:szCs w:val="22"/>
        </w:rPr>
        <w:t xml:space="preserve"> November 2019</w:t>
      </w:r>
      <w:r w:rsidR="003149A0" w:rsidRPr="003D5BD7">
        <w:rPr>
          <w:rFonts w:eastAsiaTheme="minorHAnsi" w:cstheme="minorBidi"/>
          <w:snapToGrid/>
          <w:szCs w:val="22"/>
        </w:rPr>
        <w:t xml:space="preserve"> </w:t>
      </w:r>
      <w:r w:rsidR="00D727F5" w:rsidRPr="003D5BD7">
        <w:rPr>
          <w:rFonts w:eastAsiaTheme="minorHAnsi" w:cstheme="minorBidi"/>
          <w:snapToGrid/>
          <w:szCs w:val="22"/>
        </w:rPr>
        <w:t xml:space="preserve">PBAC </w:t>
      </w:r>
      <w:r w:rsidR="003149A0" w:rsidRPr="003D5BD7">
        <w:rPr>
          <w:rFonts w:eastAsiaTheme="minorHAnsi" w:cstheme="minorBidi"/>
          <w:snapToGrid/>
          <w:szCs w:val="22"/>
        </w:rPr>
        <w:t xml:space="preserve">advice regarding the therapeutic relativity </w:t>
      </w:r>
      <w:r w:rsidR="00A5727A" w:rsidRPr="003D5BD7">
        <w:rPr>
          <w:rFonts w:eastAsiaTheme="minorHAnsi" w:cstheme="minorBidi"/>
          <w:snapToGrid/>
          <w:szCs w:val="22"/>
        </w:rPr>
        <w:t xml:space="preserve">such that both </w:t>
      </w:r>
      <w:proofErr w:type="spellStart"/>
      <w:r w:rsidR="003149A0" w:rsidRPr="003D5BD7">
        <w:rPr>
          <w:rFonts w:eastAsiaTheme="minorHAnsi" w:cstheme="minorBidi"/>
          <w:snapToGrid/>
          <w:szCs w:val="22"/>
        </w:rPr>
        <w:t>semaglutide</w:t>
      </w:r>
      <w:proofErr w:type="spellEnd"/>
      <w:r w:rsidR="003149A0" w:rsidRPr="003D5BD7">
        <w:rPr>
          <w:rFonts w:eastAsiaTheme="minorHAnsi" w:cstheme="minorBidi"/>
          <w:snapToGrid/>
          <w:szCs w:val="22"/>
        </w:rPr>
        <w:t xml:space="preserve"> </w:t>
      </w:r>
      <w:r w:rsidR="00BC0529" w:rsidRPr="003D5BD7">
        <w:rPr>
          <w:rFonts w:eastAsiaTheme="minorHAnsi" w:cstheme="minorBidi"/>
          <w:snapToGrid/>
          <w:szCs w:val="22"/>
        </w:rPr>
        <w:t>0.5 mg</w:t>
      </w:r>
      <w:r w:rsidR="00A5727A" w:rsidRPr="003D5BD7">
        <w:rPr>
          <w:rFonts w:eastAsiaTheme="minorHAnsi" w:cstheme="minorBidi"/>
          <w:snapToGrid/>
          <w:szCs w:val="22"/>
        </w:rPr>
        <w:t xml:space="preserve"> and 1.0 mg</w:t>
      </w:r>
      <w:r w:rsidR="00BC0529" w:rsidRPr="003D5BD7">
        <w:rPr>
          <w:rFonts w:eastAsiaTheme="minorHAnsi" w:cstheme="minorBidi"/>
          <w:snapToGrid/>
          <w:szCs w:val="22"/>
        </w:rPr>
        <w:t xml:space="preserve"> </w:t>
      </w:r>
      <w:r w:rsidR="00A5727A" w:rsidRPr="003D5BD7">
        <w:rPr>
          <w:rFonts w:eastAsiaTheme="minorHAnsi" w:cstheme="minorBidi"/>
          <w:snapToGrid/>
          <w:szCs w:val="22"/>
        </w:rPr>
        <w:t xml:space="preserve">are considered </w:t>
      </w:r>
      <w:proofErr w:type="spellStart"/>
      <w:r w:rsidR="00A5727A" w:rsidRPr="003D5BD7">
        <w:rPr>
          <w:rFonts w:eastAsiaTheme="minorHAnsi" w:cstheme="minorBidi"/>
          <w:snapToGrid/>
          <w:szCs w:val="22"/>
        </w:rPr>
        <w:t>equi</w:t>
      </w:r>
      <w:proofErr w:type="spellEnd"/>
      <w:r w:rsidR="00A5727A" w:rsidRPr="003D5BD7">
        <w:rPr>
          <w:rFonts w:eastAsiaTheme="minorHAnsi" w:cstheme="minorBidi"/>
          <w:snapToGrid/>
          <w:szCs w:val="22"/>
        </w:rPr>
        <w:t>-effective to</w:t>
      </w:r>
      <w:r w:rsidR="003149A0" w:rsidRPr="003D5BD7">
        <w:rPr>
          <w:rFonts w:eastAsiaTheme="minorHAnsi" w:cstheme="minorBidi"/>
          <w:snapToGrid/>
          <w:szCs w:val="22"/>
        </w:rPr>
        <w:t xml:space="preserve"> </w:t>
      </w:r>
      <w:proofErr w:type="spellStart"/>
      <w:r w:rsidR="003149A0" w:rsidRPr="003D5BD7">
        <w:rPr>
          <w:rFonts w:eastAsiaTheme="minorHAnsi" w:cstheme="minorBidi"/>
          <w:snapToGrid/>
          <w:szCs w:val="22"/>
        </w:rPr>
        <w:t>dulaglutide</w:t>
      </w:r>
      <w:proofErr w:type="spellEnd"/>
      <w:r w:rsidR="003149A0" w:rsidRPr="003D5BD7">
        <w:rPr>
          <w:rFonts w:eastAsiaTheme="minorHAnsi" w:cstheme="minorBidi"/>
          <w:snapToGrid/>
          <w:szCs w:val="22"/>
        </w:rPr>
        <w:t xml:space="preserve"> </w:t>
      </w:r>
      <w:r w:rsidR="00BC0529" w:rsidRPr="003D5BD7">
        <w:rPr>
          <w:rFonts w:eastAsiaTheme="minorHAnsi" w:cstheme="minorBidi"/>
          <w:snapToGrid/>
          <w:szCs w:val="22"/>
        </w:rPr>
        <w:t xml:space="preserve">1.5 mg </w:t>
      </w:r>
      <w:r w:rsidR="00D727F5" w:rsidRPr="003D5BD7">
        <w:rPr>
          <w:rFonts w:eastAsiaTheme="minorHAnsi"/>
        </w:rPr>
        <w:t>for use in combination with metformin and/or a sulfonylurea for the treatment of patients with Type 2 Diabetes Mellitus (T2DM)</w:t>
      </w:r>
      <w:r w:rsidR="00562C34" w:rsidRPr="003D5BD7">
        <w:rPr>
          <w:rFonts w:eastAsiaTheme="minorHAnsi" w:cstheme="minorBidi"/>
          <w:snapToGrid/>
          <w:szCs w:val="22"/>
        </w:rPr>
        <w:t>.</w:t>
      </w:r>
    </w:p>
    <w:p w:rsidR="00FC3647" w:rsidRPr="003D5BD7" w:rsidRDefault="00562C34" w:rsidP="004E3C97">
      <w:pPr>
        <w:pStyle w:val="ListParagraph"/>
        <w:numPr>
          <w:ilvl w:val="1"/>
          <w:numId w:val="2"/>
        </w:numPr>
        <w:jc w:val="both"/>
        <w:rPr>
          <w:rFonts w:eastAsiaTheme="minorHAnsi" w:cstheme="minorBidi"/>
          <w:snapToGrid/>
          <w:szCs w:val="22"/>
        </w:rPr>
      </w:pPr>
      <w:r w:rsidRPr="003D5BD7">
        <w:rPr>
          <w:rFonts w:eastAsiaTheme="minorHAnsi" w:cstheme="minorBidi"/>
          <w:snapToGrid/>
          <w:szCs w:val="22"/>
        </w:rPr>
        <w:t xml:space="preserve">The minor submission also </w:t>
      </w:r>
      <w:r w:rsidR="00B120C2" w:rsidRPr="003D5BD7">
        <w:rPr>
          <w:rFonts w:eastAsiaTheme="minorHAnsi" w:cstheme="minorBidi"/>
          <w:snapToGrid/>
          <w:szCs w:val="22"/>
        </w:rPr>
        <w:t>requested</w:t>
      </w:r>
      <w:r w:rsidRPr="003D5BD7">
        <w:rPr>
          <w:rFonts w:eastAsiaTheme="minorHAnsi" w:cstheme="minorBidi"/>
          <w:snapToGrid/>
          <w:szCs w:val="22"/>
        </w:rPr>
        <w:t xml:space="preserve"> flat pricing for</w:t>
      </w:r>
      <w:r w:rsidR="003149A0" w:rsidRPr="003D5BD7">
        <w:rPr>
          <w:rFonts w:eastAsiaTheme="minorHAnsi" w:cstheme="minorBidi"/>
          <w:snapToGrid/>
          <w:szCs w:val="22"/>
        </w:rPr>
        <w:t xml:space="preserve"> the </w:t>
      </w:r>
      <w:proofErr w:type="gramStart"/>
      <w:r w:rsidR="003149A0" w:rsidRPr="003D5BD7">
        <w:rPr>
          <w:rFonts w:eastAsiaTheme="minorHAnsi" w:cstheme="minorBidi"/>
          <w:snapToGrid/>
          <w:szCs w:val="22"/>
        </w:rPr>
        <w:t xml:space="preserve">two </w:t>
      </w:r>
      <w:proofErr w:type="spellStart"/>
      <w:r w:rsidR="003149A0" w:rsidRPr="003D5BD7">
        <w:rPr>
          <w:rFonts w:eastAsiaTheme="minorHAnsi" w:cstheme="minorBidi"/>
          <w:snapToGrid/>
          <w:szCs w:val="22"/>
        </w:rPr>
        <w:t>semaglutide</w:t>
      </w:r>
      <w:proofErr w:type="spellEnd"/>
      <w:proofErr w:type="gramEnd"/>
      <w:r w:rsidR="003149A0" w:rsidRPr="003D5BD7">
        <w:rPr>
          <w:rFonts w:eastAsiaTheme="minorHAnsi" w:cstheme="minorBidi"/>
          <w:snapToGrid/>
          <w:szCs w:val="22"/>
        </w:rPr>
        <w:t xml:space="preserve"> dosage forms.</w:t>
      </w:r>
    </w:p>
    <w:p w:rsidR="00C603D4" w:rsidRPr="003D5BD7" w:rsidRDefault="00CE10C4" w:rsidP="00DC2086">
      <w:pPr>
        <w:pStyle w:val="Heading1"/>
        <w:keepNext/>
        <w:keepLines/>
        <w:numPr>
          <w:ilvl w:val="0"/>
          <w:numId w:val="2"/>
        </w:numPr>
        <w:spacing w:before="240"/>
        <w:ind w:left="709" w:hanging="709"/>
        <w:rPr>
          <w:sz w:val="32"/>
          <w:szCs w:val="32"/>
        </w:rPr>
      </w:pPr>
      <w:r w:rsidRPr="003D5BD7">
        <w:rPr>
          <w:sz w:val="32"/>
          <w:szCs w:val="32"/>
        </w:rPr>
        <w:t>Background</w:t>
      </w:r>
    </w:p>
    <w:p w:rsidR="00CA19E6" w:rsidRPr="003D5BD7" w:rsidRDefault="00CA19E6" w:rsidP="00CA19E6">
      <w:pPr>
        <w:pStyle w:val="Heading2"/>
        <w:rPr>
          <w:rFonts w:asciiTheme="minorHAnsi" w:hAnsiTheme="minorHAnsi" w:cstheme="minorHAnsi"/>
          <w:sz w:val="28"/>
        </w:rPr>
      </w:pPr>
      <w:r w:rsidRPr="003D5BD7">
        <w:rPr>
          <w:rFonts w:asciiTheme="minorHAnsi" w:hAnsiTheme="minorHAnsi" w:cstheme="minorHAnsi"/>
          <w:sz w:val="28"/>
        </w:rPr>
        <w:t>Registration status</w:t>
      </w:r>
    </w:p>
    <w:p w:rsidR="00442650" w:rsidRPr="003D5BD7" w:rsidRDefault="00442650" w:rsidP="004E3C97">
      <w:pPr>
        <w:pStyle w:val="ListParagraph"/>
        <w:numPr>
          <w:ilvl w:val="1"/>
          <w:numId w:val="2"/>
        </w:numPr>
        <w:spacing w:after="0"/>
        <w:jc w:val="both"/>
      </w:pPr>
      <w:proofErr w:type="spellStart"/>
      <w:r w:rsidRPr="003D5BD7">
        <w:rPr>
          <w:rFonts w:eastAsia="Calibri"/>
        </w:rPr>
        <w:t>Semaglutide</w:t>
      </w:r>
      <w:proofErr w:type="spellEnd"/>
      <w:r w:rsidRPr="003D5BD7">
        <w:rPr>
          <w:rFonts w:eastAsia="Calibri"/>
        </w:rPr>
        <w:t xml:space="preserve"> (injectable) was TGA registered on 28 August 2019 for</w:t>
      </w:r>
      <w:r w:rsidRPr="003D5BD7">
        <w:t xml:space="preserve"> treatment of adults with insufficiently controlled </w:t>
      </w:r>
      <w:r w:rsidR="00AF7929" w:rsidRPr="003D5BD7">
        <w:t>T2DM</w:t>
      </w:r>
      <w:r w:rsidRPr="003D5BD7">
        <w:t xml:space="preserve"> as an adjunct to diet and exercise:</w:t>
      </w:r>
    </w:p>
    <w:p w:rsidR="00442650" w:rsidRPr="003D5BD7" w:rsidRDefault="00442650" w:rsidP="004E3C97">
      <w:pPr>
        <w:pStyle w:val="ListParagraph"/>
        <w:numPr>
          <w:ilvl w:val="0"/>
          <w:numId w:val="10"/>
        </w:numPr>
        <w:spacing w:after="0"/>
        <w:jc w:val="both"/>
      </w:pPr>
      <w:r w:rsidRPr="003D5BD7">
        <w:t>As monotherapy when metformin is not tolerated or contraindicated</w:t>
      </w:r>
    </w:p>
    <w:p w:rsidR="00CA19E6" w:rsidRPr="003D5BD7" w:rsidRDefault="00442650" w:rsidP="004E3C97">
      <w:pPr>
        <w:pStyle w:val="ListParagraph"/>
        <w:numPr>
          <w:ilvl w:val="0"/>
          <w:numId w:val="10"/>
        </w:numPr>
        <w:jc w:val="both"/>
      </w:pPr>
      <w:r w:rsidRPr="003D5BD7">
        <w:t xml:space="preserve">In addition to other medicinal products for the treatment of </w:t>
      </w:r>
      <w:r w:rsidR="00B97ADE" w:rsidRPr="003D5BD7">
        <w:t>T2DM.</w:t>
      </w:r>
    </w:p>
    <w:p w:rsidR="00CA19E6" w:rsidRPr="003D5BD7" w:rsidRDefault="00CA19E6" w:rsidP="00D94B50">
      <w:pPr>
        <w:pStyle w:val="Heading2"/>
        <w:rPr>
          <w:rFonts w:asciiTheme="minorHAnsi" w:hAnsiTheme="minorHAnsi" w:cstheme="minorHAnsi"/>
          <w:sz w:val="28"/>
        </w:rPr>
      </w:pPr>
      <w:r w:rsidRPr="003D5BD7">
        <w:rPr>
          <w:rFonts w:asciiTheme="minorHAnsi" w:hAnsiTheme="minorHAnsi" w:cstheme="minorHAnsi"/>
          <w:sz w:val="28"/>
        </w:rPr>
        <w:t xml:space="preserve">Previous PBAC consideration </w:t>
      </w:r>
    </w:p>
    <w:p w:rsidR="00CA19E6" w:rsidRPr="003D5BD7" w:rsidRDefault="00442650" w:rsidP="004E3C97">
      <w:pPr>
        <w:pStyle w:val="3Bodytext"/>
      </w:pPr>
      <w:proofErr w:type="spellStart"/>
      <w:r w:rsidRPr="003D5BD7">
        <w:t>Semaglutide</w:t>
      </w:r>
      <w:proofErr w:type="spellEnd"/>
      <w:r w:rsidR="00CA19E6" w:rsidRPr="003D5BD7">
        <w:t xml:space="preserve"> </w:t>
      </w:r>
      <w:proofErr w:type="gramStart"/>
      <w:r w:rsidR="00CA19E6" w:rsidRPr="003D5BD7">
        <w:t xml:space="preserve">was previously </w:t>
      </w:r>
      <w:r w:rsidR="00BA0878" w:rsidRPr="003D5BD7">
        <w:t>recommended</w:t>
      </w:r>
      <w:proofErr w:type="gramEnd"/>
      <w:r w:rsidR="00BA0878" w:rsidRPr="003D5BD7">
        <w:t xml:space="preserve"> </w:t>
      </w:r>
      <w:r w:rsidR="00CA19E6" w:rsidRPr="003D5BD7">
        <w:t xml:space="preserve">for this </w:t>
      </w:r>
      <w:r w:rsidRPr="003D5BD7">
        <w:t xml:space="preserve">form and </w:t>
      </w:r>
      <w:r w:rsidR="00CA19E6" w:rsidRPr="003D5BD7">
        <w:t>indication</w:t>
      </w:r>
      <w:r w:rsidRPr="003D5BD7">
        <w:t xml:space="preserve"> by the PBAC at its November 2019</w:t>
      </w:r>
      <w:r w:rsidR="00CA19E6" w:rsidRPr="003D5BD7">
        <w:t xml:space="preserve"> meeting.</w:t>
      </w:r>
    </w:p>
    <w:p w:rsidR="00CA19E6" w:rsidRPr="003D5BD7" w:rsidRDefault="00CA19E6" w:rsidP="004E3C97">
      <w:pPr>
        <w:pStyle w:val="Bodytextitalics"/>
        <w:numPr>
          <w:ilvl w:val="1"/>
          <w:numId w:val="2"/>
        </w:numPr>
        <w:jc w:val="both"/>
        <w:rPr>
          <w:i w:val="0"/>
          <w:lang w:eastAsia="en-US"/>
        </w:rPr>
      </w:pPr>
      <w:r w:rsidRPr="003D5BD7">
        <w:rPr>
          <w:i w:val="0"/>
          <w:lang w:eastAsia="en-US"/>
        </w:rPr>
        <w:t xml:space="preserve">A summary of the previous submission and current submission </w:t>
      </w:r>
      <w:proofErr w:type="gramStart"/>
      <w:r w:rsidRPr="003D5BD7">
        <w:rPr>
          <w:i w:val="0"/>
          <w:lang w:eastAsia="en-US"/>
        </w:rPr>
        <w:t>is provided</w:t>
      </w:r>
      <w:proofErr w:type="gramEnd"/>
      <w:r w:rsidRPr="003D5BD7">
        <w:rPr>
          <w:i w:val="0"/>
          <w:lang w:eastAsia="en-US"/>
        </w:rPr>
        <w:t xml:space="preserve"> in the table below.</w:t>
      </w:r>
    </w:p>
    <w:p w:rsidR="00CA19E6" w:rsidRPr="003D5BD7" w:rsidRDefault="00CA19E6" w:rsidP="004C4397">
      <w:pPr>
        <w:keepNext/>
        <w:keepLines/>
        <w:snapToGrid w:val="0"/>
        <w:rPr>
          <w:rFonts w:ascii="Arial Narrow" w:hAnsi="Arial Narrow" w:cs="Arial"/>
          <w:b/>
          <w:bCs/>
          <w:color w:val="000000" w:themeColor="text1"/>
          <w:sz w:val="20"/>
          <w:szCs w:val="18"/>
          <w:lang w:eastAsia="en-US"/>
        </w:rPr>
      </w:pPr>
      <w:r w:rsidRPr="003D5BD7">
        <w:rPr>
          <w:rFonts w:ascii="Arial Narrow" w:hAnsi="Arial Narrow" w:cs="Arial"/>
          <w:b/>
          <w:bCs/>
          <w:color w:val="000000" w:themeColor="text1"/>
          <w:sz w:val="20"/>
          <w:szCs w:val="18"/>
          <w:lang w:eastAsia="en-US"/>
        </w:rPr>
        <w:t xml:space="preserve">Table </w:t>
      </w:r>
      <w:r w:rsidR="00187304" w:rsidRPr="00492982">
        <w:rPr>
          <w:rFonts w:ascii="Arial Narrow" w:hAnsi="Arial Narrow" w:cs="Arial"/>
          <w:b/>
          <w:bCs/>
          <w:color w:val="000000" w:themeColor="text1"/>
          <w:sz w:val="20"/>
          <w:szCs w:val="18"/>
          <w:lang w:eastAsia="en-US"/>
        </w:rPr>
        <w:t>1</w:t>
      </w:r>
      <w:r w:rsidRPr="003D5BD7">
        <w:rPr>
          <w:rFonts w:ascii="Arial Narrow" w:hAnsi="Arial Narrow" w:cs="Arial"/>
          <w:b/>
          <w:bCs/>
          <w:color w:val="000000" w:themeColor="text1"/>
          <w:sz w:val="20"/>
          <w:szCs w:val="18"/>
          <w:lang w:eastAsia="en-US"/>
        </w:rPr>
        <w:t>: Summary o</w:t>
      </w:r>
      <w:r w:rsidR="00442650" w:rsidRPr="003D5BD7">
        <w:rPr>
          <w:rFonts w:ascii="Arial Narrow" w:hAnsi="Arial Narrow" w:cs="Arial"/>
          <w:b/>
          <w:bCs/>
          <w:color w:val="000000" w:themeColor="text1"/>
          <w:sz w:val="20"/>
          <w:szCs w:val="18"/>
          <w:lang w:eastAsia="en-US"/>
        </w:rPr>
        <w:t>f the previous submission</w:t>
      </w:r>
      <w:r w:rsidRPr="003D5BD7">
        <w:rPr>
          <w:rFonts w:ascii="Arial Narrow" w:hAnsi="Arial Narrow" w:cs="Arial"/>
          <w:b/>
          <w:bCs/>
          <w:color w:val="000000" w:themeColor="text1"/>
          <w:sz w:val="20"/>
          <w:szCs w:val="18"/>
          <w:lang w:eastAsia="en-US"/>
        </w:rPr>
        <w:t xml:space="preserve"> and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1"/>
        <w:gridCol w:w="3785"/>
        <w:gridCol w:w="3790"/>
      </w:tblGrid>
      <w:tr w:rsidR="00442650" w:rsidRPr="003D5BD7" w:rsidTr="00442650">
        <w:trPr>
          <w:cantSplit/>
          <w:trHeight w:val="220"/>
          <w:tblHeader/>
        </w:trPr>
        <w:tc>
          <w:tcPr>
            <w:tcW w:w="799" w:type="pct"/>
            <w:tcBorders>
              <w:top w:val="single" w:sz="4" w:space="0" w:color="auto"/>
              <w:left w:val="single" w:sz="4" w:space="0" w:color="auto"/>
              <w:bottom w:val="single" w:sz="4" w:space="0" w:color="auto"/>
              <w:right w:val="single" w:sz="4" w:space="0" w:color="auto"/>
            </w:tcBorders>
          </w:tcPr>
          <w:p w:rsidR="00442650" w:rsidRPr="003D5BD7" w:rsidRDefault="00442650" w:rsidP="00B138B7">
            <w:pPr>
              <w:pStyle w:val="TableText0"/>
              <w:keepNext w:val="0"/>
              <w:widowControl w:val="0"/>
            </w:pPr>
          </w:p>
        </w:tc>
        <w:tc>
          <w:tcPr>
            <w:tcW w:w="2099" w:type="pct"/>
            <w:tcBorders>
              <w:top w:val="single" w:sz="4" w:space="0" w:color="auto"/>
              <w:left w:val="single" w:sz="4" w:space="0" w:color="auto"/>
              <w:bottom w:val="single" w:sz="4" w:space="0" w:color="auto"/>
              <w:right w:val="single" w:sz="4" w:space="0" w:color="auto"/>
            </w:tcBorders>
            <w:vAlign w:val="center"/>
            <w:hideMark/>
          </w:tcPr>
          <w:p w:rsidR="00442650" w:rsidRPr="003D5BD7" w:rsidRDefault="00442650" w:rsidP="00B138B7">
            <w:pPr>
              <w:pStyle w:val="TableText0"/>
              <w:keepNext w:val="0"/>
              <w:widowControl w:val="0"/>
              <w:rPr>
                <w:b/>
              </w:rPr>
            </w:pPr>
            <w:r w:rsidRPr="003D5BD7">
              <w:rPr>
                <w:b/>
              </w:rPr>
              <w:t>November 2019 submission</w:t>
            </w:r>
          </w:p>
        </w:tc>
        <w:tc>
          <w:tcPr>
            <w:tcW w:w="2102" w:type="pct"/>
            <w:tcBorders>
              <w:top w:val="single" w:sz="4" w:space="0" w:color="auto"/>
              <w:left w:val="single" w:sz="4" w:space="0" w:color="auto"/>
              <w:bottom w:val="single" w:sz="4" w:space="0" w:color="auto"/>
              <w:right w:val="single" w:sz="4" w:space="0" w:color="auto"/>
            </w:tcBorders>
            <w:hideMark/>
          </w:tcPr>
          <w:p w:rsidR="00442650" w:rsidRPr="003D5BD7" w:rsidRDefault="00442650" w:rsidP="00B138B7">
            <w:pPr>
              <w:pStyle w:val="TableText0"/>
              <w:keepNext w:val="0"/>
              <w:widowControl w:val="0"/>
              <w:rPr>
                <w:b/>
              </w:rPr>
            </w:pPr>
            <w:r w:rsidRPr="003D5BD7">
              <w:rPr>
                <w:b/>
              </w:rPr>
              <w:t>Current resubmission</w:t>
            </w:r>
          </w:p>
        </w:tc>
      </w:tr>
      <w:tr w:rsidR="00442650" w:rsidRPr="003D5BD7" w:rsidTr="00AA0821">
        <w:trPr>
          <w:cantSplit/>
          <w:trHeight w:val="2042"/>
        </w:trPr>
        <w:tc>
          <w:tcPr>
            <w:tcW w:w="799" w:type="pct"/>
            <w:tcBorders>
              <w:top w:val="single" w:sz="4" w:space="0" w:color="auto"/>
              <w:left w:val="single" w:sz="4" w:space="0" w:color="auto"/>
              <w:bottom w:val="single" w:sz="4" w:space="0" w:color="auto"/>
              <w:right w:val="single" w:sz="4" w:space="0" w:color="auto"/>
            </w:tcBorders>
            <w:hideMark/>
          </w:tcPr>
          <w:p w:rsidR="00442650" w:rsidRPr="003D5BD7" w:rsidRDefault="00442650" w:rsidP="00B138B7">
            <w:pPr>
              <w:pStyle w:val="TableText0"/>
              <w:keepNext w:val="0"/>
              <w:widowControl w:val="0"/>
            </w:pPr>
            <w:r w:rsidRPr="003D5BD7">
              <w:t>Requested PBS listing</w:t>
            </w:r>
          </w:p>
        </w:tc>
        <w:tc>
          <w:tcPr>
            <w:tcW w:w="2099" w:type="pct"/>
            <w:tcBorders>
              <w:top w:val="single" w:sz="4" w:space="0" w:color="auto"/>
              <w:left w:val="single" w:sz="4" w:space="0" w:color="auto"/>
              <w:bottom w:val="single" w:sz="4" w:space="0" w:color="auto"/>
              <w:right w:val="single" w:sz="4" w:space="0" w:color="auto"/>
            </w:tcBorders>
          </w:tcPr>
          <w:p w:rsidR="00442650" w:rsidRPr="003D5BD7" w:rsidRDefault="0018693D" w:rsidP="00B97ADE">
            <w:pPr>
              <w:pStyle w:val="TableText0"/>
              <w:keepNext w:val="0"/>
              <w:widowControl w:val="0"/>
            </w:pPr>
            <w:r w:rsidRPr="003D5BD7">
              <w:t>The submission requested a Section 85, Authority</w:t>
            </w:r>
            <w:r w:rsidR="00B97ADE" w:rsidRPr="003D5BD7">
              <w:t xml:space="preserve"> </w:t>
            </w:r>
            <w:r w:rsidR="00BC63FA" w:rsidRPr="003D5BD7">
              <w:t>Required</w:t>
            </w:r>
            <w:r w:rsidR="00B97ADE" w:rsidRPr="003D5BD7">
              <w:t xml:space="preserve"> (STREAMLINED)</w:t>
            </w:r>
            <w:r w:rsidRPr="003D5BD7">
              <w:t xml:space="preserve"> listing for </w:t>
            </w:r>
            <w:proofErr w:type="spellStart"/>
            <w:r w:rsidRPr="003D5BD7">
              <w:t>semaglutide</w:t>
            </w:r>
            <w:proofErr w:type="spellEnd"/>
            <w:r w:rsidRPr="003D5BD7">
              <w:t xml:space="preserve"> (injectable) for treatment of patients </w:t>
            </w:r>
            <w:r w:rsidR="00B97ADE" w:rsidRPr="003D5BD7">
              <w:t>with T2DM</w:t>
            </w:r>
            <w:r w:rsidRPr="003D5BD7">
              <w:t xml:space="preserve"> who have inadequate glycaemic control, as dual therapy in combination with metformin or a sulfonylurea where either of these is contraindicated or not tolerated; or triple therapy in combination with metformin and a sulfonylurea. (para 1.1) </w:t>
            </w:r>
          </w:p>
        </w:tc>
        <w:tc>
          <w:tcPr>
            <w:tcW w:w="2102" w:type="pct"/>
            <w:tcBorders>
              <w:top w:val="single" w:sz="4" w:space="0" w:color="auto"/>
              <w:left w:val="single" w:sz="4" w:space="0" w:color="auto"/>
              <w:bottom w:val="single" w:sz="4" w:space="0" w:color="auto"/>
              <w:right w:val="single" w:sz="4" w:space="0" w:color="auto"/>
            </w:tcBorders>
          </w:tcPr>
          <w:p w:rsidR="00492CAF" w:rsidRPr="003D5BD7" w:rsidRDefault="00492CAF" w:rsidP="00B138B7">
            <w:pPr>
              <w:pStyle w:val="TableText0"/>
              <w:keepNext w:val="0"/>
              <w:widowControl w:val="0"/>
            </w:pPr>
            <w:r w:rsidRPr="003D5BD7">
              <w:t>The proposed PBS listing is the same as requested in the November 2019 major submission</w:t>
            </w:r>
            <w:r w:rsidR="003D5BD7">
              <w:t xml:space="preserve">. </w:t>
            </w:r>
          </w:p>
          <w:p w:rsidR="00B97ADE" w:rsidRPr="003D5BD7" w:rsidRDefault="00B97ADE" w:rsidP="00B138B7">
            <w:pPr>
              <w:pStyle w:val="TableText0"/>
              <w:keepNext w:val="0"/>
              <w:widowControl w:val="0"/>
            </w:pPr>
          </w:p>
          <w:p w:rsidR="00442650" w:rsidRPr="003D5BD7" w:rsidRDefault="00492CAF" w:rsidP="00854766">
            <w:pPr>
              <w:pStyle w:val="TableText0"/>
              <w:keepNext w:val="0"/>
              <w:widowControl w:val="0"/>
              <w:rPr>
                <w:i/>
              </w:rPr>
            </w:pPr>
            <w:r w:rsidRPr="003D5BD7">
              <w:t xml:space="preserve">In the event that the PBAC does not amend its advice on the therapeutic relativity and </w:t>
            </w:r>
            <w:proofErr w:type="spellStart"/>
            <w:r w:rsidRPr="003D5BD7">
              <w:t>equi</w:t>
            </w:r>
            <w:proofErr w:type="spellEnd"/>
            <w:r w:rsidRPr="003D5BD7">
              <w:t xml:space="preserve">-effective doses of </w:t>
            </w:r>
            <w:proofErr w:type="spellStart"/>
            <w:r w:rsidRPr="003D5BD7">
              <w:t>semaglutide</w:t>
            </w:r>
            <w:proofErr w:type="spellEnd"/>
            <w:r w:rsidRPr="003D5BD7">
              <w:t xml:space="preserve"> and </w:t>
            </w:r>
            <w:proofErr w:type="spellStart"/>
            <w:r w:rsidRPr="003D5BD7">
              <w:t>dulaglutide</w:t>
            </w:r>
            <w:proofErr w:type="spellEnd"/>
            <w:r w:rsidRPr="003D5BD7">
              <w:t xml:space="preserve">, the Sponsor proposed an alternative listing </w:t>
            </w:r>
            <w:r w:rsidR="00E649AF" w:rsidRPr="003D5BD7">
              <w:t xml:space="preserve">scenario entailing initial and continuing treatment </w:t>
            </w:r>
            <w:proofErr w:type="gramStart"/>
            <w:r w:rsidR="00E649AF" w:rsidRPr="003D5BD7">
              <w:t>phases which</w:t>
            </w:r>
            <w:proofErr w:type="gramEnd"/>
            <w:r w:rsidR="00E649AF" w:rsidRPr="003D5BD7">
              <w:t xml:space="preserve"> would restrict use of the 1.5 mL pen device to initial therapy only. </w:t>
            </w:r>
          </w:p>
        </w:tc>
      </w:tr>
      <w:tr w:rsidR="00442650" w:rsidRPr="003D5BD7" w:rsidTr="00442650">
        <w:trPr>
          <w:cantSplit/>
          <w:trHeight w:val="422"/>
        </w:trPr>
        <w:tc>
          <w:tcPr>
            <w:tcW w:w="799" w:type="pct"/>
            <w:tcBorders>
              <w:top w:val="single" w:sz="4" w:space="0" w:color="auto"/>
              <w:left w:val="single" w:sz="4" w:space="0" w:color="auto"/>
              <w:bottom w:val="single" w:sz="4" w:space="0" w:color="auto"/>
              <w:right w:val="single" w:sz="4" w:space="0" w:color="auto"/>
            </w:tcBorders>
            <w:hideMark/>
          </w:tcPr>
          <w:p w:rsidR="00442650" w:rsidRPr="003D5BD7" w:rsidRDefault="00442650" w:rsidP="00B138B7">
            <w:pPr>
              <w:pStyle w:val="TableText0"/>
              <w:keepNext w:val="0"/>
              <w:widowControl w:val="0"/>
            </w:pPr>
            <w:r w:rsidRPr="003D5BD7">
              <w:t>Requested effective DPMQs</w:t>
            </w:r>
          </w:p>
        </w:tc>
        <w:tc>
          <w:tcPr>
            <w:tcW w:w="2099" w:type="pct"/>
            <w:tcBorders>
              <w:top w:val="single" w:sz="4" w:space="0" w:color="auto"/>
              <w:left w:val="single" w:sz="4" w:space="0" w:color="auto"/>
              <w:bottom w:val="single" w:sz="4" w:space="0" w:color="auto"/>
              <w:right w:val="single" w:sz="4" w:space="0" w:color="auto"/>
            </w:tcBorders>
          </w:tcPr>
          <w:p w:rsidR="00442650" w:rsidRPr="003D5BD7" w:rsidRDefault="0018693D" w:rsidP="00B138B7">
            <w:pPr>
              <w:pStyle w:val="TableText0"/>
              <w:keepNext w:val="0"/>
              <w:widowControl w:val="0"/>
              <w:rPr>
                <w:snapToGrid w:val="0"/>
                <w:lang w:eastAsia="en-US"/>
              </w:rPr>
            </w:pPr>
            <w:r w:rsidRPr="003D5BD7">
              <w:rPr>
                <w:snapToGrid w:val="0"/>
                <w:lang w:eastAsia="en-US"/>
              </w:rPr>
              <w:t>$</w:t>
            </w:r>
            <w:r w:rsidR="005D3534">
              <w:rPr>
                <w:noProof/>
                <w:snapToGrid w:val="0"/>
                <w:color w:val="000000"/>
                <w:highlight w:val="black"/>
                <w:lang w:eastAsia="en-US"/>
              </w:rPr>
              <w:t>''''''''''''''''</w:t>
            </w:r>
            <w:r w:rsidR="00093479" w:rsidRPr="003D5BD7">
              <w:rPr>
                <w:snapToGrid w:val="0"/>
                <w:lang w:eastAsia="en-US"/>
              </w:rPr>
              <w:t xml:space="preserve"> </w:t>
            </w:r>
            <w:r w:rsidR="00D40459" w:rsidRPr="003D5BD7">
              <w:rPr>
                <w:snapToGrid w:val="0"/>
                <w:lang w:eastAsia="en-US"/>
              </w:rPr>
              <w:t>(para 6.93)</w:t>
            </w:r>
          </w:p>
        </w:tc>
        <w:tc>
          <w:tcPr>
            <w:tcW w:w="2102" w:type="pct"/>
            <w:tcBorders>
              <w:top w:val="single" w:sz="4" w:space="0" w:color="auto"/>
              <w:left w:val="single" w:sz="4" w:space="0" w:color="auto"/>
              <w:bottom w:val="single" w:sz="4" w:space="0" w:color="auto"/>
              <w:right w:val="single" w:sz="4" w:space="0" w:color="auto"/>
            </w:tcBorders>
          </w:tcPr>
          <w:p w:rsidR="00442650" w:rsidRPr="003D5BD7" w:rsidRDefault="00C7009C" w:rsidP="00C7009C">
            <w:pPr>
              <w:pStyle w:val="TableText0"/>
              <w:keepNext w:val="0"/>
              <w:widowControl w:val="0"/>
              <w:rPr>
                <w:snapToGrid w:val="0"/>
                <w:lang w:eastAsia="en-US"/>
              </w:rPr>
            </w:pPr>
            <w:r w:rsidRPr="003D5BD7">
              <w:rPr>
                <w:snapToGrid w:val="0"/>
                <w:lang w:eastAsia="en-US"/>
              </w:rPr>
              <w:t>$</w:t>
            </w:r>
            <w:r w:rsidR="005D3534">
              <w:rPr>
                <w:noProof/>
                <w:snapToGrid w:val="0"/>
                <w:color w:val="000000"/>
                <w:highlight w:val="black"/>
                <w:lang w:eastAsia="en-US"/>
              </w:rPr>
              <w:t>'''''''''''''''''</w:t>
            </w:r>
          </w:p>
        </w:tc>
      </w:tr>
      <w:tr w:rsidR="00442650" w:rsidRPr="003D5BD7" w:rsidTr="00AA0821">
        <w:trPr>
          <w:cantSplit/>
          <w:trHeight w:val="536"/>
        </w:trPr>
        <w:tc>
          <w:tcPr>
            <w:tcW w:w="799" w:type="pct"/>
            <w:tcBorders>
              <w:top w:val="single" w:sz="4" w:space="0" w:color="auto"/>
              <w:left w:val="single" w:sz="4" w:space="0" w:color="auto"/>
              <w:bottom w:val="single" w:sz="4" w:space="0" w:color="auto"/>
              <w:right w:val="single" w:sz="4" w:space="0" w:color="auto"/>
            </w:tcBorders>
            <w:hideMark/>
          </w:tcPr>
          <w:p w:rsidR="00442650" w:rsidRPr="003D5BD7" w:rsidRDefault="00442650" w:rsidP="00B138B7">
            <w:pPr>
              <w:pStyle w:val="TableText0"/>
              <w:keepNext w:val="0"/>
              <w:widowControl w:val="0"/>
            </w:pPr>
            <w:r w:rsidRPr="003D5BD7">
              <w:lastRenderedPageBreak/>
              <w:t>Comparator</w:t>
            </w:r>
          </w:p>
        </w:tc>
        <w:tc>
          <w:tcPr>
            <w:tcW w:w="2099" w:type="pct"/>
            <w:tcBorders>
              <w:top w:val="single" w:sz="4" w:space="0" w:color="auto"/>
              <w:left w:val="single" w:sz="4" w:space="0" w:color="auto"/>
              <w:bottom w:val="single" w:sz="4" w:space="0" w:color="auto"/>
              <w:right w:val="single" w:sz="4" w:space="0" w:color="auto"/>
            </w:tcBorders>
          </w:tcPr>
          <w:p w:rsidR="00442650" w:rsidRPr="003D5BD7" w:rsidRDefault="009A1EF2" w:rsidP="009A1EF2">
            <w:pPr>
              <w:pStyle w:val="TableText0"/>
              <w:keepNext w:val="0"/>
              <w:widowControl w:val="0"/>
            </w:pPr>
            <w:r w:rsidRPr="003D5BD7">
              <w:t xml:space="preserve">The submission nominated </w:t>
            </w:r>
            <w:proofErr w:type="spellStart"/>
            <w:r w:rsidRPr="003D5BD7">
              <w:t>e</w:t>
            </w:r>
            <w:r w:rsidR="00442650" w:rsidRPr="003D5BD7">
              <w:t>xenatide</w:t>
            </w:r>
            <w:proofErr w:type="spellEnd"/>
            <w:r w:rsidR="00442650" w:rsidRPr="003D5BD7">
              <w:t xml:space="preserve"> </w:t>
            </w:r>
            <w:r w:rsidRPr="003D5BD7">
              <w:t xml:space="preserve">once weekly as the </w:t>
            </w:r>
            <w:r w:rsidR="00D40459" w:rsidRPr="003D5BD7">
              <w:t>main</w:t>
            </w:r>
            <w:r w:rsidRPr="003D5BD7">
              <w:t xml:space="preserve"> comparator and</w:t>
            </w:r>
            <w:r w:rsidR="00442650" w:rsidRPr="003D5BD7">
              <w:t xml:space="preserve"> </w:t>
            </w:r>
            <w:proofErr w:type="spellStart"/>
            <w:r w:rsidR="00442650" w:rsidRPr="003D5BD7">
              <w:t>dulaglutide</w:t>
            </w:r>
            <w:proofErr w:type="spellEnd"/>
            <w:r w:rsidR="00442650" w:rsidRPr="003D5BD7">
              <w:t xml:space="preserve"> </w:t>
            </w:r>
            <w:r w:rsidR="00D40459" w:rsidRPr="003D5BD7">
              <w:t xml:space="preserve">once weekly </w:t>
            </w:r>
            <w:r w:rsidRPr="003D5BD7">
              <w:t>as the secondary comparator</w:t>
            </w:r>
            <w:r w:rsidR="00B97ADE" w:rsidRPr="003D5BD7">
              <w:t>.</w:t>
            </w:r>
            <w:r w:rsidR="00D40459" w:rsidRPr="003D5BD7">
              <w:t xml:space="preserve"> (para 5.1 &amp; 5.2)</w:t>
            </w:r>
          </w:p>
          <w:p w:rsidR="009A1EF2" w:rsidRPr="003D5BD7" w:rsidRDefault="009A1EF2" w:rsidP="009A1EF2">
            <w:pPr>
              <w:pStyle w:val="TableText0"/>
              <w:keepNext w:val="0"/>
              <w:widowControl w:val="0"/>
            </w:pPr>
          </w:p>
          <w:p w:rsidR="009A1EF2" w:rsidRPr="003D5BD7" w:rsidRDefault="009A1EF2" w:rsidP="009A1EF2">
            <w:pPr>
              <w:pStyle w:val="TableText0"/>
              <w:keepNext w:val="0"/>
              <w:widowControl w:val="0"/>
            </w:pPr>
            <w:r w:rsidRPr="003D5BD7">
              <w:t>The</w:t>
            </w:r>
            <w:r w:rsidR="007F50A3" w:rsidRPr="003D5BD7">
              <w:t xml:space="preserve"> PBAC considered that both </w:t>
            </w:r>
            <w:proofErr w:type="spellStart"/>
            <w:r w:rsidR="007F50A3" w:rsidRPr="003D5BD7">
              <w:t>exenatide</w:t>
            </w:r>
            <w:proofErr w:type="spellEnd"/>
            <w:r w:rsidR="007F50A3" w:rsidRPr="003D5BD7">
              <w:t xml:space="preserve"> and </w:t>
            </w:r>
            <w:proofErr w:type="spellStart"/>
            <w:r w:rsidR="007F50A3" w:rsidRPr="003D5BD7">
              <w:t>dulaglutide</w:t>
            </w:r>
            <w:proofErr w:type="spellEnd"/>
            <w:r w:rsidR="007F50A3" w:rsidRPr="003D5BD7">
              <w:t xml:space="preserve"> </w:t>
            </w:r>
            <w:proofErr w:type="gramStart"/>
            <w:r w:rsidR="007F50A3" w:rsidRPr="003D5BD7">
              <w:t>should be considered</w:t>
            </w:r>
            <w:proofErr w:type="gramEnd"/>
            <w:r w:rsidR="007F50A3" w:rsidRPr="003D5BD7">
              <w:t xml:space="preserve"> comparators</w:t>
            </w:r>
            <w:r w:rsidR="00B97ADE" w:rsidRPr="003D5BD7">
              <w:t>.</w:t>
            </w:r>
            <w:r w:rsidR="007F50A3" w:rsidRPr="003D5BD7">
              <w:t xml:space="preserve"> (para 7.4)</w:t>
            </w:r>
          </w:p>
        </w:tc>
        <w:tc>
          <w:tcPr>
            <w:tcW w:w="2102" w:type="pct"/>
            <w:tcBorders>
              <w:top w:val="single" w:sz="4" w:space="0" w:color="auto"/>
              <w:left w:val="single" w:sz="4" w:space="0" w:color="auto"/>
              <w:bottom w:val="single" w:sz="4" w:space="0" w:color="auto"/>
              <w:right w:val="single" w:sz="4" w:space="0" w:color="auto"/>
            </w:tcBorders>
          </w:tcPr>
          <w:p w:rsidR="00442650" w:rsidRPr="003D5BD7" w:rsidRDefault="009A1EF2" w:rsidP="00C06402">
            <w:pPr>
              <w:pStyle w:val="TableText0"/>
              <w:keepNext w:val="0"/>
              <w:widowControl w:val="0"/>
              <w:rPr>
                <w:snapToGrid w:val="0"/>
                <w:lang w:eastAsia="en-US"/>
              </w:rPr>
            </w:pPr>
            <w:r w:rsidRPr="003D5BD7">
              <w:rPr>
                <w:snapToGrid w:val="0"/>
                <w:lang w:eastAsia="en-US"/>
              </w:rPr>
              <w:t xml:space="preserve">The submission nominated </w:t>
            </w:r>
            <w:proofErr w:type="spellStart"/>
            <w:r w:rsidRPr="003D5BD7">
              <w:rPr>
                <w:snapToGrid w:val="0"/>
                <w:lang w:eastAsia="en-US"/>
              </w:rPr>
              <w:t>d</w:t>
            </w:r>
            <w:r w:rsidR="00442650" w:rsidRPr="003D5BD7">
              <w:rPr>
                <w:snapToGrid w:val="0"/>
                <w:lang w:eastAsia="en-US"/>
              </w:rPr>
              <w:t>ulaglutide</w:t>
            </w:r>
            <w:proofErr w:type="spellEnd"/>
            <w:r w:rsidR="00C06402" w:rsidRPr="003D5BD7">
              <w:rPr>
                <w:snapToGrid w:val="0"/>
                <w:lang w:eastAsia="en-US"/>
              </w:rPr>
              <w:t xml:space="preserve"> 1.5 mg</w:t>
            </w:r>
            <w:r w:rsidR="00D40459" w:rsidRPr="003D5BD7">
              <w:rPr>
                <w:snapToGrid w:val="0"/>
                <w:lang w:eastAsia="en-US"/>
              </w:rPr>
              <w:t xml:space="preserve"> once weekly</w:t>
            </w:r>
            <w:r w:rsidRPr="003D5BD7">
              <w:rPr>
                <w:snapToGrid w:val="0"/>
                <w:lang w:eastAsia="en-US"/>
              </w:rPr>
              <w:t xml:space="preserve"> </w:t>
            </w:r>
            <w:r w:rsidR="00C06402" w:rsidRPr="003D5BD7">
              <w:rPr>
                <w:snapToGrid w:val="0"/>
                <w:lang w:eastAsia="en-US"/>
              </w:rPr>
              <w:t>as the comparator</w:t>
            </w:r>
            <w:r w:rsidRPr="003D5BD7">
              <w:rPr>
                <w:snapToGrid w:val="0"/>
                <w:lang w:eastAsia="en-US"/>
              </w:rPr>
              <w:t xml:space="preserve">. </w:t>
            </w:r>
          </w:p>
        </w:tc>
      </w:tr>
      <w:tr w:rsidR="00442650" w:rsidRPr="003D5BD7" w:rsidTr="00442650">
        <w:trPr>
          <w:cantSplit/>
          <w:trHeight w:val="860"/>
        </w:trPr>
        <w:tc>
          <w:tcPr>
            <w:tcW w:w="799" w:type="pct"/>
            <w:tcBorders>
              <w:top w:val="single" w:sz="4" w:space="0" w:color="auto"/>
              <w:left w:val="single" w:sz="4" w:space="0" w:color="auto"/>
              <w:bottom w:val="single" w:sz="4" w:space="0" w:color="auto"/>
              <w:right w:val="single" w:sz="4" w:space="0" w:color="auto"/>
            </w:tcBorders>
            <w:hideMark/>
          </w:tcPr>
          <w:p w:rsidR="00442650" w:rsidRPr="003D5BD7" w:rsidRDefault="00442650" w:rsidP="00B138B7">
            <w:pPr>
              <w:pStyle w:val="TableText0"/>
              <w:keepNext w:val="0"/>
              <w:widowControl w:val="0"/>
              <w:rPr>
                <w:highlight w:val="yellow"/>
              </w:rPr>
            </w:pPr>
            <w:r w:rsidRPr="003D5BD7">
              <w:t>Clinical evidence</w:t>
            </w:r>
          </w:p>
        </w:tc>
        <w:tc>
          <w:tcPr>
            <w:tcW w:w="2099" w:type="pct"/>
            <w:tcBorders>
              <w:top w:val="single" w:sz="4" w:space="0" w:color="auto"/>
              <w:left w:val="single" w:sz="4" w:space="0" w:color="auto"/>
              <w:bottom w:val="single" w:sz="4" w:space="0" w:color="auto"/>
              <w:right w:val="single" w:sz="4" w:space="0" w:color="auto"/>
            </w:tcBorders>
          </w:tcPr>
          <w:p w:rsidR="002F3125" w:rsidRPr="003D5BD7" w:rsidRDefault="002F3125" w:rsidP="002F3125">
            <w:pPr>
              <w:rPr>
                <w:rFonts w:ascii="Arial Narrow" w:eastAsiaTheme="majorEastAsia" w:hAnsi="Arial Narrow" w:cstheme="majorBidi"/>
                <w:bCs/>
                <w:sz w:val="20"/>
              </w:rPr>
            </w:pPr>
            <w:r w:rsidRPr="003D5BD7">
              <w:rPr>
                <w:rFonts w:ascii="Arial Narrow" w:eastAsiaTheme="majorEastAsia" w:hAnsi="Arial Narrow" w:cstheme="majorBidi"/>
                <w:bCs/>
                <w:sz w:val="20"/>
              </w:rPr>
              <w:t xml:space="preserve">Direct comparison of </w:t>
            </w:r>
          </w:p>
          <w:p w:rsidR="002F3125" w:rsidRPr="003D5BD7" w:rsidRDefault="002F3125" w:rsidP="00DC2086">
            <w:pPr>
              <w:pStyle w:val="ListParagraph"/>
              <w:numPr>
                <w:ilvl w:val="0"/>
                <w:numId w:val="12"/>
              </w:numPr>
              <w:rPr>
                <w:rFonts w:ascii="Arial Narrow" w:eastAsiaTheme="majorEastAsia" w:hAnsi="Arial Narrow" w:cstheme="majorBidi"/>
                <w:bCs/>
                <w:snapToGrid/>
                <w:sz w:val="20"/>
              </w:rPr>
            </w:pPr>
            <w:proofErr w:type="spellStart"/>
            <w:r w:rsidRPr="003D5BD7">
              <w:rPr>
                <w:rFonts w:ascii="Arial Narrow" w:eastAsiaTheme="majorEastAsia" w:hAnsi="Arial Narrow" w:cstheme="majorBidi"/>
                <w:bCs/>
                <w:snapToGrid/>
                <w:sz w:val="20"/>
              </w:rPr>
              <w:t>semaglutide</w:t>
            </w:r>
            <w:proofErr w:type="spellEnd"/>
            <w:r w:rsidRPr="003D5BD7">
              <w:rPr>
                <w:rFonts w:ascii="Arial Narrow" w:eastAsiaTheme="majorEastAsia" w:hAnsi="Arial Narrow" w:cstheme="majorBidi"/>
                <w:bCs/>
                <w:snapToGrid/>
                <w:sz w:val="20"/>
              </w:rPr>
              <w:t xml:space="preserve"> 1.0 mg once weekly and </w:t>
            </w:r>
            <w:proofErr w:type="spellStart"/>
            <w:r w:rsidRPr="003D5BD7">
              <w:rPr>
                <w:rFonts w:ascii="Arial Narrow" w:eastAsiaTheme="majorEastAsia" w:hAnsi="Arial Narrow" w:cstheme="majorBidi"/>
                <w:bCs/>
                <w:snapToGrid/>
                <w:sz w:val="20"/>
              </w:rPr>
              <w:t>exenat</w:t>
            </w:r>
            <w:r w:rsidRPr="003D5BD7">
              <w:rPr>
                <w:rFonts w:ascii="Arial Narrow" w:eastAsiaTheme="majorEastAsia" w:hAnsi="Arial Narrow" w:cstheme="majorBidi"/>
                <w:bCs/>
                <w:sz w:val="20"/>
              </w:rPr>
              <w:t>ide</w:t>
            </w:r>
            <w:proofErr w:type="spellEnd"/>
            <w:r w:rsidRPr="003D5BD7">
              <w:rPr>
                <w:rFonts w:ascii="Arial Narrow" w:eastAsiaTheme="majorEastAsia" w:hAnsi="Arial Narrow" w:cstheme="majorBidi"/>
                <w:bCs/>
                <w:sz w:val="20"/>
              </w:rPr>
              <w:t xml:space="preserve"> 2.0 mg once weekly</w:t>
            </w:r>
            <w:r w:rsidRPr="003D5BD7">
              <w:rPr>
                <w:rFonts w:ascii="Arial Narrow" w:eastAsiaTheme="majorEastAsia" w:hAnsi="Arial Narrow" w:cstheme="majorBidi"/>
                <w:bCs/>
                <w:snapToGrid/>
                <w:sz w:val="20"/>
              </w:rPr>
              <w:t>; and</w:t>
            </w:r>
          </w:p>
          <w:p w:rsidR="002F3125" w:rsidRPr="003D5BD7" w:rsidRDefault="002F3125" w:rsidP="00DC2086">
            <w:pPr>
              <w:pStyle w:val="ListParagraph"/>
              <w:numPr>
                <w:ilvl w:val="0"/>
                <w:numId w:val="12"/>
              </w:numPr>
              <w:rPr>
                <w:rFonts w:ascii="Arial Narrow" w:eastAsiaTheme="majorEastAsia" w:hAnsi="Arial Narrow" w:cstheme="majorBidi"/>
                <w:bCs/>
                <w:snapToGrid/>
                <w:sz w:val="20"/>
              </w:rPr>
            </w:pPr>
            <w:proofErr w:type="spellStart"/>
            <w:r w:rsidRPr="003D5BD7">
              <w:rPr>
                <w:rFonts w:ascii="Arial Narrow" w:eastAsiaTheme="majorEastAsia" w:hAnsi="Arial Narrow" w:cstheme="majorBidi"/>
                <w:bCs/>
                <w:snapToGrid/>
                <w:sz w:val="20"/>
              </w:rPr>
              <w:t>semaglutide</w:t>
            </w:r>
            <w:proofErr w:type="spellEnd"/>
            <w:r w:rsidRPr="003D5BD7">
              <w:rPr>
                <w:rFonts w:ascii="Arial Narrow" w:eastAsiaTheme="majorEastAsia" w:hAnsi="Arial Narrow" w:cstheme="majorBidi"/>
                <w:bCs/>
                <w:snapToGrid/>
                <w:sz w:val="20"/>
              </w:rPr>
              <w:t xml:space="preserve"> 0.5 mg once weekly with </w:t>
            </w:r>
            <w:proofErr w:type="spellStart"/>
            <w:r w:rsidRPr="003D5BD7">
              <w:rPr>
                <w:rFonts w:ascii="Arial Narrow" w:eastAsiaTheme="majorEastAsia" w:hAnsi="Arial Narrow" w:cstheme="majorBidi"/>
                <w:bCs/>
                <w:snapToGrid/>
                <w:sz w:val="20"/>
              </w:rPr>
              <w:t>dulaglutide</w:t>
            </w:r>
            <w:proofErr w:type="spellEnd"/>
            <w:r w:rsidRPr="003D5BD7">
              <w:rPr>
                <w:rFonts w:ascii="Arial Narrow" w:eastAsiaTheme="majorEastAsia" w:hAnsi="Arial Narrow" w:cstheme="majorBidi"/>
                <w:bCs/>
                <w:snapToGrid/>
                <w:sz w:val="20"/>
              </w:rPr>
              <w:t xml:space="preserve"> 0.75 mg once weekly;</w:t>
            </w:r>
          </w:p>
          <w:p w:rsidR="002F3125" w:rsidRPr="003D5BD7" w:rsidRDefault="002F3125" w:rsidP="00DC2086">
            <w:pPr>
              <w:pStyle w:val="ListParagraph"/>
              <w:numPr>
                <w:ilvl w:val="0"/>
                <w:numId w:val="12"/>
              </w:numPr>
              <w:rPr>
                <w:rFonts w:ascii="Arial Narrow" w:eastAsiaTheme="majorEastAsia" w:hAnsi="Arial Narrow" w:cstheme="majorBidi"/>
                <w:bCs/>
                <w:snapToGrid/>
                <w:sz w:val="20"/>
              </w:rPr>
            </w:pPr>
            <w:proofErr w:type="spellStart"/>
            <w:proofErr w:type="gramStart"/>
            <w:r w:rsidRPr="003D5BD7">
              <w:rPr>
                <w:rFonts w:ascii="Arial Narrow" w:eastAsiaTheme="majorEastAsia" w:hAnsi="Arial Narrow" w:cstheme="majorBidi"/>
                <w:bCs/>
                <w:snapToGrid/>
                <w:sz w:val="20"/>
              </w:rPr>
              <w:t>semaglutide</w:t>
            </w:r>
            <w:proofErr w:type="spellEnd"/>
            <w:proofErr w:type="gramEnd"/>
            <w:r w:rsidRPr="003D5BD7">
              <w:rPr>
                <w:rFonts w:ascii="Arial Narrow" w:eastAsiaTheme="majorEastAsia" w:hAnsi="Arial Narrow" w:cstheme="majorBidi"/>
                <w:bCs/>
                <w:snapToGrid/>
                <w:sz w:val="20"/>
              </w:rPr>
              <w:t xml:space="preserve"> 1.0 mg once weekly with </w:t>
            </w:r>
            <w:proofErr w:type="spellStart"/>
            <w:r w:rsidRPr="003D5BD7">
              <w:rPr>
                <w:rFonts w:ascii="Arial Narrow" w:eastAsiaTheme="majorEastAsia" w:hAnsi="Arial Narrow" w:cstheme="majorBidi"/>
                <w:bCs/>
                <w:snapToGrid/>
                <w:sz w:val="20"/>
              </w:rPr>
              <w:t>dulaglutide</w:t>
            </w:r>
            <w:proofErr w:type="spellEnd"/>
            <w:r w:rsidRPr="003D5BD7">
              <w:rPr>
                <w:rFonts w:ascii="Arial Narrow" w:eastAsiaTheme="majorEastAsia" w:hAnsi="Arial Narrow" w:cstheme="majorBidi"/>
                <w:bCs/>
                <w:snapToGrid/>
                <w:sz w:val="20"/>
              </w:rPr>
              <w:t xml:space="preserve"> 1.5 mg once weekly.</w:t>
            </w:r>
          </w:p>
          <w:p w:rsidR="002F3125" w:rsidRPr="003D5BD7" w:rsidRDefault="002F3125" w:rsidP="002F3125">
            <w:pPr>
              <w:rPr>
                <w:rFonts w:ascii="Arial Narrow" w:eastAsiaTheme="majorEastAsia" w:hAnsi="Arial Narrow" w:cstheme="majorBidi"/>
                <w:bCs/>
                <w:sz w:val="20"/>
              </w:rPr>
            </w:pPr>
            <w:r w:rsidRPr="003D5BD7">
              <w:rPr>
                <w:rFonts w:ascii="Arial Narrow" w:eastAsiaTheme="majorEastAsia" w:hAnsi="Arial Narrow" w:cstheme="majorBidi"/>
                <w:bCs/>
                <w:sz w:val="20"/>
              </w:rPr>
              <w:t xml:space="preserve">The </w:t>
            </w:r>
            <w:r w:rsidR="00B839BA">
              <w:rPr>
                <w:rFonts w:ascii="Arial Narrow" w:eastAsiaTheme="majorEastAsia" w:hAnsi="Arial Narrow" w:cstheme="majorBidi"/>
                <w:bCs/>
                <w:sz w:val="20"/>
              </w:rPr>
              <w:t>Pre-Sub-Committee Response</w:t>
            </w:r>
            <w:r w:rsidR="000F282C">
              <w:rPr>
                <w:rFonts w:ascii="Arial Narrow" w:eastAsiaTheme="majorEastAsia" w:hAnsi="Arial Narrow" w:cstheme="majorBidi"/>
                <w:bCs/>
                <w:sz w:val="20"/>
              </w:rPr>
              <w:t xml:space="preserve"> (PSCR)</w:t>
            </w:r>
            <w:r w:rsidRPr="003D5BD7">
              <w:rPr>
                <w:rFonts w:ascii="Arial Narrow" w:eastAsiaTheme="majorEastAsia" w:hAnsi="Arial Narrow" w:cstheme="majorBidi"/>
                <w:bCs/>
                <w:sz w:val="20"/>
              </w:rPr>
              <w:t xml:space="preserve"> provided results from a post-hoc cross dose analysis comparing 0.5 mg </w:t>
            </w:r>
            <w:proofErr w:type="spellStart"/>
            <w:r w:rsidRPr="003D5BD7">
              <w:rPr>
                <w:rFonts w:ascii="Arial Narrow" w:eastAsiaTheme="majorEastAsia" w:hAnsi="Arial Narrow" w:cstheme="majorBidi"/>
                <w:bCs/>
                <w:sz w:val="20"/>
              </w:rPr>
              <w:t>semaglutide</w:t>
            </w:r>
            <w:proofErr w:type="spellEnd"/>
            <w:r w:rsidRPr="003D5BD7">
              <w:rPr>
                <w:rFonts w:ascii="Arial Narrow" w:eastAsiaTheme="majorEastAsia" w:hAnsi="Arial Narrow" w:cstheme="majorBidi"/>
                <w:bCs/>
                <w:sz w:val="20"/>
              </w:rPr>
              <w:t xml:space="preserve"> once weekly and 1.5 mg </w:t>
            </w:r>
            <w:proofErr w:type="spellStart"/>
            <w:r w:rsidRPr="003D5BD7">
              <w:rPr>
                <w:rFonts w:ascii="Arial Narrow" w:eastAsiaTheme="majorEastAsia" w:hAnsi="Arial Narrow" w:cstheme="majorBidi"/>
                <w:bCs/>
                <w:sz w:val="20"/>
              </w:rPr>
              <w:t>dulaglutide</w:t>
            </w:r>
            <w:proofErr w:type="spellEnd"/>
            <w:r w:rsidRPr="003D5BD7">
              <w:rPr>
                <w:rFonts w:ascii="Arial Narrow" w:eastAsiaTheme="majorEastAsia" w:hAnsi="Arial Narrow" w:cstheme="majorBidi"/>
                <w:bCs/>
                <w:sz w:val="20"/>
              </w:rPr>
              <w:t xml:space="preserve"> once weekly.</w:t>
            </w:r>
          </w:p>
          <w:p w:rsidR="002F3125" w:rsidRPr="003D5BD7" w:rsidRDefault="002F3125" w:rsidP="002F3125">
            <w:pPr>
              <w:rPr>
                <w:rFonts w:ascii="Arial Narrow" w:eastAsiaTheme="majorEastAsia" w:hAnsi="Arial Narrow" w:cstheme="majorBidi"/>
                <w:bCs/>
                <w:sz w:val="20"/>
              </w:rPr>
            </w:pPr>
          </w:p>
          <w:p w:rsidR="00442650" w:rsidRPr="003D5BD7" w:rsidRDefault="002F3125" w:rsidP="002F3125">
            <w:r w:rsidRPr="003D5BD7">
              <w:rPr>
                <w:rFonts w:ascii="Arial Narrow" w:eastAsiaTheme="majorEastAsia" w:hAnsi="Arial Narrow" w:cstheme="majorBidi"/>
                <w:bCs/>
                <w:sz w:val="20"/>
              </w:rPr>
              <w:t xml:space="preserve">Supportive cardiovascular safety and long-term outcomes data of </w:t>
            </w:r>
            <w:proofErr w:type="spellStart"/>
            <w:r w:rsidRPr="003D5BD7">
              <w:rPr>
                <w:rFonts w:ascii="Arial Narrow" w:eastAsiaTheme="majorEastAsia" w:hAnsi="Arial Narrow" w:cstheme="majorBidi"/>
                <w:bCs/>
                <w:sz w:val="20"/>
              </w:rPr>
              <w:t>semaglutide</w:t>
            </w:r>
            <w:proofErr w:type="spellEnd"/>
            <w:r w:rsidRPr="003D5BD7">
              <w:rPr>
                <w:rFonts w:ascii="Arial Narrow" w:eastAsiaTheme="majorEastAsia" w:hAnsi="Arial Narrow" w:cstheme="majorBidi"/>
                <w:bCs/>
                <w:sz w:val="20"/>
              </w:rPr>
              <w:t xml:space="preserve"> 0.5 mg once weekly and </w:t>
            </w:r>
            <w:proofErr w:type="spellStart"/>
            <w:r w:rsidRPr="003D5BD7">
              <w:rPr>
                <w:rFonts w:ascii="Arial Narrow" w:eastAsiaTheme="majorEastAsia" w:hAnsi="Arial Narrow" w:cstheme="majorBidi"/>
                <w:bCs/>
                <w:sz w:val="20"/>
              </w:rPr>
              <w:t>semaglutide</w:t>
            </w:r>
            <w:proofErr w:type="spellEnd"/>
            <w:r w:rsidRPr="003D5BD7">
              <w:rPr>
                <w:rFonts w:ascii="Arial Narrow" w:eastAsiaTheme="majorEastAsia" w:hAnsi="Arial Narrow" w:cstheme="majorBidi"/>
                <w:bCs/>
                <w:sz w:val="20"/>
              </w:rPr>
              <w:t xml:space="preserve"> 1.0 mg once weekly versus placebo.</w:t>
            </w:r>
          </w:p>
        </w:tc>
        <w:tc>
          <w:tcPr>
            <w:tcW w:w="2102" w:type="pct"/>
            <w:tcBorders>
              <w:top w:val="single" w:sz="4" w:space="0" w:color="auto"/>
              <w:left w:val="single" w:sz="4" w:space="0" w:color="auto"/>
              <w:bottom w:val="single" w:sz="4" w:space="0" w:color="auto"/>
              <w:right w:val="single" w:sz="4" w:space="0" w:color="auto"/>
            </w:tcBorders>
          </w:tcPr>
          <w:p w:rsidR="00442650" w:rsidRPr="003D5BD7" w:rsidRDefault="00C7009C" w:rsidP="00B138B7">
            <w:pPr>
              <w:pStyle w:val="TableText0"/>
              <w:keepNext w:val="0"/>
              <w:widowControl w:val="0"/>
            </w:pPr>
            <w:r w:rsidRPr="003D5BD7">
              <w:t xml:space="preserve">Unchanged </w:t>
            </w:r>
          </w:p>
        </w:tc>
      </w:tr>
      <w:tr w:rsidR="00C7009C" w:rsidRPr="003D5BD7" w:rsidTr="007F50A3">
        <w:trPr>
          <w:cantSplit/>
          <w:trHeight w:val="501"/>
        </w:trPr>
        <w:tc>
          <w:tcPr>
            <w:tcW w:w="799" w:type="pct"/>
            <w:tcBorders>
              <w:top w:val="single" w:sz="4" w:space="0" w:color="auto"/>
              <w:left w:val="single" w:sz="4" w:space="0" w:color="auto"/>
              <w:bottom w:val="single" w:sz="4" w:space="0" w:color="auto"/>
              <w:right w:val="single" w:sz="4" w:space="0" w:color="auto"/>
            </w:tcBorders>
            <w:hideMark/>
          </w:tcPr>
          <w:p w:rsidR="00C7009C" w:rsidRPr="003D5BD7" w:rsidRDefault="00C7009C" w:rsidP="00C7009C">
            <w:pPr>
              <w:pStyle w:val="TableText0"/>
              <w:keepNext w:val="0"/>
              <w:widowControl w:val="0"/>
              <w:rPr>
                <w:highlight w:val="yellow"/>
              </w:rPr>
            </w:pPr>
            <w:r w:rsidRPr="003D5BD7">
              <w:t>Key effectiveness data</w:t>
            </w:r>
          </w:p>
        </w:tc>
        <w:tc>
          <w:tcPr>
            <w:tcW w:w="2099" w:type="pct"/>
            <w:tcBorders>
              <w:top w:val="single" w:sz="4" w:space="0" w:color="auto"/>
              <w:left w:val="single" w:sz="4" w:space="0" w:color="auto"/>
              <w:bottom w:val="single" w:sz="4" w:space="0" w:color="auto"/>
              <w:right w:val="single" w:sz="4" w:space="0" w:color="auto"/>
            </w:tcBorders>
          </w:tcPr>
          <w:p w:rsidR="00C7009C" w:rsidRPr="003D5BD7" w:rsidRDefault="007F50A3" w:rsidP="00C7009C">
            <w:pPr>
              <w:pStyle w:val="TableText0"/>
              <w:keepNext w:val="0"/>
              <w:widowControl w:val="0"/>
            </w:pPr>
            <w:r w:rsidRPr="003D5BD7">
              <w:t>Primary outcome of change in HbA1c and secondary outcome of change in bodyweight.</w:t>
            </w:r>
          </w:p>
        </w:tc>
        <w:tc>
          <w:tcPr>
            <w:tcW w:w="2102" w:type="pct"/>
            <w:tcBorders>
              <w:top w:val="single" w:sz="4" w:space="0" w:color="auto"/>
              <w:left w:val="single" w:sz="4" w:space="0" w:color="auto"/>
              <w:bottom w:val="single" w:sz="4" w:space="0" w:color="auto"/>
              <w:right w:val="single" w:sz="4" w:space="0" w:color="auto"/>
            </w:tcBorders>
          </w:tcPr>
          <w:p w:rsidR="00B906B5" w:rsidRPr="003D5BD7" w:rsidRDefault="00B906B5" w:rsidP="00B906B5">
            <w:pPr>
              <w:pStyle w:val="TableText0"/>
              <w:rPr>
                <w:rFonts w:ascii="Calibri" w:eastAsia="Times New Roman" w:hAnsi="Calibri" w:cs="Times New Roman"/>
                <w:sz w:val="24"/>
              </w:rPr>
            </w:pPr>
            <w:r w:rsidRPr="003D5BD7">
              <w:t xml:space="preserve">The submission presented additional details from the SUSTAIN 7 trial, including the post-hoc analysis of this comparison, as presented in the </w:t>
            </w:r>
            <w:r w:rsidR="000F282C">
              <w:t>PSCR</w:t>
            </w:r>
            <w:r w:rsidRPr="003D5BD7">
              <w:t xml:space="preserve"> in November 2019.</w:t>
            </w:r>
          </w:p>
          <w:p w:rsidR="00C7009C" w:rsidRPr="003D5BD7" w:rsidRDefault="00C7009C" w:rsidP="00C7009C">
            <w:pPr>
              <w:pStyle w:val="TableText0"/>
              <w:keepNext w:val="0"/>
              <w:widowControl w:val="0"/>
              <w:rPr>
                <w:i/>
              </w:rPr>
            </w:pPr>
          </w:p>
        </w:tc>
      </w:tr>
      <w:tr w:rsidR="00C7009C" w:rsidRPr="003D5BD7" w:rsidTr="00442650">
        <w:trPr>
          <w:cantSplit/>
          <w:trHeight w:val="860"/>
        </w:trPr>
        <w:tc>
          <w:tcPr>
            <w:tcW w:w="799" w:type="pct"/>
            <w:tcBorders>
              <w:top w:val="single" w:sz="4" w:space="0" w:color="auto"/>
              <w:left w:val="single" w:sz="4" w:space="0" w:color="auto"/>
              <w:bottom w:val="single" w:sz="4" w:space="0" w:color="auto"/>
              <w:right w:val="single" w:sz="4" w:space="0" w:color="auto"/>
            </w:tcBorders>
            <w:hideMark/>
          </w:tcPr>
          <w:p w:rsidR="00C7009C" w:rsidRPr="003D5BD7" w:rsidRDefault="00C7009C" w:rsidP="00C7009C">
            <w:pPr>
              <w:pStyle w:val="TableText0"/>
              <w:keepNext w:val="0"/>
              <w:widowControl w:val="0"/>
            </w:pPr>
            <w:r w:rsidRPr="003D5BD7">
              <w:lastRenderedPageBreak/>
              <w:t>Clinical claim</w:t>
            </w:r>
          </w:p>
        </w:tc>
        <w:tc>
          <w:tcPr>
            <w:tcW w:w="2099" w:type="pct"/>
            <w:tcBorders>
              <w:top w:val="single" w:sz="4" w:space="0" w:color="auto"/>
              <w:left w:val="single" w:sz="4" w:space="0" w:color="auto"/>
              <w:bottom w:val="single" w:sz="4" w:space="0" w:color="auto"/>
              <w:right w:val="single" w:sz="4" w:space="0" w:color="auto"/>
            </w:tcBorders>
          </w:tcPr>
          <w:p w:rsidR="00F8274F" w:rsidRPr="003D5BD7" w:rsidRDefault="00F8274F" w:rsidP="00F8274F">
            <w:pPr>
              <w:pStyle w:val="TableText0"/>
              <w:keepNext w:val="0"/>
              <w:widowControl w:val="0"/>
            </w:pPr>
            <w:r w:rsidRPr="003D5BD7">
              <w:t xml:space="preserve">Claim of superiority in terms of effectiveness and non-inferiority in terms of safety for </w:t>
            </w:r>
            <w:proofErr w:type="spellStart"/>
            <w:r w:rsidRPr="003D5BD7">
              <w:t>semaglutide</w:t>
            </w:r>
            <w:proofErr w:type="spellEnd"/>
            <w:r w:rsidRPr="003D5BD7">
              <w:t xml:space="preserve"> 1.0 mg compared to </w:t>
            </w:r>
            <w:proofErr w:type="spellStart"/>
            <w:r w:rsidRPr="003D5BD7">
              <w:t>exenatide</w:t>
            </w:r>
            <w:proofErr w:type="spellEnd"/>
            <w:r w:rsidRPr="003D5BD7">
              <w:t xml:space="preserve"> 2.0 mg once weekly when used as dual or triple therapy with metformin and/or sulfonylurea. (para 6.60)</w:t>
            </w:r>
          </w:p>
          <w:p w:rsidR="00F8274F" w:rsidRPr="003D5BD7" w:rsidRDefault="00F8274F" w:rsidP="00F8274F">
            <w:pPr>
              <w:pStyle w:val="TableText0"/>
              <w:keepNext w:val="0"/>
              <w:widowControl w:val="0"/>
            </w:pPr>
          </w:p>
          <w:p w:rsidR="00F8274F" w:rsidRPr="003D5BD7" w:rsidRDefault="00F8274F" w:rsidP="00F8274F">
            <w:pPr>
              <w:pStyle w:val="TableText0"/>
              <w:keepNext w:val="0"/>
              <w:widowControl w:val="0"/>
            </w:pPr>
            <w:r w:rsidRPr="003D5BD7">
              <w:t xml:space="preserve">No claim was made for </w:t>
            </w:r>
            <w:proofErr w:type="spellStart"/>
            <w:r w:rsidRPr="003D5BD7">
              <w:t>semaglutide</w:t>
            </w:r>
            <w:proofErr w:type="spellEnd"/>
            <w:r w:rsidRPr="003D5BD7">
              <w:t xml:space="preserve"> 0.5 mg versus </w:t>
            </w:r>
            <w:proofErr w:type="spellStart"/>
            <w:r w:rsidRPr="003D5BD7">
              <w:t>exenatide</w:t>
            </w:r>
            <w:proofErr w:type="spellEnd"/>
            <w:r w:rsidRPr="003D5BD7">
              <w:t xml:space="preserve"> 2.0 mg</w:t>
            </w:r>
            <w:r w:rsidR="008177C5" w:rsidRPr="003D5BD7">
              <w:t>.</w:t>
            </w:r>
            <w:r w:rsidRPr="003D5BD7">
              <w:t xml:space="preserve"> (para 6.61)</w:t>
            </w:r>
          </w:p>
          <w:p w:rsidR="00F8274F" w:rsidRPr="003D5BD7" w:rsidRDefault="00F8274F" w:rsidP="00F8274F">
            <w:pPr>
              <w:pStyle w:val="TableText0"/>
              <w:keepNext w:val="0"/>
              <w:widowControl w:val="0"/>
            </w:pPr>
          </w:p>
          <w:p w:rsidR="00F8274F" w:rsidRPr="003D5BD7" w:rsidRDefault="00F8274F" w:rsidP="00F8274F">
            <w:pPr>
              <w:pStyle w:val="TableText0"/>
              <w:keepNext w:val="0"/>
              <w:widowControl w:val="0"/>
            </w:pPr>
            <w:r w:rsidRPr="003D5BD7">
              <w:t>Claim of superiority in terms of efficacy and non-inferior</w:t>
            </w:r>
            <w:r w:rsidR="008177C5" w:rsidRPr="003D5BD7">
              <w:t>ity</w:t>
            </w:r>
            <w:r w:rsidRPr="003D5BD7">
              <w:t xml:space="preserve"> in terms of safety for </w:t>
            </w:r>
            <w:proofErr w:type="spellStart"/>
            <w:r w:rsidRPr="003D5BD7">
              <w:t>semaglutide</w:t>
            </w:r>
            <w:proofErr w:type="spellEnd"/>
            <w:r w:rsidRPr="003D5BD7">
              <w:t xml:space="preserve"> (0.5mg or 1mg weekly) compared with </w:t>
            </w:r>
            <w:proofErr w:type="spellStart"/>
            <w:r w:rsidRPr="003D5BD7">
              <w:t>dulaglutide</w:t>
            </w:r>
            <w:proofErr w:type="spellEnd"/>
            <w:r w:rsidRPr="003D5BD7">
              <w:t xml:space="preserve"> 1.5 mg once weekly in dual therapy with metformin or sulfonylurea. (para 6.62, 6.63)</w:t>
            </w:r>
          </w:p>
          <w:p w:rsidR="00F8274F" w:rsidRPr="003D5BD7" w:rsidRDefault="00F8274F" w:rsidP="00F8274F">
            <w:pPr>
              <w:pStyle w:val="TableText0"/>
              <w:keepNext w:val="0"/>
              <w:widowControl w:val="0"/>
            </w:pPr>
          </w:p>
          <w:p w:rsidR="00C7009C" w:rsidRPr="003D5BD7" w:rsidRDefault="00F8274F" w:rsidP="00C7009C">
            <w:pPr>
              <w:pStyle w:val="TableText0"/>
              <w:keepNext w:val="0"/>
              <w:widowControl w:val="0"/>
            </w:pPr>
            <w:r w:rsidRPr="003D5BD7">
              <w:t xml:space="preserve">No claim </w:t>
            </w:r>
            <w:proofErr w:type="gramStart"/>
            <w:r w:rsidRPr="003D5BD7">
              <w:t>was made</w:t>
            </w:r>
            <w:proofErr w:type="gramEnd"/>
            <w:r w:rsidRPr="003D5BD7">
              <w:t xml:space="preserve"> </w:t>
            </w:r>
            <w:r w:rsidR="00C7009C" w:rsidRPr="003D5BD7">
              <w:t xml:space="preserve">for </w:t>
            </w:r>
            <w:proofErr w:type="spellStart"/>
            <w:r w:rsidR="00C7009C" w:rsidRPr="003D5BD7">
              <w:t>semaglutide</w:t>
            </w:r>
            <w:proofErr w:type="spellEnd"/>
            <w:r w:rsidR="00C7009C" w:rsidRPr="003D5BD7">
              <w:t xml:space="preserve"> </w:t>
            </w:r>
            <w:r w:rsidRPr="003D5BD7">
              <w:t>(</w:t>
            </w:r>
            <w:r w:rsidR="00C7009C" w:rsidRPr="003D5BD7">
              <w:t>0.5 mg or 1.0 mg</w:t>
            </w:r>
            <w:r w:rsidR="00F76CEE" w:rsidRPr="003D5BD7">
              <w:t>)</w:t>
            </w:r>
            <w:r w:rsidR="00C7009C" w:rsidRPr="003D5BD7">
              <w:t xml:space="preserve"> once weekly versus </w:t>
            </w:r>
            <w:proofErr w:type="spellStart"/>
            <w:r w:rsidR="00C7009C" w:rsidRPr="003D5BD7">
              <w:t>dulaglutide</w:t>
            </w:r>
            <w:proofErr w:type="spellEnd"/>
            <w:r w:rsidR="00C7009C" w:rsidRPr="003D5BD7">
              <w:t xml:space="preserve"> 1.5 mg once weekly in triple therapy with metformin and sulfonylurea. (para 6.64)</w:t>
            </w:r>
          </w:p>
          <w:p w:rsidR="00D3228C" w:rsidRPr="003D5BD7" w:rsidRDefault="00D3228C" w:rsidP="00C7009C">
            <w:pPr>
              <w:pStyle w:val="TableText0"/>
              <w:keepNext w:val="0"/>
              <w:widowControl w:val="0"/>
            </w:pPr>
          </w:p>
          <w:p w:rsidR="001B5A44" w:rsidRPr="003D5BD7" w:rsidRDefault="00D3228C" w:rsidP="00C7009C">
            <w:pPr>
              <w:pStyle w:val="TableText0"/>
              <w:keepNext w:val="0"/>
              <w:widowControl w:val="0"/>
            </w:pPr>
            <w:r w:rsidRPr="003D5BD7">
              <w:t>The PBAC previously accepted</w:t>
            </w:r>
            <w:r w:rsidR="0054450A" w:rsidRPr="003D5BD7">
              <w:t xml:space="preserve"> </w:t>
            </w:r>
            <w:proofErr w:type="spellStart"/>
            <w:r w:rsidR="001B5A44" w:rsidRPr="003D5BD7">
              <w:t>semaglutide</w:t>
            </w:r>
            <w:proofErr w:type="spellEnd"/>
            <w:r w:rsidR="001B5A44" w:rsidRPr="003D5BD7">
              <w:t xml:space="preserve"> as non-inferior in terms of effectiveness to </w:t>
            </w:r>
            <w:proofErr w:type="spellStart"/>
            <w:r w:rsidR="001B5A44" w:rsidRPr="003D5BD7">
              <w:t>dulaglutide</w:t>
            </w:r>
            <w:proofErr w:type="spellEnd"/>
            <w:r w:rsidR="001B5A44" w:rsidRPr="003D5BD7">
              <w:t xml:space="preserve"> (para 7.10) and a claim of non-inferior safety for </w:t>
            </w:r>
            <w:proofErr w:type="spellStart"/>
            <w:r w:rsidR="001B5A44" w:rsidRPr="003D5BD7">
              <w:t>semaglutide</w:t>
            </w:r>
            <w:proofErr w:type="spellEnd"/>
            <w:r w:rsidR="001B5A44" w:rsidRPr="003D5BD7">
              <w:t xml:space="preserve"> 1.0 mg and </w:t>
            </w:r>
            <w:proofErr w:type="spellStart"/>
            <w:r w:rsidR="001B5A44" w:rsidRPr="003D5BD7">
              <w:t>dulaglutide</w:t>
            </w:r>
            <w:proofErr w:type="spellEnd"/>
            <w:r w:rsidR="001B5A44" w:rsidRPr="003D5BD7">
              <w:t xml:space="preserve"> 1.5 mg (para 7.9).</w:t>
            </w:r>
          </w:p>
          <w:p w:rsidR="001B5A44" w:rsidRPr="003D5BD7" w:rsidRDefault="001B5A44" w:rsidP="00C7009C">
            <w:pPr>
              <w:pStyle w:val="TableText0"/>
              <w:keepNext w:val="0"/>
              <w:widowControl w:val="0"/>
            </w:pPr>
          </w:p>
          <w:p w:rsidR="001B5A44" w:rsidRPr="003D5BD7" w:rsidRDefault="001B5A44" w:rsidP="001B5A44">
            <w:pPr>
              <w:pStyle w:val="TableText0"/>
              <w:keepNext w:val="0"/>
              <w:widowControl w:val="0"/>
            </w:pPr>
            <w:r w:rsidRPr="003D5BD7">
              <w:t xml:space="preserve">The PBAC recommended 1.0 mg </w:t>
            </w:r>
            <w:proofErr w:type="spellStart"/>
            <w:r w:rsidRPr="003D5BD7">
              <w:t>semaglutide</w:t>
            </w:r>
            <w:proofErr w:type="spellEnd"/>
            <w:r w:rsidRPr="003D5BD7">
              <w:t xml:space="preserve"> once weekly was </w:t>
            </w:r>
            <w:proofErr w:type="spellStart"/>
            <w:r w:rsidRPr="003D5BD7">
              <w:t>equi</w:t>
            </w:r>
            <w:proofErr w:type="spellEnd"/>
            <w:r w:rsidRPr="003D5BD7">
              <w:t xml:space="preserve">-effective to 1.5 mg </w:t>
            </w:r>
            <w:proofErr w:type="spellStart"/>
            <w:r w:rsidRPr="003D5BD7">
              <w:t>dulaglutide</w:t>
            </w:r>
            <w:proofErr w:type="spellEnd"/>
            <w:r w:rsidRPr="003D5BD7">
              <w:t xml:space="preserve"> once weekly (para 7.14).</w:t>
            </w:r>
          </w:p>
        </w:tc>
        <w:tc>
          <w:tcPr>
            <w:tcW w:w="2102" w:type="pct"/>
            <w:tcBorders>
              <w:top w:val="single" w:sz="4" w:space="0" w:color="auto"/>
              <w:left w:val="single" w:sz="4" w:space="0" w:color="auto"/>
              <w:bottom w:val="single" w:sz="4" w:space="0" w:color="auto"/>
              <w:right w:val="single" w:sz="4" w:space="0" w:color="auto"/>
            </w:tcBorders>
          </w:tcPr>
          <w:p w:rsidR="00C7009C" w:rsidRPr="003D5BD7" w:rsidRDefault="00C7009C" w:rsidP="00C7009C">
            <w:pPr>
              <w:pStyle w:val="TableText0"/>
              <w:keepNext w:val="0"/>
              <w:widowControl w:val="0"/>
            </w:pPr>
            <w:proofErr w:type="spellStart"/>
            <w:r w:rsidRPr="003D5BD7">
              <w:t>Semaglutide</w:t>
            </w:r>
            <w:proofErr w:type="spellEnd"/>
            <w:r w:rsidRPr="003D5BD7">
              <w:t xml:space="preserve"> (</w:t>
            </w:r>
            <w:r w:rsidR="001E4F61" w:rsidRPr="003D5BD7">
              <w:t xml:space="preserve">both </w:t>
            </w:r>
            <w:r w:rsidRPr="003D5BD7">
              <w:t>0.5</w:t>
            </w:r>
            <w:r w:rsidR="008177C5" w:rsidRPr="003D5BD7">
              <w:t xml:space="preserve"> </w:t>
            </w:r>
            <w:r w:rsidRPr="003D5BD7">
              <w:t xml:space="preserve">mg </w:t>
            </w:r>
            <w:r w:rsidR="001E4F61" w:rsidRPr="003D5BD7">
              <w:t>and</w:t>
            </w:r>
            <w:r w:rsidRPr="003D5BD7">
              <w:t xml:space="preserve"> 1</w:t>
            </w:r>
            <w:r w:rsidR="008177C5" w:rsidRPr="003D5BD7">
              <w:t xml:space="preserve"> </w:t>
            </w:r>
            <w:r w:rsidRPr="003D5BD7">
              <w:t>mg weekly</w:t>
            </w:r>
            <w:r w:rsidR="001E4F61" w:rsidRPr="003D5BD7">
              <w:t xml:space="preserve"> regimens</w:t>
            </w:r>
            <w:r w:rsidRPr="003D5BD7">
              <w:t xml:space="preserve">) </w:t>
            </w:r>
            <w:r w:rsidR="001E4F61" w:rsidRPr="003D5BD7">
              <w:t>is at least</w:t>
            </w:r>
            <w:r w:rsidRPr="003D5BD7">
              <w:t xml:space="preserve"> non-inferior in terms of efficacy and similar in terms of safety to </w:t>
            </w:r>
            <w:proofErr w:type="spellStart"/>
            <w:r w:rsidRPr="003D5BD7">
              <w:t>dulaglutide</w:t>
            </w:r>
            <w:proofErr w:type="spellEnd"/>
            <w:r w:rsidRPr="003D5BD7">
              <w:t xml:space="preserve"> 1.5mg once weekly when used as dual or triple therapy with metformin and/or a sulfonylurea.</w:t>
            </w:r>
          </w:p>
          <w:p w:rsidR="00C7009C" w:rsidRPr="003D5BD7" w:rsidRDefault="00C7009C" w:rsidP="00C7009C">
            <w:pPr>
              <w:pStyle w:val="TableText0"/>
              <w:keepNext w:val="0"/>
              <w:widowControl w:val="0"/>
              <w:rPr>
                <w:i/>
              </w:rPr>
            </w:pPr>
          </w:p>
        </w:tc>
      </w:tr>
      <w:tr w:rsidR="00C7009C" w:rsidRPr="003D5BD7" w:rsidTr="00442650">
        <w:trPr>
          <w:cantSplit/>
          <w:trHeight w:val="860"/>
        </w:trPr>
        <w:tc>
          <w:tcPr>
            <w:tcW w:w="799" w:type="pct"/>
            <w:tcBorders>
              <w:top w:val="single" w:sz="4" w:space="0" w:color="auto"/>
              <w:left w:val="single" w:sz="4" w:space="0" w:color="auto"/>
              <w:bottom w:val="single" w:sz="4" w:space="0" w:color="auto"/>
              <w:right w:val="single" w:sz="4" w:space="0" w:color="auto"/>
            </w:tcBorders>
            <w:hideMark/>
          </w:tcPr>
          <w:p w:rsidR="00C7009C" w:rsidRPr="003D5BD7" w:rsidRDefault="00C7009C" w:rsidP="00C7009C">
            <w:pPr>
              <w:pStyle w:val="TableText0"/>
              <w:keepNext w:val="0"/>
              <w:widowControl w:val="0"/>
              <w:rPr>
                <w:highlight w:val="yellow"/>
              </w:rPr>
            </w:pPr>
            <w:r w:rsidRPr="003D5BD7">
              <w:t>Economic evaluation</w:t>
            </w:r>
          </w:p>
        </w:tc>
        <w:tc>
          <w:tcPr>
            <w:tcW w:w="2099" w:type="pct"/>
            <w:tcBorders>
              <w:top w:val="single" w:sz="4" w:space="0" w:color="auto"/>
              <w:left w:val="single" w:sz="4" w:space="0" w:color="auto"/>
              <w:bottom w:val="single" w:sz="4" w:space="0" w:color="auto"/>
              <w:right w:val="single" w:sz="4" w:space="0" w:color="auto"/>
            </w:tcBorders>
          </w:tcPr>
          <w:p w:rsidR="00C7009C" w:rsidRPr="003D5BD7" w:rsidRDefault="00C7009C" w:rsidP="00C7009C">
            <w:pPr>
              <w:pStyle w:val="TableText0"/>
              <w:keepNext w:val="0"/>
              <w:widowControl w:val="0"/>
            </w:pPr>
            <w:r w:rsidRPr="003D5BD7">
              <w:t xml:space="preserve">The submission proposed a cost-utility analysis compared to </w:t>
            </w:r>
            <w:proofErr w:type="spellStart"/>
            <w:r w:rsidRPr="003D5BD7">
              <w:t>exenatide</w:t>
            </w:r>
            <w:proofErr w:type="spellEnd"/>
            <w:r w:rsidRPr="003D5BD7">
              <w:t xml:space="preserve"> once weekly.</w:t>
            </w:r>
          </w:p>
          <w:p w:rsidR="00C7009C" w:rsidRPr="003D5BD7" w:rsidRDefault="00C7009C" w:rsidP="00C7009C">
            <w:pPr>
              <w:pStyle w:val="TableText0"/>
              <w:keepNext w:val="0"/>
              <w:widowControl w:val="0"/>
            </w:pPr>
          </w:p>
          <w:p w:rsidR="00C7009C" w:rsidRPr="003D5BD7" w:rsidRDefault="00C7009C" w:rsidP="0040078E">
            <w:pPr>
              <w:pStyle w:val="TableText0"/>
              <w:keepNext w:val="0"/>
              <w:widowControl w:val="0"/>
            </w:pPr>
            <w:r w:rsidRPr="003D5BD7">
              <w:t xml:space="preserve">The </w:t>
            </w:r>
            <w:r w:rsidR="0040078E" w:rsidRPr="003D5BD7">
              <w:t>PBA</w:t>
            </w:r>
            <w:r w:rsidR="008177C5" w:rsidRPr="003D5BD7">
              <w:t>C</w:t>
            </w:r>
            <w:r w:rsidR="0040078E" w:rsidRPr="003D5BD7">
              <w:t xml:space="preserve"> considered that the cost-effectiveness</w:t>
            </w:r>
            <w:r w:rsidR="002F3125" w:rsidRPr="003D5BD7">
              <w:t xml:space="preserve"> of </w:t>
            </w:r>
            <w:proofErr w:type="spellStart"/>
            <w:r w:rsidR="002F3125" w:rsidRPr="003D5BD7">
              <w:t>semaglutide</w:t>
            </w:r>
            <w:proofErr w:type="spellEnd"/>
            <w:r w:rsidR="0040078E" w:rsidRPr="003D5BD7">
              <w:t xml:space="preserve"> would be appropriate if it were cost-minimised to </w:t>
            </w:r>
            <w:proofErr w:type="spellStart"/>
            <w:r w:rsidR="0040078E" w:rsidRPr="003D5BD7">
              <w:t>dulaglutide</w:t>
            </w:r>
            <w:proofErr w:type="spellEnd"/>
            <w:r w:rsidR="0040078E" w:rsidRPr="003D5BD7">
              <w:t>. (para 7.2)</w:t>
            </w:r>
          </w:p>
        </w:tc>
        <w:tc>
          <w:tcPr>
            <w:tcW w:w="2102" w:type="pct"/>
            <w:tcBorders>
              <w:top w:val="single" w:sz="4" w:space="0" w:color="auto"/>
              <w:left w:val="single" w:sz="4" w:space="0" w:color="auto"/>
              <w:bottom w:val="single" w:sz="4" w:space="0" w:color="auto"/>
              <w:right w:val="single" w:sz="4" w:space="0" w:color="auto"/>
            </w:tcBorders>
          </w:tcPr>
          <w:p w:rsidR="00C7009C" w:rsidRPr="003D5BD7" w:rsidRDefault="00C7009C" w:rsidP="00C7009C">
            <w:pPr>
              <w:pStyle w:val="TableText0"/>
              <w:keepNext w:val="0"/>
              <w:widowControl w:val="0"/>
            </w:pPr>
            <w:r w:rsidRPr="003D5BD7">
              <w:t xml:space="preserve">The resubmission presented a cost minimisation analysis of </w:t>
            </w:r>
            <w:proofErr w:type="spellStart"/>
            <w:r w:rsidRPr="003D5BD7">
              <w:t>semaglutide</w:t>
            </w:r>
            <w:proofErr w:type="spellEnd"/>
            <w:r w:rsidRPr="003D5BD7">
              <w:t xml:space="preserve"> (either 0.5 mg or 1 mg weekly) and </w:t>
            </w:r>
            <w:proofErr w:type="spellStart"/>
            <w:r w:rsidRPr="003D5BD7">
              <w:t>dulaglutide</w:t>
            </w:r>
            <w:proofErr w:type="spellEnd"/>
            <w:r w:rsidRPr="003D5BD7">
              <w:t xml:space="preserve"> 1.5 mg weekly. </w:t>
            </w:r>
          </w:p>
          <w:p w:rsidR="00C7009C" w:rsidRPr="003D5BD7" w:rsidRDefault="00C7009C" w:rsidP="00C7009C">
            <w:pPr>
              <w:pStyle w:val="TableText0"/>
              <w:keepNext w:val="0"/>
              <w:widowControl w:val="0"/>
            </w:pPr>
          </w:p>
          <w:p w:rsidR="008805F1" w:rsidRPr="003D5BD7" w:rsidRDefault="008805F1" w:rsidP="008805F1">
            <w:pPr>
              <w:pStyle w:val="TableText0"/>
              <w:keepNext w:val="0"/>
              <w:widowControl w:val="0"/>
            </w:pPr>
          </w:p>
        </w:tc>
      </w:tr>
      <w:tr w:rsidR="00C7009C" w:rsidRPr="003D5BD7" w:rsidTr="00442650">
        <w:trPr>
          <w:cantSplit/>
          <w:trHeight w:val="416"/>
        </w:trPr>
        <w:tc>
          <w:tcPr>
            <w:tcW w:w="799" w:type="pct"/>
            <w:tcBorders>
              <w:top w:val="single" w:sz="4" w:space="0" w:color="auto"/>
              <w:left w:val="single" w:sz="4" w:space="0" w:color="auto"/>
              <w:bottom w:val="single" w:sz="4" w:space="0" w:color="auto"/>
              <w:right w:val="single" w:sz="4" w:space="0" w:color="auto"/>
            </w:tcBorders>
            <w:hideMark/>
          </w:tcPr>
          <w:p w:rsidR="00C7009C" w:rsidRPr="003D5BD7" w:rsidRDefault="00C7009C" w:rsidP="00BC64F0">
            <w:pPr>
              <w:pStyle w:val="TableText0"/>
              <w:keepNext w:val="0"/>
              <w:widowControl w:val="0"/>
              <w:rPr>
                <w:highlight w:val="yellow"/>
              </w:rPr>
            </w:pPr>
            <w:r w:rsidRPr="003D5BD7">
              <w:t xml:space="preserve">Number of </w:t>
            </w:r>
            <w:r w:rsidR="00BC64F0" w:rsidRPr="003D5BD7">
              <w:t>prescriptions</w:t>
            </w:r>
          </w:p>
        </w:tc>
        <w:tc>
          <w:tcPr>
            <w:tcW w:w="2099" w:type="pct"/>
            <w:tcBorders>
              <w:top w:val="single" w:sz="4" w:space="0" w:color="auto"/>
              <w:left w:val="single" w:sz="4" w:space="0" w:color="auto"/>
              <w:bottom w:val="single" w:sz="4" w:space="0" w:color="auto"/>
              <w:right w:val="single" w:sz="4" w:space="0" w:color="auto"/>
            </w:tcBorders>
          </w:tcPr>
          <w:p w:rsidR="00C7009C" w:rsidRPr="003D5BD7" w:rsidRDefault="00AC732C" w:rsidP="00C7009C">
            <w:pPr>
              <w:pStyle w:val="TableText0"/>
              <w:keepNext w:val="0"/>
              <w:widowControl w:val="0"/>
            </w:pPr>
            <w:r w:rsidRPr="003D5BD7">
              <w:t>Estimated</w:t>
            </w:r>
            <w:r w:rsidR="008C6998" w:rsidRPr="003D5BD7">
              <w:t xml:space="preserve"> </w:t>
            </w:r>
            <w:r w:rsidR="008900C1">
              <w:t>50,000 – 100,000</w:t>
            </w:r>
            <w:r w:rsidR="008C6998" w:rsidRPr="003D5BD7">
              <w:t xml:space="preserve"> in year</w:t>
            </w:r>
            <w:r w:rsidR="00946569" w:rsidRPr="003D5BD7">
              <w:t xml:space="preserve"> </w:t>
            </w:r>
            <w:r w:rsidR="008C6998" w:rsidRPr="003D5BD7">
              <w:t xml:space="preserve">1, increasing to </w:t>
            </w:r>
            <w:r w:rsidR="008900C1">
              <w:t>over 200,000</w:t>
            </w:r>
            <w:r w:rsidR="008C6998" w:rsidRPr="003D5BD7">
              <w:t xml:space="preserve"> in year 6</w:t>
            </w:r>
            <w:r w:rsidR="008177C5" w:rsidRPr="003D5BD7">
              <w:t>.</w:t>
            </w:r>
          </w:p>
          <w:p w:rsidR="00E57E7D" w:rsidRPr="003D5BD7" w:rsidRDefault="00E57E7D" w:rsidP="00C7009C">
            <w:pPr>
              <w:pStyle w:val="TableText0"/>
              <w:keepNext w:val="0"/>
              <w:widowControl w:val="0"/>
            </w:pPr>
          </w:p>
          <w:p w:rsidR="00E57E7D" w:rsidRPr="003D5BD7" w:rsidRDefault="00E57E7D" w:rsidP="00C7009C">
            <w:pPr>
              <w:pStyle w:val="TableText0"/>
              <w:keepNext w:val="0"/>
              <w:widowControl w:val="0"/>
            </w:pPr>
            <w:r w:rsidRPr="003D5BD7">
              <w:t xml:space="preserve">The submission assumed </w:t>
            </w:r>
            <w:proofErr w:type="spellStart"/>
            <w:r w:rsidRPr="003D5BD7">
              <w:t>semaglutide</w:t>
            </w:r>
            <w:proofErr w:type="spellEnd"/>
            <w:r w:rsidRPr="003D5BD7">
              <w:t xml:space="preserve"> would substitute for </w:t>
            </w:r>
            <w:proofErr w:type="spellStart"/>
            <w:r w:rsidRPr="003D5BD7">
              <w:t>exenatide</w:t>
            </w:r>
            <w:proofErr w:type="spellEnd"/>
            <w:r w:rsidRPr="003D5BD7">
              <w:t xml:space="preserve">, </w:t>
            </w:r>
            <w:proofErr w:type="spellStart"/>
            <w:r w:rsidRPr="003D5BD7">
              <w:t>dulaglutide</w:t>
            </w:r>
            <w:proofErr w:type="spellEnd"/>
            <w:r w:rsidRPr="003D5BD7">
              <w:t xml:space="preserve">, </w:t>
            </w:r>
            <w:proofErr w:type="spellStart"/>
            <w:r w:rsidRPr="003D5BD7">
              <w:t>sitagliptin</w:t>
            </w:r>
            <w:proofErr w:type="spellEnd"/>
            <w:r w:rsidRPr="003D5BD7">
              <w:t xml:space="preserve"> (poxy for DPP4) and </w:t>
            </w:r>
            <w:proofErr w:type="spellStart"/>
            <w:r w:rsidRPr="003D5BD7">
              <w:t>empagliflozin</w:t>
            </w:r>
            <w:proofErr w:type="spellEnd"/>
            <w:r w:rsidRPr="003D5BD7">
              <w:t xml:space="preserve"> (proxy for SGLT2 inhibitors). The submission also assumed some substitution for insulin glargine in years 4-6.</w:t>
            </w:r>
          </w:p>
        </w:tc>
        <w:tc>
          <w:tcPr>
            <w:tcW w:w="2102" w:type="pct"/>
            <w:tcBorders>
              <w:top w:val="single" w:sz="4" w:space="0" w:color="auto"/>
              <w:left w:val="single" w:sz="4" w:space="0" w:color="auto"/>
              <w:bottom w:val="single" w:sz="4" w:space="0" w:color="auto"/>
              <w:right w:val="single" w:sz="4" w:space="0" w:color="auto"/>
            </w:tcBorders>
          </w:tcPr>
          <w:p w:rsidR="00C7009C" w:rsidRPr="003D5BD7" w:rsidRDefault="00BC64F0" w:rsidP="00C7009C">
            <w:pPr>
              <w:pStyle w:val="TableText0"/>
              <w:keepNext w:val="0"/>
              <w:widowControl w:val="0"/>
            </w:pPr>
            <w:r w:rsidRPr="003D5BD7">
              <w:t xml:space="preserve">Estimate </w:t>
            </w:r>
            <w:r w:rsidR="00D23B3D">
              <w:t>50,000 – 100,000</w:t>
            </w:r>
            <w:r w:rsidRPr="003D5BD7">
              <w:t xml:space="preserve"> prescriptions in year 1, increasing to </w:t>
            </w:r>
            <w:r w:rsidR="00D23B3D">
              <w:t xml:space="preserve">100,000 – 200,000 </w:t>
            </w:r>
            <w:r w:rsidRPr="003D5BD7">
              <w:t>in year 6.</w:t>
            </w:r>
          </w:p>
          <w:p w:rsidR="00E57E7D" w:rsidRPr="003D5BD7" w:rsidRDefault="00E57E7D" w:rsidP="00C7009C">
            <w:pPr>
              <w:pStyle w:val="TableText0"/>
              <w:keepNext w:val="0"/>
              <w:widowControl w:val="0"/>
            </w:pPr>
          </w:p>
          <w:p w:rsidR="00E57E7D" w:rsidRPr="003D5BD7" w:rsidRDefault="008177C5" w:rsidP="006D0ACF">
            <w:pPr>
              <w:pStyle w:val="TableText0"/>
              <w:keepNext w:val="0"/>
              <w:widowControl w:val="0"/>
            </w:pPr>
            <w:r w:rsidRPr="003D5BD7">
              <w:t>The resubmission assumed</w:t>
            </w:r>
            <w:r w:rsidR="00E57E7D" w:rsidRPr="003D5BD7">
              <w:t xml:space="preserve"> simple substitution of </w:t>
            </w:r>
            <w:proofErr w:type="spellStart"/>
            <w:r w:rsidR="00E57E7D" w:rsidRPr="003D5BD7">
              <w:t>semaglutide</w:t>
            </w:r>
            <w:proofErr w:type="spellEnd"/>
            <w:r w:rsidR="00E57E7D" w:rsidRPr="003D5BD7">
              <w:t xml:space="preserve"> for </w:t>
            </w:r>
            <w:proofErr w:type="spellStart"/>
            <w:r w:rsidR="00E57E7D" w:rsidRPr="003D5BD7">
              <w:t>dulaglutide</w:t>
            </w:r>
            <w:proofErr w:type="spellEnd"/>
            <w:r w:rsidR="00E57E7D" w:rsidRPr="003D5BD7">
              <w:t xml:space="preserve"> on a 1:1 basis.</w:t>
            </w:r>
          </w:p>
          <w:p w:rsidR="00946569" w:rsidRPr="003D5BD7" w:rsidRDefault="00946569" w:rsidP="006D0ACF">
            <w:pPr>
              <w:pStyle w:val="TableText0"/>
              <w:keepNext w:val="0"/>
              <w:widowControl w:val="0"/>
            </w:pPr>
          </w:p>
          <w:p w:rsidR="00946569" w:rsidRPr="003D5BD7" w:rsidRDefault="00946569" w:rsidP="006D0ACF">
            <w:pPr>
              <w:pStyle w:val="TableText0"/>
              <w:keepNext w:val="0"/>
              <w:widowControl w:val="0"/>
              <w:rPr>
                <w:i/>
              </w:rPr>
            </w:pPr>
          </w:p>
        </w:tc>
      </w:tr>
      <w:tr w:rsidR="00C7009C" w:rsidRPr="003D5BD7" w:rsidTr="007F50A3">
        <w:trPr>
          <w:cantSplit/>
          <w:trHeight w:val="416"/>
        </w:trPr>
        <w:tc>
          <w:tcPr>
            <w:tcW w:w="799" w:type="pct"/>
            <w:tcBorders>
              <w:top w:val="single" w:sz="4" w:space="0" w:color="auto"/>
              <w:left w:val="single" w:sz="4" w:space="0" w:color="auto"/>
              <w:bottom w:val="single" w:sz="4" w:space="0" w:color="auto"/>
              <w:right w:val="single" w:sz="4" w:space="0" w:color="auto"/>
            </w:tcBorders>
            <w:hideMark/>
          </w:tcPr>
          <w:p w:rsidR="00C7009C" w:rsidRPr="003D5BD7" w:rsidRDefault="00C7009C" w:rsidP="00C7009C">
            <w:pPr>
              <w:pStyle w:val="TableText0"/>
              <w:keepNext w:val="0"/>
              <w:widowControl w:val="0"/>
              <w:rPr>
                <w:highlight w:val="yellow"/>
              </w:rPr>
            </w:pPr>
            <w:r w:rsidRPr="003D5BD7">
              <w:t>Estimated net cost to PBS</w:t>
            </w:r>
          </w:p>
        </w:tc>
        <w:tc>
          <w:tcPr>
            <w:tcW w:w="2099" w:type="pct"/>
            <w:tcBorders>
              <w:top w:val="single" w:sz="4" w:space="0" w:color="auto"/>
              <w:left w:val="single" w:sz="4" w:space="0" w:color="auto"/>
              <w:bottom w:val="single" w:sz="4" w:space="0" w:color="auto"/>
              <w:right w:val="single" w:sz="4" w:space="0" w:color="auto"/>
            </w:tcBorders>
          </w:tcPr>
          <w:p w:rsidR="00C7009C" w:rsidRPr="003D5BD7" w:rsidRDefault="00AE2585" w:rsidP="00AE2585">
            <w:pPr>
              <w:pStyle w:val="TableText0"/>
              <w:keepNext w:val="0"/>
              <w:widowControl w:val="0"/>
            </w:pPr>
            <w:r>
              <w:t>Less than $10 million</w:t>
            </w:r>
            <w:r w:rsidR="00C7009C" w:rsidRPr="003D5BD7">
              <w:t xml:space="preserve"> cost in year 1 increasing to </w:t>
            </w:r>
            <w:r>
              <w:t>$30 - $60 million</w:t>
            </w:r>
            <w:r w:rsidR="00C7009C" w:rsidRPr="003D5BD7">
              <w:t xml:space="preserve"> cost in year 6.</w:t>
            </w:r>
          </w:p>
        </w:tc>
        <w:tc>
          <w:tcPr>
            <w:tcW w:w="2102" w:type="pct"/>
            <w:tcBorders>
              <w:top w:val="single" w:sz="4" w:space="0" w:color="auto"/>
              <w:left w:val="single" w:sz="4" w:space="0" w:color="auto"/>
              <w:bottom w:val="single" w:sz="4" w:space="0" w:color="auto"/>
              <w:right w:val="single" w:sz="4" w:space="0" w:color="auto"/>
            </w:tcBorders>
          </w:tcPr>
          <w:p w:rsidR="00C7009C" w:rsidRPr="003D5BD7" w:rsidRDefault="00C7009C" w:rsidP="008177C5">
            <w:pPr>
              <w:pStyle w:val="TableText0"/>
              <w:keepNext w:val="0"/>
              <w:widowControl w:val="0"/>
            </w:pPr>
            <w:r w:rsidRPr="003D5BD7">
              <w:t xml:space="preserve">The resubmission assumed that </w:t>
            </w:r>
            <w:r w:rsidR="008C6998" w:rsidRPr="003D5BD7">
              <w:t xml:space="preserve">listing of </w:t>
            </w:r>
            <w:proofErr w:type="spellStart"/>
            <w:r w:rsidR="008C6998" w:rsidRPr="003D5BD7">
              <w:t>semaglutide</w:t>
            </w:r>
            <w:proofErr w:type="spellEnd"/>
            <w:r w:rsidR="008C6998" w:rsidRPr="003D5BD7">
              <w:t xml:space="preserve"> would</w:t>
            </w:r>
            <w:r w:rsidRPr="003D5BD7">
              <w:t xml:space="preserve"> be cost neutral as it will replace use of </w:t>
            </w:r>
            <w:proofErr w:type="spellStart"/>
            <w:r w:rsidRPr="003D5BD7">
              <w:t>dulaglutide</w:t>
            </w:r>
            <w:proofErr w:type="spellEnd"/>
            <w:r w:rsidRPr="003D5BD7">
              <w:t xml:space="preserve"> and/or </w:t>
            </w:r>
            <w:proofErr w:type="spellStart"/>
            <w:proofErr w:type="gramStart"/>
            <w:r w:rsidRPr="003D5BD7">
              <w:t>exenatide</w:t>
            </w:r>
            <w:proofErr w:type="spellEnd"/>
            <w:r w:rsidRPr="003D5BD7">
              <w:t xml:space="preserve"> which</w:t>
            </w:r>
            <w:proofErr w:type="gramEnd"/>
            <w:r w:rsidRPr="003D5BD7">
              <w:t xml:space="preserve"> have the same or higher price, respectively.</w:t>
            </w:r>
          </w:p>
        </w:tc>
      </w:tr>
      <w:tr w:rsidR="00C7009C" w:rsidRPr="003D5BD7" w:rsidTr="00442650">
        <w:trPr>
          <w:cantSplit/>
          <w:trHeight w:val="416"/>
        </w:trPr>
        <w:tc>
          <w:tcPr>
            <w:tcW w:w="799" w:type="pct"/>
            <w:tcBorders>
              <w:top w:val="single" w:sz="4" w:space="0" w:color="auto"/>
              <w:left w:val="single" w:sz="4" w:space="0" w:color="auto"/>
              <w:bottom w:val="single" w:sz="4" w:space="0" w:color="auto"/>
              <w:right w:val="single" w:sz="4" w:space="0" w:color="auto"/>
            </w:tcBorders>
            <w:hideMark/>
          </w:tcPr>
          <w:p w:rsidR="00C7009C" w:rsidRPr="003D5BD7" w:rsidRDefault="00C7009C" w:rsidP="00C7009C">
            <w:pPr>
              <w:pStyle w:val="TableText0"/>
              <w:keepNext w:val="0"/>
              <w:widowControl w:val="0"/>
            </w:pPr>
            <w:r w:rsidRPr="003D5BD7">
              <w:t>Risk sharing arrangement</w:t>
            </w:r>
          </w:p>
        </w:tc>
        <w:tc>
          <w:tcPr>
            <w:tcW w:w="2099" w:type="pct"/>
            <w:tcBorders>
              <w:top w:val="single" w:sz="4" w:space="0" w:color="auto"/>
              <w:left w:val="single" w:sz="4" w:space="0" w:color="auto"/>
              <w:bottom w:val="single" w:sz="4" w:space="0" w:color="auto"/>
              <w:right w:val="single" w:sz="4" w:space="0" w:color="auto"/>
            </w:tcBorders>
          </w:tcPr>
          <w:p w:rsidR="00C7009C" w:rsidRPr="003D5BD7" w:rsidRDefault="00C7009C" w:rsidP="00C7009C">
            <w:pPr>
              <w:pStyle w:val="TableText0"/>
              <w:keepNext w:val="0"/>
              <w:widowControl w:val="0"/>
            </w:pPr>
            <w:r w:rsidRPr="003D5BD7">
              <w:t>Not requested</w:t>
            </w:r>
          </w:p>
        </w:tc>
        <w:tc>
          <w:tcPr>
            <w:tcW w:w="2102" w:type="pct"/>
            <w:tcBorders>
              <w:top w:val="single" w:sz="4" w:space="0" w:color="auto"/>
              <w:left w:val="single" w:sz="4" w:space="0" w:color="auto"/>
              <w:bottom w:val="single" w:sz="4" w:space="0" w:color="auto"/>
              <w:right w:val="single" w:sz="4" w:space="0" w:color="auto"/>
            </w:tcBorders>
          </w:tcPr>
          <w:p w:rsidR="00C7009C" w:rsidRPr="003D5BD7" w:rsidRDefault="00C7009C" w:rsidP="00C7009C">
            <w:pPr>
              <w:pStyle w:val="TableText0"/>
              <w:keepNext w:val="0"/>
              <w:widowControl w:val="0"/>
            </w:pPr>
            <w:r w:rsidRPr="003D5BD7">
              <w:t>Not requested</w:t>
            </w:r>
          </w:p>
        </w:tc>
      </w:tr>
      <w:tr w:rsidR="00C7009C" w:rsidRPr="003D5BD7" w:rsidTr="00442650">
        <w:trPr>
          <w:cantSplit/>
          <w:trHeight w:val="860"/>
        </w:trPr>
        <w:tc>
          <w:tcPr>
            <w:tcW w:w="799" w:type="pct"/>
            <w:tcBorders>
              <w:top w:val="single" w:sz="4" w:space="0" w:color="auto"/>
              <w:left w:val="single" w:sz="4" w:space="0" w:color="auto"/>
              <w:bottom w:val="single" w:sz="4" w:space="0" w:color="auto"/>
              <w:right w:val="single" w:sz="4" w:space="0" w:color="auto"/>
            </w:tcBorders>
            <w:hideMark/>
          </w:tcPr>
          <w:p w:rsidR="00C7009C" w:rsidRPr="003D5BD7" w:rsidRDefault="00C7009C" w:rsidP="00C7009C">
            <w:pPr>
              <w:pStyle w:val="TableText0"/>
              <w:keepNext w:val="0"/>
              <w:widowControl w:val="0"/>
              <w:rPr>
                <w:highlight w:val="yellow"/>
              </w:rPr>
            </w:pPr>
            <w:r w:rsidRPr="003D5BD7">
              <w:rPr>
                <w:highlight w:val="yellow"/>
              </w:rPr>
              <w:lastRenderedPageBreak/>
              <w:br w:type="page"/>
            </w:r>
            <w:r w:rsidRPr="003D5BD7">
              <w:t>PBAC decision</w:t>
            </w:r>
          </w:p>
        </w:tc>
        <w:tc>
          <w:tcPr>
            <w:tcW w:w="2099" w:type="pct"/>
            <w:tcBorders>
              <w:top w:val="single" w:sz="4" w:space="0" w:color="auto"/>
              <w:left w:val="single" w:sz="4" w:space="0" w:color="auto"/>
              <w:bottom w:val="single" w:sz="4" w:space="0" w:color="auto"/>
              <w:right w:val="single" w:sz="4" w:space="0" w:color="auto"/>
            </w:tcBorders>
            <w:hideMark/>
          </w:tcPr>
          <w:p w:rsidR="00C7009C" w:rsidRPr="003D5BD7" w:rsidRDefault="00C7009C" w:rsidP="00C7009C">
            <w:pPr>
              <w:pStyle w:val="TableText0"/>
              <w:keepNext w:val="0"/>
              <w:widowControl w:val="0"/>
              <w:rPr>
                <w:bCs w:val="0"/>
              </w:rPr>
            </w:pPr>
            <w:r w:rsidRPr="003D5BD7">
              <w:t>Recommend</w:t>
            </w:r>
          </w:p>
          <w:p w:rsidR="00C7009C" w:rsidRPr="003D5BD7" w:rsidRDefault="00C7009C" w:rsidP="00AF7929">
            <w:pPr>
              <w:pStyle w:val="TableText0"/>
              <w:keepNext w:val="0"/>
              <w:widowControl w:val="0"/>
            </w:pPr>
            <w:r w:rsidRPr="003D5BD7">
              <w:t xml:space="preserve">PBAC Comment: The PBAC recommended the listing of </w:t>
            </w:r>
            <w:proofErr w:type="spellStart"/>
            <w:r w:rsidRPr="003D5BD7">
              <w:t>semaglutide</w:t>
            </w:r>
            <w:proofErr w:type="spellEnd"/>
            <w:r w:rsidRPr="003D5BD7">
              <w:t xml:space="preserve"> (injectable) for treatment of patients with </w:t>
            </w:r>
            <w:r w:rsidR="00AF7929" w:rsidRPr="003D5BD7">
              <w:t>T2DM</w:t>
            </w:r>
            <w:r w:rsidRPr="003D5BD7">
              <w:t xml:space="preserve"> who have inadequate glycaemic control, as dual therapy in combination with metformin or a sulfonylurea where </w:t>
            </w:r>
            <w:proofErr w:type="gramStart"/>
            <w:r w:rsidRPr="003D5BD7">
              <w:t>either of these is</w:t>
            </w:r>
            <w:proofErr w:type="gramEnd"/>
            <w:r w:rsidRPr="003D5BD7">
              <w:t xml:space="preserve"> contraindicated or not tolerated; or triple therapy in combination with metformin and a sulfonylurea. (para 7.1)</w:t>
            </w:r>
          </w:p>
        </w:tc>
        <w:tc>
          <w:tcPr>
            <w:tcW w:w="2102" w:type="pct"/>
            <w:tcBorders>
              <w:top w:val="single" w:sz="4" w:space="0" w:color="auto"/>
              <w:left w:val="single" w:sz="4" w:space="0" w:color="auto"/>
              <w:bottom w:val="single" w:sz="4" w:space="0" w:color="auto"/>
              <w:right w:val="single" w:sz="4" w:space="0" w:color="auto"/>
            </w:tcBorders>
            <w:hideMark/>
          </w:tcPr>
          <w:p w:rsidR="00C7009C" w:rsidRPr="003D5BD7" w:rsidRDefault="00C7009C" w:rsidP="00C7009C">
            <w:pPr>
              <w:pStyle w:val="TableText0"/>
              <w:keepNext w:val="0"/>
              <w:widowControl w:val="0"/>
            </w:pPr>
            <w:r w:rsidRPr="003D5BD7">
              <w:t>-</w:t>
            </w:r>
          </w:p>
        </w:tc>
      </w:tr>
    </w:tbl>
    <w:p w:rsidR="00CA19E6" w:rsidRPr="003D5BD7" w:rsidRDefault="00CA19E6" w:rsidP="00B03FD0">
      <w:pPr>
        <w:snapToGrid w:val="0"/>
        <w:spacing w:after="120"/>
        <w:rPr>
          <w:rFonts w:ascii="Arial Narrow" w:hAnsi="Arial Narrow" w:cs="Arial"/>
          <w:sz w:val="18"/>
          <w:szCs w:val="20"/>
          <w:lang w:eastAsia="en-US"/>
        </w:rPr>
      </w:pPr>
      <w:r w:rsidRPr="003D5BD7">
        <w:rPr>
          <w:rFonts w:ascii="Arial Narrow" w:hAnsi="Arial Narrow" w:cs="Arial"/>
          <w:sz w:val="18"/>
          <w:szCs w:val="20"/>
          <w:lang w:eastAsia="en-US"/>
        </w:rPr>
        <w:t xml:space="preserve">Source: Compiled during the evaluation. Paragraph references for </w:t>
      </w:r>
      <w:r w:rsidR="00093479" w:rsidRPr="003D5BD7">
        <w:rPr>
          <w:rFonts w:ascii="Arial Narrow" w:hAnsi="Arial Narrow" w:cs="Arial"/>
          <w:sz w:val="18"/>
          <w:szCs w:val="20"/>
          <w:lang w:eastAsia="en-US"/>
        </w:rPr>
        <w:t>November 2019</w:t>
      </w:r>
      <w:r w:rsidRPr="003D5BD7">
        <w:rPr>
          <w:rFonts w:ascii="Arial Narrow" w:hAnsi="Arial Narrow" w:cs="Arial"/>
          <w:sz w:val="18"/>
          <w:szCs w:val="20"/>
          <w:lang w:eastAsia="en-US"/>
        </w:rPr>
        <w:t xml:space="preserve"> refer to the </w:t>
      </w:r>
      <w:proofErr w:type="spellStart"/>
      <w:r w:rsidR="00093479" w:rsidRPr="003D5BD7">
        <w:rPr>
          <w:rFonts w:ascii="Arial Narrow" w:hAnsi="Arial Narrow" w:cs="Arial"/>
          <w:sz w:val="18"/>
          <w:szCs w:val="20"/>
          <w:lang w:eastAsia="en-US"/>
        </w:rPr>
        <w:t>semaglutide</w:t>
      </w:r>
      <w:proofErr w:type="spellEnd"/>
      <w:r w:rsidR="00182A1C" w:rsidRPr="003D5BD7">
        <w:rPr>
          <w:rFonts w:ascii="Arial Narrow" w:hAnsi="Arial Narrow" w:cs="Arial"/>
          <w:sz w:val="18"/>
          <w:szCs w:val="20"/>
          <w:lang w:eastAsia="en-US"/>
        </w:rPr>
        <w:t xml:space="preserve"> PBAC</w:t>
      </w:r>
      <w:r w:rsidRPr="003D5BD7">
        <w:rPr>
          <w:rFonts w:ascii="Arial Narrow" w:hAnsi="Arial Narrow" w:cs="Arial"/>
          <w:sz w:val="18"/>
          <w:szCs w:val="20"/>
          <w:lang w:eastAsia="en-US"/>
        </w:rPr>
        <w:t xml:space="preserve"> </w:t>
      </w:r>
      <w:r w:rsidR="00AC6E9E" w:rsidRPr="003D5BD7">
        <w:rPr>
          <w:rFonts w:ascii="Arial Narrow" w:hAnsi="Arial Narrow" w:cs="Arial"/>
          <w:sz w:val="18"/>
          <w:szCs w:val="20"/>
          <w:lang w:eastAsia="en-US"/>
        </w:rPr>
        <w:t>Public Summary Document</w:t>
      </w:r>
      <w:r w:rsidRPr="003D5BD7">
        <w:rPr>
          <w:rFonts w:ascii="Arial Narrow" w:hAnsi="Arial Narrow" w:cs="Arial"/>
          <w:sz w:val="18"/>
          <w:szCs w:val="20"/>
          <w:lang w:eastAsia="en-US"/>
        </w:rPr>
        <w:t xml:space="preserve">. </w:t>
      </w:r>
    </w:p>
    <w:p w:rsidR="00B03FD0" w:rsidRPr="003D5BD7" w:rsidRDefault="00B03FD0" w:rsidP="00B03FD0">
      <w:pPr>
        <w:rPr>
          <w:rFonts w:cs="Arial"/>
          <w:i/>
        </w:rPr>
      </w:pPr>
      <w:r w:rsidRPr="003D5BD7">
        <w:rPr>
          <w:i/>
        </w:rPr>
        <w:t xml:space="preserve">For more detail on PBAC’s view, see section </w:t>
      </w:r>
      <w:r w:rsidR="00B34DA6" w:rsidRPr="003D5BD7">
        <w:rPr>
          <w:i/>
        </w:rPr>
        <w:t>6 PBAC outcome</w:t>
      </w:r>
      <w:r w:rsidRPr="003D5BD7">
        <w:rPr>
          <w:i/>
        </w:rPr>
        <w:t>.</w:t>
      </w:r>
    </w:p>
    <w:p w:rsidR="004E3C97" w:rsidRPr="003D5BD7" w:rsidRDefault="004E3C97" w:rsidP="004E3C97">
      <w:pPr>
        <w:pStyle w:val="2Sections"/>
        <w:numPr>
          <w:ilvl w:val="0"/>
          <w:numId w:val="2"/>
        </w:numPr>
      </w:pPr>
      <w:r w:rsidRPr="003D5BD7">
        <w:t>Requested listing</w:t>
      </w:r>
    </w:p>
    <w:p w:rsidR="004E3C97" w:rsidRPr="003D5BD7" w:rsidRDefault="004E3C97" w:rsidP="004E3C97">
      <w:pPr>
        <w:pStyle w:val="3Bodytext"/>
      </w:pPr>
      <w:r w:rsidRPr="003D5BD7">
        <w:rPr>
          <w:rFonts w:asciiTheme="minorHAnsi" w:eastAsiaTheme="minorHAnsi" w:hAnsiTheme="minorHAnsi" w:cstheme="minorBidi"/>
          <w:snapToGrid w:val="0"/>
          <w:szCs w:val="22"/>
        </w:rPr>
        <w:t xml:space="preserve">The proposed preferred </w:t>
      </w:r>
      <w:r w:rsidR="007F7528" w:rsidRPr="003D5BD7">
        <w:rPr>
          <w:rFonts w:asciiTheme="minorHAnsi" w:eastAsiaTheme="minorHAnsi" w:hAnsiTheme="minorHAnsi" w:cstheme="minorBidi"/>
          <w:snapToGrid w:val="0"/>
          <w:szCs w:val="22"/>
        </w:rPr>
        <w:t>PBS listing wa</w:t>
      </w:r>
      <w:r w:rsidRPr="003D5BD7">
        <w:rPr>
          <w:rFonts w:asciiTheme="minorHAnsi" w:eastAsiaTheme="minorHAnsi" w:hAnsiTheme="minorHAnsi" w:cstheme="minorBidi"/>
          <w:snapToGrid w:val="0"/>
          <w:szCs w:val="22"/>
        </w:rPr>
        <w:t xml:space="preserve">s the same as that recommended by the PBAC in November 2019. </w:t>
      </w:r>
      <w:r w:rsidR="00CD6D9A" w:rsidRPr="003D5BD7">
        <w:rPr>
          <w:rFonts w:asciiTheme="minorHAnsi" w:hAnsiTheme="minorHAnsi"/>
          <w:bCs/>
        </w:rPr>
        <w:t>(</w:t>
      </w:r>
      <w:r w:rsidR="00B84235" w:rsidRPr="003D5BD7">
        <w:rPr>
          <w:rFonts w:asciiTheme="minorHAnsi" w:hAnsiTheme="minorHAnsi"/>
          <w:bCs/>
        </w:rPr>
        <w:t xml:space="preserve">See </w:t>
      </w:r>
      <w:r w:rsidR="00CD6D9A" w:rsidRPr="003D5BD7">
        <w:rPr>
          <w:rFonts w:asciiTheme="minorHAnsi" w:hAnsiTheme="minorHAnsi" w:cs="Arial"/>
          <w:snapToGrid w:val="0"/>
          <w:lang w:eastAsia="en-US"/>
        </w:rPr>
        <w:t xml:space="preserve">para 8.1, </w:t>
      </w:r>
      <w:proofErr w:type="spellStart"/>
      <w:r w:rsidR="00CD6D9A" w:rsidRPr="003D5BD7">
        <w:rPr>
          <w:rFonts w:asciiTheme="minorHAnsi" w:hAnsiTheme="minorHAnsi" w:cs="Arial"/>
          <w:snapToGrid w:val="0"/>
          <w:lang w:eastAsia="en-US"/>
        </w:rPr>
        <w:t>semaglutide</w:t>
      </w:r>
      <w:proofErr w:type="spellEnd"/>
      <w:r w:rsidR="00CD6D9A" w:rsidRPr="003D5BD7">
        <w:rPr>
          <w:rFonts w:asciiTheme="minorHAnsi" w:hAnsiTheme="minorHAnsi" w:cs="Arial"/>
          <w:snapToGrid w:val="0"/>
          <w:lang w:eastAsia="en-US"/>
        </w:rPr>
        <w:t xml:space="preserve"> Public Summary Document (PSD), November 2019 PBAC meeting)</w:t>
      </w:r>
    </w:p>
    <w:p w:rsidR="004E3C97" w:rsidRPr="003D5BD7" w:rsidRDefault="004E3C97" w:rsidP="004E3C97">
      <w:pPr>
        <w:pStyle w:val="3Bodytext"/>
      </w:pPr>
      <w:r w:rsidRPr="003D5BD7">
        <w:t xml:space="preserve">The submission also proposed an alternative listing in the event that the PBAC </w:t>
      </w:r>
      <w:r w:rsidR="00CD6D9A" w:rsidRPr="003D5BD7">
        <w:t xml:space="preserve">did </w:t>
      </w:r>
      <w:r w:rsidRPr="003D5BD7">
        <w:t xml:space="preserve">not amend its advice on the therapeutic relativity and </w:t>
      </w:r>
      <w:proofErr w:type="spellStart"/>
      <w:r w:rsidRPr="003D5BD7">
        <w:t>equi</w:t>
      </w:r>
      <w:proofErr w:type="spellEnd"/>
      <w:r w:rsidRPr="003D5BD7">
        <w:t xml:space="preserve">-effective doses of </w:t>
      </w:r>
      <w:proofErr w:type="spellStart"/>
      <w:r w:rsidRPr="003D5BD7">
        <w:t>semaglutide</w:t>
      </w:r>
      <w:proofErr w:type="spellEnd"/>
      <w:r w:rsidRPr="003D5BD7">
        <w:t xml:space="preserve"> and </w:t>
      </w:r>
      <w:proofErr w:type="spellStart"/>
      <w:r w:rsidRPr="003D5BD7">
        <w:t>dulaglutide</w:t>
      </w:r>
      <w:proofErr w:type="spellEnd"/>
      <w:r w:rsidRPr="003D5BD7">
        <w:t xml:space="preserve"> (see below). The key differences between the proposed alternative PBS listing and the previously recommended restriction are:</w:t>
      </w:r>
    </w:p>
    <w:p w:rsidR="004E3C97" w:rsidRPr="003D5BD7" w:rsidRDefault="004E3C97" w:rsidP="004E3C97">
      <w:pPr>
        <w:pStyle w:val="ListParagraph"/>
        <w:numPr>
          <w:ilvl w:val="0"/>
          <w:numId w:val="21"/>
        </w:numPr>
        <w:jc w:val="both"/>
      </w:pPr>
      <w:r w:rsidRPr="003D5BD7">
        <w:t xml:space="preserve">Two initial treatment phase listings (dual and triple therapy) for the </w:t>
      </w:r>
      <w:proofErr w:type="spellStart"/>
      <w:r w:rsidRPr="003D5BD7">
        <w:t>semaglutide</w:t>
      </w:r>
      <w:proofErr w:type="spellEnd"/>
      <w:r w:rsidRPr="003D5BD7">
        <w:t xml:space="preserve"> 2 mg</w:t>
      </w:r>
      <w:r w:rsidR="00D15053" w:rsidRPr="003D5BD7">
        <w:t xml:space="preserve"> </w:t>
      </w:r>
      <w:r w:rsidRPr="003D5BD7">
        <w:t>/</w:t>
      </w:r>
      <w:r w:rsidR="00D15053" w:rsidRPr="003D5BD7">
        <w:t xml:space="preserve"> </w:t>
      </w:r>
      <w:r w:rsidRPr="003D5BD7">
        <w:t xml:space="preserve">1.5 mL presentation to allow titration of treatment. Only </w:t>
      </w:r>
      <w:proofErr w:type="gramStart"/>
      <w:r w:rsidRPr="003D5BD7">
        <w:t>1</w:t>
      </w:r>
      <w:proofErr w:type="gramEnd"/>
      <w:r w:rsidRPr="003D5BD7">
        <w:t xml:space="preserve"> repeat </w:t>
      </w:r>
      <w:r w:rsidR="00CD6D9A" w:rsidRPr="003D5BD7">
        <w:t>was</w:t>
      </w:r>
      <w:r w:rsidRPr="003D5BD7">
        <w:t xml:space="preserve"> proposed for these initial treatment phase listings, compared to 5 repeats in the previously recommended restriction for both presentations. </w:t>
      </w:r>
    </w:p>
    <w:p w:rsidR="004E3C97" w:rsidRPr="003D5BD7" w:rsidRDefault="004E3C97" w:rsidP="004E3C97">
      <w:pPr>
        <w:pStyle w:val="ListParagraph"/>
        <w:numPr>
          <w:ilvl w:val="0"/>
          <w:numId w:val="21"/>
        </w:numPr>
        <w:jc w:val="both"/>
      </w:pPr>
      <w:r w:rsidRPr="003D5BD7">
        <w:t xml:space="preserve">A continuing treatment phase listing for the </w:t>
      </w:r>
      <w:proofErr w:type="spellStart"/>
      <w:r w:rsidRPr="003D5BD7">
        <w:t>semaglutide</w:t>
      </w:r>
      <w:proofErr w:type="spellEnd"/>
      <w:r w:rsidRPr="003D5BD7">
        <w:t xml:space="preserve"> 4 mg</w:t>
      </w:r>
      <w:r w:rsidR="00D15053" w:rsidRPr="003D5BD7">
        <w:t xml:space="preserve"> </w:t>
      </w:r>
      <w:r w:rsidRPr="003D5BD7">
        <w:t>/</w:t>
      </w:r>
      <w:r w:rsidR="00D15053" w:rsidRPr="003D5BD7">
        <w:t xml:space="preserve"> </w:t>
      </w:r>
      <w:r w:rsidRPr="003D5BD7">
        <w:t xml:space="preserve">3.0 mL presentation only. </w:t>
      </w:r>
    </w:p>
    <w:p w:rsidR="00690DA5" w:rsidRPr="003D5BD7" w:rsidRDefault="00690DA5" w:rsidP="00690DA5">
      <w:pPr>
        <w:pStyle w:val="3Bodytext"/>
        <w:rPr>
          <w:rFonts w:eastAsiaTheme="minorHAnsi"/>
        </w:rPr>
      </w:pPr>
      <w:r w:rsidRPr="003D5BD7">
        <w:rPr>
          <w:rFonts w:eastAsiaTheme="minorHAnsi"/>
        </w:rPr>
        <w:t>The PBAC noted that</w:t>
      </w:r>
      <w:r w:rsidR="006264DE" w:rsidRPr="003D5BD7">
        <w:rPr>
          <w:rFonts w:eastAsiaTheme="minorHAnsi"/>
        </w:rPr>
        <w:t xml:space="preserve"> the</w:t>
      </w:r>
      <w:r w:rsidRPr="003D5BD7">
        <w:rPr>
          <w:rFonts w:eastAsiaTheme="minorHAnsi"/>
        </w:rPr>
        <w:t xml:space="preserve"> 4.0 mg / 3 mL pen does not allow for the delivery of the 0.5 mg dose and therefore restricting prescribing of the 2 mg /</w:t>
      </w:r>
      <w:r w:rsidR="00D15053" w:rsidRPr="003D5BD7">
        <w:rPr>
          <w:rFonts w:eastAsiaTheme="minorHAnsi"/>
        </w:rPr>
        <w:t xml:space="preserve"> </w:t>
      </w:r>
      <w:r w:rsidRPr="003D5BD7">
        <w:rPr>
          <w:rFonts w:eastAsiaTheme="minorHAnsi"/>
        </w:rPr>
        <w:t>1.5 mL pen to commencement therapy would prevent patients from being maintained on the 0.5 mg dose</w:t>
      </w:r>
      <w:r w:rsidR="00B84235" w:rsidRPr="003D5BD7">
        <w:rPr>
          <w:rFonts w:eastAsiaTheme="minorHAnsi"/>
        </w:rPr>
        <w:t xml:space="preserve"> and this would not be clinically appropriate</w:t>
      </w:r>
      <w:r w:rsidRPr="003D5BD7">
        <w:rPr>
          <w:rFonts w:eastAsiaTheme="minorHAnsi"/>
        </w:rPr>
        <w:t xml:space="preserve"> (</w:t>
      </w:r>
      <w:proofErr w:type="spellStart"/>
      <w:r w:rsidRPr="003D5BD7">
        <w:rPr>
          <w:rFonts w:eastAsiaTheme="minorHAnsi"/>
        </w:rPr>
        <w:t>semaglutide</w:t>
      </w:r>
      <w:proofErr w:type="spellEnd"/>
      <w:r w:rsidRPr="003D5BD7">
        <w:rPr>
          <w:rFonts w:eastAsiaTheme="minorHAnsi"/>
        </w:rPr>
        <w:t xml:space="preserve"> approved Product Information)</w:t>
      </w:r>
      <w:r w:rsidR="00B84235" w:rsidRPr="003D5BD7">
        <w:rPr>
          <w:rFonts w:eastAsiaTheme="minorHAnsi"/>
        </w:rPr>
        <w:t>.</w:t>
      </w:r>
    </w:p>
    <w:p w:rsidR="00B03FD0" w:rsidRPr="003D5BD7" w:rsidRDefault="00B03FD0" w:rsidP="00B03FD0">
      <w:pPr>
        <w:rPr>
          <w:rFonts w:cs="Arial"/>
          <w:i/>
        </w:rPr>
      </w:pPr>
      <w:r w:rsidRPr="003D5BD7">
        <w:rPr>
          <w:i/>
        </w:rPr>
        <w:t xml:space="preserve">For more detail on PBAC’s view, see section </w:t>
      </w:r>
      <w:r w:rsidR="00B34DA6" w:rsidRPr="003D5BD7">
        <w:rPr>
          <w:i/>
        </w:rPr>
        <w:t>6 PBAC outcome</w:t>
      </w:r>
      <w:r w:rsidRPr="003D5BD7">
        <w:rPr>
          <w:i/>
        </w:rPr>
        <w:t>.</w:t>
      </w:r>
    </w:p>
    <w:p w:rsidR="00E663E9" w:rsidRPr="003D5BD7" w:rsidRDefault="00E663E9" w:rsidP="00DC2086">
      <w:pPr>
        <w:pStyle w:val="Heading1"/>
        <w:keepNext/>
        <w:keepLines/>
        <w:numPr>
          <w:ilvl w:val="0"/>
          <w:numId w:val="2"/>
        </w:numPr>
        <w:spacing w:before="240"/>
        <w:ind w:left="709" w:hanging="709"/>
        <w:rPr>
          <w:sz w:val="32"/>
          <w:szCs w:val="32"/>
        </w:rPr>
      </w:pPr>
      <w:r w:rsidRPr="003D5BD7">
        <w:rPr>
          <w:sz w:val="32"/>
          <w:szCs w:val="32"/>
        </w:rPr>
        <w:t>Comparator</w:t>
      </w:r>
    </w:p>
    <w:p w:rsidR="009130EB" w:rsidRPr="003D5BD7" w:rsidRDefault="009130EB" w:rsidP="009130EB">
      <w:pPr>
        <w:pStyle w:val="3Bodytext"/>
      </w:pPr>
      <w:r w:rsidRPr="003D5BD7">
        <w:rPr>
          <w:rFonts w:asciiTheme="minorHAnsi" w:hAnsiTheme="minorHAnsi"/>
          <w:bCs/>
        </w:rPr>
        <w:t xml:space="preserve">The minor submission identified </w:t>
      </w:r>
      <w:proofErr w:type="spellStart"/>
      <w:r w:rsidRPr="003D5BD7">
        <w:rPr>
          <w:rFonts w:asciiTheme="minorHAnsi" w:hAnsiTheme="minorHAnsi"/>
          <w:bCs/>
        </w:rPr>
        <w:t>dulaglutide</w:t>
      </w:r>
      <w:proofErr w:type="spellEnd"/>
      <w:r w:rsidRPr="003D5BD7">
        <w:rPr>
          <w:rFonts w:asciiTheme="minorHAnsi" w:hAnsiTheme="minorHAnsi"/>
          <w:bCs/>
        </w:rPr>
        <w:t xml:space="preserve"> as the appropriate comparator. </w:t>
      </w:r>
    </w:p>
    <w:p w:rsidR="00C721AE" w:rsidRPr="003D5BD7" w:rsidRDefault="003D714B" w:rsidP="003101A3">
      <w:pPr>
        <w:numPr>
          <w:ilvl w:val="1"/>
          <w:numId w:val="2"/>
        </w:numPr>
        <w:spacing w:after="120"/>
        <w:rPr>
          <w:rFonts w:asciiTheme="minorHAnsi" w:hAnsiTheme="minorHAnsi"/>
          <w:bCs/>
        </w:rPr>
      </w:pPr>
      <w:r w:rsidRPr="003D5BD7">
        <w:rPr>
          <w:rFonts w:asciiTheme="minorHAnsi" w:hAnsiTheme="minorHAnsi"/>
          <w:bCs/>
        </w:rPr>
        <w:t>In November 2019, the</w:t>
      </w:r>
      <w:r w:rsidR="005A10F4" w:rsidRPr="003D5BD7">
        <w:rPr>
          <w:rFonts w:asciiTheme="minorHAnsi" w:hAnsiTheme="minorHAnsi"/>
          <w:bCs/>
        </w:rPr>
        <w:t xml:space="preserve"> PBAC advised that both </w:t>
      </w:r>
      <w:proofErr w:type="spellStart"/>
      <w:r w:rsidR="005A10F4" w:rsidRPr="003D5BD7">
        <w:rPr>
          <w:rFonts w:asciiTheme="minorHAnsi" w:hAnsiTheme="minorHAnsi"/>
          <w:bCs/>
        </w:rPr>
        <w:t>exenatide</w:t>
      </w:r>
      <w:proofErr w:type="spellEnd"/>
      <w:r w:rsidR="005A10F4" w:rsidRPr="003D5BD7">
        <w:rPr>
          <w:rFonts w:asciiTheme="minorHAnsi" w:hAnsiTheme="minorHAnsi"/>
          <w:bCs/>
        </w:rPr>
        <w:t xml:space="preserve"> and </w:t>
      </w:r>
      <w:proofErr w:type="spellStart"/>
      <w:r w:rsidR="005A10F4" w:rsidRPr="003D5BD7">
        <w:rPr>
          <w:rFonts w:asciiTheme="minorHAnsi" w:hAnsiTheme="minorHAnsi"/>
          <w:bCs/>
        </w:rPr>
        <w:t>dulaglutide</w:t>
      </w:r>
      <w:proofErr w:type="spellEnd"/>
      <w:r w:rsidR="005A10F4" w:rsidRPr="003D5BD7">
        <w:rPr>
          <w:rFonts w:asciiTheme="minorHAnsi" w:hAnsiTheme="minorHAnsi"/>
          <w:bCs/>
        </w:rPr>
        <w:t xml:space="preserve"> should be considered comparators to </w:t>
      </w:r>
      <w:proofErr w:type="spellStart"/>
      <w:r w:rsidR="005A10F4" w:rsidRPr="003D5BD7">
        <w:rPr>
          <w:rFonts w:asciiTheme="minorHAnsi" w:hAnsiTheme="minorHAnsi"/>
          <w:bCs/>
        </w:rPr>
        <w:t>semaglutide</w:t>
      </w:r>
      <w:proofErr w:type="spellEnd"/>
      <w:r w:rsidR="005A10F4" w:rsidRPr="003D5BD7">
        <w:rPr>
          <w:rFonts w:asciiTheme="minorHAnsi" w:hAnsiTheme="minorHAnsi"/>
          <w:bCs/>
        </w:rPr>
        <w:t xml:space="preserve"> (</w:t>
      </w:r>
      <w:r w:rsidR="005A10F4" w:rsidRPr="003D5BD7">
        <w:t xml:space="preserve">paragraph 7.4, </w:t>
      </w:r>
      <w:proofErr w:type="spellStart"/>
      <w:r w:rsidR="003101A3" w:rsidRPr="003D5BD7">
        <w:rPr>
          <w:rFonts w:asciiTheme="minorHAnsi" w:hAnsiTheme="minorHAnsi" w:cs="Arial"/>
          <w:snapToGrid w:val="0"/>
          <w:lang w:eastAsia="en-US"/>
        </w:rPr>
        <w:t>semaglutide</w:t>
      </w:r>
      <w:proofErr w:type="spellEnd"/>
      <w:r w:rsidR="003101A3" w:rsidRPr="003D5BD7">
        <w:rPr>
          <w:rFonts w:asciiTheme="minorHAnsi" w:hAnsiTheme="minorHAnsi" w:cs="Arial"/>
          <w:snapToGrid w:val="0"/>
          <w:lang w:eastAsia="en-US"/>
        </w:rPr>
        <w:t xml:space="preserve"> </w:t>
      </w:r>
      <w:r w:rsidR="005D3AE8" w:rsidRPr="003D5BD7">
        <w:rPr>
          <w:rFonts w:asciiTheme="minorHAnsi" w:hAnsiTheme="minorHAnsi" w:cs="Arial"/>
          <w:snapToGrid w:val="0"/>
          <w:lang w:eastAsia="en-US"/>
        </w:rPr>
        <w:t>PSD</w:t>
      </w:r>
      <w:r w:rsidR="003101A3" w:rsidRPr="003D5BD7">
        <w:rPr>
          <w:rFonts w:asciiTheme="minorHAnsi" w:hAnsiTheme="minorHAnsi" w:cs="Arial"/>
          <w:snapToGrid w:val="0"/>
          <w:lang w:eastAsia="en-US"/>
        </w:rPr>
        <w:t>, November 2019 PBAC meeting)</w:t>
      </w:r>
      <w:r w:rsidR="005A10F4" w:rsidRPr="003D5BD7">
        <w:rPr>
          <w:rFonts w:asciiTheme="minorHAnsi" w:hAnsiTheme="minorHAnsi"/>
          <w:bCs/>
        </w:rPr>
        <w:t xml:space="preserve">. </w:t>
      </w:r>
      <w:r w:rsidR="003247B9" w:rsidRPr="003D5BD7">
        <w:rPr>
          <w:rFonts w:asciiTheme="minorHAnsi" w:hAnsiTheme="minorHAnsi"/>
          <w:bCs/>
        </w:rPr>
        <w:t xml:space="preserve">The PBAC’s recommendation for listing was based on, among other matters, its assessment that the cost-effectiveness of </w:t>
      </w:r>
      <w:proofErr w:type="spellStart"/>
      <w:r w:rsidR="003247B9" w:rsidRPr="003D5BD7">
        <w:rPr>
          <w:rFonts w:asciiTheme="minorHAnsi" w:hAnsiTheme="minorHAnsi"/>
          <w:bCs/>
        </w:rPr>
        <w:t>semaglutide</w:t>
      </w:r>
      <w:proofErr w:type="spellEnd"/>
      <w:r w:rsidR="003247B9" w:rsidRPr="003D5BD7">
        <w:rPr>
          <w:rFonts w:asciiTheme="minorHAnsi" w:hAnsiTheme="minorHAnsi"/>
          <w:bCs/>
        </w:rPr>
        <w:t xml:space="preserve"> would be </w:t>
      </w:r>
      <w:r w:rsidR="003247B9" w:rsidRPr="003D5BD7">
        <w:rPr>
          <w:rFonts w:asciiTheme="minorHAnsi" w:hAnsiTheme="minorHAnsi"/>
          <w:bCs/>
        </w:rPr>
        <w:lastRenderedPageBreak/>
        <w:t>acceptable if it were cos</w:t>
      </w:r>
      <w:r w:rsidR="0030000B" w:rsidRPr="003D5BD7">
        <w:rPr>
          <w:rFonts w:asciiTheme="minorHAnsi" w:hAnsiTheme="minorHAnsi"/>
          <w:bCs/>
        </w:rPr>
        <w:t xml:space="preserve">t-minimised against </w:t>
      </w:r>
      <w:proofErr w:type="spellStart"/>
      <w:r w:rsidR="0030000B" w:rsidRPr="003D5BD7">
        <w:rPr>
          <w:rFonts w:asciiTheme="minorHAnsi" w:hAnsiTheme="minorHAnsi"/>
          <w:bCs/>
        </w:rPr>
        <w:t>dulaglutide</w:t>
      </w:r>
      <w:proofErr w:type="spellEnd"/>
      <w:r w:rsidR="0030000B" w:rsidRPr="003D5BD7">
        <w:rPr>
          <w:rFonts w:asciiTheme="minorHAnsi" w:hAnsiTheme="minorHAnsi"/>
          <w:bCs/>
        </w:rPr>
        <w:t xml:space="preserve"> </w:t>
      </w:r>
      <w:r w:rsidR="003247B9" w:rsidRPr="003D5BD7">
        <w:rPr>
          <w:rFonts w:asciiTheme="minorHAnsi" w:hAnsiTheme="minorHAnsi"/>
          <w:bCs/>
        </w:rPr>
        <w:t>(paragraph 7.2</w:t>
      </w:r>
      <w:r w:rsidR="003101A3" w:rsidRPr="003D5BD7">
        <w:rPr>
          <w:rFonts w:asciiTheme="minorHAnsi" w:hAnsiTheme="minorHAnsi"/>
          <w:bCs/>
        </w:rPr>
        <w:t xml:space="preserve">, </w:t>
      </w:r>
      <w:proofErr w:type="spellStart"/>
      <w:r w:rsidR="003101A3" w:rsidRPr="003D5BD7">
        <w:rPr>
          <w:rFonts w:asciiTheme="minorHAnsi" w:hAnsiTheme="minorHAnsi" w:cs="Arial"/>
          <w:snapToGrid w:val="0"/>
          <w:lang w:eastAsia="en-US"/>
        </w:rPr>
        <w:t>semaglutide</w:t>
      </w:r>
      <w:proofErr w:type="spellEnd"/>
      <w:r w:rsidR="003101A3" w:rsidRPr="003D5BD7">
        <w:rPr>
          <w:rFonts w:asciiTheme="minorHAnsi" w:hAnsiTheme="minorHAnsi" w:cs="Arial"/>
          <w:snapToGrid w:val="0"/>
          <w:lang w:eastAsia="en-US"/>
        </w:rPr>
        <w:t xml:space="preserve"> </w:t>
      </w:r>
      <w:r w:rsidR="005D3AE8" w:rsidRPr="003D5BD7">
        <w:rPr>
          <w:rFonts w:asciiTheme="minorHAnsi" w:hAnsiTheme="minorHAnsi" w:cs="Arial"/>
          <w:snapToGrid w:val="0"/>
          <w:lang w:eastAsia="en-US"/>
        </w:rPr>
        <w:t>PSD</w:t>
      </w:r>
      <w:r w:rsidR="003101A3" w:rsidRPr="003D5BD7">
        <w:rPr>
          <w:rFonts w:asciiTheme="minorHAnsi" w:hAnsiTheme="minorHAnsi" w:cs="Arial"/>
          <w:snapToGrid w:val="0"/>
          <w:lang w:eastAsia="en-US"/>
        </w:rPr>
        <w:t>, November 2019 PBAC meeting)</w:t>
      </w:r>
      <w:r w:rsidR="003247B9" w:rsidRPr="003D5BD7">
        <w:rPr>
          <w:rFonts w:asciiTheme="minorHAnsi" w:hAnsiTheme="minorHAnsi"/>
          <w:bCs/>
        </w:rPr>
        <w:t>.</w:t>
      </w:r>
    </w:p>
    <w:p w:rsidR="00B03FD0" w:rsidRPr="003D5BD7" w:rsidRDefault="00B03FD0" w:rsidP="00B03FD0">
      <w:pPr>
        <w:pStyle w:val="Bodytextitalics"/>
      </w:pPr>
      <w:r w:rsidRPr="003D5BD7">
        <w:t xml:space="preserve">For more detail on PBAC’s view, see section </w:t>
      </w:r>
      <w:r w:rsidR="00B34DA6" w:rsidRPr="003D5BD7">
        <w:t>6 PBAC outcome</w:t>
      </w:r>
      <w:r w:rsidRPr="003D5BD7">
        <w:t>.</w:t>
      </w:r>
    </w:p>
    <w:p w:rsidR="00FC3647" w:rsidRPr="003D5BD7" w:rsidRDefault="00FC3647" w:rsidP="00DC2086">
      <w:pPr>
        <w:pStyle w:val="Heading1"/>
        <w:keepNext/>
        <w:keepLines/>
        <w:numPr>
          <w:ilvl w:val="0"/>
          <w:numId w:val="2"/>
        </w:numPr>
        <w:spacing w:before="240"/>
        <w:ind w:left="709" w:hanging="709"/>
        <w:rPr>
          <w:sz w:val="32"/>
          <w:szCs w:val="32"/>
        </w:rPr>
      </w:pPr>
      <w:r w:rsidRPr="003D5BD7">
        <w:rPr>
          <w:sz w:val="32"/>
          <w:szCs w:val="32"/>
        </w:rPr>
        <w:t>Consideration of the evidence</w:t>
      </w:r>
    </w:p>
    <w:p w:rsidR="00966E5C" w:rsidRPr="003D5BD7" w:rsidRDefault="00966E5C" w:rsidP="00966E5C">
      <w:pPr>
        <w:pStyle w:val="4-SubsectionHeading"/>
        <w:rPr>
          <w:snapToGrid w:val="0"/>
        </w:rPr>
      </w:pPr>
      <w:r w:rsidRPr="003D5BD7">
        <w:rPr>
          <w:snapToGrid w:val="0"/>
        </w:rPr>
        <w:t>Sponsor hearing</w:t>
      </w:r>
    </w:p>
    <w:p w:rsidR="00966E5C" w:rsidRPr="003D5BD7" w:rsidRDefault="00966E5C" w:rsidP="00966E5C">
      <w:pPr>
        <w:widowControl w:val="0"/>
        <w:numPr>
          <w:ilvl w:val="1"/>
          <w:numId w:val="2"/>
        </w:numPr>
        <w:spacing w:after="120"/>
        <w:rPr>
          <w:rFonts w:asciiTheme="minorHAnsi" w:hAnsiTheme="minorHAnsi" w:cs="Arial"/>
          <w:bCs/>
          <w:snapToGrid w:val="0"/>
        </w:rPr>
      </w:pPr>
      <w:r w:rsidRPr="003D5BD7">
        <w:rPr>
          <w:rFonts w:asciiTheme="minorHAnsi" w:hAnsiTheme="minorHAnsi" w:cs="Arial"/>
          <w:bCs/>
          <w:snapToGrid w:val="0"/>
        </w:rPr>
        <w:t>There was no hearing for this ite</w:t>
      </w:r>
      <w:r w:rsidR="006640EF" w:rsidRPr="003D5BD7">
        <w:rPr>
          <w:rFonts w:asciiTheme="minorHAnsi" w:hAnsiTheme="minorHAnsi" w:cs="Arial"/>
          <w:bCs/>
          <w:snapToGrid w:val="0"/>
        </w:rPr>
        <w:t>m as it was a minor submission.</w:t>
      </w:r>
    </w:p>
    <w:p w:rsidR="00966E5C" w:rsidRPr="003D5BD7" w:rsidRDefault="00966E5C" w:rsidP="00966E5C">
      <w:pPr>
        <w:pStyle w:val="4-SubsectionHeading"/>
        <w:rPr>
          <w:snapToGrid w:val="0"/>
        </w:rPr>
      </w:pPr>
      <w:r w:rsidRPr="003D5BD7">
        <w:rPr>
          <w:snapToGrid w:val="0"/>
        </w:rPr>
        <w:t>Consumer comments</w:t>
      </w:r>
    </w:p>
    <w:p w:rsidR="00966E5C" w:rsidRPr="003D5BD7" w:rsidRDefault="00966E5C" w:rsidP="00966E5C">
      <w:pPr>
        <w:widowControl w:val="0"/>
        <w:numPr>
          <w:ilvl w:val="1"/>
          <w:numId w:val="2"/>
        </w:numPr>
        <w:spacing w:after="120"/>
        <w:rPr>
          <w:rFonts w:asciiTheme="minorHAnsi" w:hAnsiTheme="minorHAnsi" w:cs="Arial"/>
          <w:bCs/>
          <w:snapToGrid w:val="0"/>
        </w:rPr>
      </w:pPr>
      <w:r w:rsidRPr="003D5BD7">
        <w:rPr>
          <w:rFonts w:asciiTheme="minorHAnsi" w:hAnsiTheme="minorHAnsi" w:cs="Arial"/>
          <w:bCs/>
          <w:snapToGrid w:val="0"/>
        </w:rPr>
        <w:t>The PBAC noted that no consumer comme</w:t>
      </w:r>
      <w:r w:rsidR="006640EF" w:rsidRPr="003D5BD7">
        <w:rPr>
          <w:rFonts w:asciiTheme="minorHAnsi" w:hAnsiTheme="minorHAnsi" w:cs="Arial"/>
          <w:bCs/>
          <w:snapToGrid w:val="0"/>
        </w:rPr>
        <w:t xml:space="preserve">nts </w:t>
      </w:r>
      <w:proofErr w:type="gramStart"/>
      <w:r w:rsidR="006640EF" w:rsidRPr="003D5BD7">
        <w:rPr>
          <w:rFonts w:asciiTheme="minorHAnsi" w:hAnsiTheme="minorHAnsi" w:cs="Arial"/>
          <w:bCs/>
          <w:snapToGrid w:val="0"/>
        </w:rPr>
        <w:t>were received</w:t>
      </w:r>
      <w:proofErr w:type="gramEnd"/>
      <w:r w:rsidR="006640EF" w:rsidRPr="003D5BD7">
        <w:rPr>
          <w:rFonts w:asciiTheme="minorHAnsi" w:hAnsiTheme="minorHAnsi" w:cs="Arial"/>
          <w:bCs/>
          <w:snapToGrid w:val="0"/>
        </w:rPr>
        <w:t xml:space="preserve"> for this item.</w:t>
      </w:r>
    </w:p>
    <w:p w:rsidR="00FC3647" w:rsidRPr="003D5BD7" w:rsidRDefault="00FC3647" w:rsidP="00FC3647">
      <w:pPr>
        <w:pStyle w:val="Heading2"/>
        <w:keepLines/>
        <w:spacing w:before="240" w:after="120"/>
        <w:rPr>
          <w:rFonts w:asciiTheme="minorHAnsi" w:eastAsiaTheme="majorEastAsia" w:hAnsiTheme="minorHAnsi" w:cstheme="majorBidi"/>
          <w:sz w:val="28"/>
          <w:szCs w:val="28"/>
          <w:lang w:eastAsia="en-US"/>
        </w:rPr>
      </w:pPr>
      <w:r w:rsidRPr="003D5BD7">
        <w:rPr>
          <w:rFonts w:asciiTheme="minorHAnsi" w:eastAsiaTheme="majorEastAsia" w:hAnsiTheme="minorHAnsi" w:cstheme="majorBidi"/>
          <w:sz w:val="28"/>
          <w:szCs w:val="28"/>
          <w:lang w:eastAsia="en-US"/>
        </w:rPr>
        <w:t>Clinical trials</w:t>
      </w:r>
    </w:p>
    <w:p w:rsidR="00FB10A5" w:rsidRPr="003D5BD7" w:rsidRDefault="00FB10A5" w:rsidP="006F1052">
      <w:pPr>
        <w:pStyle w:val="3Bodytext"/>
      </w:pPr>
      <w:r w:rsidRPr="003D5BD7">
        <w:t xml:space="preserve">As a minor submission, no new clinical trials </w:t>
      </w:r>
      <w:proofErr w:type="gramStart"/>
      <w:r w:rsidRPr="003D5BD7">
        <w:t>were presented</w:t>
      </w:r>
      <w:proofErr w:type="gramEnd"/>
      <w:r w:rsidRPr="003D5BD7">
        <w:t xml:space="preserve"> in the submission. The data presented </w:t>
      </w:r>
      <w:proofErr w:type="gramStart"/>
      <w:r w:rsidRPr="003D5BD7">
        <w:t>was based</w:t>
      </w:r>
      <w:proofErr w:type="gramEnd"/>
      <w:r w:rsidRPr="003D5BD7">
        <w:t xml:space="preserve"> on the clinical trials presented in the November 2019 submission.</w:t>
      </w:r>
    </w:p>
    <w:p w:rsidR="00FC3647" w:rsidRPr="003D5BD7" w:rsidRDefault="00FC3647" w:rsidP="006F1052">
      <w:pPr>
        <w:pStyle w:val="3Bodytext"/>
      </w:pPr>
      <w:r w:rsidRPr="003D5BD7">
        <w:t xml:space="preserve">Details of the trials presented in the </w:t>
      </w:r>
      <w:r w:rsidR="00FB10A5" w:rsidRPr="003D5BD7">
        <w:t xml:space="preserve">November 2019 </w:t>
      </w:r>
      <w:r w:rsidRPr="003D5BD7">
        <w:t xml:space="preserve">submission </w:t>
      </w:r>
      <w:proofErr w:type="gramStart"/>
      <w:r w:rsidRPr="003D5BD7">
        <w:t>are provided</w:t>
      </w:r>
      <w:proofErr w:type="gramEnd"/>
      <w:r w:rsidRPr="003D5BD7">
        <w:t xml:space="preserve"> in the table below.</w:t>
      </w:r>
    </w:p>
    <w:p w:rsidR="00FB10A5" w:rsidRPr="003D5BD7" w:rsidRDefault="00FB10A5" w:rsidP="00FB10A5">
      <w:pPr>
        <w:pStyle w:val="TableFigureHeading"/>
        <w:rPr>
          <w:rStyle w:val="CommentReference"/>
          <w:b w:val="0"/>
          <w:sz w:val="20"/>
        </w:rPr>
      </w:pPr>
      <w:r w:rsidRPr="003D5BD7">
        <w:rPr>
          <w:rStyle w:val="CommentReference"/>
          <w:sz w:val="20"/>
        </w:rPr>
        <w:t xml:space="preserve">Table </w:t>
      </w:r>
      <w:r w:rsidR="00187304" w:rsidRPr="00492982">
        <w:rPr>
          <w:rStyle w:val="CommentReference"/>
          <w:sz w:val="20"/>
        </w:rPr>
        <w:t>2</w:t>
      </w:r>
      <w:r w:rsidRPr="003D5BD7">
        <w:rPr>
          <w:rStyle w:val="CommentReference"/>
          <w:sz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4"/>
        <w:gridCol w:w="2528"/>
      </w:tblGrid>
      <w:tr w:rsidR="00FB10A5" w:rsidRPr="003D5BD7" w:rsidTr="009A1EF2">
        <w:trPr>
          <w:tblHeader/>
        </w:trPr>
        <w:tc>
          <w:tcPr>
            <w:tcW w:w="795" w:type="pct"/>
            <w:vAlign w:val="center"/>
          </w:tcPr>
          <w:p w:rsidR="00FB10A5" w:rsidRPr="003D5BD7" w:rsidRDefault="00FB10A5" w:rsidP="00FB10A5">
            <w:pPr>
              <w:pStyle w:val="TableText0"/>
              <w:rPr>
                <w:b/>
              </w:rPr>
            </w:pPr>
            <w:r w:rsidRPr="003D5BD7">
              <w:rPr>
                <w:b/>
              </w:rPr>
              <w:t>Trial ID</w:t>
            </w:r>
          </w:p>
        </w:tc>
        <w:tc>
          <w:tcPr>
            <w:tcW w:w="2803" w:type="pct"/>
            <w:vAlign w:val="center"/>
          </w:tcPr>
          <w:p w:rsidR="00FB10A5" w:rsidRPr="003D5BD7" w:rsidRDefault="00FB10A5" w:rsidP="00FB10A5">
            <w:pPr>
              <w:pStyle w:val="TableText0"/>
              <w:rPr>
                <w:b/>
              </w:rPr>
            </w:pPr>
            <w:r w:rsidRPr="003D5BD7">
              <w:rPr>
                <w:b/>
              </w:rPr>
              <w:t>Protocol title/ Publication title</w:t>
            </w:r>
          </w:p>
        </w:tc>
        <w:tc>
          <w:tcPr>
            <w:tcW w:w="1402" w:type="pct"/>
            <w:vAlign w:val="center"/>
          </w:tcPr>
          <w:p w:rsidR="00FB10A5" w:rsidRPr="003D5BD7" w:rsidRDefault="00FB10A5" w:rsidP="00FB10A5">
            <w:pPr>
              <w:pStyle w:val="TableText0"/>
              <w:rPr>
                <w:b/>
              </w:rPr>
            </w:pPr>
            <w:r w:rsidRPr="003D5BD7">
              <w:rPr>
                <w:b/>
              </w:rPr>
              <w:t>Publication citation</w:t>
            </w:r>
          </w:p>
        </w:tc>
      </w:tr>
      <w:tr w:rsidR="00FB10A5" w:rsidRPr="003D5BD7" w:rsidTr="009A1EF2">
        <w:tc>
          <w:tcPr>
            <w:tcW w:w="795" w:type="pct"/>
            <w:vMerge w:val="restart"/>
            <w:vAlign w:val="center"/>
          </w:tcPr>
          <w:p w:rsidR="00FB10A5" w:rsidRPr="003D5BD7" w:rsidRDefault="00FB10A5" w:rsidP="00FB10A5">
            <w:pPr>
              <w:pStyle w:val="TableText0"/>
            </w:pPr>
            <w:r w:rsidRPr="003D5BD7">
              <w:t>SUSTAIN 3</w:t>
            </w:r>
          </w:p>
          <w:p w:rsidR="00FB10A5" w:rsidRPr="003D5BD7" w:rsidRDefault="00FB10A5" w:rsidP="00FB10A5">
            <w:pPr>
              <w:pStyle w:val="TableText0"/>
              <w:rPr>
                <w:rFonts w:ascii="Times" w:hAnsi="Times"/>
              </w:rPr>
            </w:pPr>
            <w:r w:rsidRPr="003D5BD7">
              <w:t>(NCT01885208)</w:t>
            </w:r>
          </w:p>
        </w:tc>
        <w:tc>
          <w:tcPr>
            <w:tcW w:w="2803" w:type="pct"/>
          </w:tcPr>
          <w:p w:rsidR="00FB10A5" w:rsidRPr="003D5BD7" w:rsidRDefault="00FB10A5" w:rsidP="00FB10A5">
            <w:pPr>
              <w:pStyle w:val="TableText0"/>
              <w:rPr>
                <w:szCs w:val="18"/>
              </w:rPr>
            </w:pPr>
            <w:r w:rsidRPr="003D5BD7">
              <w:t xml:space="preserve">Novo Nordisk Clinical Trial Report (2016). Efficacy and safety of </w:t>
            </w:r>
            <w:proofErr w:type="spellStart"/>
            <w:r w:rsidRPr="003D5BD7">
              <w:t>semaglutide</w:t>
            </w:r>
            <w:proofErr w:type="spellEnd"/>
            <w:r w:rsidRPr="003D5BD7">
              <w:t xml:space="preserve"> once-weekly versus </w:t>
            </w:r>
            <w:proofErr w:type="spellStart"/>
            <w:r w:rsidRPr="003D5BD7">
              <w:t>exenatide</w:t>
            </w:r>
            <w:proofErr w:type="spellEnd"/>
            <w:r w:rsidRPr="003D5BD7">
              <w:t xml:space="preserve"> ER 2.0 mg once-weekly as add-on to 1-2 oral antidiabetic drugs (OADs) in subjects with type 2 diabetes</w:t>
            </w:r>
          </w:p>
        </w:tc>
        <w:tc>
          <w:tcPr>
            <w:tcW w:w="1402" w:type="pct"/>
          </w:tcPr>
          <w:p w:rsidR="00FB10A5" w:rsidRPr="003D5BD7" w:rsidRDefault="00FB10A5" w:rsidP="00FB10A5">
            <w:pPr>
              <w:pStyle w:val="TableText0"/>
              <w:rPr>
                <w:rFonts w:ascii="Times" w:hAnsi="Times"/>
              </w:rPr>
            </w:pPr>
            <w:r w:rsidRPr="003D5BD7">
              <w:t>Internal study report</w:t>
            </w:r>
          </w:p>
        </w:tc>
      </w:tr>
      <w:tr w:rsidR="00FB10A5" w:rsidRPr="003D5BD7" w:rsidTr="009A1EF2">
        <w:tc>
          <w:tcPr>
            <w:tcW w:w="795" w:type="pct"/>
            <w:vMerge/>
            <w:vAlign w:val="center"/>
          </w:tcPr>
          <w:p w:rsidR="00FB10A5" w:rsidRPr="003D5BD7" w:rsidRDefault="00FB10A5" w:rsidP="00FB10A5">
            <w:pPr>
              <w:pStyle w:val="TableText0"/>
            </w:pPr>
          </w:p>
        </w:tc>
        <w:tc>
          <w:tcPr>
            <w:tcW w:w="2803" w:type="pct"/>
          </w:tcPr>
          <w:p w:rsidR="00FB10A5" w:rsidRPr="003D5BD7" w:rsidRDefault="00FB10A5" w:rsidP="00FB10A5">
            <w:pPr>
              <w:pStyle w:val="TableText0"/>
              <w:rPr>
                <w:szCs w:val="18"/>
              </w:rPr>
            </w:pPr>
            <w:proofErr w:type="spellStart"/>
            <w:r w:rsidRPr="003D5BD7">
              <w:t>Ahmann</w:t>
            </w:r>
            <w:proofErr w:type="spellEnd"/>
            <w:r w:rsidRPr="003D5BD7">
              <w:t xml:space="preserve"> AJ, </w:t>
            </w:r>
            <w:proofErr w:type="spellStart"/>
            <w:r w:rsidRPr="003D5BD7">
              <w:t>Capehorn</w:t>
            </w:r>
            <w:proofErr w:type="spellEnd"/>
            <w:r w:rsidRPr="003D5BD7">
              <w:t xml:space="preserve"> M, </w:t>
            </w:r>
            <w:proofErr w:type="spellStart"/>
            <w:r w:rsidRPr="003D5BD7">
              <w:t>Charpentier</w:t>
            </w:r>
            <w:proofErr w:type="spellEnd"/>
            <w:r w:rsidRPr="003D5BD7">
              <w:t xml:space="preserve"> G et al (2018). Efficacy and Safety of Once-Weekly </w:t>
            </w:r>
            <w:proofErr w:type="spellStart"/>
            <w:r w:rsidRPr="003D5BD7">
              <w:t>Semaglutide</w:t>
            </w:r>
            <w:proofErr w:type="spellEnd"/>
            <w:r w:rsidRPr="003D5BD7">
              <w:t xml:space="preserve"> Versus </w:t>
            </w:r>
            <w:proofErr w:type="spellStart"/>
            <w:r w:rsidRPr="003D5BD7">
              <w:t>Exenatide</w:t>
            </w:r>
            <w:proofErr w:type="spellEnd"/>
            <w:r w:rsidRPr="003D5BD7">
              <w:t xml:space="preserve"> ER in Subjects With Type 2 Diabetes (SUSTAIN 3): A 56-Week, Open-Label, Randomized Clinical Trial</w:t>
            </w:r>
          </w:p>
        </w:tc>
        <w:tc>
          <w:tcPr>
            <w:tcW w:w="1402" w:type="pct"/>
          </w:tcPr>
          <w:p w:rsidR="00FB10A5" w:rsidRPr="003D5BD7" w:rsidRDefault="00FB10A5" w:rsidP="00FB10A5">
            <w:pPr>
              <w:pStyle w:val="TableText0"/>
              <w:rPr>
                <w:szCs w:val="18"/>
              </w:rPr>
            </w:pPr>
            <w:r w:rsidRPr="003D5BD7">
              <w:t>Diabetes Care;41(2):258-266</w:t>
            </w:r>
          </w:p>
        </w:tc>
      </w:tr>
      <w:tr w:rsidR="00FB10A5" w:rsidRPr="003D5BD7" w:rsidTr="009A1EF2">
        <w:tc>
          <w:tcPr>
            <w:tcW w:w="795" w:type="pct"/>
            <w:vMerge w:val="restart"/>
            <w:vAlign w:val="center"/>
          </w:tcPr>
          <w:p w:rsidR="00FB10A5" w:rsidRPr="003D5BD7" w:rsidRDefault="00FB10A5" w:rsidP="00FB10A5">
            <w:pPr>
              <w:pStyle w:val="TableText0"/>
            </w:pPr>
            <w:r w:rsidRPr="003D5BD7">
              <w:t>SUSTAIN 7</w:t>
            </w:r>
          </w:p>
          <w:p w:rsidR="00FB10A5" w:rsidRPr="003D5BD7" w:rsidRDefault="00FB10A5" w:rsidP="00FB10A5">
            <w:pPr>
              <w:pStyle w:val="TableText0"/>
            </w:pPr>
            <w:r w:rsidRPr="003D5BD7">
              <w:t>(NCT02648204)</w:t>
            </w:r>
          </w:p>
        </w:tc>
        <w:tc>
          <w:tcPr>
            <w:tcW w:w="2803" w:type="pct"/>
          </w:tcPr>
          <w:p w:rsidR="00FB10A5" w:rsidRPr="003D5BD7" w:rsidRDefault="00FB10A5" w:rsidP="00FB10A5">
            <w:pPr>
              <w:pStyle w:val="TableText0"/>
              <w:rPr>
                <w:szCs w:val="18"/>
              </w:rPr>
            </w:pPr>
            <w:r w:rsidRPr="003D5BD7">
              <w:t xml:space="preserve">Novo Nordisk Clinical Trial Report (2017). Efficacy and safety of </w:t>
            </w:r>
            <w:proofErr w:type="spellStart"/>
            <w:r w:rsidRPr="003D5BD7">
              <w:t>semaglutide</w:t>
            </w:r>
            <w:proofErr w:type="spellEnd"/>
            <w:r w:rsidRPr="003D5BD7">
              <w:t xml:space="preserve"> versus </w:t>
            </w:r>
            <w:proofErr w:type="spellStart"/>
            <w:r w:rsidRPr="003D5BD7">
              <w:t>dulaglutide</w:t>
            </w:r>
            <w:proofErr w:type="spellEnd"/>
            <w:r w:rsidRPr="003D5BD7">
              <w:t xml:space="preserve"> as add-on to metformin in subjects with type 2 diabetes</w:t>
            </w:r>
          </w:p>
        </w:tc>
        <w:tc>
          <w:tcPr>
            <w:tcW w:w="1402" w:type="pct"/>
          </w:tcPr>
          <w:p w:rsidR="00FB10A5" w:rsidRPr="003D5BD7" w:rsidRDefault="00FB10A5" w:rsidP="00FB10A5">
            <w:pPr>
              <w:pStyle w:val="TableText0"/>
              <w:rPr>
                <w:i/>
                <w:szCs w:val="18"/>
              </w:rPr>
            </w:pPr>
            <w:r w:rsidRPr="003D5BD7">
              <w:t>Internal study report</w:t>
            </w:r>
          </w:p>
        </w:tc>
      </w:tr>
      <w:tr w:rsidR="00FB10A5" w:rsidRPr="003D5BD7" w:rsidTr="009A1EF2">
        <w:tc>
          <w:tcPr>
            <w:tcW w:w="795" w:type="pct"/>
            <w:vMerge/>
            <w:vAlign w:val="center"/>
          </w:tcPr>
          <w:p w:rsidR="00FB10A5" w:rsidRPr="003D5BD7" w:rsidRDefault="00FB10A5" w:rsidP="00FB10A5">
            <w:pPr>
              <w:pStyle w:val="TableText0"/>
              <w:rPr>
                <w:rFonts w:ascii="Times" w:hAnsi="Times"/>
              </w:rPr>
            </w:pPr>
          </w:p>
        </w:tc>
        <w:tc>
          <w:tcPr>
            <w:tcW w:w="2803" w:type="pct"/>
          </w:tcPr>
          <w:p w:rsidR="00FB10A5" w:rsidRPr="003D5BD7" w:rsidRDefault="00FB10A5" w:rsidP="00FB10A5">
            <w:pPr>
              <w:pStyle w:val="TableText0"/>
              <w:rPr>
                <w:rFonts w:ascii="Times" w:hAnsi="Times"/>
              </w:rPr>
            </w:pPr>
            <w:r w:rsidRPr="003D5BD7">
              <w:t xml:space="preserve">Pratley RE, </w:t>
            </w:r>
            <w:proofErr w:type="spellStart"/>
            <w:r w:rsidRPr="003D5BD7">
              <w:t>Aroda</w:t>
            </w:r>
            <w:proofErr w:type="spellEnd"/>
            <w:r w:rsidRPr="003D5BD7">
              <w:t xml:space="preserve"> VR, </w:t>
            </w:r>
            <w:proofErr w:type="spellStart"/>
            <w:r w:rsidRPr="003D5BD7">
              <w:t>Lingvay</w:t>
            </w:r>
            <w:proofErr w:type="spellEnd"/>
            <w:r w:rsidRPr="003D5BD7">
              <w:t xml:space="preserve"> I et al (2018). </w:t>
            </w:r>
            <w:proofErr w:type="spellStart"/>
            <w:r w:rsidRPr="003D5BD7">
              <w:t>Semaglutide</w:t>
            </w:r>
            <w:proofErr w:type="spellEnd"/>
            <w:r w:rsidRPr="003D5BD7">
              <w:t xml:space="preserve"> versus </w:t>
            </w:r>
            <w:proofErr w:type="spellStart"/>
            <w:r w:rsidRPr="003D5BD7">
              <w:t>dulaglutide</w:t>
            </w:r>
            <w:proofErr w:type="spellEnd"/>
            <w:r w:rsidRPr="003D5BD7">
              <w:t xml:space="preserve"> once weekly in patients with type 2 diabetes (SUSTAIN 7): a randomised, open-label, phase 3b trial</w:t>
            </w:r>
          </w:p>
        </w:tc>
        <w:tc>
          <w:tcPr>
            <w:tcW w:w="1402" w:type="pct"/>
          </w:tcPr>
          <w:p w:rsidR="00FB10A5" w:rsidRPr="003D5BD7" w:rsidRDefault="00FB10A5" w:rsidP="00FB10A5">
            <w:pPr>
              <w:pStyle w:val="TableText0"/>
            </w:pPr>
            <w:r w:rsidRPr="003D5BD7">
              <w:t>Lancet Diabetes &amp; Endocrinology;6(4):275-86</w:t>
            </w:r>
          </w:p>
        </w:tc>
      </w:tr>
      <w:tr w:rsidR="00FB10A5" w:rsidRPr="003D5BD7" w:rsidTr="009A1EF2">
        <w:tc>
          <w:tcPr>
            <w:tcW w:w="795" w:type="pct"/>
            <w:vMerge w:val="restart"/>
            <w:vAlign w:val="center"/>
          </w:tcPr>
          <w:p w:rsidR="00FB10A5" w:rsidRPr="003D5BD7" w:rsidRDefault="00FB10A5" w:rsidP="00FB10A5">
            <w:pPr>
              <w:pStyle w:val="TableText0"/>
            </w:pPr>
            <w:r w:rsidRPr="003D5BD7">
              <w:t>SUSTAIN 6</w:t>
            </w:r>
          </w:p>
          <w:p w:rsidR="00FB10A5" w:rsidRPr="003D5BD7" w:rsidRDefault="00FB10A5" w:rsidP="00FB10A5">
            <w:pPr>
              <w:pStyle w:val="TableText0"/>
            </w:pPr>
            <w:r w:rsidRPr="003D5BD7">
              <w:t>(NCT01720446)</w:t>
            </w:r>
          </w:p>
        </w:tc>
        <w:tc>
          <w:tcPr>
            <w:tcW w:w="2803" w:type="pct"/>
          </w:tcPr>
          <w:p w:rsidR="00FB10A5" w:rsidRPr="003D5BD7" w:rsidRDefault="00FB10A5" w:rsidP="00FB10A5">
            <w:pPr>
              <w:pStyle w:val="TableText0"/>
              <w:rPr>
                <w:szCs w:val="18"/>
              </w:rPr>
            </w:pPr>
            <w:r w:rsidRPr="003D5BD7">
              <w:t xml:space="preserve">Novo Nordisk Clinical Trial Report (2016). A long-term, randomised, double-blind, placebo-controlled, multinational, multi-centre trial to evaluate cardiovascular and other long-term outcomes with </w:t>
            </w:r>
            <w:proofErr w:type="spellStart"/>
            <w:r w:rsidRPr="003D5BD7">
              <w:t>semaglutide</w:t>
            </w:r>
            <w:proofErr w:type="spellEnd"/>
            <w:r w:rsidRPr="003D5BD7">
              <w:t xml:space="preserve"> in subjects with type 2 diabetes</w:t>
            </w:r>
          </w:p>
        </w:tc>
        <w:tc>
          <w:tcPr>
            <w:tcW w:w="1402" w:type="pct"/>
          </w:tcPr>
          <w:p w:rsidR="00FB10A5" w:rsidRPr="003D5BD7" w:rsidRDefault="00FB10A5" w:rsidP="00FB10A5">
            <w:pPr>
              <w:pStyle w:val="TableText0"/>
              <w:rPr>
                <w:i/>
              </w:rPr>
            </w:pPr>
            <w:r w:rsidRPr="003D5BD7">
              <w:t>Internal study report</w:t>
            </w:r>
          </w:p>
        </w:tc>
      </w:tr>
      <w:tr w:rsidR="00FB10A5" w:rsidRPr="003D5BD7" w:rsidTr="009A1EF2">
        <w:tc>
          <w:tcPr>
            <w:tcW w:w="795" w:type="pct"/>
            <w:vMerge/>
            <w:vAlign w:val="center"/>
          </w:tcPr>
          <w:p w:rsidR="00FB10A5" w:rsidRPr="003D5BD7" w:rsidRDefault="00FB10A5" w:rsidP="00FB10A5">
            <w:pPr>
              <w:pStyle w:val="TableText0"/>
            </w:pPr>
          </w:p>
        </w:tc>
        <w:tc>
          <w:tcPr>
            <w:tcW w:w="2803" w:type="pct"/>
          </w:tcPr>
          <w:p w:rsidR="00FB10A5" w:rsidRPr="003D5BD7" w:rsidRDefault="00FB10A5" w:rsidP="00FB10A5">
            <w:pPr>
              <w:pStyle w:val="TableText0"/>
              <w:rPr>
                <w:szCs w:val="18"/>
              </w:rPr>
            </w:pPr>
            <w:proofErr w:type="spellStart"/>
            <w:r w:rsidRPr="003D5BD7">
              <w:t>Marso</w:t>
            </w:r>
            <w:proofErr w:type="spellEnd"/>
            <w:r w:rsidRPr="003D5BD7">
              <w:t xml:space="preserve"> SP, Bain SC, </w:t>
            </w:r>
            <w:proofErr w:type="spellStart"/>
            <w:r w:rsidRPr="003D5BD7">
              <w:t>Consoli</w:t>
            </w:r>
            <w:proofErr w:type="spellEnd"/>
            <w:r w:rsidRPr="003D5BD7">
              <w:t xml:space="preserve"> A et al (2016). </w:t>
            </w:r>
            <w:proofErr w:type="spellStart"/>
            <w:r w:rsidRPr="003D5BD7">
              <w:t>Semaglutide</w:t>
            </w:r>
            <w:proofErr w:type="spellEnd"/>
            <w:r w:rsidRPr="003D5BD7">
              <w:t xml:space="preserve"> and Cardiovascular Outcomes in Patients with Type 2 Diabetes</w:t>
            </w:r>
          </w:p>
        </w:tc>
        <w:tc>
          <w:tcPr>
            <w:tcW w:w="1402" w:type="pct"/>
          </w:tcPr>
          <w:p w:rsidR="00FB10A5" w:rsidRPr="003D5BD7" w:rsidRDefault="00FB10A5" w:rsidP="00FB10A5">
            <w:pPr>
              <w:pStyle w:val="TableText0"/>
              <w:rPr>
                <w:rFonts w:ascii="Times" w:hAnsi="Times"/>
              </w:rPr>
            </w:pPr>
            <w:r w:rsidRPr="003D5BD7">
              <w:t>New England Journal of Medicine;375(19):1834-1844</w:t>
            </w:r>
          </w:p>
        </w:tc>
      </w:tr>
    </w:tbl>
    <w:p w:rsidR="00FB10A5" w:rsidRPr="003D5BD7" w:rsidRDefault="00FB10A5" w:rsidP="00FB10A5">
      <w:pPr>
        <w:pStyle w:val="TableFigureFooter"/>
      </w:pPr>
      <w:r w:rsidRPr="003D5BD7">
        <w:t xml:space="preserve">Source: Table 2, </w:t>
      </w:r>
      <w:proofErr w:type="spellStart"/>
      <w:r w:rsidRPr="003D5BD7">
        <w:t>semaglutide</w:t>
      </w:r>
      <w:proofErr w:type="spellEnd"/>
      <w:r w:rsidRPr="003D5BD7">
        <w:t xml:space="preserve"> </w:t>
      </w:r>
      <w:r w:rsidR="00AC6E9E" w:rsidRPr="003D5BD7">
        <w:t>Public Summary Document</w:t>
      </w:r>
      <w:r w:rsidRPr="003D5BD7">
        <w:t>, November 2019</w:t>
      </w:r>
      <w:r w:rsidR="008177C5" w:rsidRPr="003D5BD7">
        <w:t xml:space="preserve"> PBAC meeting</w:t>
      </w:r>
    </w:p>
    <w:p w:rsidR="003247B9" w:rsidRPr="003D5BD7" w:rsidRDefault="003247B9" w:rsidP="0030000B">
      <w:pPr>
        <w:pStyle w:val="3Bodytext"/>
      </w:pPr>
      <w:r w:rsidRPr="003D5BD7">
        <w:t xml:space="preserve">Additional details of the SUSTAIN 7 trial to address the issue of the relativity of the </w:t>
      </w:r>
      <w:proofErr w:type="spellStart"/>
      <w:r w:rsidRPr="003D5BD7">
        <w:t>semaglutide</w:t>
      </w:r>
      <w:proofErr w:type="spellEnd"/>
      <w:r w:rsidRPr="003D5BD7">
        <w:t xml:space="preserve"> 0.5 mg dose with </w:t>
      </w:r>
      <w:proofErr w:type="spellStart"/>
      <w:r w:rsidRPr="003D5BD7">
        <w:t>dulaglutide</w:t>
      </w:r>
      <w:proofErr w:type="spellEnd"/>
      <w:r w:rsidRPr="003D5BD7">
        <w:t xml:space="preserve"> 1.5 mg dose </w:t>
      </w:r>
      <w:proofErr w:type="gramStart"/>
      <w:r w:rsidRPr="003D5BD7">
        <w:t>were presented</w:t>
      </w:r>
      <w:proofErr w:type="gramEnd"/>
      <w:r w:rsidRPr="003D5BD7">
        <w:t xml:space="preserve">, including the post-hoc analysis of this comparison, as </w:t>
      </w:r>
      <w:r w:rsidR="00610796" w:rsidRPr="003D5BD7">
        <w:t xml:space="preserve">presented in the </w:t>
      </w:r>
      <w:r w:rsidR="00B75938">
        <w:t>Pre-Sub-C</w:t>
      </w:r>
      <w:r w:rsidR="00610796" w:rsidRPr="003D5BD7">
        <w:t>ommi</w:t>
      </w:r>
      <w:r w:rsidR="00B75938">
        <w:t>ttee R</w:t>
      </w:r>
      <w:r w:rsidR="00610796" w:rsidRPr="003D5BD7">
        <w:t>esponse in November 2019.</w:t>
      </w:r>
    </w:p>
    <w:p w:rsidR="00ED3A14" w:rsidRPr="003D5BD7" w:rsidRDefault="00CA19E6" w:rsidP="004A4422">
      <w:pPr>
        <w:pStyle w:val="Heading2"/>
        <w:keepLines/>
        <w:spacing w:before="240" w:after="120"/>
        <w:rPr>
          <w:rFonts w:asciiTheme="minorHAnsi" w:eastAsiaTheme="majorEastAsia" w:hAnsiTheme="minorHAnsi" w:cstheme="majorBidi"/>
          <w:sz w:val="28"/>
          <w:szCs w:val="28"/>
          <w:lang w:eastAsia="en-US"/>
        </w:rPr>
      </w:pPr>
      <w:r w:rsidRPr="003D5BD7">
        <w:rPr>
          <w:rFonts w:asciiTheme="minorHAnsi" w:eastAsiaTheme="majorEastAsia" w:hAnsiTheme="minorHAnsi" w:cstheme="majorBidi"/>
          <w:sz w:val="28"/>
          <w:szCs w:val="28"/>
          <w:lang w:eastAsia="en-US"/>
        </w:rPr>
        <w:lastRenderedPageBreak/>
        <w:t>Comparative effectiveness</w:t>
      </w:r>
    </w:p>
    <w:p w:rsidR="00ED3A14" w:rsidRPr="003D5BD7" w:rsidRDefault="00D61ED5" w:rsidP="006A651E">
      <w:pPr>
        <w:pStyle w:val="3Bodytext"/>
      </w:pPr>
      <w:r w:rsidRPr="003D5BD7">
        <w:t xml:space="preserve">The resubmission presented data from the pre-specified high dose and post-hoc cross dose comparisons of </w:t>
      </w:r>
      <w:proofErr w:type="spellStart"/>
      <w:r w:rsidRPr="003D5BD7">
        <w:t>dulaglutide</w:t>
      </w:r>
      <w:proofErr w:type="spellEnd"/>
      <w:r w:rsidRPr="003D5BD7">
        <w:t xml:space="preserve"> 1.5 mg versus </w:t>
      </w:r>
      <w:proofErr w:type="spellStart"/>
      <w:r w:rsidRPr="003D5BD7">
        <w:t>semaglutide</w:t>
      </w:r>
      <w:proofErr w:type="spellEnd"/>
      <w:r w:rsidRPr="003D5BD7">
        <w:t xml:space="preserve"> 1.0 mg and </w:t>
      </w:r>
      <w:proofErr w:type="spellStart"/>
      <w:r w:rsidRPr="003D5BD7">
        <w:t>semaglutide</w:t>
      </w:r>
      <w:proofErr w:type="spellEnd"/>
      <w:r w:rsidRPr="003D5BD7">
        <w:t xml:space="preserve"> 0.5 mg respectively (</w:t>
      </w:r>
      <w:r w:rsidR="00187304" w:rsidRPr="003D5BD7">
        <w:t xml:space="preserve">Table </w:t>
      </w:r>
      <w:r w:rsidR="00187304" w:rsidRPr="00492982">
        <w:t>3</w:t>
      </w:r>
      <w:r w:rsidRPr="003D5BD7">
        <w:t>).</w:t>
      </w:r>
      <w:r w:rsidR="00D144DF" w:rsidRPr="003D5BD7">
        <w:t xml:space="preserve"> </w:t>
      </w:r>
    </w:p>
    <w:p w:rsidR="00ED3A14" w:rsidRPr="003D5BD7" w:rsidRDefault="00E8537B" w:rsidP="00ED3A14">
      <w:pPr>
        <w:pStyle w:val="TableFigureHeading"/>
        <w:keepLines/>
      </w:pPr>
      <w:bookmarkStart w:id="0" w:name="_Ref33438340"/>
      <w:r w:rsidRPr="003D5BD7">
        <w:t xml:space="preserve">Table </w:t>
      </w:r>
      <w:r w:rsidR="00187304" w:rsidRPr="00492982">
        <w:t>3</w:t>
      </w:r>
      <w:bookmarkEnd w:id="0"/>
      <w:r w:rsidR="00ED3A14" w:rsidRPr="003D5BD7">
        <w:t>: Summary of results of the post hoc analyses of SUSTAIN 7</w:t>
      </w:r>
    </w:p>
    <w:tbl>
      <w:tblPr>
        <w:tblStyle w:val="Summarybox1"/>
        <w:tblW w:w="5000" w:type="pct"/>
        <w:tblLook w:val="04A0" w:firstRow="1" w:lastRow="0" w:firstColumn="1" w:lastColumn="0" w:noHBand="0" w:noVBand="1"/>
        <w:tblCaption w:val="Table 3: Summary of results of the post hoc analyses of SUSTAIN 7"/>
      </w:tblPr>
      <w:tblGrid>
        <w:gridCol w:w="1986"/>
        <w:gridCol w:w="1194"/>
        <w:gridCol w:w="1196"/>
        <w:gridCol w:w="1196"/>
        <w:gridCol w:w="1726"/>
        <w:gridCol w:w="1718"/>
      </w:tblGrid>
      <w:tr w:rsidR="00ED3A14" w:rsidRPr="003D5BD7" w:rsidTr="002D5691">
        <w:tc>
          <w:tcPr>
            <w:tcW w:w="1102" w:type="pct"/>
            <w:shd w:val="clear" w:color="auto" w:fill="auto"/>
          </w:tcPr>
          <w:p w:rsidR="00ED3A14" w:rsidRPr="003D5BD7"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lang w:val="en-AU"/>
              </w:rPr>
              <w:t>Outcome</w:t>
            </w:r>
          </w:p>
        </w:tc>
        <w:tc>
          <w:tcPr>
            <w:tcW w:w="662" w:type="pct"/>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SEM 0.5 mg</w:t>
            </w:r>
          </w:p>
        </w:tc>
        <w:tc>
          <w:tcPr>
            <w:tcW w:w="663" w:type="pct"/>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SEM 1.0 mg</w:t>
            </w:r>
          </w:p>
        </w:tc>
        <w:tc>
          <w:tcPr>
            <w:tcW w:w="663" w:type="pct"/>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DUL 1.5 mg</w:t>
            </w:r>
          </w:p>
        </w:tc>
        <w:tc>
          <w:tcPr>
            <w:tcW w:w="957" w:type="pct"/>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SEM 0.5 vs. DUL 1.5</w:t>
            </w:r>
          </w:p>
        </w:tc>
        <w:tc>
          <w:tcPr>
            <w:tcW w:w="953" w:type="pct"/>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SEM 1.0 vs. DUL 1.5</w:t>
            </w:r>
          </w:p>
        </w:tc>
      </w:tr>
      <w:tr w:rsidR="00ED3A14" w:rsidRPr="003D5BD7" w:rsidTr="002D5691">
        <w:tc>
          <w:tcPr>
            <w:tcW w:w="3089" w:type="pct"/>
            <w:gridSpan w:val="4"/>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Inferential non-inferiority analyses (mean change from baseline)</w:t>
            </w:r>
          </w:p>
        </w:tc>
        <w:tc>
          <w:tcPr>
            <w:tcW w:w="1911" w:type="pct"/>
            <w:gridSpan w:val="2"/>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Mean difference [95% CI]</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HbA1c (%)</w:t>
            </w:r>
          </w:p>
        </w:tc>
        <w:tc>
          <w:tcPr>
            <w:tcW w:w="66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-1.51</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-1.78</w:t>
            </w:r>
          </w:p>
        </w:tc>
        <w:tc>
          <w:tcPr>
            <w:tcW w:w="663"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-1.37</w:t>
            </w:r>
          </w:p>
        </w:tc>
        <w:tc>
          <w:tcPr>
            <w:tcW w:w="957"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-0.14 [-0.30; 0.01]</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-0.41 [-0.57; -0.25]</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Body weight (kg)</w:t>
            </w:r>
          </w:p>
        </w:tc>
        <w:tc>
          <w:tcPr>
            <w:tcW w:w="66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-4.56</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-6.53</w:t>
            </w:r>
          </w:p>
        </w:tc>
        <w:tc>
          <w:tcPr>
            <w:tcW w:w="663"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-2.98</w:t>
            </w:r>
          </w:p>
        </w:tc>
        <w:tc>
          <w:tcPr>
            <w:tcW w:w="957"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-1.58 [-2.35; -0.82]</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-3.55 [-4.32; -2.78]</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Body weight (%)</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-4.92</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-6.92</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-3.26</w:t>
            </w:r>
          </w:p>
        </w:tc>
        <w:tc>
          <w:tcPr>
            <w:tcW w:w="957"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-1.66 [-2.46; -0.86]</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-3.67 [-4.47; -2.86]</w:t>
            </w:r>
          </w:p>
        </w:tc>
      </w:tr>
      <w:tr w:rsidR="00ED3A14" w:rsidRPr="003D5BD7" w:rsidTr="002D5691">
        <w:tc>
          <w:tcPr>
            <w:tcW w:w="3089" w:type="pct"/>
            <w:gridSpan w:val="4"/>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Inferential sensitivity analyses (HbA1c)</w:t>
            </w:r>
          </w:p>
        </w:tc>
        <w:tc>
          <w:tcPr>
            <w:tcW w:w="1911" w:type="pct"/>
            <w:gridSpan w:val="2"/>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Mean difference [95% CI]</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Per-protocol</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-1.53</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-1.78</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-1.40</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-0.13 [-0.29; 0.02]</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-0.38 [-0.54; -0.22]</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Complete cases</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-1.52</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-1.82</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-1.41</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-0.11 [-0.26; 0.05]</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-0.41 [-0.57; -0.26]</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LOCF</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-1.41</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-1.64</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-1.32</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-0.09 [-0.24; 0.06]</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-0.32 [-0.47; -0.17]</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Retrieved dropout</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-1.40</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-1.62</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-1.29</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-0.12 [-0.30; 0.07]</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-0.34 [-0.52; -0.15]</w:t>
            </w:r>
          </w:p>
        </w:tc>
      </w:tr>
      <w:tr w:rsidR="00ED3A14" w:rsidRPr="003D5BD7" w:rsidTr="002D5691">
        <w:tc>
          <w:tcPr>
            <w:tcW w:w="3089" w:type="pct"/>
            <w:gridSpan w:val="4"/>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Inferential sensitivity analyses (body weight in kg)</w:t>
            </w:r>
          </w:p>
        </w:tc>
        <w:tc>
          <w:tcPr>
            <w:tcW w:w="1911" w:type="pct"/>
            <w:gridSpan w:val="2"/>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Mean difference [95% CI]</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LOCF</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-4.25</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-5.97</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-1.94</w:t>
            </w:r>
          </w:p>
        </w:tc>
        <w:tc>
          <w:tcPr>
            <w:tcW w:w="957"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-1.31 [-2.01; -0.61]</w:t>
            </w:r>
            <w:r w:rsidRPr="003D5BD7">
              <w:rPr>
                <w:rStyle w:val="Font"/>
                <w:rFonts w:ascii="Arial Narrow" w:hAnsi="Arial Narrow"/>
                <w:sz w:val="20"/>
                <w:szCs w:val="20"/>
              </w:rPr>
              <w:t>*</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-3.03 [-3.73; -2.32]</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Retrieved dropout</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-4.18</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-5.85</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-2.80</w:t>
            </w:r>
          </w:p>
        </w:tc>
        <w:tc>
          <w:tcPr>
            <w:tcW w:w="957"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-1.39 [-2.19; -0.59]</w:t>
            </w:r>
            <w:r w:rsidRPr="003D5BD7">
              <w:rPr>
                <w:rStyle w:val="Font"/>
                <w:rFonts w:ascii="Arial Narrow" w:hAnsi="Arial Narrow"/>
                <w:sz w:val="20"/>
                <w:szCs w:val="20"/>
              </w:rPr>
              <w:t>*</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-3.05 [-3.85; -2.25]</w:t>
            </w:r>
          </w:p>
        </w:tc>
      </w:tr>
      <w:tr w:rsidR="00ED3A14" w:rsidRPr="003D5BD7" w:rsidTr="002D5691">
        <w:tc>
          <w:tcPr>
            <w:tcW w:w="3089" w:type="pct"/>
            <w:gridSpan w:val="4"/>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Patients achieving clinically important outcomes (odds)</w:t>
            </w:r>
          </w:p>
        </w:tc>
        <w:tc>
          <w:tcPr>
            <w:tcW w:w="1911" w:type="pct"/>
            <w:gridSpan w:val="2"/>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Odds Ratio [95% CI]</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HbA1c &lt; 7.0%</w:t>
            </w:r>
          </w:p>
        </w:tc>
        <w:tc>
          <w:tcPr>
            <w:tcW w:w="66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2.54</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4.26</w:t>
            </w:r>
          </w:p>
        </w:tc>
        <w:tc>
          <w:tcPr>
            <w:tcW w:w="663"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2.18</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1.17 [0.78; 1.73]</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1.96 [1.28; 3.00]</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Weight loss &gt; 5%</w:t>
            </w:r>
          </w:p>
        </w:tc>
        <w:tc>
          <w:tcPr>
            <w:tcW w:w="66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0.77</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1.46</w:t>
            </w:r>
          </w:p>
        </w:tc>
        <w:tc>
          <w:tcPr>
            <w:tcW w:w="663"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0.48</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1.60 [1.12; 2.29]</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3.03 [2.11; 4.34]</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Composite outcome</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1.91</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2.87</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1.33</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1.44 [0.98; 2.09]</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2.15 [1.45; 3.19]</w:t>
            </w:r>
          </w:p>
        </w:tc>
      </w:tr>
      <w:tr w:rsidR="00ED3A14" w:rsidRPr="003D5BD7" w:rsidTr="002D5691">
        <w:tc>
          <w:tcPr>
            <w:tcW w:w="3089" w:type="pct"/>
            <w:gridSpan w:val="4"/>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Supportive clinical/laboratory outcomes (change from baseline)</w:t>
            </w:r>
          </w:p>
        </w:tc>
        <w:tc>
          <w:tcPr>
            <w:tcW w:w="1911" w:type="pct"/>
            <w:gridSpan w:val="2"/>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Mean difference [95% CI]</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FPG (</w:t>
            </w:r>
            <w:proofErr w:type="spellStart"/>
            <w:r w:rsidRPr="003D5BD7">
              <w:rPr>
                <w:rStyle w:val="Font"/>
                <w:rFonts w:ascii="Arial Narrow" w:hAnsi="Arial Narrow"/>
                <w:sz w:val="20"/>
                <w:szCs w:val="20"/>
              </w:rPr>
              <w:t>mmol</w:t>
            </w:r>
            <w:proofErr w:type="spellEnd"/>
            <w:r w:rsidRPr="003D5BD7">
              <w:rPr>
                <w:rStyle w:val="Font"/>
                <w:rFonts w:ascii="Arial Narrow" w:hAnsi="Arial Narrow"/>
                <w:sz w:val="20"/>
                <w:szCs w:val="20"/>
              </w:rPr>
              <w:t>/L)</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-7.53</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-6.88</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-7.46</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0.07 [-0.26; 0.39]</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-0.58 [-0.91; -0.26]</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HDL ratio (</w:t>
            </w:r>
            <w:proofErr w:type="spellStart"/>
            <w:r w:rsidRPr="003D5BD7">
              <w:rPr>
                <w:rStyle w:val="Font"/>
                <w:rFonts w:ascii="Arial Narrow" w:hAnsi="Arial Narrow"/>
                <w:sz w:val="20"/>
                <w:szCs w:val="20"/>
              </w:rPr>
              <w:t>mmol</w:t>
            </w:r>
            <w:proofErr w:type="spellEnd"/>
            <w:r w:rsidRPr="003D5BD7">
              <w:rPr>
                <w:rStyle w:val="Font"/>
                <w:rFonts w:ascii="Arial Narrow" w:hAnsi="Arial Narrow"/>
                <w:sz w:val="20"/>
                <w:szCs w:val="20"/>
              </w:rPr>
              <w:t>/L)</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0.99</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1.01</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1.02</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0.97 [0.95; 0.99]</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1.00 [0.98; 1.02]</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LDL ratio (</w:t>
            </w:r>
            <w:proofErr w:type="spellStart"/>
            <w:r w:rsidRPr="003D5BD7">
              <w:rPr>
                <w:rStyle w:val="Font"/>
                <w:rFonts w:ascii="Arial Narrow" w:hAnsi="Arial Narrow"/>
                <w:sz w:val="20"/>
                <w:szCs w:val="20"/>
              </w:rPr>
              <w:t>mmol</w:t>
            </w:r>
            <w:proofErr w:type="spellEnd"/>
            <w:r w:rsidRPr="003D5BD7">
              <w:rPr>
                <w:rStyle w:val="Font"/>
                <w:rFonts w:ascii="Arial Narrow" w:hAnsi="Arial Narrow"/>
                <w:sz w:val="20"/>
                <w:szCs w:val="20"/>
              </w:rPr>
              <w:t>/L)</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0.97</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1.00</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1.01</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0.96 [0.92; 1.00]</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0.99 [0.95; 1.04]</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TC ratio (</w:t>
            </w:r>
            <w:proofErr w:type="spellStart"/>
            <w:r w:rsidRPr="003D5BD7">
              <w:rPr>
                <w:rStyle w:val="Font"/>
                <w:rFonts w:ascii="Arial Narrow" w:hAnsi="Arial Narrow"/>
                <w:sz w:val="20"/>
                <w:szCs w:val="20"/>
              </w:rPr>
              <w:t>mmol</w:t>
            </w:r>
            <w:proofErr w:type="spellEnd"/>
            <w:r w:rsidRPr="003D5BD7">
              <w:rPr>
                <w:rStyle w:val="Font"/>
                <w:rFonts w:ascii="Arial Narrow" w:hAnsi="Arial Narrow"/>
                <w:sz w:val="20"/>
                <w:szCs w:val="20"/>
              </w:rPr>
              <w:t>/L)</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0.96</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0.97</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0.99</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0.97 [0.95; 1.00]</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0.98 [0.96; 1.01]</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TG (</w:t>
            </w:r>
            <w:proofErr w:type="spellStart"/>
            <w:r w:rsidRPr="003D5BD7">
              <w:rPr>
                <w:rStyle w:val="Font"/>
                <w:rFonts w:ascii="Arial Narrow" w:hAnsi="Arial Narrow"/>
                <w:sz w:val="20"/>
                <w:szCs w:val="20"/>
              </w:rPr>
              <w:t>mmol</w:t>
            </w:r>
            <w:proofErr w:type="spellEnd"/>
            <w:r w:rsidRPr="003D5BD7">
              <w:rPr>
                <w:rStyle w:val="Font"/>
                <w:rFonts w:ascii="Arial Narrow" w:hAnsi="Arial Narrow"/>
                <w:sz w:val="20"/>
                <w:szCs w:val="20"/>
              </w:rPr>
              <w:t>/L)</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0.91</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0.86</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0.90</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1.02 [0.96; 1.08]</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0.96 [0.91; 1.02]</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BMI (mg/kg^2)</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-1.63</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-2.33</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-1.08</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-0.55 [-0.82; -0.28]</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-1.25 [-1.52; -0.98]</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DBP (mmHg)</w:t>
            </w:r>
          </w:p>
        </w:tc>
        <w:tc>
          <w:tcPr>
            <w:tcW w:w="66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-0.57</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-2.05</w:t>
            </w:r>
          </w:p>
        </w:tc>
        <w:tc>
          <w:tcPr>
            <w:tcW w:w="663"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-0.03</w:t>
            </w:r>
          </w:p>
        </w:tc>
        <w:tc>
          <w:tcPr>
            <w:tcW w:w="957"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-0.54 [-1.86; 0.79]</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-2.0 [-3.4; -0.7]</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SBP (mmHg)</w:t>
            </w:r>
          </w:p>
        </w:tc>
        <w:tc>
          <w:tcPr>
            <w:tcW w:w="66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-2.44</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-4.88</w:t>
            </w:r>
          </w:p>
        </w:tc>
        <w:tc>
          <w:tcPr>
            <w:tcW w:w="663"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-2.86</w:t>
            </w:r>
          </w:p>
        </w:tc>
        <w:tc>
          <w:tcPr>
            <w:tcW w:w="957"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0.42 [-1.68;2.52]</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-2.0 [-4.1; 0.1]</w:t>
            </w:r>
          </w:p>
        </w:tc>
      </w:tr>
      <w:tr w:rsidR="00ED3A14" w:rsidRPr="003D5BD7" w:rsidTr="002D5691">
        <w:tc>
          <w:tcPr>
            <w:tcW w:w="3089" w:type="pct"/>
            <w:gridSpan w:val="4"/>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Health Related Quality of Life (change from baseline)</w:t>
            </w:r>
          </w:p>
        </w:tc>
        <w:tc>
          <w:tcPr>
            <w:tcW w:w="1911" w:type="pct"/>
            <w:gridSpan w:val="2"/>
            <w:shd w:val="clear" w:color="auto" w:fill="auto"/>
          </w:tcPr>
          <w:p w:rsidR="00ED3A14" w:rsidRPr="00492982" w:rsidRDefault="00ED3A14" w:rsidP="00ED3A14">
            <w:pPr>
              <w:pStyle w:val="TableText0"/>
              <w:rPr>
                <w:rStyle w:val="Font"/>
                <w:rFonts w:ascii="Arial Narrow" w:hAnsi="Arial Narrow"/>
                <w:b/>
                <w:sz w:val="20"/>
                <w:szCs w:val="20"/>
                <w:lang w:val="en-AU"/>
              </w:rPr>
            </w:pPr>
            <w:r w:rsidRPr="003D5BD7">
              <w:rPr>
                <w:rStyle w:val="Font"/>
                <w:rFonts w:ascii="Arial Narrow" w:hAnsi="Arial Narrow"/>
                <w:b/>
                <w:sz w:val="20"/>
                <w:szCs w:val="20"/>
              </w:rPr>
              <w:t>Mean difference [95% CI]</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SF-36 (PCS)</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1.21</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2.04</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1.29</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-0.08 [-1.18; 1.01]</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0.75 [-0.35; 1.85]</w:t>
            </w:r>
          </w:p>
        </w:tc>
      </w:tr>
      <w:tr w:rsidR="00ED3A14" w:rsidRPr="003D5BD7" w:rsidTr="002D5691">
        <w:trPr>
          <w:trHeight w:val="77"/>
        </w:trPr>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SF-36 (MCS)</w:t>
            </w:r>
          </w:p>
        </w:tc>
        <w:tc>
          <w:tcPr>
            <w:tcW w:w="662"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1.45</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1.23</w:t>
            </w:r>
          </w:p>
        </w:tc>
        <w:tc>
          <w:tcPr>
            <w:tcW w:w="66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1.08</w:t>
            </w:r>
          </w:p>
        </w:tc>
        <w:tc>
          <w:tcPr>
            <w:tcW w:w="957"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0.37 [-0.98; 1.71]</w:t>
            </w:r>
          </w:p>
        </w:tc>
        <w:tc>
          <w:tcPr>
            <w:tcW w:w="953" w:type="pct"/>
            <w:shd w:val="clear" w:color="auto" w:fill="auto"/>
          </w:tcPr>
          <w:p w:rsidR="00ED3A14" w:rsidRPr="008E3ECD" w:rsidRDefault="00ED3A14" w:rsidP="00ED3A14">
            <w:pPr>
              <w:pStyle w:val="TableText0"/>
              <w:rPr>
                <w:rStyle w:val="Font"/>
                <w:rFonts w:ascii="Arial Narrow" w:hAnsi="Arial Narrow"/>
                <w:sz w:val="20"/>
                <w:szCs w:val="20"/>
                <w:lang w:val="en-AU"/>
              </w:rPr>
            </w:pPr>
            <w:r w:rsidRPr="008E3ECD">
              <w:rPr>
                <w:rStyle w:val="Font"/>
                <w:rFonts w:ascii="Arial Narrow" w:hAnsi="Arial Narrow"/>
                <w:sz w:val="20"/>
                <w:szCs w:val="20"/>
              </w:rPr>
              <w:t>0.15 [-1.20; 1.50]</w:t>
            </w:r>
          </w:p>
        </w:tc>
      </w:tr>
      <w:tr w:rsidR="00ED3A14" w:rsidRPr="003D5BD7" w:rsidTr="002D5691">
        <w:tc>
          <w:tcPr>
            <w:tcW w:w="110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DTSQ (TS)</w:t>
            </w:r>
          </w:p>
        </w:tc>
        <w:tc>
          <w:tcPr>
            <w:tcW w:w="662"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4.60</w:t>
            </w:r>
          </w:p>
        </w:tc>
        <w:tc>
          <w:tcPr>
            <w:tcW w:w="663"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4.55</w:t>
            </w:r>
          </w:p>
        </w:tc>
        <w:tc>
          <w:tcPr>
            <w:tcW w:w="663"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4.65</w:t>
            </w:r>
          </w:p>
        </w:tc>
        <w:tc>
          <w:tcPr>
            <w:tcW w:w="957" w:type="pct"/>
            <w:shd w:val="clear" w:color="auto" w:fill="auto"/>
          </w:tcPr>
          <w:p w:rsidR="00ED3A14" w:rsidRPr="00492982" w:rsidRDefault="00ED3A14" w:rsidP="00ED3A14">
            <w:pPr>
              <w:pStyle w:val="TableText0"/>
              <w:rPr>
                <w:rStyle w:val="Font"/>
                <w:rFonts w:ascii="Arial Narrow" w:hAnsi="Arial Narrow"/>
                <w:sz w:val="20"/>
                <w:szCs w:val="20"/>
                <w:lang w:val="en-AU"/>
              </w:rPr>
            </w:pPr>
            <w:r w:rsidRPr="003D5BD7">
              <w:rPr>
                <w:rStyle w:val="Font"/>
                <w:rFonts w:ascii="Arial Narrow" w:hAnsi="Arial Narrow"/>
                <w:sz w:val="20"/>
                <w:szCs w:val="20"/>
              </w:rPr>
              <w:t>-0.05 [-0.83; 0.74]</w:t>
            </w:r>
          </w:p>
        </w:tc>
        <w:tc>
          <w:tcPr>
            <w:tcW w:w="953" w:type="pct"/>
            <w:shd w:val="clear" w:color="auto" w:fill="auto"/>
          </w:tcPr>
          <w:p w:rsidR="00ED3A14" w:rsidRPr="005D3534" w:rsidRDefault="00ED3A14" w:rsidP="00ED3A14">
            <w:pPr>
              <w:pStyle w:val="TableText0"/>
              <w:rPr>
                <w:rStyle w:val="Font"/>
                <w:rFonts w:ascii="Arial Narrow" w:hAnsi="Arial Narrow"/>
                <w:sz w:val="20"/>
                <w:szCs w:val="20"/>
                <w:lang w:val="en-AU"/>
              </w:rPr>
            </w:pPr>
            <w:r w:rsidRPr="00181018">
              <w:rPr>
                <w:rStyle w:val="Font"/>
                <w:rFonts w:ascii="Arial Narrow" w:hAnsi="Arial Narrow"/>
                <w:sz w:val="20"/>
                <w:szCs w:val="20"/>
              </w:rPr>
              <w:t>-0.10 [-0.89; 0.70]</w:t>
            </w:r>
          </w:p>
        </w:tc>
      </w:tr>
    </w:tbl>
    <w:p w:rsidR="00ED3A14" w:rsidRPr="003D5BD7" w:rsidRDefault="00ED3A14" w:rsidP="00ED3A14">
      <w:pPr>
        <w:pStyle w:val="TableFigureFooter"/>
        <w:rPr>
          <w:rFonts w:eastAsiaTheme="majorEastAsia"/>
          <w:lang w:eastAsia="en-US"/>
        </w:rPr>
      </w:pPr>
      <w:r w:rsidRPr="003D5BD7">
        <w:rPr>
          <w:rFonts w:eastAsiaTheme="majorEastAsia"/>
          <w:lang w:eastAsia="en-US"/>
        </w:rPr>
        <w:t xml:space="preserve">Source: Table 3, </w:t>
      </w:r>
      <w:proofErr w:type="spellStart"/>
      <w:r w:rsidRPr="003D5BD7">
        <w:rPr>
          <w:rFonts w:eastAsiaTheme="majorEastAsia"/>
          <w:lang w:eastAsia="en-US"/>
        </w:rPr>
        <w:t>pg</w:t>
      </w:r>
      <w:proofErr w:type="spellEnd"/>
      <w:r w:rsidRPr="003D5BD7">
        <w:rPr>
          <w:rFonts w:eastAsiaTheme="majorEastAsia"/>
          <w:lang w:eastAsia="en-US"/>
        </w:rPr>
        <w:t xml:space="preserve"> 7</w:t>
      </w:r>
      <w:r w:rsidR="008177C5" w:rsidRPr="003D5BD7">
        <w:rPr>
          <w:rFonts w:eastAsiaTheme="majorEastAsia"/>
          <w:lang w:eastAsia="en-US"/>
        </w:rPr>
        <w:t xml:space="preserve"> </w:t>
      </w:r>
      <w:r w:rsidRPr="003D5BD7">
        <w:rPr>
          <w:rFonts w:eastAsiaTheme="majorEastAsia"/>
          <w:lang w:eastAsia="en-US"/>
        </w:rPr>
        <w:t>of the resubmission</w:t>
      </w:r>
    </w:p>
    <w:p w:rsidR="00E52D49" w:rsidRPr="003D5BD7" w:rsidRDefault="00BD66EE" w:rsidP="00E52D49">
      <w:pPr>
        <w:pStyle w:val="3Bodytext"/>
        <w:rPr>
          <w:i/>
        </w:rPr>
      </w:pPr>
      <w:r w:rsidRPr="003D5BD7">
        <w:rPr>
          <w:rFonts w:eastAsiaTheme="majorEastAsia"/>
          <w:lang w:eastAsia="en-US"/>
        </w:rPr>
        <w:t xml:space="preserve">The difference in HbA1c reduction between </w:t>
      </w:r>
      <w:proofErr w:type="spellStart"/>
      <w:r w:rsidRPr="003D5BD7">
        <w:rPr>
          <w:rFonts w:eastAsiaTheme="majorEastAsia"/>
          <w:lang w:eastAsia="en-US"/>
        </w:rPr>
        <w:t>semaglutide</w:t>
      </w:r>
      <w:proofErr w:type="spellEnd"/>
      <w:r w:rsidRPr="003D5BD7">
        <w:rPr>
          <w:rFonts w:eastAsiaTheme="majorEastAsia"/>
          <w:lang w:eastAsia="en-US"/>
        </w:rPr>
        <w:t xml:space="preserve"> 0.5 mg and </w:t>
      </w:r>
      <w:proofErr w:type="spellStart"/>
      <w:r w:rsidRPr="003D5BD7">
        <w:rPr>
          <w:rFonts w:eastAsiaTheme="majorEastAsia"/>
          <w:lang w:eastAsia="en-US"/>
        </w:rPr>
        <w:t>dulaglutide</w:t>
      </w:r>
      <w:proofErr w:type="spellEnd"/>
      <w:r w:rsidRPr="003D5BD7">
        <w:rPr>
          <w:rFonts w:eastAsiaTheme="majorEastAsia"/>
          <w:lang w:eastAsia="en-US"/>
        </w:rPr>
        <w:t xml:space="preserve"> 1.5</w:t>
      </w:r>
      <w:r w:rsidR="00610796" w:rsidRPr="003D5BD7">
        <w:rPr>
          <w:rFonts w:eastAsiaTheme="majorEastAsia"/>
          <w:lang w:eastAsia="en-US"/>
        </w:rPr>
        <w:t> </w:t>
      </w:r>
      <w:r w:rsidRPr="003D5BD7">
        <w:rPr>
          <w:rFonts w:eastAsiaTheme="majorEastAsia"/>
          <w:lang w:eastAsia="en-US"/>
        </w:rPr>
        <w:t>mg was not statistically significant</w:t>
      </w:r>
      <w:r w:rsidR="00610796" w:rsidRPr="003D5BD7">
        <w:rPr>
          <w:rFonts w:eastAsiaTheme="majorEastAsia"/>
          <w:lang w:eastAsia="en-US"/>
        </w:rPr>
        <w:t xml:space="preserve">, with the point estimate favouring </w:t>
      </w:r>
      <w:proofErr w:type="spellStart"/>
      <w:r w:rsidR="00610796" w:rsidRPr="003D5BD7">
        <w:rPr>
          <w:rFonts w:eastAsiaTheme="majorEastAsia"/>
          <w:lang w:eastAsia="en-US"/>
        </w:rPr>
        <w:t>semaglutide</w:t>
      </w:r>
      <w:proofErr w:type="spellEnd"/>
      <w:r w:rsidR="00610796" w:rsidRPr="003D5BD7">
        <w:rPr>
          <w:rFonts w:eastAsiaTheme="majorEastAsia"/>
          <w:lang w:eastAsia="en-US"/>
        </w:rPr>
        <w:t xml:space="preserve"> </w:t>
      </w:r>
      <w:r w:rsidR="00610796" w:rsidRPr="003D5BD7">
        <w:t>(</w:t>
      </w:r>
      <w:r w:rsidR="00610796" w:rsidRPr="003D5BD7">
        <w:rPr>
          <w:rFonts w:eastAsiaTheme="majorEastAsia"/>
          <w:lang w:eastAsia="en-US"/>
        </w:rPr>
        <w:noBreakHyphen/>
        <w:t>0.14, 95% CI (-0.30; 0.01))</w:t>
      </w:r>
      <w:r w:rsidRPr="003D5BD7">
        <w:rPr>
          <w:rFonts w:eastAsiaTheme="majorEastAsia"/>
          <w:lang w:eastAsia="en-US"/>
        </w:rPr>
        <w:t xml:space="preserve">. More patients achieved an HbA1c of </w:t>
      </w:r>
      <w:r w:rsidR="002D352F" w:rsidRPr="003D5BD7">
        <w:rPr>
          <w:rFonts w:eastAsiaTheme="majorEastAsia"/>
          <w:lang w:eastAsia="en-US"/>
        </w:rPr>
        <w:t>&lt;</w:t>
      </w:r>
      <w:r w:rsidRPr="003D5BD7">
        <w:rPr>
          <w:rFonts w:eastAsiaTheme="majorEastAsia"/>
          <w:lang w:eastAsia="en-US"/>
        </w:rPr>
        <w:t xml:space="preserve">7.0% with </w:t>
      </w:r>
      <w:proofErr w:type="spellStart"/>
      <w:r w:rsidRPr="003D5BD7">
        <w:rPr>
          <w:rFonts w:eastAsiaTheme="majorEastAsia"/>
          <w:lang w:eastAsia="en-US"/>
        </w:rPr>
        <w:t>semaglutide</w:t>
      </w:r>
      <w:proofErr w:type="spellEnd"/>
      <w:r w:rsidRPr="003D5BD7">
        <w:rPr>
          <w:rFonts w:eastAsiaTheme="majorEastAsia"/>
          <w:lang w:eastAsia="en-US"/>
        </w:rPr>
        <w:t xml:space="preserve"> 0.5 mg than </w:t>
      </w:r>
      <w:proofErr w:type="spellStart"/>
      <w:r w:rsidRPr="003D5BD7">
        <w:rPr>
          <w:rFonts w:eastAsiaTheme="majorEastAsia"/>
          <w:lang w:eastAsia="en-US"/>
        </w:rPr>
        <w:t>dulaglutide</w:t>
      </w:r>
      <w:proofErr w:type="spellEnd"/>
      <w:r w:rsidR="00610796" w:rsidRPr="003D5BD7">
        <w:rPr>
          <w:rFonts w:eastAsiaTheme="majorEastAsia"/>
          <w:lang w:eastAsia="en-US"/>
        </w:rPr>
        <w:t>, although this outcome was not statistically significant</w:t>
      </w:r>
      <w:r w:rsidRPr="003D5BD7">
        <w:rPr>
          <w:rFonts w:eastAsiaTheme="majorEastAsia"/>
          <w:lang w:eastAsia="en-US"/>
        </w:rPr>
        <w:t xml:space="preserve">. The ESC previously considered that the treatment difference in HbA1c reduction between </w:t>
      </w:r>
      <w:proofErr w:type="spellStart"/>
      <w:r w:rsidRPr="003D5BD7">
        <w:rPr>
          <w:rFonts w:eastAsiaTheme="majorEastAsia"/>
          <w:lang w:eastAsia="en-US"/>
        </w:rPr>
        <w:t>semaglutide</w:t>
      </w:r>
      <w:proofErr w:type="spellEnd"/>
      <w:r w:rsidRPr="003D5BD7">
        <w:rPr>
          <w:rFonts w:eastAsiaTheme="majorEastAsia"/>
          <w:lang w:eastAsia="en-US"/>
        </w:rPr>
        <w:t xml:space="preserve"> 1.0 mg</w:t>
      </w:r>
      <w:r w:rsidR="004A4422" w:rsidRPr="003D5BD7">
        <w:rPr>
          <w:rFonts w:eastAsiaTheme="majorEastAsia"/>
          <w:lang w:eastAsia="en-US"/>
        </w:rPr>
        <w:t xml:space="preserve"> </w:t>
      </w:r>
      <w:r w:rsidRPr="003D5BD7">
        <w:rPr>
          <w:rFonts w:eastAsiaTheme="majorEastAsia"/>
          <w:lang w:eastAsia="en-US"/>
        </w:rPr>
        <w:t xml:space="preserve">and </w:t>
      </w:r>
      <w:proofErr w:type="spellStart"/>
      <w:r w:rsidRPr="003D5BD7">
        <w:rPr>
          <w:rFonts w:eastAsiaTheme="majorEastAsia"/>
          <w:lang w:eastAsia="en-US"/>
        </w:rPr>
        <w:t>dulaglutide</w:t>
      </w:r>
      <w:proofErr w:type="spellEnd"/>
      <w:r w:rsidRPr="003D5BD7">
        <w:rPr>
          <w:rFonts w:eastAsiaTheme="majorEastAsia"/>
          <w:lang w:eastAsia="en-US"/>
        </w:rPr>
        <w:t xml:space="preserve"> was not clinically significant. (</w:t>
      </w:r>
      <w:proofErr w:type="gramStart"/>
      <w:r w:rsidRPr="003D5BD7">
        <w:rPr>
          <w:rFonts w:eastAsiaTheme="majorEastAsia"/>
          <w:lang w:eastAsia="en-US"/>
        </w:rPr>
        <w:t>para</w:t>
      </w:r>
      <w:proofErr w:type="gramEnd"/>
      <w:r w:rsidRPr="003D5BD7">
        <w:rPr>
          <w:rFonts w:eastAsiaTheme="majorEastAsia"/>
          <w:lang w:eastAsia="en-US"/>
        </w:rPr>
        <w:t xml:space="preserve"> 6.24</w:t>
      </w:r>
      <w:r w:rsidR="007808F3" w:rsidRPr="003D5BD7">
        <w:rPr>
          <w:rFonts w:eastAsiaTheme="majorEastAsia"/>
          <w:lang w:eastAsia="en-US"/>
        </w:rPr>
        <w:t xml:space="preserve">, </w:t>
      </w:r>
      <w:proofErr w:type="spellStart"/>
      <w:r w:rsidR="007808F3" w:rsidRPr="003D5BD7">
        <w:t>semaglutide</w:t>
      </w:r>
      <w:proofErr w:type="spellEnd"/>
      <w:r w:rsidR="007808F3" w:rsidRPr="003D5BD7">
        <w:t xml:space="preserve"> </w:t>
      </w:r>
      <w:r w:rsidR="005D3AE8" w:rsidRPr="003D5BD7">
        <w:t>PSD</w:t>
      </w:r>
      <w:r w:rsidR="007808F3" w:rsidRPr="003D5BD7">
        <w:t>, November 2019 PBAC meeting</w:t>
      </w:r>
      <w:r w:rsidRPr="003D5BD7">
        <w:rPr>
          <w:rFonts w:eastAsiaTheme="majorEastAsia"/>
          <w:lang w:eastAsia="en-US"/>
        </w:rPr>
        <w:t>)</w:t>
      </w:r>
      <w:r w:rsidR="0052115B" w:rsidRPr="003D5BD7">
        <w:rPr>
          <w:rFonts w:eastAsiaTheme="majorEastAsia"/>
          <w:lang w:eastAsia="en-US"/>
        </w:rPr>
        <w:t xml:space="preserve">. </w:t>
      </w:r>
      <w:r w:rsidR="0052115B" w:rsidRPr="003D5BD7">
        <w:rPr>
          <w:rFonts w:asciiTheme="minorHAnsi" w:hAnsiTheme="minorHAnsi"/>
          <w:bCs/>
        </w:rPr>
        <w:t xml:space="preserve">The PBAC previously considered a 0.5% reduction in HbA1c as suggested by the ESC was more relevant than the 0.3% proposed by in the November 2019 submission for a superiority claim. This outcome </w:t>
      </w:r>
      <w:proofErr w:type="gramStart"/>
      <w:r w:rsidR="0052115B" w:rsidRPr="003D5BD7">
        <w:rPr>
          <w:rFonts w:asciiTheme="minorHAnsi" w:hAnsiTheme="minorHAnsi"/>
          <w:bCs/>
        </w:rPr>
        <w:t>was not met</w:t>
      </w:r>
      <w:proofErr w:type="gramEnd"/>
      <w:r w:rsidR="0052115B" w:rsidRPr="003D5BD7">
        <w:rPr>
          <w:rFonts w:asciiTheme="minorHAnsi" w:hAnsiTheme="minorHAnsi"/>
          <w:bCs/>
        </w:rPr>
        <w:t xml:space="preserve"> in the comparison with </w:t>
      </w:r>
      <w:proofErr w:type="spellStart"/>
      <w:r w:rsidR="0052115B" w:rsidRPr="003D5BD7">
        <w:rPr>
          <w:rFonts w:asciiTheme="minorHAnsi" w:hAnsiTheme="minorHAnsi"/>
          <w:bCs/>
        </w:rPr>
        <w:t>dulaglutide</w:t>
      </w:r>
      <w:proofErr w:type="spellEnd"/>
      <w:r w:rsidR="0052115B" w:rsidRPr="003D5BD7">
        <w:rPr>
          <w:rFonts w:asciiTheme="minorHAnsi" w:hAnsiTheme="minorHAnsi"/>
          <w:bCs/>
        </w:rPr>
        <w:t xml:space="preserve"> 1.5 mg in SUSTAIN 7.</w:t>
      </w:r>
      <w:r w:rsidR="0030000B" w:rsidRPr="003D5BD7">
        <w:rPr>
          <w:rFonts w:asciiTheme="minorHAnsi" w:hAnsiTheme="minorHAnsi"/>
          <w:bCs/>
        </w:rPr>
        <w:t xml:space="preserve"> (</w:t>
      </w:r>
      <w:proofErr w:type="gramStart"/>
      <w:r w:rsidR="0030000B" w:rsidRPr="003D5BD7">
        <w:rPr>
          <w:rFonts w:asciiTheme="minorHAnsi" w:hAnsiTheme="minorHAnsi"/>
          <w:bCs/>
        </w:rPr>
        <w:t>para</w:t>
      </w:r>
      <w:proofErr w:type="gramEnd"/>
      <w:r w:rsidR="0030000B" w:rsidRPr="003D5BD7">
        <w:rPr>
          <w:rFonts w:asciiTheme="minorHAnsi" w:hAnsiTheme="minorHAnsi"/>
          <w:bCs/>
        </w:rPr>
        <w:t xml:space="preserve"> 7.5, </w:t>
      </w:r>
      <w:proofErr w:type="spellStart"/>
      <w:r w:rsidR="0030000B" w:rsidRPr="003D5BD7">
        <w:rPr>
          <w:rFonts w:asciiTheme="minorHAnsi" w:hAnsiTheme="minorHAnsi" w:cs="Arial"/>
          <w:snapToGrid w:val="0"/>
          <w:lang w:eastAsia="en-US"/>
        </w:rPr>
        <w:t>semaglutide</w:t>
      </w:r>
      <w:proofErr w:type="spellEnd"/>
      <w:r w:rsidR="0030000B" w:rsidRPr="003D5BD7">
        <w:rPr>
          <w:rFonts w:asciiTheme="minorHAnsi" w:hAnsiTheme="minorHAnsi" w:cs="Arial"/>
          <w:snapToGrid w:val="0"/>
          <w:lang w:eastAsia="en-US"/>
        </w:rPr>
        <w:t xml:space="preserve"> </w:t>
      </w:r>
      <w:r w:rsidR="005D3AE8" w:rsidRPr="003D5BD7">
        <w:rPr>
          <w:rFonts w:asciiTheme="minorHAnsi" w:hAnsiTheme="minorHAnsi" w:cs="Arial"/>
          <w:snapToGrid w:val="0"/>
          <w:lang w:eastAsia="en-US"/>
        </w:rPr>
        <w:t>PSD</w:t>
      </w:r>
      <w:r w:rsidR="0030000B" w:rsidRPr="003D5BD7">
        <w:rPr>
          <w:rFonts w:asciiTheme="minorHAnsi" w:hAnsiTheme="minorHAnsi" w:cs="Arial"/>
          <w:snapToGrid w:val="0"/>
          <w:lang w:eastAsia="en-US"/>
        </w:rPr>
        <w:t>, November 2019 PBAC meeting).</w:t>
      </w:r>
    </w:p>
    <w:p w:rsidR="00E52D49" w:rsidRPr="003D5BD7" w:rsidRDefault="003D2C95" w:rsidP="00252CCA">
      <w:pPr>
        <w:pStyle w:val="3Bodytext"/>
        <w:rPr>
          <w:i/>
        </w:rPr>
      </w:pPr>
      <w:r w:rsidRPr="003D5BD7">
        <w:rPr>
          <w:rFonts w:eastAsiaTheme="majorEastAsia"/>
          <w:lang w:eastAsia="en-US"/>
        </w:rPr>
        <w:lastRenderedPageBreak/>
        <w:t xml:space="preserve">Treatment with </w:t>
      </w:r>
      <w:proofErr w:type="spellStart"/>
      <w:r w:rsidRPr="003D5BD7">
        <w:rPr>
          <w:rFonts w:eastAsiaTheme="majorEastAsia"/>
          <w:lang w:eastAsia="en-US"/>
        </w:rPr>
        <w:t>semaglutide</w:t>
      </w:r>
      <w:proofErr w:type="spellEnd"/>
      <w:r w:rsidRPr="003D5BD7">
        <w:rPr>
          <w:rFonts w:eastAsiaTheme="majorEastAsia"/>
          <w:lang w:eastAsia="en-US"/>
        </w:rPr>
        <w:t xml:space="preserve"> 0.5 mg was associated with a statistically significant reduction in body weight compare with </w:t>
      </w:r>
      <w:proofErr w:type="spellStart"/>
      <w:r w:rsidRPr="003D5BD7">
        <w:rPr>
          <w:rFonts w:eastAsiaTheme="majorEastAsia"/>
          <w:lang w:eastAsia="en-US"/>
        </w:rPr>
        <w:t>dulaglutide</w:t>
      </w:r>
      <w:proofErr w:type="spellEnd"/>
      <w:r w:rsidRPr="003D5BD7">
        <w:rPr>
          <w:rFonts w:eastAsiaTheme="majorEastAsia"/>
          <w:lang w:eastAsia="en-US"/>
        </w:rPr>
        <w:t xml:space="preserve">. More patients achieved weight loss of </w:t>
      </w:r>
      <w:r w:rsidRPr="003D5BD7">
        <w:t xml:space="preserve">≥ </w:t>
      </w:r>
      <w:r w:rsidRPr="003D5BD7">
        <w:rPr>
          <w:rFonts w:eastAsiaTheme="majorEastAsia"/>
          <w:lang w:eastAsia="en-US"/>
        </w:rPr>
        <w:t xml:space="preserve">5% with </w:t>
      </w:r>
      <w:proofErr w:type="spellStart"/>
      <w:r w:rsidRPr="003D5BD7">
        <w:rPr>
          <w:rFonts w:eastAsiaTheme="majorEastAsia"/>
          <w:lang w:eastAsia="en-US"/>
        </w:rPr>
        <w:t>semaglutide</w:t>
      </w:r>
      <w:proofErr w:type="spellEnd"/>
      <w:r w:rsidRPr="003D5BD7">
        <w:rPr>
          <w:rFonts w:eastAsiaTheme="majorEastAsia"/>
          <w:lang w:eastAsia="en-US"/>
        </w:rPr>
        <w:t xml:space="preserve"> 0.5 mg compared with </w:t>
      </w:r>
      <w:proofErr w:type="spellStart"/>
      <w:r w:rsidRPr="003D5BD7">
        <w:rPr>
          <w:rFonts w:eastAsiaTheme="majorEastAsia"/>
          <w:lang w:eastAsia="en-US"/>
        </w:rPr>
        <w:t>dulaglutide</w:t>
      </w:r>
      <w:proofErr w:type="spellEnd"/>
      <w:r w:rsidRPr="003D5BD7">
        <w:rPr>
          <w:rFonts w:eastAsiaTheme="majorEastAsia"/>
          <w:lang w:eastAsia="en-US"/>
        </w:rPr>
        <w:t xml:space="preserve">. </w:t>
      </w:r>
      <w:r w:rsidRPr="003D5BD7">
        <w:t xml:space="preserve">The ESC previously considered that the mean difference of 3.55 kg in weight loss between </w:t>
      </w:r>
      <w:proofErr w:type="spellStart"/>
      <w:r w:rsidRPr="003D5BD7">
        <w:t>semaglutide</w:t>
      </w:r>
      <w:proofErr w:type="spellEnd"/>
      <w:r w:rsidRPr="003D5BD7">
        <w:t xml:space="preserve"> 1.0 mg and </w:t>
      </w:r>
      <w:proofErr w:type="spellStart"/>
      <w:r w:rsidRPr="003D5BD7">
        <w:t>dulaglutide</w:t>
      </w:r>
      <w:proofErr w:type="spellEnd"/>
      <w:r w:rsidRPr="003D5BD7">
        <w:t xml:space="preserve"> 1.5 mg may be clinically important (para 6.29</w:t>
      </w:r>
      <w:r w:rsidR="007808F3" w:rsidRPr="003D5BD7">
        <w:t xml:space="preserve">, </w:t>
      </w:r>
      <w:proofErr w:type="spellStart"/>
      <w:r w:rsidR="007808F3" w:rsidRPr="003D5BD7">
        <w:t>semaglutide</w:t>
      </w:r>
      <w:proofErr w:type="spellEnd"/>
      <w:r w:rsidR="007808F3" w:rsidRPr="003D5BD7">
        <w:t xml:space="preserve"> </w:t>
      </w:r>
      <w:r w:rsidR="005D3AE8" w:rsidRPr="003D5BD7">
        <w:t>PSD</w:t>
      </w:r>
      <w:r w:rsidR="007808F3" w:rsidRPr="003D5BD7">
        <w:t>, November 2019 PBAC meeting</w:t>
      </w:r>
      <w:r w:rsidRPr="003D5BD7">
        <w:t>)</w:t>
      </w:r>
      <w:r w:rsidR="00FA48E0" w:rsidRPr="003D5BD7">
        <w:t xml:space="preserve">. </w:t>
      </w:r>
      <w:r w:rsidR="00FA48E0" w:rsidRPr="003D5BD7">
        <w:rPr>
          <w:rFonts w:asciiTheme="minorHAnsi" w:hAnsiTheme="minorHAnsi"/>
          <w:bCs/>
        </w:rPr>
        <w:t xml:space="preserve">The PBAC </w:t>
      </w:r>
      <w:r w:rsidR="007E67B8" w:rsidRPr="003D5BD7">
        <w:rPr>
          <w:rFonts w:asciiTheme="minorHAnsi" w:hAnsiTheme="minorHAnsi"/>
          <w:bCs/>
        </w:rPr>
        <w:t xml:space="preserve">previously </w:t>
      </w:r>
      <w:r w:rsidR="00FA48E0" w:rsidRPr="003D5BD7">
        <w:rPr>
          <w:rFonts w:asciiTheme="minorHAnsi" w:hAnsiTheme="minorHAnsi"/>
          <w:bCs/>
        </w:rPr>
        <w:t>considered the weight loss outcomes from the SUSTAIN trials in the context of how significant weight loss was specified in the regulatory draft guidance from the FDA</w:t>
      </w:r>
      <w:r w:rsidR="00FA48E0" w:rsidRPr="003D5BD7">
        <w:rPr>
          <w:rStyle w:val="FootnoteReference"/>
          <w:rFonts w:asciiTheme="minorHAnsi" w:hAnsiTheme="minorHAnsi"/>
          <w:bCs/>
        </w:rPr>
        <w:footnoteReference w:id="1"/>
      </w:r>
      <w:r w:rsidR="00FA48E0" w:rsidRPr="003D5BD7">
        <w:rPr>
          <w:rFonts w:asciiTheme="minorHAnsi" w:hAnsiTheme="minorHAnsi"/>
          <w:bCs/>
        </w:rPr>
        <w:t xml:space="preserve">. The PBAC previously noted that when </w:t>
      </w:r>
      <w:r w:rsidR="00FA48E0" w:rsidRPr="003D5BD7">
        <w:t xml:space="preserve">using this suggested MCID for weight loss, </w:t>
      </w:r>
      <w:r w:rsidR="00FA48E0" w:rsidRPr="003D5BD7">
        <w:rPr>
          <w:rFonts w:asciiTheme="minorHAnsi" w:hAnsiTheme="minorHAnsi"/>
          <w:bCs/>
        </w:rPr>
        <w:t xml:space="preserve">in the comparisons against both </w:t>
      </w:r>
      <w:proofErr w:type="spellStart"/>
      <w:r w:rsidR="00FA48E0" w:rsidRPr="003D5BD7">
        <w:rPr>
          <w:rFonts w:asciiTheme="minorHAnsi" w:hAnsiTheme="minorHAnsi"/>
          <w:bCs/>
        </w:rPr>
        <w:t>exenatide</w:t>
      </w:r>
      <w:proofErr w:type="spellEnd"/>
      <w:r w:rsidR="00FA48E0" w:rsidRPr="003D5BD7">
        <w:rPr>
          <w:rFonts w:asciiTheme="minorHAnsi" w:hAnsiTheme="minorHAnsi"/>
          <w:bCs/>
        </w:rPr>
        <w:t xml:space="preserve"> 2.0 mg and </w:t>
      </w:r>
      <w:proofErr w:type="spellStart"/>
      <w:r w:rsidR="00FA48E0" w:rsidRPr="003D5BD7">
        <w:rPr>
          <w:rFonts w:asciiTheme="minorHAnsi" w:hAnsiTheme="minorHAnsi"/>
          <w:bCs/>
        </w:rPr>
        <w:t>dulaglutide</w:t>
      </w:r>
      <w:proofErr w:type="spellEnd"/>
      <w:r w:rsidR="00FA48E0" w:rsidRPr="003D5BD7">
        <w:rPr>
          <w:rFonts w:asciiTheme="minorHAnsi" w:hAnsiTheme="minorHAnsi"/>
          <w:bCs/>
        </w:rPr>
        <w:t xml:space="preserve"> 1.5 mg, </w:t>
      </w:r>
      <w:proofErr w:type="spellStart"/>
      <w:r w:rsidR="00FA48E0" w:rsidRPr="003D5BD7">
        <w:rPr>
          <w:rFonts w:asciiTheme="minorHAnsi" w:hAnsiTheme="minorHAnsi"/>
          <w:bCs/>
        </w:rPr>
        <w:t>semaglutide</w:t>
      </w:r>
      <w:proofErr w:type="spellEnd"/>
      <w:r w:rsidR="00FA48E0" w:rsidRPr="003D5BD7">
        <w:rPr>
          <w:rFonts w:asciiTheme="minorHAnsi" w:hAnsiTheme="minorHAnsi"/>
          <w:bCs/>
        </w:rPr>
        <w:t xml:space="preserve"> 1.0 mg provided a meaningful difference in the proportion of patients achieving </w:t>
      </w:r>
      <w:r w:rsidR="00FA48E0" w:rsidRPr="003D5BD7">
        <w:t>≥ 5% weight loss by study end (56 weeks in SUSATIN 3 and 40 weeks in SUSTAIN 7).</w:t>
      </w:r>
      <w:r w:rsidR="00FA48E0" w:rsidRPr="003D5BD7">
        <w:rPr>
          <w:rFonts w:asciiTheme="minorHAnsi" w:hAnsiTheme="minorHAnsi"/>
          <w:bCs/>
        </w:rPr>
        <w:t xml:space="preserve"> However, the sustainability of this weight loss and its translation into long-term clinical benefits remains unclear.</w:t>
      </w:r>
      <w:r w:rsidR="007E67B8" w:rsidRPr="003D5BD7">
        <w:rPr>
          <w:rFonts w:asciiTheme="minorHAnsi" w:hAnsiTheme="minorHAnsi"/>
          <w:bCs/>
        </w:rPr>
        <w:t xml:space="preserve"> (para 7.6</w:t>
      </w:r>
      <w:r w:rsidR="00304DA5" w:rsidRPr="003D5BD7">
        <w:rPr>
          <w:rFonts w:asciiTheme="minorHAnsi" w:hAnsiTheme="minorHAnsi"/>
          <w:bCs/>
        </w:rPr>
        <w:t xml:space="preserve">, </w:t>
      </w:r>
      <w:proofErr w:type="spellStart"/>
      <w:r w:rsidR="00304DA5" w:rsidRPr="003D5BD7">
        <w:rPr>
          <w:rFonts w:asciiTheme="minorHAnsi" w:hAnsiTheme="minorHAnsi" w:cs="Arial"/>
          <w:snapToGrid w:val="0"/>
          <w:lang w:eastAsia="en-US"/>
        </w:rPr>
        <w:t>semaglutide</w:t>
      </w:r>
      <w:proofErr w:type="spellEnd"/>
      <w:r w:rsidR="00304DA5" w:rsidRPr="003D5BD7">
        <w:rPr>
          <w:rFonts w:asciiTheme="minorHAnsi" w:hAnsiTheme="minorHAnsi" w:cs="Arial"/>
          <w:snapToGrid w:val="0"/>
          <w:lang w:eastAsia="en-US"/>
        </w:rPr>
        <w:t xml:space="preserve"> </w:t>
      </w:r>
      <w:r w:rsidR="005D3AE8" w:rsidRPr="003D5BD7">
        <w:rPr>
          <w:rFonts w:asciiTheme="minorHAnsi" w:hAnsiTheme="minorHAnsi" w:cs="Arial"/>
          <w:snapToGrid w:val="0"/>
          <w:lang w:eastAsia="en-US"/>
        </w:rPr>
        <w:t>PSD</w:t>
      </w:r>
      <w:r w:rsidR="00304DA5" w:rsidRPr="003D5BD7">
        <w:rPr>
          <w:rFonts w:asciiTheme="minorHAnsi" w:hAnsiTheme="minorHAnsi" w:cs="Arial"/>
          <w:snapToGrid w:val="0"/>
          <w:lang w:eastAsia="en-US"/>
        </w:rPr>
        <w:t>, November 2019 PBAC meeting)</w:t>
      </w:r>
    </w:p>
    <w:p w:rsidR="00641DA6" w:rsidRPr="003D5BD7" w:rsidRDefault="00641DA6" w:rsidP="002862E7">
      <w:pPr>
        <w:pStyle w:val="Heading2"/>
        <w:keepLines/>
        <w:spacing w:before="240" w:after="120"/>
        <w:rPr>
          <w:rFonts w:asciiTheme="minorHAnsi" w:eastAsiaTheme="majorEastAsia" w:hAnsiTheme="minorHAnsi" w:cstheme="majorBidi"/>
          <w:sz w:val="28"/>
          <w:szCs w:val="28"/>
          <w:lang w:eastAsia="en-US"/>
        </w:rPr>
      </w:pPr>
      <w:r w:rsidRPr="003D5BD7">
        <w:rPr>
          <w:rFonts w:asciiTheme="minorHAnsi" w:eastAsiaTheme="majorEastAsia" w:hAnsiTheme="minorHAnsi" w:cstheme="majorBidi"/>
          <w:sz w:val="28"/>
          <w:szCs w:val="28"/>
          <w:lang w:eastAsia="en-US"/>
        </w:rPr>
        <w:t>Comparative harms</w:t>
      </w:r>
    </w:p>
    <w:p w:rsidR="0085278B" w:rsidRPr="003D5BD7" w:rsidRDefault="00DB08A4" w:rsidP="0085278B">
      <w:pPr>
        <w:pStyle w:val="ListParagraph"/>
        <w:numPr>
          <w:ilvl w:val="1"/>
          <w:numId w:val="2"/>
        </w:numPr>
      </w:pPr>
      <w:r w:rsidRPr="003D5BD7">
        <w:t xml:space="preserve">Overall safety data from the low and high dose arms for </w:t>
      </w:r>
      <w:proofErr w:type="spellStart"/>
      <w:r w:rsidRPr="003D5BD7">
        <w:t>semaglutide</w:t>
      </w:r>
      <w:proofErr w:type="spellEnd"/>
      <w:r w:rsidRPr="003D5BD7">
        <w:t xml:space="preserve"> and </w:t>
      </w:r>
      <w:proofErr w:type="spellStart"/>
      <w:r w:rsidRPr="003D5BD7">
        <w:t>dulaglutide</w:t>
      </w:r>
      <w:proofErr w:type="spellEnd"/>
      <w:r w:rsidRPr="003D5BD7">
        <w:t xml:space="preserve"> from the SUSTAIN 7 trial (40 weeks) are summarised in </w:t>
      </w:r>
      <w:r w:rsidR="00187304" w:rsidRPr="003D5BD7">
        <w:t xml:space="preserve">Table </w:t>
      </w:r>
      <w:r w:rsidR="00187304" w:rsidRPr="00492982">
        <w:t>4</w:t>
      </w:r>
      <w:r w:rsidRPr="003D5BD7">
        <w:t xml:space="preserve"> below.</w:t>
      </w:r>
    </w:p>
    <w:p w:rsidR="0085278B" w:rsidRPr="003D5BD7" w:rsidRDefault="0085278B" w:rsidP="0085278B">
      <w:pPr>
        <w:pStyle w:val="TableHeading0"/>
        <w:spacing w:after="0"/>
        <w:jc w:val="both"/>
      </w:pPr>
      <w:bookmarkStart w:id="1" w:name="_Ref33437361"/>
      <w:r w:rsidRPr="003D5BD7">
        <w:t xml:space="preserve">Table </w:t>
      </w:r>
      <w:r w:rsidR="00187304" w:rsidRPr="00492982">
        <w:t>4</w:t>
      </w:r>
      <w:bookmarkEnd w:id="1"/>
      <w:r w:rsidRPr="003D5BD7">
        <w:t xml:space="preserve">: Summary of key adverse events in the SUSTAIN 7 trial (on-treatment without rescue medication analysis) </w:t>
      </w:r>
    </w:p>
    <w:tbl>
      <w:tblPr>
        <w:tblStyle w:val="TableGrid"/>
        <w:tblW w:w="5000" w:type="pct"/>
        <w:tblLook w:val="04A0" w:firstRow="1" w:lastRow="0" w:firstColumn="1" w:lastColumn="0" w:noHBand="0" w:noVBand="1"/>
        <w:tblCaption w:val="Table 4: Summary of key adverse events in the SUSTAIN 7 trial (on-treatment without rescue medication analysis)"/>
      </w:tblPr>
      <w:tblGrid>
        <w:gridCol w:w="1944"/>
        <w:gridCol w:w="881"/>
        <w:gridCol w:w="887"/>
        <w:gridCol w:w="881"/>
        <w:gridCol w:w="887"/>
        <w:gridCol w:w="881"/>
        <w:gridCol w:w="887"/>
        <w:gridCol w:w="881"/>
        <w:gridCol w:w="887"/>
      </w:tblGrid>
      <w:tr w:rsidR="0085278B" w:rsidRPr="003D5BD7" w:rsidTr="00A429E4">
        <w:trPr>
          <w:tblHeader/>
        </w:trPr>
        <w:tc>
          <w:tcPr>
            <w:tcW w:w="1956" w:type="dxa"/>
            <w:vMerge w:val="restart"/>
            <w:vAlign w:val="center"/>
          </w:tcPr>
          <w:p w:rsidR="0085278B" w:rsidRPr="003D5BD7" w:rsidRDefault="0085278B" w:rsidP="00A429E4">
            <w:pPr>
              <w:pStyle w:val="TableHeading0"/>
              <w:spacing w:after="0"/>
              <w:jc w:val="both"/>
            </w:pPr>
            <w:r w:rsidRPr="003D5BD7">
              <w:t>Adverse event</w:t>
            </w:r>
          </w:p>
        </w:tc>
        <w:tc>
          <w:tcPr>
            <w:tcW w:w="1776" w:type="dxa"/>
            <w:gridSpan w:val="2"/>
            <w:vAlign w:val="center"/>
          </w:tcPr>
          <w:p w:rsidR="0085278B" w:rsidRPr="003D5BD7" w:rsidRDefault="0085278B" w:rsidP="00A429E4">
            <w:pPr>
              <w:pStyle w:val="TableHeading0"/>
              <w:spacing w:after="0"/>
              <w:jc w:val="center"/>
            </w:pPr>
            <w:proofErr w:type="spellStart"/>
            <w:r w:rsidRPr="003D5BD7">
              <w:t>Semaglutide</w:t>
            </w:r>
            <w:proofErr w:type="spellEnd"/>
            <w:r w:rsidRPr="003D5BD7">
              <w:t xml:space="preserve"> 0.5 mg</w:t>
            </w:r>
          </w:p>
          <w:p w:rsidR="0085278B" w:rsidRPr="003D5BD7" w:rsidRDefault="0085278B" w:rsidP="00A429E4">
            <w:pPr>
              <w:pStyle w:val="TableHeading0"/>
              <w:spacing w:after="0"/>
              <w:jc w:val="center"/>
            </w:pPr>
            <w:r w:rsidRPr="003D5BD7">
              <w:t>N=301</w:t>
            </w:r>
          </w:p>
        </w:tc>
        <w:tc>
          <w:tcPr>
            <w:tcW w:w="1776" w:type="dxa"/>
            <w:gridSpan w:val="2"/>
            <w:vAlign w:val="center"/>
          </w:tcPr>
          <w:p w:rsidR="0085278B" w:rsidRPr="003D5BD7" w:rsidRDefault="0085278B" w:rsidP="00A429E4">
            <w:pPr>
              <w:pStyle w:val="TableHeading0"/>
              <w:spacing w:after="0"/>
              <w:jc w:val="center"/>
            </w:pPr>
            <w:proofErr w:type="spellStart"/>
            <w:r w:rsidRPr="003D5BD7">
              <w:t>Dulaglutide</w:t>
            </w:r>
            <w:proofErr w:type="spellEnd"/>
            <w:r w:rsidRPr="003D5BD7">
              <w:t xml:space="preserve"> 0.75 mg</w:t>
            </w:r>
          </w:p>
          <w:p w:rsidR="0085278B" w:rsidRPr="003D5BD7" w:rsidRDefault="0085278B" w:rsidP="00A429E4">
            <w:pPr>
              <w:pStyle w:val="TableHeading0"/>
              <w:spacing w:after="0"/>
              <w:jc w:val="center"/>
            </w:pPr>
            <w:r w:rsidRPr="003D5BD7">
              <w:t>N=299</w:t>
            </w:r>
          </w:p>
        </w:tc>
        <w:tc>
          <w:tcPr>
            <w:tcW w:w="1776" w:type="dxa"/>
            <w:gridSpan w:val="2"/>
            <w:vAlign w:val="center"/>
          </w:tcPr>
          <w:p w:rsidR="0085278B" w:rsidRPr="003D5BD7" w:rsidRDefault="0085278B" w:rsidP="00A429E4">
            <w:pPr>
              <w:pStyle w:val="TableHeading0"/>
              <w:spacing w:after="0"/>
              <w:jc w:val="center"/>
            </w:pPr>
            <w:proofErr w:type="spellStart"/>
            <w:r w:rsidRPr="003D5BD7">
              <w:t>Semaglutide</w:t>
            </w:r>
            <w:proofErr w:type="spellEnd"/>
            <w:r w:rsidRPr="003D5BD7">
              <w:t xml:space="preserve"> 1.0 mg</w:t>
            </w:r>
          </w:p>
          <w:p w:rsidR="0085278B" w:rsidRPr="003D5BD7" w:rsidRDefault="0085278B" w:rsidP="00A429E4">
            <w:pPr>
              <w:pStyle w:val="TableHeading0"/>
              <w:spacing w:after="0"/>
              <w:jc w:val="center"/>
            </w:pPr>
            <w:r w:rsidRPr="003D5BD7">
              <w:t>N=300</w:t>
            </w:r>
          </w:p>
        </w:tc>
        <w:tc>
          <w:tcPr>
            <w:tcW w:w="1776" w:type="dxa"/>
            <w:gridSpan w:val="2"/>
            <w:vAlign w:val="center"/>
          </w:tcPr>
          <w:p w:rsidR="0085278B" w:rsidRPr="003D5BD7" w:rsidRDefault="0085278B" w:rsidP="00A429E4">
            <w:pPr>
              <w:pStyle w:val="TableHeading0"/>
              <w:spacing w:after="0"/>
              <w:jc w:val="center"/>
            </w:pPr>
            <w:proofErr w:type="spellStart"/>
            <w:r w:rsidRPr="003D5BD7">
              <w:t>Dulaglutide</w:t>
            </w:r>
            <w:proofErr w:type="spellEnd"/>
            <w:r w:rsidRPr="003D5BD7">
              <w:t xml:space="preserve"> 1.5 mg</w:t>
            </w:r>
          </w:p>
          <w:p w:rsidR="0085278B" w:rsidRPr="003D5BD7" w:rsidRDefault="0085278B" w:rsidP="00A429E4">
            <w:pPr>
              <w:pStyle w:val="TableHeading0"/>
              <w:spacing w:after="0"/>
              <w:jc w:val="center"/>
            </w:pPr>
            <w:r w:rsidRPr="003D5BD7">
              <w:t>N=299</w:t>
            </w:r>
          </w:p>
        </w:tc>
      </w:tr>
      <w:tr w:rsidR="0085278B" w:rsidRPr="003D5BD7" w:rsidTr="00A429E4">
        <w:trPr>
          <w:tblHeader/>
        </w:trPr>
        <w:tc>
          <w:tcPr>
            <w:tcW w:w="1956" w:type="dxa"/>
            <w:vMerge/>
            <w:vAlign w:val="center"/>
          </w:tcPr>
          <w:p w:rsidR="0085278B" w:rsidRPr="003D5BD7" w:rsidRDefault="0085278B" w:rsidP="00A429E4">
            <w:pPr>
              <w:pStyle w:val="TableHeading0"/>
              <w:spacing w:after="0"/>
              <w:jc w:val="both"/>
            </w:pPr>
          </w:p>
        </w:tc>
        <w:tc>
          <w:tcPr>
            <w:tcW w:w="888" w:type="dxa"/>
            <w:vAlign w:val="center"/>
          </w:tcPr>
          <w:p w:rsidR="0085278B" w:rsidRPr="003D5BD7" w:rsidRDefault="0085278B" w:rsidP="00A429E4">
            <w:pPr>
              <w:pStyle w:val="TableHeading0"/>
              <w:spacing w:after="0"/>
              <w:jc w:val="center"/>
            </w:pPr>
            <w:proofErr w:type="gramStart"/>
            <w:r w:rsidRPr="003D5BD7">
              <w:t>n</w:t>
            </w:r>
            <w:proofErr w:type="gramEnd"/>
            <w:r w:rsidRPr="003D5BD7">
              <w:t xml:space="preserve"> (%)</w:t>
            </w:r>
          </w:p>
        </w:tc>
        <w:tc>
          <w:tcPr>
            <w:tcW w:w="888" w:type="dxa"/>
            <w:vAlign w:val="center"/>
          </w:tcPr>
          <w:p w:rsidR="0085278B" w:rsidRPr="003D5BD7" w:rsidRDefault="0085278B" w:rsidP="00A429E4">
            <w:pPr>
              <w:pStyle w:val="TableHeading0"/>
              <w:spacing w:after="0"/>
              <w:jc w:val="center"/>
            </w:pPr>
            <w:r w:rsidRPr="003D5BD7">
              <w:t>Rate / 100 patient-years</w:t>
            </w:r>
          </w:p>
        </w:tc>
        <w:tc>
          <w:tcPr>
            <w:tcW w:w="888" w:type="dxa"/>
            <w:vAlign w:val="center"/>
          </w:tcPr>
          <w:p w:rsidR="0085278B" w:rsidRPr="003D5BD7" w:rsidRDefault="0085278B" w:rsidP="00A429E4">
            <w:pPr>
              <w:pStyle w:val="TableHeading0"/>
              <w:spacing w:after="0"/>
              <w:jc w:val="center"/>
            </w:pPr>
            <w:proofErr w:type="gramStart"/>
            <w:r w:rsidRPr="003D5BD7">
              <w:t>n</w:t>
            </w:r>
            <w:proofErr w:type="gramEnd"/>
            <w:r w:rsidRPr="003D5BD7">
              <w:t xml:space="preserve"> (%)</w:t>
            </w:r>
          </w:p>
        </w:tc>
        <w:tc>
          <w:tcPr>
            <w:tcW w:w="888" w:type="dxa"/>
            <w:vAlign w:val="center"/>
          </w:tcPr>
          <w:p w:rsidR="0085278B" w:rsidRPr="003D5BD7" w:rsidRDefault="0085278B" w:rsidP="00A429E4">
            <w:pPr>
              <w:pStyle w:val="TableHeading0"/>
              <w:spacing w:after="0"/>
              <w:jc w:val="center"/>
            </w:pPr>
            <w:r w:rsidRPr="003D5BD7">
              <w:t>Rate / 100 patient-years</w:t>
            </w:r>
          </w:p>
        </w:tc>
        <w:tc>
          <w:tcPr>
            <w:tcW w:w="888" w:type="dxa"/>
            <w:vAlign w:val="center"/>
          </w:tcPr>
          <w:p w:rsidR="0085278B" w:rsidRPr="003D5BD7" w:rsidRDefault="0085278B" w:rsidP="00A429E4">
            <w:pPr>
              <w:pStyle w:val="TableHeading0"/>
              <w:spacing w:after="0"/>
              <w:jc w:val="center"/>
            </w:pPr>
            <w:proofErr w:type="gramStart"/>
            <w:r w:rsidRPr="003D5BD7">
              <w:t>n</w:t>
            </w:r>
            <w:proofErr w:type="gramEnd"/>
            <w:r w:rsidRPr="003D5BD7">
              <w:t xml:space="preserve"> (%)</w:t>
            </w:r>
          </w:p>
        </w:tc>
        <w:tc>
          <w:tcPr>
            <w:tcW w:w="888" w:type="dxa"/>
            <w:vAlign w:val="center"/>
          </w:tcPr>
          <w:p w:rsidR="0085278B" w:rsidRPr="003D5BD7" w:rsidRDefault="0085278B" w:rsidP="00A429E4">
            <w:pPr>
              <w:pStyle w:val="TableHeading0"/>
              <w:spacing w:after="0"/>
              <w:jc w:val="center"/>
            </w:pPr>
            <w:r w:rsidRPr="003D5BD7">
              <w:t>Rate / 100 patient-years</w:t>
            </w:r>
          </w:p>
        </w:tc>
        <w:tc>
          <w:tcPr>
            <w:tcW w:w="888" w:type="dxa"/>
            <w:vAlign w:val="center"/>
          </w:tcPr>
          <w:p w:rsidR="0085278B" w:rsidRPr="003D5BD7" w:rsidRDefault="0085278B" w:rsidP="00A429E4">
            <w:pPr>
              <w:pStyle w:val="TableHeading0"/>
              <w:spacing w:after="0"/>
              <w:jc w:val="center"/>
            </w:pPr>
            <w:proofErr w:type="gramStart"/>
            <w:r w:rsidRPr="003D5BD7">
              <w:t>n</w:t>
            </w:r>
            <w:proofErr w:type="gramEnd"/>
            <w:r w:rsidRPr="003D5BD7">
              <w:t xml:space="preserve"> (%)</w:t>
            </w:r>
          </w:p>
        </w:tc>
        <w:tc>
          <w:tcPr>
            <w:tcW w:w="888" w:type="dxa"/>
            <w:vAlign w:val="center"/>
          </w:tcPr>
          <w:p w:rsidR="0085278B" w:rsidRPr="003D5BD7" w:rsidRDefault="0085278B" w:rsidP="00A429E4">
            <w:pPr>
              <w:pStyle w:val="TableHeading0"/>
              <w:spacing w:after="0"/>
              <w:jc w:val="center"/>
            </w:pPr>
            <w:r w:rsidRPr="003D5BD7">
              <w:t>Rate / 100 patient-years</w:t>
            </w:r>
          </w:p>
        </w:tc>
      </w:tr>
      <w:tr w:rsidR="0085278B" w:rsidRPr="003D5BD7" w:rsidTr="00A429E4">
        <w:tc>
          <w:tcPr>
            <w:tcW w:w="1956" w:type="dxa"/>
            <w:vAlign w:val="center"/>
          </w:tcPr>
          <w:p w:rsidR="0085278B" w:rsidRPr="003D5BD7" w:rsidRDefault="0085278B" w:rsidP="00A429E4">
            <w:pPr>
              <w:pStyle w:val="TableHeading0"/>
              <w:spacing w:after="0"/>
              <w:rPr>
                <w:b w:val="0"/>
              </w:rPr>
            </w:pPr>
            <w:r w:rsidRPr="003D5BD7">
              <w:rPr>
                <w:b w:val="0"/>
              </w:rPr>
              <w:t>Any adverse event</w:t>
            </w:r>
          </w:p>
        </w:tc>
        <w:tc>
          <w:tcPr>
            <w:tcW w:w="888" w:type="dxa"/>
            <w:vAlign w:val="center"/>
          </w:tcPr>
          <w:p w:rsidR="0085278B" w:rsidRPr="003D5BD7" w:rsidRDefault="0085278B" w:rsidP="00A429E4">
            <w:pPr>
              <w:pStyle w:val="TableHeading0"/>
              <w:spacing w:after="0"/>
              <w:jc w:val="center"/>
              <w:rPr>
                <w:b w:val="0"/>
              </w:rPr>
            </w:pPr>
            <w:r w:rsidRPr="003D5BD7">
              <w:rPr>
                <w:b w:val="0"/>
              </w:rPr>
              <w:t>204 (68)</w:t>
            </w:r>
          </w:p>
        </w:tc>
        <w:tc>
          <w:tcPr>
            <w:tcW w:w="888" w:type="dxa"/>
            <w:vAlign w:val="center"/>
          </w:tcPr>
          <w:p w:rsidR="0085278B" w:rsidRPr="003D5BD7" w:rsidRDefault="0085278B" w:rsidP="00A429E4">
            <w:pPr>
              <w:pStyle w:val="TableHeading0"/>
              <w:spacing w:after="0"/>
              <w:jc w:val="center"/>
              <w:rPr>
                <w:b w:val="0"/>
              </w:rPr>
            </w:pPr>
            <w:r w:rsidRPr="003D5BD7">
              <w:rPr>
                <w:b w:val="0"/>
              </w:rPr>
              <w:t>412.7</w:t>
            </w:r>
          </w:p>
        </w:tc>
        <w:tc>
          <w:tcPr>
            <w:tcW w:w="888" w:type="dxa"/>
            <w:vAlign w:val="center"/>
          </w:tcPr>
          <w:p w:rsidR="0085278B" w:rsidRPr="003D5BD7" w:rsidRDefault="0085278B" w:rsidP="00A429E4">
            <w:pPr>
              <w:pStyle w:val="TableHeading0"/>
              <w:spacing w:after="0"/>
              <w:jc w:val="center"/>
              <w:rPr>
                <w:b w:val="0"/>
              </w:rPr>
            </w:pPr>
            <w:r w:rsidRPr="003D5BD7">
              <w:rPr>
                <w:b w:val="0"/>
              </w:rPr>
              <w:t>186 (62)</w:t>
            </w:r>
          </w:p>
        </w:tc>
        <w:tc>
          <w:tcPr>
            <w:tcW w:w="888" w:type="dxa"/>
            <w:vAlign w:val="center"/>
          </w:tcPr>
          <w:p w:rsidR="0085278B" w:rsidRPr="003D5BD7" w:rsidRDefault="0085278B" w:rsidP="00A429E4">
            <w:pPr>
              <w:pStyle w:val="TableHeading0"/>
              <w:spacing w:after="0"/>
              <w:jc w:val="center"/>
              <w:rPr>
                <w:b w:val="0"/>
              </w:rPr>
            </w:pPr>
            <w:r w:rsidRPr="003D5BD7">
              <w:rPr>
                <w:b w:val="0"/>
              </w:rPr>
              <w:t>326.2</w:t>
            </w:r>
          </w:p>
        </w:tc>
        <w:tc>
          <w:tcPr>
            <w:tcW w:w="888" w:type="dxa"/>
            <w:vAlign w:val="center"/>
          </w:tcPr>
          <w:p w:rsidR="0085278B" w:rsidRPr="003D5BD7" w:rsidRDefault="0085278B" w:rsidP="00A429E4">
            <w:pPr>
              <w:pStyle w:val="TableHeading0"/>
              <w:spacing w:after="0"/>
              <w:jc w:val="center"/>
              <w:rPr>
                <w:b w:val="0"/>
              </w:rPr>
            </w:pPr>
            <w:r w:rsidRPr="003D5BD7">
              <w:rPr>
                <w:b w:val="0"/>
              </w:rPr>
              <w:t>207 (69)</w:t>
            </w:r>
          </w:p>
        </w:tc>
        <w:tc>
          <w:tcPr>
            <w:tcW w:w="888" w:type="dxa"/>
            <w:vAlign w:val="center"/>
          </w:tcPr>
          <w:p w:rsidR="0085278B" w:rsidRPr="003D5BD7" w:rsidRDefault="0085278B" w:rsidP="00A429E4">
            <w:pPr>
              <w:pStyle w:val="TableHeading0"/>
              <w:spacing w:after="0"/>
              <w:jc w:val="center"/>
              <w:rPr>
                <w:b w:val="0"/>
              </w:rPr>
            </w:pPr>
            <w:r w:rsidRPr="003D5BD7">
              <w:rPr>
                <w:b w:val="0"/>
              </w:rPr>
              <w:t>439.7</w:t>
            </w:r>
          </w:p>
        </w:tc>
        <w:tc>
          <w:tcPr>
            <w:tcW w:w="888" w:type="dxa"/>
            <w:vAlign w:val="center"/>
          </w:tcPr>
          <w:p w:rsidR="0085278B" w:rsidRPr="003D5BD7" w:rsidRDefault="0085278B" w:rsidP="00A429E4">
            <w:pPr>
              <w:pStyle w:val="TableHeading0"/>
              <w:spacing w:after="0"/>
              <w:jc w:val="center"/>
              <w:rPr>
                <w:b w:val="0"/>
              </w:rPr>
            </w:pPr>
            <w:r w:rsidRPr="003D5BD7">
              <w:rPr>
                <w:b w:val="0"/>
              </w:rPr>
              <w:t>221 (74)</w:t>
            </w:r>
          </w:p>
        </w:tc>
        <w:tc>
          <w:tcPr>
            <w:tcW w:w="888" w:type="dxa"/>
            <w:vAlign w:val="center"/>
          </w:tcPr>
          <w:p w:rsidR="0085278B" w:rsidRPr="003D5BD7" w:rsidRDefault="0085278B" w:rsidP="00A429E4">
            <w:pPr>
              <w:pStyle w:val="TableHeading0"/>
              <w:spacing w:after="0"/>
              <w:jc w:val="center"/>
              <w:rPr>
                <w:b w:val="0"/>
              </w:rPr>
            </w:pPr>
            <w:r w:rsidRPr="003D5BD7">
              <w:rPr>
                <w:b w:val="0"/>
              </w:rPr>
              <w:t>402.6</w:t>
            </w:r>
          </w:p>
        </w:tc>
      </w:tr>
      <w:tr w:rsidR="0085278B" w:rsidRPr="003D5BD7" w:rsidTr="00A429E4">
        <w:tc>
          <w:tcPr>
            <w:tcW w:w="1956" w:type="dxa"/>
            <w:vAlign w:val="center"/>
          </w:tcPr>
          <w:p w:rsidR="0085278B" w:rsidRPr="003D5BD7" w:rsidRDefault="0085278B" w:rsidP="00A429E4">
            <w:pPr>
              <w:pStyle w:val="TableHeading0"/>
              <w:spacing w:after="0"/>
              <w:rPr>
                <w:b w:val="0"/>
              </w:rPr>
            </w:pPr>
            <w:r w:rsidRPr="003D5BD7">
              <w:rPr>
                <w:b w:val="0"/>
              </w:rPr>
              <w:t>Serious adverse event</w:t>
            </w:r>
          </w:p>
        </w:tc>
        <w:tc>
          <w:tcPr>
            <w:tcW w:w="888" w:type="dxa"/>
            <w:vAlign w:val="center"/>
          </w:tcPr>
          <w:p w:rsidR="0085278B" w:rsidRPr="003D5BD7" w:rsidRDefault="0085278B" w:rsidP="00A429E4">
            <w:pPr>
              <w:pStyle w:val="TableHeading0"/>
              <w:spacing w:after="0"/>
              <w:jc w:val="center"/>
              <w:rPr>
                <w:b w:val="0"/>
              </w:rPr>
            </w:pPr>
            <w:r w:rsidRPr="003D5BD7">
              <w:rPr>
                <w:b w:val="0"/>
              </w:rPr>
              <w:t>17 (6)</w:t>
            </w:r>
          </w:p>
        </w:tc>
        <w:tc>
          <w:tcPr>
            <w:tcW w:w="888" w:type="dxa"/>
            <w:vAlign w:val="center"/>
          </w:tcPr>
          <w:p w:rsidR="0085278B" w:rsidRPr="003D5BD7" w:rsidRDefault="0085278B" w:rsidP="00A429E4">
            <w:pPr>
              <w:pStyle w:val="TableHeading0"/>
              <w:spacing w:after="0"/>
              <w:jc w:val="center"/>
              <w:rPr>
                <w:b w:val="0"/>
              </w:rPr>
            </w:pPr>
            <w:r w:rsidRPr="003D5BD7">
              <w:rPr>
                <w:b w:val="0"/>
              </w:rPr>
              <w:t>9.8</w:t>
            </w:r>
          </w:p>
        </w:tc>
        <w:tc>
          <w:tcPr>
            <w:tcW w:w="888" w:type="dxa"/>
            <w:vAlign w:val="center"/>
          </w:tcPr>
          <w:p w:rsidR="0085278B" w:rsidRPr="003D5BD7" w:rsidRDefault="0085278B" w:rsidP="00A429E4">
            <w:pPr>
              <w:pStyle w:val="TableHeading0"/>
              <w:spacing w:after="0"/>
              <w:jc w:val="center"/>
              <w:rPr>
                <w:b w:val="0"/>
              </w:rPr>
            </w:pPr>
            <w:r w:rsidRPr="003D5BD7">
              <w:rPr>
                <w:b w:val="0"/>
              </w:rPr>
              <w:t>24 (8)</w:t>
            </w:r>
          </w:p>
        </w:tc>
        <w:tc>
          <w:tcPr>
            <w:tcW w:w="888" w:type="dxa"/>
            <w:vAlign w:val="center"/>
          </w:tcPr>
          <w:p w:rsidR="0085278B" w:rsidRPr="003D5BD7" w:rsidRDefault="0085278B" w:rsidP="00A429E4">
            <w:pPr>
              <w:pStyle w:val="TableHeading0"/>
              <w:spacing w:after="0"/>
              <w:jc w:val="center"/>
              <w:rPr>
                <w:b w:val="0"/>
              </w:rPr>
            </w:pPr>
            <w:r w:rsidRPr="003D5BD7">
              <w:rPr>
                <w:b w:val="0"/>
              </w:rPr>
              <w:t>13.8</w:t>
            </w:r>
          </w:p>
        </w:tc>
        <w:tc>
          <w:tcPr>
            <w:tcW w:w="888" w:type="dxa"/>
            <w:vAlign w:val="center"/>
          </w:tcPr>
          <w:p w:rsidR="0085278B" w:rsidRPr="003D5BD7" w:rsidRDefault="0085278B" w:rsidP="00A429E4">
            <w:pPr>
              <w:pStyle w:val="TableHeading0"/>
              <w:spacing w:after="0"/>
              <w:jc w:val="center"/>
              <w:rPr>
                <w:b w:val="0"/>
              </w:rPr>
            </w:pPr>
            <w:r w:rsidRPr="003D5BD7">
              <w:rPr>
                <w:b w:val="0"/>
              </w:rPr>
              <w:t>23 (8)</w:t>
            </w:r>
          </w:p>
        </w:tc>
        <w:tc>
          <w:tcPr>
            <w:tcW w:w="888" w:type="dxa"/>
            <w:vAlign w:val="center"/>
          </w:tcPr>
          <w:p w:rsidR="0085278B" w:rsidRPr="003D5BD7" w:rsidRDefault="0085278B" w:rsidP="00A429E4">
            <w:pPr>
              <w:pStyle w:val="TableHeading0"/>
              <w:spacing w:after="0"/>
              <w:jc w:val="center"/>
              <w:rPr>
                <w:b w:val="0"/>
              </w:rPr>
            </w:pPr>
            <w:r w:rsidRPr="003D5BD7">
              <w:rPr>
                <w:b w:val="0"/>
              </w:rPr>
              <w:t>11.7</w:t>
            </w:r>
          </w:p>
        </w:tc>
        <w:tc>
          <w:tcPr>
            <w:tcW w:w="888" w:type="dxa"/>
            <w:vAlign w:val="center"/>
          </w:tcPr>
          <w:p w:rsidR="0085278B" w:rsidRPr="003D5BD7" w:rsidRDefault="0085278B" w:rsidP="00A429E4">
            <w:pPr>
              <w:pStyle w:val="TableHeading0"/>
              <w:spacing w:after="0"/>
              <w:jc w:val="center"/>
              <w:rPr>
                <w:b w:val="0"/>
              </w:rPr>
            </w:pPr>
            <w:r w:rsidRPr="003D5BD7">
              <w:rPr>
                <w:b w:val="0"/>
              </w:rPr>
              <w:t>22 (7)</w:t>
            </w:r>
          </w:p>
        </w:tc>
        <w:tc>
          <w:tcPr>
            <w:tcW w:w="888" w:type="dxa"/>
            <w:vAlign w:val="center"/>
          </w:tcPr>
          <w:p w:rsidR="0085278B" w:rsidRPr="003D5BD7" w:rsidRDefault="0085278B" w:rsidP="00A429E4">
            <w:pPr>
              <w:pStyle w:val="TableHeading0"/>
              <w:spacing w:after="0"/>
              <w:jc w:val="center"/>
              <w:rPr>
                <w:b w:val="0"/>
              </w:rPr>
            </w:pPr>
            <w:r w:rsidRPr="003D5BD7">
              <w:rPr>
                <w:b w:val="0"/>
              </w:rPr>
              <w:t>13.9</w:t>
            </w:r>
          </w:p>
        </w:tc>
      </w:tr>
      <w:tr w:rsidR="0085278B" w:rsidRPr="003D5BD7" w:rsidTr="00A429E4">
        <w:tc>
          <w:tcPr>
            <w:tcW w:w="1956" w:type="dxa"/>
            <w:vAlign w:val="center"/>
          </w:tcPr>
          <w:p w:rsidR="0085278B" w:rsidRPr="003D5BD7" w:rsidRDefault="0085278B" w:rsidP="00A429E4">
            <w:pPr>
              <w:pStyle w:val="TableHeading0"/>
              <w:spacing w:after="0"/>
              <w:rPr>
                <w:b w:val="0"/>
              </w:rPr>
            </w:pPr>
            <w:r w:rsidRPr="003D5BD7">
              <w:rPr>
                <w:b w:val="0"/>
              </w:rPr>
              <w:t>Discontinuation due to adverse event</w:t>
            </w:r>
          </w:p>
        </w:tc>
        <w:tc>
          <w:tcPr>
            <w:tcW w:w="888" w:type="dxa"/>
            <w:vAlign w:val="center"/>
          </w:tcPr>
          <w:p w:rsidR="0085278B" w:rsidRPr="003D5BD7" w:rsidRDefault="0085278B" w:rsidP="00A429E4">
            <w:pPr>
              <w:pStyle w:val="TableHeading0"/>
              <w:spacing w:after="0"/>
              <w:jc w:val="center"/>
              <w:rPr>
                <w:b w:val="0"/>
              </w:rPr>
            </w:pPr>
            <w:r w:rsidRPr="003D5BD7">
              <w:rPr>
                <w:b w:val="0"/>
              </w:rPr>
              <w:t>24 (8)</w:t>
            </w:r>
          </w:p>
        </w:tc>
        <w:tc>
          <w:tcPr>
            <w:tcW w:w="888" w:type="dxa"/>
            <w:vAlign w:val="center"/>
          </w:tcPr>
          <w:p w:rsidR="0085278B" w:rsidRPr="003D5BD7" w:rsidRDefault="0085278B" w:rsidP="00A429E4">
            <w:pPr>
              <w:pStyle w:val="TableHeading0"/>
              <w:spacing w:after="0"/>
              <w:jc w:val="center"/>
              <w:rPr>
                <w:b w:val="0"/>
              </w:rPr>
            </w:pPr>
            <w:r w:rsidRPr="003D5BD7">
              <w:rPr>
                <w:b w:val="0"/>
              </w:rPr>
              <w:t>19.7</w:t>
            </w:r>
          </w:p>
        </w:tc>
        <w:tc>
          <w:tcPr>
            <w:tcW w:w="888" w:type="dxa"/>
            <w:vAlign w:val="center"/>
          </w:tcPr>
          <w:p w:rsidR="0085278B" w:rsidRPr="003D5BD7" w:rsidRDefault="0085278B" w:rsidP="00A429E4">
            <w:pPr>
              <w:pStyle w:val="TableHeading0"/>
              <w:spacing w:after="0"/>
              <w:jc w:val="center"/>
              <w:rPr>
                <w:b w:val="0"/>
              </w:rPr>
            </w:pPr>
            <w:r w:rsidRPr="003D5BD7">
              <w:rPr>
                <w:b w:val="0"/>
              </w:rPr>
              <w:t>14 (5)</w:t>
            </w:r>
          </w:p>
        </w:tc>
        <w:tc>
          <w:tcPr>
            <w:tcW w:w="888" w:type="dxa"/>
            <w:vAlign w:val="center"/>
          </w:tcPr>
          <w:p w:rsidR="0085278B" w:rsidRPr="003D5BD7" w:rsidRDefault="0085278B" w:rsidP="00A429E4">
            <w:pPr>
              <w:pStyle w:val="TableHeading0"/>
              <w:spacing w:after="0"/>
              <w:jc w:val="center"/>
              <w:rPr>
                <w:b w:val="0"/>
              </w:rPr>
            </w:pPr>
            <w:r w:rsidRPr="003D5BD7">
              <w:rPr>
                <w:b w:val="0"/>
              </w:rPr>
              <w:t>9.4</w:t>
            </w:r>
          </w:p>
        </w:tc>
        <w:tc>
          <w:tcPr>
            <w:tcW w:w="888" w:type="dxa"/>
            <w:vAlign w:val="center"/>
          </w:tcPr>
          <w:p w:rsidR="0085278B" w:rsidRPr="003D5BD7" w:rsidRDefault="0085278B" w:rsidP="00A429E4">
            <w:pPr>
              <w:pStyle w:val="TableHeading0"/>
              <w:spacing w:after="0"/>
              <w:jc w:val="center"/>
              <w:rPr>
                <w:b w:val="0"/>
              </w:rPr>
            </w:pPr>
            <w:r w:rsidRPr="003D5BD7">
              <w:rPr>
                <w:b w:val="0"/>
              </w:rPr>
              <w:t>29 (10)</w:t>
            </w:r>
          </w:p>
        </w:tc>
        <w:tc>
          <w:tcPr>
            <w:tcW w:w="888" w:type="dxa"/>
            <w:vAlign w:val="center"/>
          </w:tcPr>
          <w:p w:rsidR="0085278B" w:rsidRPr="003D5BD7" w:rsidRDefault="0085278B" w:rsidP="00A429E4">
            <w:pPr>
              <w:pStyle w:val="TableHeading0"/>
              <w:spacing w:after="0"/>
              <w:jc w:val="center"/>
              <w:rPr>
                <w:b w:val="0"/>
              </w:rPr>
            </w:pPr>
            <w:r w:rsidRPr="003D5BD7">
              <w:rPr>
                <w:b w:val="0"/>
              </w:rPr>
              <w:t>28.6</w:t>
            </w:r>
          </w:p>
        </w:tc>
        <w:tc>
          <w:tcPr>
            <w:tcW w:w="888" w:type="dxa"/>
            <w:vAlign w:val="center"/>
          </w:tcPr>
          <w:p w:rsidR="0085278B" w:rsidRPr="003D5BD7" w:rsidRDefault="0085278B" w:rsidP="00A429E4">
            <w:pPr>
              <w:pStyle w:val="TableHeading0"/>
              <w:spacing w:after="0"/>
              <w:jc w:val="center"/>
              <w:rPr>
                <w:b w:val="0"/>
              </w:rPr>
            </w:pPr>
            <w:r w:rsidRPr="003D5BD7">
              <w:rPr>
                <w:b w:val="0"/>
              </w:rPr>
              <w:t>20 (7)</w:t>
            </w:r>
          </w:p>
        </w:tc>
        <w:tc>
          <w:tcPr>
            <w:tcW w:w="888" w:type="dxa"/>
            <w:vAlign w:val="center"/>
          </w:tcPr>
          <w:p w:rsidR="0085278B" w:rsidRPr="003D5BD7" w:rsidRDefault="0085278B" w:rsidP="00A429E4">
            <w:pPr>
              <w:pStyle w:val="TableHeading0"/>
              <w:spacing w:after="0"/>
              <w:jc w:val="center"/>
              <w:rPr>
                <w:b w:val="0"/>
              </w:rPr>
            </w:pPr>
            <w:r w:rsidRPr="003D5BD7">
              <w:rPr>
                <w:b w:val="0"/>
              </w:rPr>
              <w:t>21.5</w:t>
            </w:r>
          </w:p>
        </w:tc>
      </w:tr>
      <w:tr w:rsidR="0085278B" w:rsidRPr="003D5BD7" w:rsidTr="00A429E4">
        <w:tc>
          <w:tcPr>
            <w:tcW w:w="1956" w:type="dxa"/>
            <w:vAlign w:val="center"/>
          </w:tcPr>
          <w:p w:rsidR="0085278B" w:rsidRPr="003D5BD7" w:rsidRDefault="0085278B" w:rsidP="00A429E4">
            <w:pPr>
              <w:pStyle w:val="TableHeading0"/>
              <w:spacing w:after="0"/>
              <w:rPr>
                <w:b w:val="0"/>
              </w:rPr>
            </w:pPr>
            <w:r w:rsidRPr="003D5BD7">
              <w:rPr>
                <w:b w:val="0"/>
              </w:rPr>
              <w:t>Deaths</w:t>
            </w:r>
          </w:p>
        </w:tc>
        <w:tc>
          <w:tcPr>
            <w:tcW w:w="888" w:type="dxa"/>
            <w:vAlign w:val="center"/>
          </w:tcPr>
          <w:p w:rsidR="0085278B" w:rsidRPr="003D5BD7" w:rsidRDefault="0085278B" w:rsidP="00A429E4">
            <w:pPr>
              <w:pStyle w:val="TableHeading0"/>
              <w:spacing w:after="0"/>
              <w:jc w:val="center"/>
              <w:rPr>
                <w:b w:val="0"/>
              </w:rPr>
            </w:pPr>
            <w:r w:rsidRPr="003D5BD7">
              <w:rPr>
                <w:b w:val="0"/>
              </w:rPr>
              <w:t>1 (&lt;1)</w:t>
            </w:r>
          </w:p>
        </w:tc>
        <w:tc>
          <w:tcPr>
            <w:tcW w:w="888" w:type="dxa"/>
            <w:vAlign w:val="center"/>
          </w:tcPr>
          <w:p w:rsidR="0085278B" w:rsidRPr="003D5BD7" w:rsidRDefault="0085278B" w:rsidP="00A429E4">
            <w:pPr>
              <w:pStyle w:val="TableHeading0"/>
              <w:spacing w:after="0"/>
              <w:jc w:val="center"/>
              <w:rPr>
                <w:b w:val="0"/>
              </w:rPr>
            </w:pPr>
            <w:r w:rsidRPr="003D5BD7">
              <w:rPr>
                <w:b w:val="0"/>
              </w:rPr>
              <w:t>0.4</w:t>
            </w:r>
          </w:p>
        </w:tc>
        <w:tc>
          <w:tcPr>
            <w:tcW w:w="888" w:type="dxa"/>
            <w:vAlign w:val="center"/>
          </w:tcPr>
          <w:p w:rsidR="0085278B" w:rsidRPr="003D5BD7" w:rsidRDefault="0085278B" w:rsidP="00A429E4">
            <w:pPr>
              <w:pStyle w:val="TableHeading0"/>
              <w:spacing w:after="0"/>
              <w:jc w:val="center"/>
              <w:rPr>
                <w:b w:val="0"/>
              </w:rPr>
            </w:pPr>
            <w:r w:rsidRPr="003D5BD7">
              <w:rPr>
                <w:b w:val="0"/>
              </w:rPr>
              <w:t>2 (1)</w:t>
            </w:r>
          </w:p>
        </w:tc>
        <w:tc>
          <w:tcPr>
            <w:tcW w:w="888" w:type="dxa"/>
            <w:vAlign w:val="center"/>
          </w:tcPr>
          <w:p w:rsidR="0085278B" w:rsidRPr="003D5BD7" w:rsidRDefault="0085278B" w:rsidP="00A429E4">
            <w:pPr>
              <w:pStyle w:val="TableHeading0"/>
              <w:spacing w:after="0"/>
              <w:jc w:val="center"/>
              <w:rPr>
                <w:b w:val="0"/>
              </w:rPr>
            </w:pPr>
            <w:r w:rsidRPr="003D5BD7">
              <w:rPr>
                <w:b w:val="0"/>
              </w:rPr>
              <w:t>0.8</w:t>
            </w:r>
          </w:p>
        </w:tc>
        <w:tc>
          <w:tcPr>
            <w:tcW w:w="888" w:type="dxa"/>
            <w:vAlign w:val="center"/>
          </w:tcPr>
          <w:p w:rsidR="0085278B" w:rsidRPr="003D5BD7" w:rsidRDefault="0085278B" w:rsidP="00A429E4">
            <w:pPr>
              <w:pStyle w:val="TableHeading0"/>
              <w:spacing w:after="0"/>
              <w:jc w:val="center"/>
              <w:rPr>
                <w:b w:val="0"/>
              </w:rPr>
            </w:pPr>
            <w:r w:rsidRPr="003D5BD7">
              <w:rPr>
                <w:b w:val="0"/>
              </w:rPr>
              <w:t>1 (&lt;1)</w:t>
            </w:r>
          </w:p>
        </w:tc>
        <w:tc>
          <w:tcPr>
            <w:tcW w:w="888" w:type="dxa"/>
            <w:vAlign w:val="center"/>
          </w:tcPr>
          <w:p w:rsidR="0085278B" w:rsidRPr="003D5BD7" w:rsidRDefault="0085278B" w:rsidP="00A429E4">
            <w:pPr>
              <w:pStyle w:val="TableHeading0"/>
              <w:spacing w:after="0"/>
              <w:jc w:val="center"/>
              <w:rPr>
                <w:b w:val="0"/>
              </w:rPr>
            </w:pPr>
            <w:r w:rsidRPr="003D5BD7">
              <w:rPr>
                <w:b w:val="0"/>
              </w:rPr>
              <w:t>0.4</w:t>
            </w:r>
          </w:p>
        </w:tc>
        <w:tc>
          <w:tcPr>
            <w:tcW w:w="888" w:type="dxa"/>
            <w:vAlign w:val="center"/>
          </w:tcPr>
          <w:p w:rsidR="0085278B" w:rsidRPr="003D5BD7" w:rsidRDefault="0085278B" w:rsidP="00A429E4">
            <w:pPr>
              <w:pStyle w:val="TableHeading0"/>
              <w:spacing w:after="0"/>
              <w:jc w:val="center"/>
              <w:rPr>
                <w:b w:val="0"/>
              </w:rPr>
            </w:pPr>
            <w:r w:rsidRPr="003D5BD7">
              <w:rPr>
                <w:b w:val="0"/>
              </w:rPr>
              <w:t>2 (1)</w:t>
            </w:r>
          </w:p>
        </w:tc>
        <w:tc>
          <w:tcPr>
            <w:tcW w:w="888" w:type="dxa"/>
            <w:vAlign w:val="center"/>
          </w:tcPr>
          <w:p w:rsidR="0085278B" w:rsidRPr="003D5BD7" w:rsidRDefault="0085278B" w:rsidP="00A429E4">
            <w:pPr>
              <w:pStyle w:val="TableHeading0"/>
              <w:spacing w:after="0"/>
              <w:jc w:val="center"/>
              <w:rPr>
                <w:b w:val="0"/>
              </w:rPr>
            </w:pPr>
            <w:r w:rsidRPr="003D5BD7">
              <w:rPr>
                <w:b w:val="0"/>
              </w:rPr>
              <w:t>2.0</w:t>
            </w:r>
          </w:p>
        </w:tc>
      </w:tr>
      <w:tr w:rsidR="0085278B" w:rsidRPr="003D5BD7" w:rsidTr="00A429E4">
        <w:tc>
          <w:tcPr>
            <w:tcW w:w="9060" w:type="dxa"/>
            <w:gridSpan w:val="9"/>
            <w:vAlign w:val="center"/>
          </w:tcPr>
          <w:p w:rsidR="0085278B" w:rsidRPr="003D5BD7" w:rsidRDefault="0085278B" w:rsidP="00A429E4">
            <w:pPr>
              <w:pStyle w:val="TableHeading0"/>
              <w:spacing w:after="0"/>
            </w:pPr>
            <w:r w:rsidRPr="003D5BD7">
              <w:t>Adverse events of special interest</w:t>
            </w:r>
          </w:p>
        </w:tc>
      </w:tr>
      <w:tr w:rsidR="0085278B" w:rsidRPr="003D5BD7" w:rsidTr="00A429E4">
        <w:tc>
          <w:tcPr>
            <w:tcW w:w="1956" w:type="dxa"/>
            <w:vAlign w:val="center"/>
          </w:tcPr>
          <w:p w:rsidR="0085278B" w:rsidRPr="003D5BD7" w:rsidRDefault="0085278B" w:rsidP="00A429E4">
            <w:pPr>
              <w:pStyle w:val="TableText0"/>
              <w:keepNext w:val="0"/>
            </w:pPr>
            <w:r w:rsidRPr="003D5BD7">
              <w:t xml:space="preserve">GI adverse event </w:t>
            </w:r>
          </w:p>
        </w:tc>
        <w:tc>
          <w:tcPr>
            <w:tcW w:w="888" w:type="dxa"/>
            <w:vAlign w:val="center"/>
          </w:tcPr>
          <w:p w:rsidR="0085278B" w:rsidRPr="003D5BD7" w:rsidRDefault="0085278B" w:rsidP="00A429E4">
            <w:pPr>
              <w:pStyle w:val="TableHeading0"/>
              <w:spacing w:after="0"/>
              <w:jc w:val="center"/>
              <w:rPr>
                <w:b w:val="0"/>
              </w:rPr>
            </w:pPr>
            <w:r w:rsidRPr="003D5BD7">
              <w:rPr>
                <w:b w:val="0"/>
              </w:rPr>
              <w:t>129 (43)</w:t>
            </w:r>
          </w:p>
        </w:tc>
        <w:tc>
          <w:tcPr>
            <w:tcW w:w="888" w:type="dxa"/>
            <w:vAlign w:val="center"/>
          </w:tcPr>
          <w:p w:rsidR="0085278B" w:rsidRPr="003D5BD7" w:rsidRDefault="0085278B" w:rsidP="00A429E4">
            <w:pPr>
              <w:pStyle w:val="TableHeading0"/>
              <w:spacing w:after="0"/>
              <w:jc w:val="center"/>
              <w:rPr>
                <w:b w:val="0"/>
              </w:rPr>
            </w:pPr>
            <w:r w:rsidRPr="003D5BD7">
              <w:rPr>
                <w:b w:val="0"/>
              </w:rPr>
              <w:t>168.3</w:t>
            </w:r>
          </w:p>
        </w:tc>
        <w:tc>
          <w:tcPr>
            <w:tcW w:w="888" w:type="dxa"/>
            <w:vAlign w:val="center"/>
          </w:tcPr>
          <w:p w:rsidR="0085278B" w:rsidRPr="003D5BD7" w:rsidRDefault="0085278B" w:rsidP="00A429E4">
            <w:pPr>
              <w:pStyle w:val="TableHeading0"/>
              <w:spacing w:after="0"/>
              <w:jc w:val="center"/>
              <w:rPr>
                <w:b w:val="0"/>
              </w:rPr>
            </w:pPr>
            <w:r w:rsidRPr="003D5BD7">
              <w:rPr>
                <w:b w:val="0"/>
              </w:rPr>
              <w:t>100 (33)</w:t>
            </w:r>
          </w:p>
        </w:tc>
        <w:tc>
          <w:tcPr>
            <w:tcW w:w="888" w:type="dxa"/>
            <w:vAlign w:val="center"/>
          </w:tcPr>
          <w:p w:rsidR="0085278B" w:rsidRPr="003D5BD7" w:rsidRDefault="0085278B" w:rsidP="00A429E4">
            <w:pPr>
              <w:pStyle w:val="TableHeading0"/>
              <w:spacing w:after="0"/>
              <w:jc w:val="center"/>
              <w:rPr>
                <w:b w:val="0"/>
              </w:rPr>
            </w:pPr>
            <w:r w:rsidRPr="003D5BD7">
              <w:rPr>
                <w:b w:val="0"/>
              </w:rPr>
              <w:t>104.5</w:t>
            </w:r>
          </w:p>
        </w:tc>
        <w:tc>
          <w:tcPr>
            <w:tcW w:w="888" w:type="dxa"/>
            <w:vAlign w:val="center"/>
          </w:tcPr>
          <w:p w:rsidR="0085278B" w:rsidRPr="003D5BD7" w:rsidRDefault="0085278B" w:rsidP="00A429E4">
            <w:pPr>
              <w:pStyle w:val="TableHeading0"/>
              <w:spacing w:after="0"/>
              <w:jc w:val="center"/>
              <w:rPr>
                <w:b w:val="0"/>
              </w:rPr>
            </w:pPr>
            <w:r w:rsidRPr="003D5BD7">
              <w:rPr>
                <w:b w:val="0"/>
              </w:rPr>
              <w:t>133 (44)</w:t>
            </w:r>
          </w:p>
        </w:tc>
        <w:tc>
          <w:tcPr>
            <w:tcW w:w="888" w:type="dxa"/>
            <w:vAlign w:val="center"/>
          </w:tcPr>
          <w:p w:rsidR="0085278B" w:rsidRPr="003D5BD7" w:rsidRDefault="0085278B" w:rsidP="00A429E4">
            <w:pPr>
              <w:pStyle w:val="TableHeading0"/>
              <w:spacing w:after="0"/>
              <w:jc w:val="center"/>
              <w:rPr>
                <w:b w:val="0"/>
              </w:rPr>
            </w:pPr>
            <w:r w:rsidRPr="003D5BD7">
              <w:rPr>
                <w:b w:val="0"/>
              </w:rPr>
              <w:t>215.7</w:t>
            </w:r>
          </w:p>
        </w:tc>
        <w:tc>
          <w:tcPr>
            <w:tcW w:w="888" w:type="dxa"/>
            <w:vAlign w:val="center"/>
          </w:tcPr>
          <w:p w:rsidR="0085278B" w:rsidRPr="003D5BD7" w:rsidRDefault="0085278B" w:rsidP="00A429E4">
            <w:pPr>
              <w:pStyle w:val="TableHeading0"/>
              <w:spacing w:after="0"/>
              <w:jc w:val="center"/>
              <w:rPr>
                <w:b w:val="0"/>
              </w:rPr>
            </w:pPr>
            <w:r w:rsidRPr="003D5BD7">
              <w:rPr>
                <w:b w:val="0"/>
              </w:rPr>
              <w:t>143 (48)</w:t>
            </w:r>
          </w:p>
        </w:tc>
        <w:tc>
          <w:tcPr>
            <w:tcW w:w="888" w:type="dxa"/>
            <w:vAlign w:val="center"/>
          </w:tcPr>
          <w:p w:rsidR="0085278B" w:rsidRPr="003D5BD7" w:rsidRDefault="0085278B" w:rsidP="00A429E4">
            <w:pPr>
              <w:pStyle w:val="TableHeading0"/>
              <w:spacing w:after="0"/>
              <w:jc w:val="center"/>
              <w:rPr>
                <w:b w:val="0"/>
              </w:rPr>
            </w:pPr>
            <w:r w:rsidRPr="003D5BD7">
              <w:rPr>
                <w:b w:val="0"/>
              </w:rPr>
              <w:t>165.4</w:t>
            </w:r>
          </w:p>
        </w:tc>
      </w:tr>
      <w:tr w:rsidR="0085278B" w:rsidRPr="003D5BD7" w:rsidTr="00A429E4">
        <w:tc>
          <w:tcPr>
            <w:tcW w:w="1956" w:type="dxa"/>
            <w:vAlign w:val="center"/>
          </w:tcPr>
          <w:p w:rsidR="0085278B" w:rsidRPr="003D5BD7" w:rsidRDefault="0085278B" w:rsidP="00A429E4">
            <w:pPr>
              <w:pStyle w:val="TableHeading0"/>
              <w:spacing w:after="0"/>
              <w:rPr>
                <w:b w:val="0"/>
              </w:rPr>
            </w:pPr>
            <w:r w:rsidRPr="003D5BD7">
              <w:rPr>
                <w:b w:val="0"/>
              </w:rPr>
              <w:t>Injection-site reactions</w:t>
            </w:r>
          </w:p>
        </w:tc>
        <w:tc>
          <w:tcPr>
            <w:tcW w:w="888" w:type="dxa"/>
            <w:vAlign w:val="center"/>
          </w:tcPr>
          <w:p w:rsidR="0085278B" w:rsidRPr="003D5BD7" w:rsidRDefault="0085278B" w:rsidP="00A429E4">
            <w:pPr>
              <w:pStyle w:val="TableHeading0"/>
              <w:spacing w:after="0"/>
              <w:jc w:val="center"/>
              <w:rPr>
                <w:b w:val="0"/>
              </w:rPr>
            </w:pPr>
            <w:r w:rsidRPr="003D5BD7">
              <w:rPr>
                <w:b w:val="0"/>
              </w:rPr>
              <w:t>4 (1)</w:t>
            </w:r>
          </w:p>
        </w:tc>
        <w:tc>
          <w:tcPr>
            <w:tcW w:w="888" w:type="dxa"/>
            <w:vAlign w:val="center"/>
          </w:tcPr>
          <w:p w:rsidR="0085278B" w:rsidRPr="003D5BD7" w:rsidRDefault="0085278B" w:rsidP="00A429E4">
            <w:pPr>
              <w:pStyle w:val="TableHeading0"/>
              <w:spacing w:after="0"/>
              <w:jc w:val="center"/>
              <w:rPr>
                <w:b w:val="0"/>
              </w:rPr>
            </w:pPr>
            <w:r w:rsidRPr="003D5BD7">
              <w:rPr>
                <w:b w:val="0"/>
              </w:rPr>
              <w:t>2.1</w:t>
            </w:r>
          </w:p>
        </w:tc>
        <w:tc>
          <w:tcPr>
            <w:tcW w:w="888" w:type="dxa"/>
            <w:vAlign w:val="center"/>
          </w:tcPr>
          <w:p w:rsidR="0085278B" w:rsidRPr="003D5BD7" w:rsidRDefault="0085278B" w:rsidP="00A429E4">
            <w:pPr>
              <w:pStyle w:val="TableHeading0"/>
              <w:spacing w:after="0"/>
              <w:jc w:val="center"/>
              <w:rPr>
                <w:b w:val="0"/>
              </w:rPr>
            </w:pPr>
            <w:r w:rsidRPr="003D5BD7">
              <w:rPr>
                <w:b w:val="0"/>
              </w:rPr>
              <w:t>4 (1)</w:t>
            </w:r>
          </w:p>
        </w:tc>
        <w:tc>
          <w:tcPr>
            <w:tcW w:w="888" w:type="dxa"/>
            <w:vAlign w:val="center"/>
          </w:tcPr>
          <w:p w:rsidR="0085278B" w:rsidRPr="003D5BD7" w:rsidRDefault="0085278B" w:rsidP="00A429E4">
            <w:pPr>
              <w:pStyle w:val="TableHeading0"/>
              <w:spacing w:after="0"/>
              <w:jc w:val="center"/>
              <w:rPr>
                <w:b w:val="0"/>
              </w:rPr>
            </w:pPr>
            <w:r w:rsidRPr="003D5BD7">
              <w:rPr>
                <w:b w:val="0"/>
              </w:rPr>
              <w:t>3.7</w:t>
            </w:r>
          </w:p>
        </w:tc>
        <w:tc>
          <w:tcPr>
            <w:tcW w:w="888" w:type="dxa"/>
            <w:vAlign w:val="center"/>
          </w:tcPr>
          <w:p w:rsidR="0085278B" w:rsidRPr="003D5BD7" w:rsidRDefault="0085278B" w:rsidP="00A429E4">
            <w:pPr>
              <w:pStyle w:val="TableHeading0"/>
              <w:spacing w:after="0"/>
              <w:jc w:val="center"/>
              <w:rPr>
                <w:b w:val="0"/>
              </w:rPr>
            </w:pPr>
            <w:r w:rsidRPr="003D5BD7">
              <w:rPr>
                <w:b w:val="0"/>
              </w:rPr>
              <w:t>6 (2)</w:t>
            </w:r>
          </w:p>
        </w:tc>
        <w:tc>
          <w:tcPr>
            <w:tcW w:w="888" w:type="dxa"/>
            <w:vAlign w:val="center"/>
          </w:tcPr>
          <w:p w:rsidR="0085278B" w:rsidRPr="003D5BD7" w:rsidRDefault="0085278B" w:rsidP="00A429E4">
            <w:pPr>
              <w:pStyle w:val="TableHeading0"/>
              <w:spacing w:after="0"/>
              <w:jc w:val="center"/>
              <w:rPr>
                <w:b w:val="0"/>
              </w:rPr>
            </w:pPr>
            <w:r w:rsidRPr="003D5BD7">
              <w:rPr>
                <w:b w:val="0"/>
              </w:rPr>
              <w:t>2.6</w:t>
            </w:r>
          </w:p>
        </w:tc>
        <w:tc>
          <w:tcPr>
            <w:tcW w:w="888" w:type="dxa"/>
            <w:vAlign w:val="center"/>
          </w:tcPr>
          <w:p w:rsidR="0085278B" w:rsidRPr="003D5BD7" w:rsidRDefault="0085278B" w:rsidP="00A429E4">
            <w:pPr>
              <w:pStyle w:val="TableHeading0"/>
              <w:spacing w:after="0"/>
              <w:jc w:val="center"/>
              <w:rPr>
                <w:b w:val="0"/>
              </w:rPr>
            </w:pPr>
            <w:r w:rsidRPr="003D5BD7">
              <w:rPr>
                <w:b w:val="0"/>
              </w:rPr>
              <w:t>8 (3)</w:t>
            </w:r>
          </w:p>
        </w:tc>
        <w:tc>
          <w:tcPr>
            <w:tcW w:w="888" w:type="dxa"/>
            <w:vAlign w:val="center"/>
          </w:tcPr>
          <w:p w:rsidR="0085278B" w:rsidRPr="003D5BD7" w:rsidRDefault="0085278B" w:rsidP="00A429E4">
            <w:pPr>
              <w:pStyle w:val="TableHeading0"/>
              <w:spacing w:after="0"/>
              <w:jc w:val="center"/>
              <w:rPr>
                <w:b w:val="0"/>
              </w:rPr>
            </w:pPr>
            <w:r w:rsidRPr="003D5BD7">
              <w:rPr>
                <w:b w:val="0"/>
              </w:rPr>
              <w:t>7.2</w:t>
            </w:r>
          </w:p>
        </w:tc>
      </w:tr>
      <w:tr w:rsidR="0085278B" w:rsidRPr="003D5BD7" w:rsidTr="00A429E4">
        <w:tc>
          <w:tcPr>
            <w:tcW w:w="1956" w:type="dxa"/>
            <w:vAlign w:val="center"/>
          </w:tcPr>
          <w:p w:rsidR="0085278B" w:rsidRPr="003D5BD7" w:rsidRDefault="0085278B" w:rsidP="00A429E4">
            <w:pPr>
              <w:pStyle w:val="TableHeading0"/>
              <w:spacing w:after="0"/>
              <w:rPr>
                <w:b w:val="0"/>
              </w:rPr>
            </w:pPr>
            <w:r w:rsidRPr="003D5BD7">
              <w:rPr>
                <w:b w:val="0"/>
              </w:rPr>
              <w:t>Gallbladder disorders</w:t>
            </w:r>
          </w:p>
        </w:tc>
        <w:tc>
          <w:tcPr>
            <w:tcW w:w="888" w:type="dxa"/>
            <w:vAlign w:val="center"/>
          </w:tcPr>
          <w:p w:rsidR="0085278B" w:rsidRPr="003D5BD7" w:rsidRDefault="0085278B" w:rsidP="00A429E4">
            <w:pPr>
              <w:pStyle w:val="TableHeading0"/>
              <w:spacing w:after="0"/>
              <w:jc w:val="center"/>
              <w:rPr>
                <w:b w:val="0"/>
              </w:rPr>
            </w:pPr>
            <w:r w:rsidRPr="003D5BD7">
              <w:rPr>
                <w:b w:val="0"/>
              </w:rPr>
              <w:t>2 (1)</w:t>
            </w:r>
          </w:p>
        </w:tc>
        <w:tc>
          <w:tcPr>
            <w:tcW w:w="888" w:type="dxa"/>
            <w:vAlign w:val="center"/>
          </w:tcPr>
          <w:p w:rsidR="0085278B" w:rsidRPr="003D5BD7" w:rsidRDefault="0085278B" w:rsidP="00A429E4">
            <w:pPr>
              <w:pStyle w:val="TableHeading0"/>
              <w:spacing w:after="0"/>
              <w:jc w:val="center"/>
              <w:rPr>
                <w:b w:val="0"/>
              </w:rPr>
            </w:pPr>
            <w:r w:rsidRPr="003D5BD7">
              <w:rPr>
                <w:b w:val="0"/>
              </w:rPr>
              <w:t>0.9</w:t>
            </w:r>
          </w:p>
        </w:tc>
        <w:tc>
          <w:tcPr>
            <w:tcW w:w="888" w:type="dxa"/>
            <w:vAlign w:val="center"/>
          </w:tcPr>
          <w:p w:rsidR="0085278B" w:rsidRPr="003D5BD7" w:rsidRDefault="0085278B" w:rsidP="00A429E4">
            <w:pPr>
              <w:pStyle w:val="TableHeading0"/>
              <w:spacing w:after="0"/>
              <w:jc w:val="center"/>
              <w:rPr>
                <w:b w:val="0"/>
              </w:rPr>
            </w:pPr>
            <w:r w:rsidRPr="003D5BD7">
              <w:rPr>
                <w:b w:val="0"/>
              </w:rPr>
              <w:t>4 (1)</w:t>
            </w:r>
          </w:p>
        </w:tc>
        <w:tc>
          <w:tcPr>
            <w:tcW w:w="888" w:type="dxa"/>
            <w:vAlign w:val="center"/>
          </w:tcPr>
          <w:p w:rsidR="0085278B" w:rsidRPr="003D5BD7" w:rsidRDefault="0085278B" w:rsidP="00A429E4">
            <w:pPr>
              <w:pStyle w:val="TableHeading0"/>
              <w:spacing w:after="0"/>
              <w:jc w:val="center"/>
              <w:rPr>
                <w:b w:val="0"/>
              </w:rPr>
            </w:pPr>
            <w:r w:rsidRPr="003D5BD7">
              <w:rPr>
                <w:b w:val="0"/>
              </w:rPr>
              <w:t>1.6</w:t>
            </w:r>
          </w:p>
        </w:tc>
        <w:tc>
          <w:tcPr>
            <w:tcW w:w="888" w:type="dxa"/>
            <w:vAlign w:val="center"/>
          </w:tcPr>
          <w:p w:rsidR="0085278B" w:rsidRPr="003D5BD7" w:rsidRDefault="0085278B" w:rsidP="00A429E4">
            <w:pPr>
              <w:pStyle w:val="TableHeading0"/>
              <w:spacing w:after="0"/>
              <w:jc w:val="center"/>
              <w:rPr>
                <w:b w:val="0"/>
              </w:rPr>
            </w:pPr>
            <w:r w:rsidRPr="003D5BD7">
              <w:rPr>
                <w:b w:val="0"/>
              </w:rPr>
              <w:t>4 (1)</w:t>
            </w:r>
          </w:p>
        </w:tc>
        <w:tc>
          <w:tcPr>
            <w:tcW w:w="888" w:type="dxa"/>
            <w:vAlign w:val="center"/>
          </w:tcPr>
          <w:p w:rsidR="0085278B" w:rsidRPr="003D5BD7" w:rsidRDefault="0085278B" w:rsidP="00A429E4">
            <w:pPr>
              <w:pStyle w:val="TableHeading0"/>
              <w:spacing w:after="0"/>
              <w:jc w:val="center"/>
              <w:rPr>
                <w:b w:val="0"/>
              </w:rPr>
            </w:pPr>
            <w:r w:rsidRPr="003D5BD7">
              <w:rPr>
                <w:b w:val="0"/>
              </w:rPr>
              <w:t>2.2</w:t>
            </w:r>
          </w:p>
        </w:tc>
        <w:tc>
          <w:tcPr>
            <w:tcW w:w="888" w:type="dxa"/>
            <w:vAlign w:val="center"/>
          </w:tcPr>
          <w:p w:rsidR="0085278B" w:rsidRPr="003D5BD7" w:rsidRDefault="0085278B" w:rsidP="00A429E4">
            <w:pPr>
              <w:pStyle w:val="TableHeading0"/>
              <w:spacing w:after="0"/>
              <w:jc w:val="center"/>
              <w:rPr>
                <w:b w:val="0"/>
              </w:rPr>
            </w:pPr>
            <w:r w:rsidRPr="003D5BD7">
              <w:rPr>
                <w:b w:val="0"/>
              </w:rPr>
              <w:t>8 (3)</w:t>
            </w:r>
          </w:p>
        </w:tc>
        <w:tc>
          <w:tcPr>
            <w:tcW w:w="888" w:type="dxa"/>
            <w:vAlign w:val="center"/>
          </w:tcPr>
          <w:p w:rsidR="0085278B" w:rsidRPr="003D5BD7" w:rsidRDefault="0085278B" w:rsidP="00A429E4">
            <w:pPr>
              <w:pStyle w:val="TableHeading0"/>
              <w:spacing w:after="0"/>
              <w:jc w:val="center"/>
              <w:rPr>
                <w:b w:val="0"/>
              </w:rPr>
            </w:pPr>
            <w:r w:rsidRPr="003D5BD7">
              <w:rPr>
                <w:b w:val="0"/>
              </w:rPr>
              <w:t>3.8</w:t>
            </w:r>
          </w:p>
        </w:tc>
      </w:tr>
      <w:tr w:rsidR="0085278B" w:rsidRPr="003D5BD7" w:rsidTr="00A429E4">
        <w:tc>
          <w:tcPr>
            <w:tcW w:w="1956" w:type="dxa"/>
            <w:vAlign w:val="center"/>
          </w:tcPr>
          <w:p w:rsidR="0085278B" w:rsidRPr="003D5BD7" w:rsidRDefault="0085278B" w:rsidP="00A429E4">
            <w:pPr>
              <w:pStyle w:val="TableHeading0"/>
              <w:spacing w:after="0"/>
              <w:rPr>
                <w:b w:val="0"/>
              </w:rPr>
            </w:pPr>
            <w:r w:rsidRPr="003D5BD7">
              <w:rPr>
                <w:b w:val="0"/>
              </w:rPr>
              <w:t>Severe hypoglycaemia or blood glucose-confirmed symptomatic</w:t>
            </w:r>
          </w:p>
        </w:tc>
        <w:tc>
          <w:tcPr>
            <w:tcW w:w="888" w:type="dxa"/>
            <w:vAlign w:val="center"/>
          </w:tcPr>
          <w:p w:rsidR="0085278B" w:rsidRPr="003D5BD7" w:rsidRDefault="0085278B" w:rsidP="00A429E4">
            <w:pPr>
              <w:pStyle w:val="TableHeading0"/>
              <w:spacing w:after="0"/>
              <w:jc w:val="center"/>
              <w:rPr>
                <w:b w:val="0"/>
              </w:rPr>
            </w:pPr>
            <w:r w:rsidRPr="003D5BD7">
              <w:rPr>
                <w:b w:val="0"/>
              </w:rPr>
              <w:t>2 (1)</w:t>
            </w:r>
          </w:p>
        </w:tc>
        <w:tc>
          <w:tcPr>
            <w:tcW w:w="888" w:type="dxa"/>
            <w:vAlign w:val="center"/>
          </w:tcPr>
          <w:p w:rsidR="0085278B" w:rsidRPr="003D5BD7" w:rsidRDefault="0085278B" w:rsidP="00A429E4">
            <w:pPr>
              <w:pStyle w:val="TableHeading0"/>
              <w:spacing w:after="0"/>
              <w:jc w:val="center"/>
              <w:rPr>
                <w:b w:val="0"/>
              </w:rPr>
            </w:pPr>
            <w:r w:rsidRPr="003D5BD7">
              <w:rPr>
                <w:b w:val="0"/>
              </w:rPr>
              <w:t>1.3</w:t>
            </w:r>
          </w:p>
        </w:tc>
        <w:tc>
          <w:tcPr>
            <w:tcW w:w="888" w:type="dxa"/>
            <w:vAlign w:val="center"/>
          </w:tcPr>
          <w:p w:rsidR="0085278B" w:rsidRPr="003D5BD7" w:rsidRDefault="0085278B" w:rsidP="00A429E4">
            <w:pPr>
              <w:pStyle w:val="TableHeading0"/>
              <w:spacing w:after="0"/>
              <w:jc w:val="center"/>
              <w:rPr>
                <w:b w:val="0"/>
              </w:rPr>
            </w:pPr>
            <w:r w:rsidRPr="003D5BD7">
              <w:rPr>
                <w:b w:val="0"/>
              </w:rPr>
              <w:t>3 (1)</w:t>
            </w:r>
          </w:p>
        </w:tc>
        <w:tc>
          <w:tcPr>
            <w:tcW w:w="888" w:type="dxa"/>
            <w:vAlign w:val="center"/>
          </w:tcPr>
          <w:p w:rsidR="0085278B" w:rsidRPr="003D5BD7" w:rsidRDefault="0085278B" w:rsidP="00A429E4">
            <w:pPr>
              <w:pStyle w:val="TableHeading0"/>
              <w:spacing w:after="0"/>
              <w:jc w:val="center"/>
              <w:rPr>
                <w:b w:val="0"/>
              </w:rPr>
            </w:pPr>
            <w:r w:rsidRPr="003D5BD7">
              <w:rPr>
                <w:b w:val="0"/>
              </w:rPr>
              <w:t>1.2</w:t>
            </w:r>
          </w:p>
        </w:tc>
        <w:tc>
          <w:tcPr>
            <w:tcW w:w="888" w:type="dxa"/>
            <w:vAlign w:val="center"/>
          </w:tcPr>
          <w:p w:rsidR="0085278B" w:rsidRPr="003D5BD7" w:rsidRDefault="0085278B" w:rsidP="00A429E4">
            <w:pPr>
              <w:pStyle w:val="TableHeading0"/>
              <w:spacing w:after="0"/>
              <w:jc w:val="center"/>
              <w:rPr>
                <w:b w:val="0"/>
              </w:rPr>
            </w:pPr>
            <w:r w:rsidRPr="003D5BD7">
              <w:rPr>
                <w:b w:val="0"/>
              </w:rPr>
              <w:t>5 (2)</w:t>
            </w:r>
          </w:p>
        </w:tc>
        <w:tc>
          <w:tcPr>
            <w:tcW w:w="888" w:type="dxa"/>
            <w:vAlign w:val="center"/>
          </w:tcPr>
          <w:p w:rsidR="0085278B" w:rsidRPr="003D5BD7" w:rsidRDefault="0085278B" w:rsidP="00A429E4">
            <w:pPr>
              <w:pStyle w:val="TableHeading0"/>
              <w:spacing w:after="0"/>
              <w:jc w:val="center"/>
              <w:rPr>
                <w:b w:val="0"/>
              </w:rPr>
            </w:pPr>
            <w:r w:rsidRPr="003D5BD7">
              <w:rPr>
                <w:b w:val="0"/>
              </w:rPr>
              <w:t>3.0</w:t>
            </w:r>
          </w:p>
        </w:tc>
        <w:tc>
          <w:tcPr>
            <w:tcW w:w="888" w:type="dxa"/>
            <w:vAlign w:val="center"/>
          </w:tcPr>
          <w:p w:rsidR="0085278B" w:rsidRPr="003D5BD7" w:rsidRDefault="0085278B" w:rsidP="00A429E4">
            <w:pPr>
              <w:pStyle w:val="TableHeading0"/>
              <w:spacing w:after="0"/>
              <w:jc w:val="center"/>
              <w:rPr>
                <w:b w:val="0"/>
              </w:rPr>
            </w:pPr>
            <w:r w:rsidRPr="003D5BD7">
              <w:rPr>
                <w:b w:val="0"/>
              </w:rPr>
              <w:t>5 (2)</w:t>
            </w:r>
          </w:p>
        </w:tc>
        <w:tc>
          <w:tcPr>
            <w:tcW w:w="888" w:type="dxa"/>
            <w:vAlign w:val="center"/>
          </w:tcPr>
          <w:p w:rsidR="0085278B" w:rsidRPr="003D5BD7" w:rsidRDefault="0085278B" w:rsidP="00A429E4">
            <w:pPr>
              <w:pStyle w:val="TableHeading0"/>
              <w:spacing w:after="0"/>
              <w:jc w:val="center"/>
              <w:rPr>
                <w:b w:val="0"/>
              </w:rPr>
            </w:pPr>
            <w:r w:rsidRPr="003D5BD7">
              <w:rPr>
                <w:b w:val="0"/>
              </w:rPr>
              <w:t>2.1</w:t>
            </w:r>
          </w:p>
        </w:tc>
      </w:tr>
      <w:tr w:rsidR="0085278B" w:rsidRPr="003D5BD7" w:rsidTr="00A429E4">
        <w:tc>
          <w:tcPr>
            <w:tcW w:w="1956" w:type="dxa"/>
            <w:vAlign w:val="center"/>
          </w:tcPr>
          <w:p w:rsidR="0085278B" w:rsidRPr="003D5BD7" w:rsidRDefault="0085278B" w:rsidP="00A429E4">
            <w:pPr>
              <w:pStyle w:val="TableHeading0"/>
              <w:spacing w:after="0"/>
              <w:rPr>
                <w:b w:val="0"/>
              </w:rPr>
            </w:pPr>
            <w:r w:rsidRPr="003D5BD7">
              <w:rPr>
                <w:b w:val="0"/>
              </w:rPr>
              <w:t>Diabetic retinopathy</w:t>
            </w:r>
          </w:p>
        </w:tc>
        <w:tc>
          <w:tcPr>
            <w:tcW w:w="888" w:type="dxa"/>
            <w:vAlign w:val="center"/>
          </w:tcPr>
          <w:p w:rsidR="0085278B" w:rsidRPr="003D5BD7" w:rsidRDefault="0085278B" w:rsidP="00A429E4">
            <w:pPr>
              <w:pStyle w:val="TableHeading0"/>
              <w:spacing w:after="0"/>
              <w:jc w:val="center"/>
              <w:rPr>
                <w:b w:val="0"/>
              </w:rPr>
            </w:pPr>
            <w:r w:rsidRPr="003D5BD7">
              <w:rPr>
                <w:b w:val="0"/>
              </w:rPr>
              <w:t>2 (1)</w:t>
            </w:r>
          </w:p>
        </w:tc>
        <w:tc>
          <w:tcPr>
            <w:tcW w:w="888" w:type="dxa"/>
            <w:vAlign w:val="center"/>
          </w:tcPr>
          <w:p w:rsidR="0085278B" w:rsidRPr="003D5BD7" w:rsidRDefault="0085278B" w:rsidP="00A429E4">
            <w:pPr>
              <w:pStyle w:val="TableHeading0"/>
              <w:spacing w:after="0"/>
              <w:jc w:val="center"/>
              <w:rPr>
                <w:b w:val="0"/>
              </w:rPr>
            </w:pPr>
            <w:r w:rsidRPr="003D5BD7">
              <w:rPr>
                <w:b w:val="0"/>
              </w:rPr>
              <w:t>0.8</w:t>
            </w:r>
          </w:p>
        </w:tc>
        <w:tc>
          <w:tcPr>
            <w:tcW w:w="888" w:type="dxa"/>
            <w:vAlign w:val="center"/>
          </w:tcPr>
          <w:p w:rsidR="0085278B" w:rsidRPr="003D5BD7" w:rsidRDefault="0085278B" w:rsidP="00A429E4">
            <w:pPr>
              <w:pStyle w:val="TableHeading0"/>
              <w:spacing w:after="0"/>
              <w:jc w:val="center"/>
              <w:rPr>
                <w:b w:val="0"/>
              </w:rPr>
            </w:pPr>
            <w:r w:rsidRPr="003D5BD7">
              <w:rPr>
                <w:b w:val="0"/>
              </w:rPr>
              <w:t>2 (1)</w:t>
            </w:r>
          </w:p>
        </w:tc>
        <w:tc>
          <w:tcPr>
            <w:tcW w:w="888" w:type="dxa"/>
            <w:vAlign w:val="center"/>
          </w:tcPr>
          <w:p w:rsidR="0085278B" w:rsidRPr="003D5BD7" w:rsidRDefault="0085278B" w:rsidP="00A429E4">
            <w:pPr>
              <w:pStyle w:val="TableHeading0"/>
              <w:spacing w:after="0"/>
              <w:jc w:val="center"/>
              <w:rPr>
                <w:b w:val="0"/>
              </w:rPr>
            </w:pPr>
            <w:r w:rsidRPr="003D5BD7">
              <w:rPr>
                <w:b w:val="0"/>
              </w:rPr>
              <w:t>0.8</w:t>
            </w:r>
          </w:p>
        </w:tc>
        <w:tc>
          <w:tcPr>
            <w:tcW w:w="888" w:type="dxa"/>
            <w:vAlign w:val="center"/>
          </w:tcPr>
          <w:p w:rsidR="0085278B" w:rsidRPr="003D5BD7" w:rsidRDefault="0085278B" w:rsidP="00A429E4">
            <w:pPr>
              <w:pStyle w:val="TableHeading0"/>
              <w:spacing w:after="0"/>
              <w:jc w:val="center"/>
              <w:rPr>
                <w:b w:val="0"/>
              </w:rPr>
            </w:pPr>
            <w:r w:rsidRPr="003D5BD7">
              <w:rPr>
                <w:b w:val="0"/>
              </w:rPr>
              <w:t>2 (1)</w:t>
            </w:r>
          </w:p>
        </w:tc>
        <w:tc>
          <w:tcPr>
            <w:tcW w:w="888" w:type="dxa"/>
            <w:vAlign w:val="center"/>
          </w:tcPr>
          <w:p w:rsidR="0085278B" w:rsidRPr="003D5BD7" w:rsidRDefault="0085278B" w:rsidP="00A429E4">
            <w:pPr>
              <w:pStyle w:val="TableHeading0"/>
              <w:spacing w:after="0"/>
              <w:jc w:val="center"/>
              <w:rPr>
                <w:b w:val="0"/>
              </w:rPr>
            </w:pPr>
            <w:r w:rsidRPr="003D5BD7">
              <w:rPr>
                <w:b w:val="0"/>
              </w:rPr>
              <w:t>0.8</w:t>
            </w:r>
          </w:p>
        </w:tc>
        <w:tc>
          <w:tcPr>
            <w:tcW w:w="888" w:type="dxa"/>
            <w:vAlign w:val="center"/>
          </w:tcPr>
          <w:p w:rsidR="0085278B" w:rsidRPr="003D5BD7" w:rsidRDefault="0085278B" w:rsidP="00A429E4">
            <w:pPr>
              <w:pStyle w:val="TableHeading0"/>
              <w:spacing w:after="0"/>
              <w:jc w:val="center"/>
              <w:rPr>
                <w:b w:val="0"/>
              </w:rPr>
            </w:pPr>
            <w:r w:rsidRPr="003D5BD7">
              <w:rPr>
                <w:b w:val="0"/>
              </w:rPr>
              <w:t>3 (1)</w:t>
            </w:r>
          </w:p>
        </w:tc>
        <w:tc>
          <w:tcPr>
            <w:tcW w:w="888" w:type="dxa"/>
            <w:vAlign w:val="center"/>
          </w:tcPr>
          <w:p w:rsidR="0085278B" w:rsidRPr="003D5BD7" w:rsidRDefault="0085278B" w:rsidP="00A429E4">
            <w:pPr>
              <w:pStyle w:val="TableHeading0"/>
              <w:spacing w:after="0"/>
              <w:jc w:val="center"/>
              <w:rPr>
                <w:b w:val="0"/>
              </w:rPr>
            </w:pPr>
            <w:r w:rsidRPr="003D5BD7">
              <w:rPr>
                <w:b w:val="0"/>
              </w:rPr>
              <w:t>1.2</w:t>
            </w:r>
          </w:p>
        </w:tc>
      </w:tr>
    </w:tbl>
    <w:p w:rsidR="0085278B" w:rsidRPr="003D5BD7" w:rsidRDefault="0085278B" w:rsidP="0085278B">
      <w:pPr>
        <w:pStyle w:val="TableFooter"/>
      </w:pPr>
      <w:r w:rsidRPr="003D5BD7">
        <w:t xml:space="preserve">Source: Table </w:t>
      </w:r>
      <w:r w:rsidR="007C571E" w:rsidRPr="003D5BD7">
        <w:t xml:space="preserve">10, </w:t>
      </w:r>
      <w:proofErr w:type="spellStart"/>
      <w:r w:rsidR="007C571E" w:rsidRPr="003D5BD7">
        <w:t>semaglutide</w:t>
      </w:r>
      <w:proofErr w:type="spellEnd"/>
      <w:r w:rsidR="007C571E" w:rsidRPr="003D5BD7">
        <w:t xml:space="preserve"> </w:t>
      </w:r>
      <w:r w:rsidR="00AC6E9E" w:rsidRPr="003D5BD7">
        <w:t>Public Summary Document</w:t>
      </w:r>
      <w:r w:rsidR="007C571E" w:rsidRPr="003D5BD7">
        <w:t>, November 2019 PBAC meeting</w:t>
      </w:r>
    </w:p>
    <w:p w:rsidR="0005035D" w:rsidRPr="003D5BD7" w:rsidRDefault="0085278B" w:rsidP="0085278B">
      <w:pPr>
        <w:pStyle w:val="TableFooter"/>
      </w:pPr>
      <w:r w:rsidRPr="003D5BD7">
        <w:t>Abbreviation: GI, gastrointestinal</w:t>
      </w:r>
    </w:p>
    <w:p w:rsidR="0005035D" w:rsidRPr="003D5BD7" w:rsidRDefault="0005035D" w:rsidP="0005035D">
      <w:pPr>
        <w:pStyle w:val="ListParagraph"/>
        <w:numPr>
          <w:ilvl w:val="1"/>
          <w:numId w:val="2"/>
        </w:numPr>
        <w:spacing w:before="120"/>
        <w:jc w:val="both"/>
      </w:pPr>
      <w:proofErr w:type="gramStart"/>
      <w:r w:rsidRPr="003D5BD7">
        <w:lastRenderedPageBreak/>
        <w:t>The PBAC</w:t>
      </w:r>
      <w:r w:rsidR="00A429E4" w:rsidRPr="003D5BD7">
        <w:t xml:space="preserve"> previously</w:t>
      </w:r>
      <w:r w:rsidRPr="003D5BD7">
        <w:t xml:space="preserve"> considered that is was probable that a substantial number of patients would use 0.5 mg </w:t>
      </w:r>
      <w:proofErr w:type="spellStart"/>
      <w:r w:rsidRPr="003D5BD7">
        <w:t>semaglutide</w:t>
      </w:r>
      <w:proofErr w:type="spellEnd"/>
      <w:r w:rsidRPr="003D5BD7">
        <w:t xml:space="preserve"> in preference to the 1.0 mg strength due to the high gastrointestinal side effect profile of </w:t>
      </w:r>
      <w:proofErr w:type="spellStart"/>
      <w:r w:rsidRPr="003D5BD7">
        <w:t>semaglutide</w:t>
      </w:r>
      <w:proofErr w:type="spellEnd"/>
      <w:r w:rsidRPr="003D5BD7">
        <w:t xml:space="preserve"> 1.0 mg and the </w:t>
      </w:r>
      <w:r w:rsidRPr="003D5BD7">
        <w:rPr>
          <w:bCs/>
        </w:rPr>
        <w:t xml:space="preserve">relatively high response rates to HbA1c and weight loss targets for </w:t>
      </w:r>
      <w:proofErr w:type="spellStart"/>
      <w:r w:rsidRPr="003D5BD7">
        <w:rPr>
          <w:bCs/>
        </w:rPr>
        <w:t>semaglutide</w:t>
      </w:r>
      <w:proofErr w:type="spellEnd"/>
      <w:r w:rsidRPr="003D5BD7">
        <w:rPr>
          <w:bCs/>
        </w:rPr>
        <w:t xml:space="preserve"> 0.5 mg </w:t>
      </w:r>
      <w:r w:rsidRPr="003D5BD7">
        <w:t>(para 7.11,</w:t>
      </w:r>
      <w:r w:rsidRPr="003D5BD7">
        <w:rPr>
          <w:lang w:eastAsia="en-US"/>
        </w:rPr>
        <w:t xml:space="preserve"> </w:t>
      </w:r>
      <w:proofErr w:type="spellStart"/>
      <w:r w:rsidRPr="003D5BD7">
        <w:rPr>
          <w:lang w:eastAsia="en-US"/>
        </w:rPr>
        <w:t>semaglutide</w:t>
      </w:r>
      <w:proofErr w:type="spellEnd"/>
      <w:r w:rsidRPr="003D5BD7">
        <w:rPr>
          <w:lang w:eastAsia="en-US"/>
        </w:rPr>
        <w:t xml:space="preserve"> </w:t>
      </w:r>
      <w:r w:rsidR="005D3AE8" w:rsidRPr="003D5BD7">
        <w:rPr>
          <w:lang w:eastAsia="en-US"/>
        </w:rPr>
        <w:t>PSD</w:t>
      </w:r>
      <w:r w:rsidRPr="003D5BD7">
        <w:rPr>
          <w:lang w:eastAsia="en-US"/>
        </w:rPr>
        <w:t>, November 2019 PBAC meeting</w:t>
      </w:r>
      <w:r w:rsidRPr="003D5BD7">
        <w:t>)</w:t>
      </w:r>
      <w:r w:rsidRPr="003D5BD7">
        <w:rPr>
          <w:bCs/>
        </w:rPr>
        <w:t>.</w:t>
      </w:r>
      <w:proofErr w:type="gramEnd"/>
      <w:r w:rsidRPr="003D5BD7">
        <w:rPr>
          <w:bCs/>
        </w:rPr>
        <w:t xml:space="preserve"> </w:t>
      </w:r>
    </w:p>
    <w:p w:rsidR="00A429E4" w:rsidRPr="003D5BD7" w:rsidRDefault="0005035D" w:rsidP="0005035D">
      <w:pPr>
        <w:pStyle w:val="3Bodytext"/>
      </w:pPr>
      <w:r w:rsidRPr="003D5BD7">
        <w:t xml:space="preserve">The PBAC previously noted the availability of </w:t>
      </w:r>
      <w:proofErr w:type="spellStart"/>
      <w:r w:rsidRPr="003D5BD7">
        <w:t>semaglutide</w:t>
      </w:r>
      <w:proofErr w:type="spellEnd"/>
      <w:r w:rsidRPr="003D5BD7">
        <w:t xml:space="preserve"> in overseas markets could have provided some information on the proportion of use of the 0.5 mg versus 1 mg strength in clinical practice (para 7.11,</w:t>
      </w:r>
      <w:r w:rsidRPr="003D5BD7">
        <w:rPr>
          <w:lang w:eastAsia="en-US"/>
        </w:rPr>
        <w:t xml:space="preserve"> </w:t>
      </w:r>
      <w:proofErr w:type="spellStart"/>
      <w:r w:rsidRPr="003D5BD7">
        <w:rPr>
          <w:rFonts w:asciiTheme="minorHAnsi" w:hAnsiTheme="minorHAnsi" w:cs="Arial"/>
          <w:snapToGrid w:val="0"/>
          <w:lang w:eastAsia="en-US"/>
        </w:rPr>
        <w:t>semaglutide</w:t>
      </w:r>
      <w:proofErr w:type="spellEnd"/>
      <w:r w:rsidRPr="003D5BD7">
        <w:rPr>
          <w:rFonts w:asciiTheme="minorHAnsi" w:hAnsiTheme="minorHAnsi" w:cs="Arial"/>
          <w:snapToGrid w:val="0"/>
          <w:lang w:eastAsia="en-US"/>
        </w:rPr>
        <w:t xml:space="preserve"> </w:t>
      </w:r>
      <w:r w:rsidR="005D3AE8" w:rsidRPr="003D5BD7">
        <w:rPr>
          <w:rFonts w:asciiTheme="minorHAnsi" w:hAnsiTheme="minorHAnsi" w:cs="Arial"/>
          <w:snapToGrid w:val="0"/>
          <w:lang w:eastAsia="en-US"/>
        </w:rPr>
        <w:t>PSD</w:t>
      </w:r>
      <w:r w:rsidRPr="003D5BD7">
        <w:rPr>
          <w:rFonts w:asciiTheme="minorHAnsi" w:hAnsiTheme="minorHAnsi" w:cs="Arial"/>
          <w:snapToGrid w:val="0"/>
          <w:lang w:eastAsia="en-US"/>
        </w:rPr>
        <w:t>, November 2019 PBAC meeting</w:t>
      </w:r>
      <w:r w:rsidRPr="003D5BD7">
        <w:t xml:space="preserve">). </w:t>
      </w:r>
    </w:p>
    <w:p w:rsidR="0005035D" w:rsidRPr="003D5BD7" w:rsidRDefault="0005035D" w:rsidP="0005035D">
      <w:pPr>
        <w:pStyle w:val="3Bodytext"/>
      </w:pPr>
      <w:r w:rsidRPr="003D5BD7">
        <w:t xml:space="preserve">No additional information on overseas usage </w:t>
      </w:r>
      <w:proofErr w:type="gramStart"/>
      <w:r w:rsidRPr="003D5BD7">
        <w:t>was provided</w:t>
      </w:r>
      <w:proofErr w:type="gramEnd"/>
      <w:r w:rsidRPr="003D5BD7">
        <w:t xml:space="preserve"> in the resubmission. </w:t>
      </w:r>
    </w:p>
    <w:p w:rsidR="007F7528" w:rsidRPr="003D5BD7" w:rsidRDefault="007F7528" w:rsidP="007F7528">
      <w:pPr>
        <w:pStyle w:val="3Bodytext"/>
      </w:pPr>
      <w:r w:rsidRPr="003D5BD7">
        <w:t>The PBAC noted that a</w:t>
      </w:r>
      <w:r w:rsidRPr="003D5BD7">
        <w:rPr>
          <w:rFonts w:eastAsiaTheme="minorEastAsia"/>
        </w:rPr>
        <w:t xml:space="preserve">dverse event rates </w:t>
      </w:r>
      <w:r w:rsidRPr="003D5BD7">
        <w:t>were</w:t>
      </w:r>
      <w:r w:rsidRPr="003D5BD7">
        <w:rPr>
          <w:rFonts w:eastAsiaTheme="minorEastAsia"/>
        </w:rPr>
        <w:t xml:space="preserve"> similar between </w:t>
      </w:r>
      <w:proofErr w:type="spellStart"/>
      <w:r w:rsidRPr="003D5BD7">
        <w:rPr>
          <w:rFonts w:eastAsiaTheme="minorEastAsia"/>
        </w:rPr>
        <w:t>semaglutide</w:t>
      </w:r>
      <w:proofErr w:type="spellEnd"/>
      <w:r w:rsidRPr="003D5BD7">
        <w:rPr>
          <w:rFonts w:eastAsiaTheme="minorEastAsia"/>
        </w:rPr>
        <w:t xml:space="preserve"> 0.5</w:t>
      </w:r>
      <w:r w:rsidRPr="003D5BD7">
        <w:t xml:space="preserve"> </w:t>
      </w:r>
      <w:r w:rsidRPr="003D5BD7">
        <w:rPr>
          <w:rFonts w:eastAsiaTheme="minorEastAsia"/>
        </w:rPr>
        <w:t xml:space="preserve">mg and </w:t>
      </w:r>
      <w:proofErr w:type="spellStart"/>
      <w:r w:rsidRPr="003D5BD7">
        <w:rPr>
          <w:rFonts w:eastAsiaTheme="minorEastAsia"/>
        </w:rPr>
        <w:t>dulaglutide</w:t>
      </w:r>
      <w:proofErr w:type="spellEnd"/>
      <w:r w:rsidRPr="003D5BD7">
        <w:rPr>
          <w:rFonts w:eastAsiaTheme="minorEastAsia"/>
        </w:rPr>
        <w:t xml:space="preserve"> 1.5</w:t>
      </w:r>
      <w:r w:rsidRPr="003D5BD7">
        <w:t xml:space="preserve"> </w:t>
      </w:r>
      <w:r w:rsidRPr="003D5BD7">
        <w:rPr>
          <w:rFonts w:eastAsiaTheme="minorEastAsia"/>
        </w:rPr>
        <w:t>mg</w:t>
      </w:r>
      <w:r w:rsidRPr="003D5BD7">
        <w:t>.</w:t>
      </w:r>
    </w:p>
    <w:p w:rsidR="00CA19E6" w:rsidRPr="003D5BD7" w:rsidRDefault="00CA19E6" w:rsidP="00CA19E6">
      <w:pPr>
        <w:pStyle w:val="Heading2"/>
        <w:keepLines/>
        <w:spacing w:before="240" w:after="120"/>
        <w:rPr>
          <w:rFonts w:asciiTheme="minorHAnsi" w:eastAsiaTheme="majorEastAsia" w:hAnsiTheme="minorHAnsi" w:cstheme="majorBidi"/>
          <w:sz w:val="28"/>
          <w:szCs w:val="28"/>
          <w:lang w:eastAsia="en-US"/>
        </w:rPr>
      </w:pPr>
      <w:r w:rsidRPr="003D5BD7">
        <w:rPr>
          <w:rFonts w:asciiTheme="minorHAnsi" w:eastAsiaTheme="majorEastAsia" w:hAnsiTheme="minorHAnsi" w:cstheme="majorBidi"/>
          <w:sz w:val="28"/>
          <w:szCs w:val="28"/>
          <w:lang w:eastAsia="en-US"/>
        </w:rPr>
        <w:t>Clinical claim</w:t>
      </w:r>
    </w:p>
    <w:p w:rsidR="00CA19E6" w:rsidRPr="003D5BD7" w:rsidRDefault="004A4422" w:rsidP="00920DB9">
      <w:pPr>
        <w:pStyle w:val="3Bodytext"/>
      </w:pPr>
      <w:r w:rsidRPr="003D5BD7">
        <w:t>The res</w:t>
      </w:r>
      <w:r w:rsidR="00CA19E6" w:rsidRPr="003D5BD7">
        <w:t xml:space="preserve">ubmission claimed non-inferior comparative effectiveness </w:t>
      </w:r>
      <w:r w:rsidRPr="003D5BD7">
        <w:t xml:space="preserve">and </w:t>
      </w:r>
      <w:r w:rsidR="00CA19E6" w:rsidRPr="003D5BD7">
        <w:t xml:space="preserve">safety of </w:t>
      </w:r>
      <w:proofErr w:type="spellStart"/>
      <w:r w:rsidR="009130EB" w:rsidRPr="003D5BD7">
        <w:t>semaglutide</w:t>
      </w:r>
      <w:proofErr w:type="spellEnd"/>
      <w:r w:rsidR="009130EB" w:rsidRPr="003D5BD7">
        <w:t xml:space="preserve"> (0.5 mg and 1.0 mg)</w:t>
      </w:r>
      <w:r w:rsidR="00CA19E6" w:rsidRPr="003D5BD7">
        <w:t xml:space="preserve"> </w:t>
      </w:r>
      <w:r w:rsidR="009130EB" w:rsidRPr="003D5BD7">
        <w:t xml:space="preserve">weekly </w:t>
      </w:r>
      <w:r w:rsidR="00CA19E6" w:rsidRPr="003D5BD7">
        <w:t xml:space="preserve">compared with </w:t>
      </w:r>
      <w:proofErr w:type="spellStart"/>
      <w:r w:rsidR="009130EB" w:rsidRPr="003D5BD7">
        <w:t>dulaglutide</w:t>
      </w:r>
      <w:proofErr w:type="spellEnd"/>
      <w:r w:rsidR="009130EB" w:rsidRPr="003D5BD7">
        <w:t xml:space="preserve"> 1.5 mg weekly. </w:t>
      </w:r>
    </w:p>
    <w:p w:rsidR="004A4422" w:rsidRPr="003D5BD7" w:rsidRDefault="00D44C78" w:rsidP="004E3C97">
      <w:pPr>
        <w:pStyle w:val="3Bodytext"/>
      </w:pPr>
      <w:r w:rsidRPr="003D5BD7">
        <w:t xml:space="preserve">The PBAC has </w:t>
      </w:r>
      <w:r w:rsidR="008177C5" w:rsidRPr="003D5BD7">
        <w:t>previously</w:t>
      </w:r>
      <w:r w:rsidRPr="003D5BD7">
        <w:t xml:space="preserve"> recommended that </w:t>
      </w:r>
      <w:proofErr w:type="spellStart"/>
      <w:r w:rsidRPr="003D5BD7">
        <w:t>semaglutide</w:t>
      </w:r>
      <w:proofErr w:type="spellEnd"/>
      <w:r w:rsidRPr="003D5BD7">
        <w:t xml:space="preserve"> 1.0 mg is non-inferior in terms of efficacy and safety compared to </w:t>
      </w:r>
      <w:proofErr w:type="spellStart"/>
      <w:r w:rsidRPr="003D5BD7">
        <w:t>dulaglutide</w:t>
      </w:r>
      <w:proofErr w:type="spellEnd"/>
      <w:r w:rsidRPr="003D5BD7">
        <w:t xml:space="preserve"> 1.5mg (</w:t>
      </w:r>
      <w:r w:rsidR="008177C5" w:rsidRPr="003D5BD7">
        <w:t>para 6.64</w:t>
      </w:r>
      <w:r w:rsidRPr="003D5BD7">
        <w:t xml:space="preserve">, </w:t>
      </w:r>
      <w:proofErr w:type="spellStart"/>
      <w:r w:rsidRPr="003D5BD7">
        <w:t>semaglutide</w:t>
      </w:r>
      <w:proofErr w:type="spellEnd"/>
      <w:r w:rsidRPr="003D5BD7">
        <w:t xml:space="preserve"> </w:t>
      </w:r>
      <w:r w:rsidR="005D3AE8" w:rsidRPr="003D5BD7">
        <w:t>PSD</w:t>
      </w:r>
      <w:r w:rsidRPr="003D5BD7">
        <w:t>, November 2019</w:t>
      </w:r>
      <w:r w:rsidR="008177C5" w:rsidRPr="003D5BD7">
        <w:t xml:space="preserve"> PBAC meeting).</w:t>
      </w:r>
    </w:p>
    <w:p w:rsidR="00B02FC2" w:rsidRPr="003D5BD7" w:rsidRDefault="009130EB" w:rsidP="004A4422">
      <w:pPr>
        <w:pStyle w:val="3Bodytext"/>
        <w:rPr>
          <w:color w:val="FF0000"/>
        </w:rPr>
      </w:pPr>
      <w:r w:rsidRPr="003D5BD7">
        <w:t xml:space="preserve">The </w:t>
      </w:r>
      <w:r w:rsidR="00421C9C" w:rsidRPr="003D5BD7">
        <w:t xml:space="preserve">ESC </w:t>
      </w:r>
      <w:r w:rsidRPr="003D5BD7">
        <w:t>pr</w:t>
      </w:r>
      <w:r w:rsidR="00515DAE" w:rsidRPr="003D5BD7">
        <w:t xml:space="preserve">eviously considered that </w:t>
      </w:r>
      <w:proofErr w:type="spellStart"/>
      <w:r w:rsidRPr="003D5BD7">
        <w:t>semaglutide</w:t>
      </w:r>
      <w:proofErr w:type="spellEnd"/>
      <w:r w:rsidRPr="003D5BD7">
        <w:t xml:space="preserve"> 0.5 mg once weekly was</w:t>
      </w:r>
      <w:r w:rsidR="00515DAE" w:rsidRPr="003D5BD7">
        <w:t xml:space="preserve"> potentially</w:t>
      </w:r>
      <w:r w:rsidRPr="003D5BD7">
        <w:t xml:space="preserve"> non-inferior in terms of effectiveness and safety compared with </w:t>
      </w:r>
      <w:proofErr w:type="spellStart"/>
      <w:r w:rsidRPr="003D5BD7">
        <w:t>dulaglutide</w:t>
      </w:r>
      <w:proofErr w:type="spellEnd"/>
      <w:r w:rsidRPr="003D5BD7">
        <w:t xml:space="preserve"> 1.5 mg once weekly (para 6.63, </w:t>
      </w:r>
      <w:proofErr w:type="spellStart"/>
      <w:r w:rsidRPr="003D5BD7">
        <w:t>semaglutide</w:t>
      </w:r>
      <w:proofErr w:type="spellEnd"/>
      <w:r w:rsidRPr="003D5BD7">
        <w:t xml:space="preserve"> </w:t>
      </w:r>
      <w:r w:rsidR="005D3AE8" w:rsidRPr="003D5BD7">
        <w:t>PSD</w:t>
      </w:r>
      <w:r w:rsidRPr="003D5BD7">
        <w:t>, November 2019</w:t>
      </w:r>
      <w:r w:rsidR="008177C5" w:rsidRPr="003D5BD7">
        <w:t xml:space="preserve"> PBAC meeting</w:t>
      </w:r>
      <w:r w:rsidRPr="003D5BD7">
        <w:t>)</w:t>
      </w:r>
      <w:r w:rsidR="00421C9C" w:rsidRPr="003D5BD7">
        <w:t>.</w:t>
      </w:r>
    </w:p>
    <w:p w:rsidR="00B02FC2" w:rsidRPr="003D5BD7" w:rsidRDefault="00421C9C" w:rsidP="00A429E4">
      <w:pPr>
        <w:pStyle w:val="3Bodytext"/>
        <w:rPr>
          <w:color w:val="FF0000"/>
        </w:rPr>
      </w:pPr>
      <w:r w:rsidRPr="003D5BD7">
        <w:t xml:space="preserve"> </w:t>
      </w:r>
      <w:r w:rsidRPr="003D5BD7">
        <w:rPr>
          <w:bCs/>
        </w:rPr>
        <w:t xml:space="preserve">The PBAC previously noted that the effects of </w:t>
      </w:r>
      <w:proofErr w:type="spellStart"/>
      <w:r w:rsidRPr="003D5BD7">
        <w:rPr>
          <w:bCs/>
        </w:rPr>
        <w:t>semaglutide</w:t>
      </w:r>
      <w:proofErr w:type="spellEnd"/>
      <w:r w:rsidRPr="003D5BD7">
        <w:rPr>
          <w:bCs/>
        </w:rPr>
        <w:t xml:space="preserve"> compared to </w:t>
      </w:r>
      <w:proofErr w:type="spellStart"/>
      <w:r w:rsidRPr="003D5BD7">
        <w:rPr>
          <w:bCs/>
        </w:rPr>
        <w:t>dulaglutide</w:t>
      </w:r>
      <w:proofErr w:type="spellEnd"/>
      <w:r w:rsidRPr="003D5BD7">
        <w:rPr>
          <w:bCs/>
        </w:rPr>
        <w:t xml:space="preserve"> 1.5 mg </w:t>
      </w:r>
      <w:proofErr w:type="gramStart"/>
      <w:r w:rsidRPr="003D5BD7">
        <w:rPr>
          <w:bCs/>
        </w:rPr>
        <w:t>are attenuated</w:t>
      </w:r>
      <w:proofErr w:type="gramEnd"/>
      <w:r w:rsidRPr="003D5BD7">
        <w:rPr>
          <w:bCs/>
        </w:rPr>
        <w:t xml:space="preserve"> if not titrated to the maximum dose (1.0 mg). The PBAC considered that this was an important consideration due to the high gastrointestinal side effect profile of </w:t>
      </w:r>
      <w:proofErr w:type="spellStart"/>
      <w:r w:rsidRPr="003D5BD7">
        <w:rPr>
          <w:bCs/>
        </w:rPr>
        <w:t>semaglutide</w:t>
      </w:r>
      <w:proofErr w:type="spellEnd"/>
      <w:r w:rsidRPr="003D5BD7">
        <w:rPr>
          <w:bCs/>
        </w:rPr>
        <w:t xml:space="preserve"> 1.0 mg and that it was probable that a substantial number of patients will use </w:t>
      </w:r>
      <w:proofErr w:type="spellStart"/>
      <w:r w:rsidRPr="003D5BD7">
        <w:rPr>
          <w:bCs/>
        </w:rPr>
        <w:t>semaglutide</w:t>
      </w:r>
      <w:proofErr w:type="spellEnd"/>
      <w:r w:rsidRPr="003D5BD7">
        <w:rPr>
          <w:bCs/>
        </w:rPr>
        <w:t xml:space="preserve"> 0.5 mg in preference to the 1.0 mg strength due to the relatively high response rates to HbA1c and weight loss targets. (</w:t>
      </w:r>
      <w:proofErr w:type="gramStart"/>
      <w:r w:rsidRPr="003D5BD7">
        <w:rPr>
          <w:bCs/>
        </w:rPr>
        <w:t>para</w:t>
      </w:r>
      <w:proofErr w:type="gramEnd"/>
      <w:r w:rsidRPr="003D5BD7">
        <w:rPr>
          <w:bCs/>
        </w:rPr>
        <w:t xml:space="preserve"> 7.11</w:t>
      </w:r>
      <w:r w:rsidR="00B906B5" w:rsidRPr="003D5BD7">
        <w:rPr>
          <w:bCs/>
        </w:rPr>
        <w:t xml:space="preserve">, </w:t>
      </w:r>
      <w:proofErr w:type="spellStart"/>
      <w:r w:rsidR="00B906B5" w:rsidRPr="003D5BD7">
        <w:rPr>
          <w:rFonts w:asciiTheme="minorHAnsi" w:hAnsiTheme="minorHAnsi" w:cs="Arial"/>
          <w:snapToGrid w:val="0"/>
          <w:lang w:eastAsia="en-US"/>
        </w:rPr>
        <w:t>semaglutide</w:t>
      </w:r>
      <w:proofErr w:type="spellEnd"/>
      <w:r w:rsidR="00B906B5" w:rsidRPr="003D5BD7">
        <w:rPr>
          <w:rFonts w:asciiTheme="minorHAnsi" w:hAnsiTheme="minorHAnsi" w:cs="Arial"/>
          <w:snapToGrid w:val="0"/>
          <w:lang w:eastAsia="en-US"/>
        </w:rPr>
        <w:t xml:space="preserve"> </w:t>
      </w:r>
      <w:r w:rsidR="005D3AE8" w:rsidRPr="003D5BD7">
        <w:rPr>
          <w:rFonts w:asciiTheme="minorHAnsi" w:hAnsiTheme="minorHAnsi" w:cs="Arial"/>
          <w:snapToGrid w:val="0"/>
          <w:lang w:eastAsia="en-US"/>
        </w:rPr>
        <w:t>PSD</w:t>
      </w:r>
      <w:r w:rsidR="00B906B5" w:rsidRPr="003D5BD7">
        <w:rPr>
          <w:rFonts w:asciiTheme="minorHAnsi" w:hAnsiTheme="minorHAnsi" w:cs="Arial"/>
          <w:snapToGrid w:val="0"/>
          <w:lang w:eastAsia="en-US"/>
        </w:rPr>
        <w:t xml:space="preserve">, November 2019 PBAC meeting). </w:t>
      </w:r>
    </w:p>
    <w:p w:rsidR="00966E5C" w:rsidRPr="003D5BD7" w:rsidRDefault="00966E5C" w:rsidP="00966E5C">
      <w:pPr>
        <w:pStyle w:val="3Bodytext"/>
        <w:rPr>
          <w:snapToGrid w:val="0"/>
          <w:lang w:eastAsia="en-US"/>
        </w:rPr>
      </w:pPr>
      <w:r w:rsidRPr="003D5BD7">
        <w:rPr>
          <w:snapToGrid w:val="0"/>
          <w:lang w:eastAsia="en-US"/>
        </w:rPr>
        <w:t xml:space="preserve">The PBAC considered that the claim of non-inferior comparative effectiveness </w:t>
      </w:r>
      <w:r w:rsidR="00CC6E26" w:rsidRPr="003D5BD7">
        <w:rPr>
          <w:snapToGrid w:val="0"/>
          <w:lang w:eastAsia="en-US"/>
        </w:rPr>
        <w:t xml:space="preserve">of </w:t>
      </w:r>
      <w:proofErr w:type="spellStart"/>
      <w:r w:rsidR="00CC6E26" w:rsidRPr="003D5BD7">
        <w:rPr>
          <w:snapToGrid w:val="0"/>
          <w:lang w:eastAsia="en-US"/>
        </w:rPr>
        <w:t>semaglutide</w:t>
      </w:r>
      <w:proofErr w:type="spellEnd"/>
      <w:r w:rsidR="00CC6E26" w:rsidRPr="003D5BD7">
        <w:rPr>
          <w:snapToGrid w:val="0"/>
          <w:lang w:eastAsia="en-US"/>
        </w:rPr>
        <w:t xml:space="preserve"> 0.5 mg to </w:t>
      </w:r>
      <w:proofErr w:type="spellStart"/>
      <w:r w:rsidR="00CC6E26" w:rsidRPr="003D5BD7">
        <w:rPr>
          <w:snapToGrid w:val="0"/>
          <w:lang w:eastAsia="en-US"/>
        </w:rPr>
        <w:t>dulaglutide</w:t>
      </w:r>
      <w:proofErr w:type="spellEnd"/>
      <w:r w:rsidR="00CC6E26" w:rsidRPr="003D5BD7">
        <w:rPr>
          <w:snapToGrid w:val="0"/>
          <w:lang w:eastAsia="en-US"/>
        </w:rPr>
        <w:t xml:space="preserve"> 1.5 mg </w:t>
      </w:r>
      <w:r w:rsidRPr="003D5BD7">
        <w:rPr>
          <w:snapToGrid w:val="0"/>
          <w:lang w:eastAsia="en-US"/>
        </w:rPr>
        <w:t>was reasonable</w:t>
      </w:r>
      <w:r w:rsidR="00CC6E26" w:rsidRPr="003D5BD7">
        <w:rPr>
          <w:snapToGrid w:val="0"/>
          <w:lang w:eastAsia="en-US"/>
        </w:rPr>
        <w:t>.</w:t>
      </w:r>
    </w:p>
    <w:p w:rsidR="00966E5C" w:rsidRPr="003D5BD7" w:rsidRDefault="00966E5C" w:rsidP="00966E5C">
      <w:pPr>
        <w:pStyle w:val="3Bodytext"/>
        <w:rPr>
          <w:lang w:eastAsia="en-US"/>
        </w:rPr>
      </w:pPr>
      <w:r w:rsidRPr="003D5BD7">
        <w:rPr>
          <w:snapToGrid w:val="0"/>
          <w:lang w:eastAsia="en-US"/>
        </w:rPr>
        <w:t xml:space="preserve">The PBAC considered that the claim of </w:t>
      </w:r>
      <w:r w:rsidR="00CC6E26" w:rsidRPr="003D5BD7">
        <w:rPr>
          <w:snapToGrid w:val="0"/>
          <w:lang w:eastAsia="en-US"/>
        </w:rPr>
        <w:t>non-inferior</w:t>
      </w:r>
      <w:r w:rsidRPr="003D5BD7">
        <w:rPr>
          <w:snapToGrid w:val="0"/>
          <w:lang w:eastAsia="en-US"/>
        </w:rPr>
        <w:t xml:space="preserve"> comparative safety</w:t>
      </w:r>
      <w:r w:rsidR="00CC6E26" w:rsidRPr="003D5BD7">
        <w:rPr>
          <w:snapToGrid w:val="0"/>
          <w:lang w:eastAsia="en-US"/>
        </w:rPr>
        <w:t xml:space="preserve"> of </w:t>
      </w:r>
      <w:proofErr w:type="spellStart"/>
      <w:r w:rsidR="00CC6E26" w:rsidRPr="003D5BD7">
        <w:rPr>
          <w:snapToGrid w:val="0"/>
          <w:lang w:eastAsia="en-US"/>
        </w:rPr>
        <w:t>semaglutide</w:t>
      </w:r>
      <w:proofErr w:type="spellEnd"/>
      <w:r w:rsidR="00CC6E26" w:rsidRPr="003D5BD7">
        <w:rPr>
          <w:snapToGrid w:val="0"/>
          <w:lang w:eastAsia="en-US"/>
        </w:rPr>
        <w:t xml:space="preserve"> 0.5 mg to </w:t>
      </w:r>
      <w:proofErr w:type="spellStart"/>
      <w:r w:rsidR="00CC6E26" w:rsidRPr="003D5BD7">
        <w:rPr>
          <w:snapToGrid w:val="0"/>
          <w:lang w:eastAsia="en-US"/>
        </w:rPr>
        <w:t>dulaglutide</w:t>
      </w:r>
      <w:proofErr w:type="spellEnd"/>
      <w:r w:rsidR="00CC6E26" w:rsidRPr="003D5BD7">
        <w:rPr>
          <w:snapToGrid w:val="0"/>
          <w:lang w:eastAsia="en-US"/>
        </w:rPr>
        <w:t xml:space="preserve"> 1.5 mg</w:t>
      </w:r>
      <w:r w:rsidRPr="003D5BD7">
        <w:rPr>
          <w:snapToGrid w:val="0"/>
          <w:lang w:eastAsia="en-US"/>
        </w:rPr>
        <w:t xml:space="preserve"> was reasonable</w:t>
      </w:r>
      <w:r w:rsidR="00CC6E26" w:rsidRPr="003D5BD7">
        <w:rPr>
          <w:snapToGrid w:val="0"/>
          <w:lang w:eastAsia="en-US"/>
        </w:rPr>
        <w:t>.</w:t>
      </w:r>
    </w:p>
    <w:p w:rsidR="00CA19E6" w:rsidRPr="003D5BD7" w:rsidRDefault="00CA19E6" w:rsidP="00CA19E6">
      <w:pPr>
        <w:pStyle w:val="Heading2"/>
        <w:keepLines/>
        <w:spacing w:before="240" w:after="120"/>
        <w:rPr>
          <w:rFonts w:asciiTheme="minorHAnsi" w:eastAsiaTheme="majorEastAsia" w:hAnsiTheme="minorHAnsi" w:cstheme="majorBidi"/>
          <w:sz w:val="28"/>
          <w:szCs w:val="28"/>
          <w:lang w:eastAsia="en-US"/>
        </w:rPr>
      </w:pPr>
      <w:r w:rsidRPr="003D5BD7">
        <w:rPr>
          <w:rFonts w:asciiTheme="minorHAnsi" w:eastAsiaTheme="majorEastAsia" w:hAnsiTheme="minorHAnsi" w:cstheme="majorBidi"/>
          <w:sz w:val="28"/>
          <w:szCs w:val="28"/>
          <w:lang w:eastAsia="en-US"/>
        </w:rPr>
        <w:t xml:space="preserve">Economic analysis </w:t>
      </w:r>
    </w:p>
    <w:p w:rsidR="004E4EB8" w:rsidRPr="003D5BD7" w:rsidRDefault="00CA19E6" w:rsidP="004E3C97">
      <w:pPr>
        <w:pStyle w:val="Bodytextitalics"/>
        <w:numPr>
          <w:ilvl w:val="1"/>
          <w:numId w:val="2"/>
        </w:numPr>
        <w:jc w:val="both"/>
        <w:rPr>
          <w:rFonts w:ascii="Calibri" w:eastAsia="Times New Roman" w:hAnsi="Calibri" w:cs="Times New Roman"/>
          <w:i w:val="0"/>
          <w:szCs w:val="24"/>
        </w:rPr>
      </w:pPr>
      <w:r w:rsidRPr="003D5BD7">
        <w:rPr>
          <w:rFonts w:ascii="Calibri" w:eastAsia="Times New Roman" w:hAnsi="Calibri" w:cs="Times New Roman"/>
          <w:i w:val="0"/>
          <w:szCs w:val="24"/>
        </w:rPr>
        <w:t xml:space="preserve">The minor submission presented a cost-minimisation analysis of </w:t>
      </w:r>
      <w:proofErr w:type="spellStart"/>
      <w:r w:rsidR="004054E4" w:rsidRPr="003D5BD7">
        <w:rPr>
          <w:rFonts w:ascii="Calibri" w:eastAsia="Times New Roman" w:hAnsi="Calibri" w:cs="Times New Roman"/>
          <w:i w:val="0"/>
          <w:szCs w:val="24"/>
        </w:rPr>
        <w:t>semaglutide</w:t>
      </w:r>
      <w:proofErr w:type="spellEnd"/>
      <w:r w:rsidR="004054E4" w:rsidRPr="003D5BD7">
        <w:rPr>
          <w:rFonts w:ascii="Calibri" w:eastAsia="Times New Roman" w:hAnsi="Calibri" w:cs="Times New Roman"/>
          <w:i w:val="0"/>
          <w:szCs w:val="24"/>
        </w:rPr>
        <w:t xml:space="preserve"> compared with </w:t>
      </w:r>
      <w:proofErr w:type="spellStart"/>
      <w:r w:rsidR="004054E4" w:rsidRPr="003D5BD7">
        <w:rPr>
          <w:rFonts w:ascii="Calibri" w:eastAsia="Times New Roman" w:hAnsi="Calibri" w:cs="Times New Roman"/>
          <w:i w:val="0"/>
          <w:szCs w:val="24"/>
        </w:rPr>
        <w:t>dulaglutide</w:t>
      </w:r>
      <w:proofErr w:type="spellEnd"/>
      <w:r w:rsidR="004E4EB8" w:rsidRPr="003D5BD7">
        <w:rPr>
          <w:rFonts w:ascii="Calibri" w:eastAsia="Times New Roman" w:hAnsi="Calibri" w:cs="Times New Roman"/>
          <w:i w:val="0"/>
          <w:szCs w:val="24"/>
        </w:rPr>
        <w:t xml:space="preserve"> (</w:t>
      </w:r>
      <w:r w:rsidR="007808F3" w:rsidRPr="003D5BD7">
        <w:rPr>
          <w:i w:val="0"/>
        </w:rPr>
        <w:t>para</w:t>
      </w:r>
      <w:r w:rsidR="004E4EB8" w:rsidRPr="003D5BD7">
        <w:rPr>
          <w:i w:val="0"/>
        </w:rPr>
        <w:t xml:space="preserve"> 7.4, </w:t>
      </w:r>
      <w:proofErr w:type="spellStart"/>
      <w:r w:rsidR="004E4EB8" w:rsidRPr="003D5BD7">
        <w:rPr>
          <w:i w:val="0"/>
        </w:rPr>
        <w:t>semaglutide</w:t>
      </w:r>
      <w:proofErr w:type="spellEnd"/>
      <w:r w:rsidR="004E4EB8" w:rsidRPr="003D5BD7">
        <w:rPr>
          <w:i w:val="0"/>
        </w:rPr>
        <w:t xml:space="preserve"> </w:t>
      </w:r>
      <w:r w:rsidR="005D3AE8" w:rsidRPr="003D5BD7">
        <w:rPr>
          <w:i w:val="0"/>
        </w:rPr>
        <w:t>PSD</w:t>
      </w:r>
      <w:r w:rsidR="004E4EB8" w:rsidRPr="003D5BD7">
        <w:rPr>
          <w:i w:val="0"/>
        </w:rPr>
        <w:t>, November 2019</w:t>
      </w:r>
      <w:r w:rsidR="00983E3A" w:rsidRPr="003D5BD7">
        <w:rPr>
          <w:i w:val="0"/>
        </w:rPr>
        <w:t xml:space="preserve"> </w:t>
      </w:r>
      <w:r w:rsidR="00983E3A" w:rsidRPr="003D5BD7">
        <w:rPr>
          <w:rFonts w:ascii="Calibri" w:hAnsi="Calibri" w:cs="Times New Roman"/>
          <w:i w:val="0"/>
        </w:rPr>
        <w:t>PBAC meeting</w:t>
      </w:r>
      <w:r w:rsidR="004E4EB8" w:rsidRPr="003D5BD7">
        <w:rPr>
          <w:i w:val="0"/>
        </w:rPr>
        <w:t>).</w:t>
      </w:r>
    </w:p>
    <w:p w:rsidR="00574704" w:rsidRPr="003D5BD7" w:rsidRDefault="00574704" w:rsidP="00A429E4">
      <w:pPr>
        <w:pStyle w:val="3Bodytext"/>
      </w:pPr>
      <w:r w:rsidRPr="003D5BD7">
        <w:lastRenderedPageBreak/>
        <w:t xml:space="preserve">The submission argued that both strengths of </w:t>
      </w:r>
      <w:proofErr w:type="spellStart"/>
      <w:r w:rsidRPr="003D5BD7">
        <w:t>semaglutide</w:t>
      </w:r>
      <w:proofErr w:type="spellEnd"/>
      <w:r w:rsidRPr="003D5BD7">
        <w:t xml:space="preserve"> should be cost-minimised equally to </w:t>
      </w:r>
      <w:proofErr w:type="spellStart"/>
      <w:r w:rsidRPr="003D5BD7">
        <w:t>dulaglutide</w:t>
      </w:r>
      <w:proofErr w:type="spellEnd"/>
      <w:r w:rsidRPr="003D5BD7">
        <w:t xml:space="preserve"> 1.5mg once weekly</w:t>
      </w:r>
      <w:r w:rsidR="00C72754" w:rsidRPr="003D5BD7">
        <w:t xml:space="preserve"> in order to support a request for flat pricing across the two strengths of </w:t>
      </w:r>
      <w:proofErr w:type="spellStart"/>
      <w:r w:rsidR="00C72754" w:rsidRPr="003D5BD7">
        <w:t>semaglutide</w:t>
      </w:r>
      <w:proofErr w:type="spellEnd"/>
      <w:r w:rsidRPr="003D5BD7">
        <w:t>.</w:t>
      </w:r>
      <w:r w:rsidR="00C72754" w:rsidRPr="003D5BD7">
        <w:t xml:space="preserve"> The previous submission also requested flat pricing for both strengths of </w:t>
      </w:r>
      <w:proofErr w:type="spellStart"/>
      <w:r w:rsidR="00C72754" w:rsidRPr="003D5BD7">
        <w:t>semaglutide</w:t>
      </w:r>
      <w:proofErr w:type="spellEnd"/>
      <w:r w:rsidR="00C72754" w:rsidRPr="003D5BD7">
        <w:t xml:space="preserve">, however the PBAC </w:t>
      </w:r>
      <w:r w:rsidR="00C72754" w:rsidRPr="003D5BD7">
        <w:rPr>
          <w:bCs/>
        </w:rPr>
        <w:t xml:space="preserve">did not consider that the </w:t>
      </w:r>
      <w:r w:rsidR="00C72754" w:rsidRPr="003D5BD7">
        <w:t xml:space="preserve">proposal for the same price for both presentations of </w:t>
      </w:r>
      <w:proofErr w:type="spellStart"/>
      <w:r w:rsidR="00C72754" w:rsidRPr="003D5BD7">
        <w:t>semaglutide</w:t>
      </w:r>
      <w:proofErr w:type="spellEnd"/>
      <w:r w:rsidR="00C72754" w:rsidRPr="003D5BD7">
        <w:t xml:space="preserve"> </w:t>
      </w:r>
      <w:r w:rsidR="00C72754" w:rsidRPr="003D5BD7">
        <w:rPr>
          <w:bCs/>
        </w:rPr>
        <w:t xml:space="preserve">was supported </w:t>
      </w:r>
      <w:r w:rsidR="00A429E4" w:rsidRPr="003D5BD7">
        <w:rPr>
          <w:rFonts w:asciiTheme="minorHAnsi" w:eastAsiaTheme="minorHAnsi" w:hAnsiTheme="minorHAnsi" w:cstheme="minorBidi"/>
          <w:bCs/>
          <w:szCs w:val="22"/>
        </w:rPr>
        <w:t xml:space="preserve">and pricing of the 0.5 mg dose of </w:t>
      </w:r>
      <w:proofErr w:type="spellStart"/>
      <w:r w:rsidR="00A429E4" w:rsidRPr="003D5BD7">
        <w:rPr>
          <w:rFonts w:asciiTheme="minorHAnsi" w:eastAsiaTheme="minorHAnsi" w:hAnsiTheme="minorHAnsi" w:cstheme="minorBidi"/>
          <w:bCs/>
          <w:szCs w:val="22"/>
        </w:rPr>
        <w:t>semaglutide</w:t>
      </w:r>
      <w:proofErr w:type="spellEnd"/>
      <w:r w:rsidR="00A429E4" w:rsidRPr="003D5BD7">
        <w:rPr>
          <w:rFonts w:asciiTheme="minorHAnsi" w:eastAsiaTheme="minorHAnsi" w:hAnsiTheme="minorHAnsi" w:cstheme="minorBidi"/>
          <w:bCs/>
          <w:szCs w:val="22"/>
        </w:rPr>
        <w:t xml:space="preserve"> would be determined by the Department according to usual methods </w:t>
      </w:r>
      <w:r w:rsidR="00C72754" w:rsidRPr="003D5BD7">
        <w:rPr>
          <w:bCs/>
        </w:rPr>
        <w:t>(para 7.1</w:t>
      </w:r>
      <w:r w:rsidR="001F2E9A" w:rsidRPr="003D5BD7">
        <w:rPr>
          <w:bCs/>
        </w:rPr>
        <w:t>5</w:t>
      </w:r>
      <w:r w:rsidR="00C72754" w:rsidRPr="003D5BD7">
        <w:rPr>
          <w:bCs/>
        </w:rPr>
        <w:t xml:space="preserve">, </w:t>
      </w:r>
      <w:proofErr w:type="spellStart"/>
      <w:r w:rsidR="00C72754" w:rsidRPr="003D5BD7">
        <w:t>semaglutide</w:t>
      </w:r>
      <w:proofErr w:type="spellEnd"/>
      <w:r w:rsidR="00C72754" w:rsidRPr="003D5BD7">
        <w:t xml:space="preserve"> </w:t>
      </w:r>
      <w:r w:rsidR="005D3AE8" w:rsidRPr="003D5BD7">
        <w:t>PSD</w:t>
      </w:r>
      <w:r w:rsidR="00C72754" w:rsidRPr="003D5BD7">
        <w:t xml:space="preserve">, November 2019 PBAC meeting) </w:t>
      </w:r>
    </w:p>
    <w:p w:rsidR="001F2E9A" w:rsidRPr="003D5BD7" w:rsidRDefault="00CA19E6" w:rsidP="004E3C97">
      <w:pPr>
        <w:pStyle w:val="Bodytextitalics"/>
        <w:numPr>
          <w:ilvl w:val="1"/>
          <w:numId w:val="2"/>
        </w:numPr>
        <w:jc w:val="both"/>
        <w:rPr>
          <w:i w:val="0"/>
        </w:rPr>
      </w:pPr>
      <w:r w:rsidRPr="003D5BD7">
        <w:rPr>
          <w:rFonts w:ascii="Calibri" w:eastAsia="Times New Roman" w:hAnsi="Calibri" w:cs="Times New Roman"/>
          <w:i w:val="0"/>
          <w:szCs w:val="24"/>
        </w:rPr>
        <w:t xml:space="preserve">The </w:t>
      </w:r>
      <w:r w:rsidR="004E4EB8" w:rsidRPr="003D5BD7">
        <w:rPr>
          <w:rFonts w:ascii="Calibri" w:eastAsia="Times New Roman" w:hAnsi="Calibri" w:cs="Times New Roman"/>
          <w:i w:val="0"/>
          <w:szCs w:val="24"/>
        </w:rPr>
        <w:t xml:space="preserve">PBAC previously recommended that the </w:t>
      </w:r>
      <w:proofErr w:type="spellStart"/>
      <w:r w:rsidRPr="003D5BD7">
        <w:rPr>
          <w:rFonts w:ascii="Calibri" w:eastAsia="Times New Roman" w:hAnsi="Calibri" w:cs="Times New Roman"/>
          <w:i w:val="0"/>
          <w:szCs w:val="24"/>
        </w:rPr>
        <w:t>equi</w:t>
      </w:r>
      <w:proofErr w:type="spellEnd"/>
      <w:r w:rsidRPr="003D5BD7">
        <w:rPr>
          <w:rFonts w:ascii="Calibri" w:eastAsia="Times New Roman" w:hAnsi="Calibri" w:cs="Times New Roman"/>
          <w:i w:val="0"/>
          <w:szCs w:val="24"/>
        </w:rPr>
        <w:t>-effective doses</w:t>
      </w:r>
      <w:r w:rsidR="00574704" w:rsidRPr="003D5BD7">
        <w:rPr>
          <w:rFonts w:ascii="Calibri" w:eastAsia="Times New Roman" w:hAnsi="Calibri" w:cs="Times New Roman"/>
          <w:i w:val="0"/>
          <w:szCs w:val="24"/>
        </w:rPr>
        <w:t xml:space="preserve"> are</w:t>
      </w:r>
      <w:r w:rsidRPr="003D5BD7">
        <w:rPr>
          <w:rFonts w:ascii="Calibri" w:eastAsia="Times New Roman" w:hAnsi="Calibri" w:cs="Times New Roman"/>
          <w:i w:val="0"/>
          <w:szCs w:val="24"/>
        </w:rPr>
        <w:t xml:space="preserve"> </w:t>
      </w:r>
      <w:r w:rsidR="004E4EB8" w:rsidRPr="003D5BD7">
        <w:rPr>
          <w:bCs/>
          <w:i w:val="0"/>
        </w:rPr>
        <w:t xml:space="preserve">as follows: </w:t>
      </w:r>
      <w:r w:rsidR="004E4EB8" w:rsidRPr="003D5BD7">
        <w:rPr>
          <w:i w:val="0"/>
        </w:rPr>
        <w:t xml:space="preserve">when used in combination with metformin (dual therapy) and in combination with metformin plus a sulfonylurea (triple therapy) </w:t>
      </w:r>
      <w:proofErr w:type="spellStart"/>
      <w:r w:rsidR="004E4EB8" w:rsidRPr="003D5BD7">
        <w:rPr>
          <w:bCs/>
          <w:i w:val="0"/>
        </w:rPr>
        <w:t>semaglutide</w:t>
      </w:r>
      <w:proofErr w:type="spellEnd"/>
      <w:r w:rsidR="004E4EB8" w:rsidRPr="003D5BD7">
        <w:rPr>
          <w:bCs/>
          <w:i w:val="0"/>
        </w:rPr>
        <w:t xml:space="preserve"> 1.0 mg once weekly is </w:t>
      </w:r>
      <w:proofErr w:type="spellStart"/>
      <w:r w:rsidR="004E4EB8" w:rsidRPr="003D5BD7">
        <w:rPr>
          <w:bCs/>
          <w:i w:val="0"/>
        </w:rPr>
        <w:t>equi</w:t>
      </w:r>
      <w:proofErr w:type="spellEnd"/>
      <w:r w:rsidR="004E4EB8" w:rsidRPr="003D5BD7">
        <w:rPr>
          <w:bCs/>
          <w:i w:val="0"/>
        </w:rPr>
        <w:t xml:space="preserve">-effective to </w:t>
      </w:r>
      <w:proofErr w:type="spellStart"/>
      <w:r w:rsidR="004E4EB8" w:rsidRPr="003D5BD7">
        <w:rPr>
          <w:bCs/>
          <w:i w:val="0"/>
        </w:rPr>
        <w:t>dulaglutide</w:t>
      </w:r>
      <w:proofErr w:type="spellEnd"/>
      <w:r w:rsidR="004E4EB8" w:rsidRPr="003D5BD7">
        <w:rPr>
          <w:bCs/>
          <w:i w:val="0"/>
        </w:rPr>
        <w:t xml:space="preserve"> 1.5 mg once weekly </w:t>
      </w:r>
      <w:r w:rsidRPr="003D5BD7">
        <w:rPr>
          <w:rFonts w:ascii="Calibri" w:eastAsia="Times New Roman" w:hAnsi="Calibri" w:cs="Times New Roman"/>
          <w:i w:val="0"/>
          <w:szCs w:val="24"/>
        </w:rPr>
        <w:t>(</w:t>
      </w:r>
      <w:r w:rsidR="007808F3" w:rsidRPr="003D5BD7">
        <w:rPr>
          <w:i w:val="0"/>
        </w:rPr>
        <w:t>para</w:t>
      </w:r>
      <w:r w:rsidR="004E4EB8" w:rsidRPr="003D5BD7">
        <w:rPr>
          <w:i w:val="0"/>
        </w:rPr>
        <w:t xml:space="preserve"> 7.4, </w:t>
      </w:r>
      <w:proofErr w:type="spellStart"/>
      <w:r w:rsidR="004E4EB8" w:rsidRPr="003D5BD7">
        <w:rPr>
          <w:i w:val="0"/>
        </w:rPr>
        <w:t>semaglutide</w:t>
      </w:r>
      <w:proofErr w:type="spellEnd"/>
      <w:r w:rsidR="004E4EB8" w:rsidRPr="003D5BD7">
        <w:rPr>
          <w:i w:val="0"/>
        </w:rPr>
        <w:t xml:space="preserve"> </w:t>
      </w:r>
      <w:r w:rsidR="005D3AE8" w:rsidRPr="003D5BD7">
        <w:rPr>
          <w:i w:val="0"/>
        </w:rPr>
        <w:t>PSD</w:t>
      </w:r>
      <w:r w:rsidR="004E4EB8" w:rsidRPr="003D5BD7">
        <w:rPr>
          <w:i w:val="0"/>
        </w:rPr>
        <w:t>, November 2019</w:t>
      </w:r>
      <w:r w:rsidR="00C72754" w:rsidRPr="003D5BD7">
        <w:rPr>
          <w:i w:val="0"/>
        </w:rPr>
        <w:t xml:space="preserve"> PBAC meeting</w:t>
      </w:r>
      <w:r w:rsidRPr="003D5BD7">
        <w:rPr>
          <w:rFonts w:ascii="Calibri" w:eastAsia="Times New Roman" w:hAnsi="Calibri" w:cs="Times New Roman"/>
          <w:i w:val="0"/>
          <w:szCs w:val="24"/>
        </w:rPr>
        <w:t>)</w:t>
      </w:r>
      <w:r w:rsidR="004E4EB8" w:rsidRPr="003D5BD7">
        <w:rPr>
          <w:rFonts w:ascii="Calibri" w:eastAsia="Times New Roman" w:hAnsi="Calibri" w:cs="Times New Roman"/>
          <w:i w:val="0"/>
          <w:szCs w:val="24"/>
        </w:rPr>
        <w:t>.</w:t>
      </w:r>
    </w:p>
    <w:p w:rsidR="00FC3647" w:rsidRPr="003D5BD7" w:rsidRDefault="008920E6" w:rsidP="00FC3647">
      <w:pPr>
        <w:pStyle w:val="Heading2"/>
        <w:keepLines/>
        <w:spacing w:before="240" w:after="120"/>
        <w:rPr>
          <w:rFonts w:asciiTheme="minorHAnsi" w:eastAsiaTheme="majorEastAsia" w:hAnsiTheme="minorHAnsi" w:cstheme="majorBidi"/>
          <w:sz w:val="28"/>
          <w:szCs w:val="28"/>
          <w:lang w:eastAsia="en-US"/>
        </w:rPr>
      </w:pPr>
      <w:r w:rsidRPr="003D5BD7">
        <w:rPr>
          <w:rFonts w:asciiTheme="minorHAnsi" w:eastAsiaTheme="majorEastAsia" w:hAnsiTheme="minorHAnsi" w:cstheme="majorBidi"/>
          <w:sz w:val="28"/>
          <w:szCs w:val="28"/>
          <w:lang w:eastAsia="en-US"/>
        </w:rPr>
        <w:t>Drug cost/patient/</w:t>
      </w:r>
      <w:r w:rsidR="00FC3647" w:rsidRPr="003D5BD7">
        <w:rPr>
          <w:rFonts w:asciiTheme="minorHAnsi" w:eastAsiaTheme="majorEastAsia" w:hAnsiTheme="minorHAnsi" w:cstheme="majorBidi"/>
          <w:sz w:val="28"/>
          <w:szCs w:val="28"/>
          <w:lang w:eastAsia="en-US"/>
        </w:rPr>
        <w:t>year</w:t>
      </w:r>
      <w:r w:rsidRPr="003D5BD7">
        <w:rPr>
          <w:rFonts w:asciiTheme="minorHAnsi" w:eastAsiaTheme="majorEastAsia" w:hAnsiTheme="minorHAnsi" w:cstheme="majorBidi"/>
          <w:sz w:val="28"/>
          <w:szCs w:val="28"/>
          <w:lang w:eastAsia="en-US"/>
        </w:rPr>
        <w:t>: $</w:t>
      </w:r>
      <w:r w:rsidR="005D3534">
        <w:rPr>
          <w:rFonts w:asciiTheme="minorHAnsi" w:eastAsiaTheme="majorEastAsia" w:hAnsiTheme="minorHAnsi" w:cstheme="majorBidi"/>
          <w:noProof/>
          <w:color w:val="000000"/>
          <w:sz w:val="28"/>
          <w:szCs w:val="28"/>
          <w:highlight w:val="black"/>
          <w:lang w:eastAsia="en-US"/>
        </w:rPr>
        <w:t>''''''''''''''''</w:t>
      </w:r>
    </w:p>
    <w:p w:rsidR="008920E6" w:rsidRPr="003D5BD7" w:rsidRDefault="008920E6" w:rsidP="00CA19E6">
      <w:pPr>
        <w:pStyle w:val="3Bodytext"/>
      </w:pPr>
      <w:r w:rsidRPr="003D5BD7">
        <w:t>The estimated drug cost/patient/year would be $</w:t>
      </w:r>
      <w:r w:rsidR="005D3534">
        <w:rPr>
          <w:noProof/>
          <w:color w:val="000000"/>
          <w:highlight w:val="black"/>
        </w:rPr>
        <w:t>''''''''''''''''''</w:t>
      </w:r>
      <w:r w:rsidRPr="003D5BD7">
        <w:t xml:space="preserve">, based on </w:t>
      </w:r>
      <w:r w:rsidR="00602402" w:rsidRPr="003D5BD7">
        <w:t>effective DPMQ per script $</w:t>
      </w:r>
      <w:r w:rsidR="005D3534">
        <w:rPr>
          <w:noProof/>
          <w:color w:val="000000"/>
          <w:highlight w:val="black"/>
        </w:rPr>
        <w:t>''''''''''''</w:t>
      </w:r>
      <w:r w:rsidR="00602402" w:rsidRPr="003D5BD7">
        <w:t xml:space="preserve"> / 28 days per script x 365 day per year</w:t>
      </w:r>
      <w:r w:rsidRPr="003D5BD7">
        <w:t xml:space="preserve">. </w:t>
      </w:r>
    </w:p>
    <w:p w:rsidR="00CA19E6" w:rsidRPr="003D5BD7" w:rsidRDefault="00CA19E6" w:rsidP="00DB08A4">
      <w:pPr>
        <w:pStyle w:val="Heading2"/>
        <w:keepLines/>
        <w:spacing w:before="240" w:after="120"/>
        <w:rPr>
          <w:rFonts w:asciiTheme="minorHAnsi" w:eastAsiaTheme="majorEastAsia" w:hAnsiTheme="minorHAnsi" w:cstheme="majorBidi"/>
          <w:sz w:val="28"/>
          <w:szCs w:val="28"/>
          <w:lang w:eastAsia="en-US"/>
        </w:rPr>
      </w:pPr>
      <w:r w:rsidRPr="003D5BD7">
        <w:rPr>
          <w:rFonts w:asciiTheme="minorHAnsi" w:eastAsiaTheme="majorEastAsia" w:hAnsiTheme="minorHAnsi" w:cstheme="majorBidi"/>
          <w:sz w:val="28"/>
          <w:szCs w:val="28"/>
          <w:lang w:eastAsia="en-US"/>
        </w:rPr>
        <w:t>Estimated PBS usage &amp; financial implications</w:t>
      </w:r>
    </w:p>
    <w:p w:rsidR="00CA19E6" w:rsidRPr="003D5BD7" w:rsidRDefault="00CA19E6" w:rsidP="00BC63FA">
      <w:pPr>
        <w:pStyle w:val="3Bodytext"/>
        <w:rPr>
          <w:b/>
          <w:color w:val="FF00FF"/>
        </w:rPr>
      </w:pPr>
      <w:r w:rsidRPr="003D5BD7">
        <w:t>The minor submission estimated there to be no financial implications to the PBS</w:t>
      </w:r>
      <w:r w:rsidR="00947671" w:rsidRPr="003D5BD7">
        <w:t xml:space="preserve"> or </w:t>
      </w:r>
      <w:r w:rsidRPr="003D5BD7">
        <w:t xml:space="preserve">changes in PBS usage as the submission expects </w:t>
      </w:r>
      <w:proofErr w:type="spellStart"/>
      <w:r w:rsidR="00947671" w:rsidRPr="003D5BD7">
        <w:t>semaglutide</w:t>
      </w:r>
      <w:proofErr w:type="spellEnd"/>
      <w:r w:rsidRPr="003D5BD7">
        <w:rPr>
          <w:color w:val="FF0000"/>
        </w:rPr>
        <w:t xml:space="preserve"> </w:t>
      </w:r>
      <w:proofErr w:type="gramStart"/>
      <w:r w:rsidRPr="003D5BD7">
        <w:t>to only substitute</w:t>
      </w:r>
      <w:proofErr w:type="gramEnd"/>
      <w:r w:rsidRPr="003D5BD7">
        <w:t xml:space="preserve"> for </w:t>
      </w:r>
      <w:proofErr w:type="spellStart"/>
      <w:r w:rsidR="00947671" w:rsidRPr="003D5BD7">
        <w:t>dulaglutide</w:t>
      </w:r>
      <w:proofErr w:type="spellEnd"/>
      <w:r w:rsidR="00947671" w:rsidRPr="003D5BD7">
        <w:t>, to which it is cost minimised</w:t>
      </w:r>
      <w:r w:rsidR="003D5BD7">
        <w:t xml:space="preserve">. </w:t>
      </w:r>
    </w:p>
    <w:p w:rsidR="00CA19E6" w:rsidRPr="003D5BD7" w:rsidRDefault="00CA19E6" w:rsidP="00690DA5">
      <w:pPr>
        <w:keepNext/>
        <w:keepLines/>
        <w:widowControl w:val="0"/>
        <w:rPr>
          <w:rFonts w:ascii="Arial Narrow" w:hAnsi="Arial Narrow"/>
          <w:b/>
          <w:sz w:val="20"/>
          <w:szCs w:val="20"/>
        </w:rPr>
      </w:pPr>
      <w:r w:rsidRPr="003D5BD7">
        <w:rPr>
          <w:rStyle w:val="CommentReference"/>
          <w:rFonts w:ascii="Arial Narrow" w:hAnsi="Arial Narrow"/>
          <w:b/>
          <w:sz w:val="20"/>
          <w:szCs w:val="20"/>
        </w:rPr>
        <w:t xml:space="preserve">Table </w:t>
      </w:r>
      <w:r w:rsidR="00E8537B" w:rsidRPr="003D5BD7">
        <w:rPr>
          <w:rStyle w:val="CommentReference"/>
          <w:rFonts w:ascii="Arial Narrow" w:hAnsi="Arial Narrow"/>
          <w:b/>
          <w:sz w:val="20"/>
          <w:szCs w:val="20"/>
        </w:rPr>
        <w:t>5</w:t>
      </w:r>
      <w:r w:rsidRPr="003D5BD7">
        <w:rPr>
          <w:rStyle w:val="CommentReference"/>
          <w:rFonts w:ascii="Arial Narrow" w:hAnsi="Arial Narrow"/>
          <w:b/>
          <w:sz w:val="20"/>
          <w:szCs w:val="20"/>
        </w:rPr>
        <w:t>: Estimated use and financial implication</w:t>
      </w:r>
      <w:r w:rsidR="00946126" w:rsidRPr="003D5BD7">
        <w:rPr>
          <w:rStyle w:val="CommentReference"/>
          <w:rFonts w:ascii="Arial Narrow" w:hAnsi="Arial Narrow"/>
          <w:b/>
          <w:sz w:val="20"/>
          <w:szCs w:val="20"/>
        </w:rPr>
        <w:t>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CA19E6" w:rsidRPr="003D5BD7" w:rsidTr="00CA16BD">
        <w:trPr>
          <w:trHeight w:val="20"/>
          <w:tblHeader/>
        </w:trPr>
        <w:tc>
          <w:tcPr>
            <w:tcW w:w="1118" w:type="pct"/>
            <w:shd w:val="clear" w:color="auto" w:fill="auto"/>
            <w:vAlign w:val="center"/>
          </w:tcPr>
          <w:p w:rsidR="00CA19E6" w:rsidRPr="003D5BD7" w:rsidRDefault="00CA19E6" w:rsidP="00690DA5">
            <w:pPr>
              <w:pStyle w:val="Tabletext"/>
              <w:keepNext/>
              <w:keepLines/>
              <w:widowControl w:val="0"/>
              <w:spacing w:after="0"/>
              <w:rPr>
                <w:rFonts w:ascii="Arial Narrow" w:hAnsi="Arial Narrow"/>
              </w:rPr>
            </w:pPr>
          </w:p>
        </w:tc>
        <w:tc>
          <w:tcPr>
            <w:tcW w:w="647" w:type="pct"/>
            <w:shd w:val="clear" w:color="auto" w:fill="auto"/>
            <w:vAlign w:val="center"/>
          </w:tcPr>
          <w:p w:rsidR="00CA19E6" w:rsidRPr="003D5BD7" w:rsidRDefault="00CA19E6" w:rsidP="00690DA5">
            <w:pPr>
              <w:pStyle w:val="Tabletext"/>
              <w:keepNext/>
              <w:keepLines/>
              <w:widowControl w:val="0"/>
              <w:spacing w:after="0"/>
              <w:jc w:val="center"/>
              <w:rPr>
                <w:rFonts w:ascii="Arial Narrow" w:hAnsi="Arial Narrow"/>
                <w:b/>
              </w:rPr>
            </w:pPr>
            <w:r w:rsidRPr="003D5BD7">
              <w:rPr>
                <w:rFonts w:ascii="Arial Narrow" w:hAnsi="Arial Narrow"/>
                <w:b/>
              </w:rPr>
              <w:t>Year 1</w:t>
            </w:r>
          </w:p>
        </w:tc>
        <w:tc>
          <w:tcPr>
            <w:tcW w:w="647" w:type="pct"/>
            <w:shd w:val="clear" w:color="auto" w:fill="auto"/>
            <w:vAlign w:val="center"/>
          </w:tcPr>
          <w:p w:rsidR="00CA19E6" w:rsidRPr="003D5BD7" w:rsidRDefault="00CA19E6" w:rsidP="00690DA5">
            <w:pPr>
              <w:pStyle w:val="Tabletext"/>
              <w:keepNext/>
              <w:keepLines/>
              <w:widowControl w:val="0"/>
              <w:spacing w:after="0"/>
              <w:jc w:val="center"/>
              <w:rPr>
                <w:rFonts w:ascii="Arial Narrow" w:hAnsi="Arial Narrow"/>
                <w:b/>
              </w:rPr>
            </w:pPr>
            <w:r w:rsidRPr="003D5BD7">
              <w:rPr>
                <w:rFonts w:ascii="Arial Narrow" w:hAnsi="Arial Narrow"/>
                <w:b/>
              </w:rPr>
              <w:t>Year 2</w:t>
            </w:r>
          </w:p>
        </w:tc>
        <w:tc>
          <w:tcPr>
            <w:tcW w:w="647" w:type="pct"/>
            <w:shd w:val="clear" w:color="auto" w:fill="auto"/>
            <w:vAlign w:val="center"/>
          </w:tcPr>
          <w:p w:rsidR="00CA19E6" w:rsidRPr="003D5BD7" w:rsidRDefault="00CA19E6" w:rsidP="00690DA5">
            <w:pPr>
              <w:pStyle w:val="Tabletext"/>
              <w:keepNext/>
              <w:keepLines/>
              <w:widowControl w:val="0"/>
              <w:spacing w:after="0"/>
              <w:jc w:val="center"/>
              <w:rPr>
                <w:rFonts w:ascii="Arial Narrow" w:hAnsi="Arial Narrow"/>
                <w:b/>
              </w:rPr>
            </w:pPr>
            <w:r w:rsidRPr="003D5BD7">
              <w:rPr>
                <w:rFonts w:ascii="Arial Narrow" w:hAnsi="Arial Narrow"/>
                <w:b/>
              </w:rPr>
              <w:t>Year 3</w:t>
            </w:r>
          </w:p>
        </w:tc>
        <w:tc>
          <w:tcPr>
            <w:tcW w:w="647" w:type="pct"/>
            <w:shd w:val="clear" w:color="auto" w:fill="auto"/>
            <w:vAlign w:val="center"/>
          </w:tcPr>
          <w:p w:rsidR="00CA19E6" w:rsidRPr="003D5BD7" w:rsidRDefault="00CA19E6" w:rsidP="00690DA5">
            <w:pPr>
              <w:pStyle w:val="Tabletext"/>
              <w:keepNext/>
              <w:keepLines/>
              <w:widowControl w:val="0"/>
              <w:spacing w:after="0"/>
              <w:jc w:val="center"/>
              <w:rPr>
                <w:rFonts w:ascii="Arial Narrow" w:hAnsi="Arial Narrow"/>
                <w:b/>
              </w:rPr>
            </w:pPr>
            <w:r w:rsidRPr="003D5BD7">
              <w:rPr>
                <w:rFonts w:ascii="Arial Narrow" w:hAnsi="Arial Narrow"/>
                <w:b/>
              </w:rPr>
              <w:t>Year 4</w:t>
            </w:r>
          </w:p>
        </w:tc>
        <w:tc>
          <w:tcPr>
            <w:tcW w:w="647" w:type="pct"/>
            <w:shd w:val="clear" w:color="auto" w:fill="auto"/>
            <w:vAlign w:val="center"/>
          </w:tcPr>
          <w:p w:rsidR="00CA19E6" w:rsidRPr="003D5BD7" w:rsidRDefault="00CA19E6" w:rsidP="00690DA5">
            <w:pPr>
              <w:pStyle w:val="Tabletext"/>
              <w:keepNext/>
              <w:keepLines/>
              <w:widowControl w:val="0"/>
              <w:spacing w:after="0"/>
              <w:jc w:val="center"/>
              <w:rPr>
                <w:rFonts w:ascii="Arial Narrow" w:hAnsi="Arial Narrow"/>
                <w:b/>
              </w:rPr>
            </w:pPr>
            <w:r w:rsidRPr="003D5BD7">
              <w:rPr>
                <w:rFonts w:ascii="Arial Narrow" w:hAnsi="Arial Narrow"/>
                <w:b/>
              </w:rPr>
              <w:t>Year 5</w:t>
            </w:r>
          </w:p>
        </w:tc>
        <w:tc>
          <w:tcPr>
            <w:tcW w:w="647" w:type="pct"/>
            <w:vAlign w:val="center"/>
          </w:tcPr>
          <w:p w:rsidR="00CA19E6" w:rsidRPr="003D5BD7" w:rsidRDefault="00CA19E6" w:rsidP="00690DA5">
            <w:pPr>
              <w:pStyle w:val="Tabletext"/>
              <w:keepNext/>
              <w:keepLines/>
              <w:widowControl w:val="0"/>
              <w:spacing w:after="0"/>
              <w:jc w:val="center"/>
              <w:rPr>
                <w:rFonts w:ascii="Arial Narrow" w:hAnsi="Arial Narrow"/>
                <w:b/>
              </w:rPr>
            </w:pPr>
            <w:r w:rsidRPr="003D5BD7">
              <w:rPr>
                <w:rFonts w:ascii="Arial Narrow" w:hAnsi="Arial Narrow"/>
                <w:b/>
              </w:rPr>
              <w:t>Year 6</w:t>
            </w:r>
          </w:p>
        </w:tc>
      </w:tr>
      <w:tr w:rsidR="00CA19E6" w:rsidRPr="003D5BD7" w:rsidTr="00CA19E6">
        <w:tc>
          <w:tcPr>
            <w:tcW w:w="5000" w:type="pct"/>
            <w:gridSpan w:val="7"/>
            <w:shd w:val="clear" w:color="auto" w:fill="auto"/>
            <w:vAlign w:val="center"/>
          </w:tcPr>
          <w:p w:rsidR="00CA19E6" w:rsidRPr="003D5BD7" w:rsidRDefault="00CA19E6" w:rsidP="00690DA5">
            <w:pPr>
              <w:pStyle w:val="Tabletext"/>
              <w:keepNext/>
              <w:keepLines/>
              <w:widowControl w:val="0"/>
              <w:spacing w:after="0"/>
              <w:rPr>
                <w:rFonts w:ascii="Arial Narrow" w:hAnsi="Arial Narrow"/>
                <w:b/>
                <w:bCs/>
                <w:color w:val="000000"/>
              </w:rPr>
            </w:pPr>
            <w:r w:rsidRPr="003D5BD7">
              <w:rPr>
                <w:rFonts w:ascii="Arial Narrow" w:hAnsi="Arial Narrow"/>
                <w:b/>
                <w:bCs/>
                <w:color w:val="000000"/>
              </w:rPr>
              <w:t>Estimated extent of use</w:t>
            </w:r>
          </w:p>
        </w:tc>
      </w:tr>
      <w:tr w:rsidR="00DE6C7D" w:rsidRPr="003D5BD7" w:rsidTr="00DE6C7D">
        <w:tc>
          <w:tcPr>
            <w:tcW w:w="1118" w:type="pct"/>
            <w:shd w:val="clear" w:color="auto" w:fill="auto"/>
            <w:vAlign w:val="center"/>
          </w:tcPr>
          <w:p w:rsidR="00DE6C7D" w:rsidRPr="003D5BD7" w:rsidRDefault="00DE6C7D" w:rsidP="00690DA5">
            <w:pPr>
              <w:pStyle w:val="Tabletext"/>
              <w:keepNext/>
              <w:keepLines/>
              <w:widowControl w:val="0"/>
              <w:spacing w:after="0"/>
              <w:rPr>
                <w:rFonts w:ascii="Arial Narrow" w:hAnsi="Arial Narrow"/>
              </w:rPr>
            </w:pPr>
            <w:r w:rsidRPr="003D5BD7">
              <w:rPr>
                <w:rFonts w:ascii="Arial Narrow" w:hAnsi="Arial Narrow"/>
              </w:rPr>
              <w:t xml:space="preserve">Number of scripts dispensed </w:t>
            </w:r>
            <w:proofErr w:type="spellStart"/>
            <w:r w:rsidRPr="003D5BD7">
              <w:rPr>
                <w:rFonts w:ascii="Arial Narrow" w:hAnsi="Arial Narrow"/>
              </w:rPr>
              <w:t>semaglutide</w:t>
            </w:r>
            <w:proofErr w:type="spellEnd"/>
            <w:r w:rsidRPr="003D5BD7">
              <w:rPr>
                <w:rFonts w:ascii="Arial Narrow" w:hAnsi="Arial Narrow"/>
              </w:rPr>
              <w:t xml:space="preserve"> 2mg/1.5mL</w:t>
            </w:r>
          </w:p>
        </w:tc>
        <w:tc>
          <w:tcPr>
            <w:tcW w:w="647" w:type="pct"/>
            <w:shd w:val="clear" w:color="auto" w:fill="auto"/>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DE6C7D" w:rsidRPr="003D5BD7" w:rsidTr="00DE6C7D">
        <w:trPr>
          <w:trHeight w:val="20"/>
        </w:trPr>
        <w:tc>
          <w:tcPr>
            <w:tcW w:w="1118" w:type="pct"/>
            <w:shd w:val="clear" w:color="auto" w:fill="auto"/>
            <w:vAlign w:val="center"/>
          </w:tcPr>
          <w:p w:rsidR="00DE6C7D" w:rsidRPr="003D5BD7" w:rsidRDefault="00DE6C7D" w:rsidP="00690DA5">
            <w:pPr>
              <w:pStyle w:val="Tabletext"/>
              <w:keepNext/>
              <w:keepLines/>
              <w:widowControl w:val="0"/>
              <w:spacing w:after="0"/>
              <w:rPr>
                <w:rFonts w:ascii="Arial Narrow" w:hAnsi="Arial Narrow"/>
              </w:rPr>
            </w:pPr>
            <w:r w:rsidRPr="003D5BD7">
              <w:rPr>
                <w:rFonts w:ascii="Arial Narrow" w:hAnsi="Arial Narrow"/>
              </w:rPr>
              <w:t xml:space="preserve">Number of scripts dispensed </w:t>
            </w:r>
            <w:proofErr w:type="spellStart"/>
            <w:r w:rsidRPr="003D5BD7">
              <w:rPr>
                <w:rFonts w:ascii="Arial Narrow" w:hAnsi="Arial Narrow"/>
              </w:rPr>
              <w:t>semaglutide</w:t>
            </w:r>
            <w:proofErr w:type="spellEnd"/>
            <w:r w:rsidRPr="003D5BD7">
              <w:rPr>
                <w:rFonts w:ascii="Arial Narrow" w:hAnsi="Arial Narrow"/>
              </w:rPr>
              <w:t xml:space="preserve"> 4mg/3mL</w:t>
            </w:r>
          </w:p>
        </w:tc>
        <w:tc>
          <w:tcPr>
            <w:tcW w:w="647" w:type="pct"/>
            <w:shd w:val="clear" w:color="auto" w:fill="auto"/>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DE6C7D" w:rsidRPr="005D3534" w:rsidRDefault="005D3534" w:rsidP="00690DA5">
            <w:pPr>
              <w:pStyle w:val="Tabletext"/>
              <w:keepNext/>
              <w:keepLines/>
              <w:widowControl w:val="0"/>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A19E6" w:rsidRPr="003D5BD7" w:rsidTr="00CA19E6">
        <w:tc>
          <w:tcPr>
            <w:tcW w:w="5000" w:type="pct"/>
            <w:gridSpan w:val="7"/>
            <w:shd w:val="clear" w:color="auto" w:fill="auto"/>
            <w:vAlign w:val="center"/>
          </w:tcPr>
          <w:p w:rsidR="00CA19E6" w:rsidRPr="003D5BD7" w:rsidRDefault="00CA19E6" w:rsidP="00690DA5">
            <w:pPr>
              <w:pStyle w:val="Tabletext"/>
              <w:keepNext/>
              <w:keepLines/>
              <w:widowControl w:val="0"/>
              <w:spacing w:after="0"/>
              <w:rPr>
                <w:rFonts w:ascii="Arial Narrow" w:hAnsi="Arial Narrow"/>
                <w:b/>
                <w:bCs/>
                <w:color w:val="000000"/>
              </w:rPr>
            </w:pPr>
            <w:r w:rsidRPr="003D5BD7">
              <w:rPr>
                <w:rFonts w:ascii="Arial Narrow" w:hAnsi="Arial Narrow"/>
                <w:b/>
                <w:bCs/>
                <w:color w:val="000000"/>
              </w:rPr>
              <w:t xml:space="preserve">Estimated financial implications of </w:t>
            </w:r>
            <w:proofErr w:type="spellStart"/>
            <w:r w:rsidR="00DE6C7D" w:rsidRPr="003D5BD7">
              <w:rPr>
                <w:rFonts w:ascii="Arial Narrow" w:hAnsi="Arial Narrow"/>
                <w:b/>
                <w:bCs/>
                <w:color w:val="000000"/>
              </w:rPr>
              <w:t>semaglutide</w:t>
            </w:r>
            <w:proofErr w:type="spellEnd"/>
          </w:p>
        </w:tc>
      </w:tr>
      <w:tr w:rsidR="00574704" w:rsidRPr="003D5BD7" w:rsidTr="00DF7E3A">
        <w:tc>
          <w:tcPr>
            <w:tcW w:w="1118" w:type="pct"/>
            <w:shd w:val="clear" w:color="auto" w:fill="auto"/>
            <w:vAlign w:val="center"/>
          </w:tcPr>
          <w:p w:rsidR="00574704" w:rsidRPr="003D5BD7" w:rsidRDefault="00574704" w:rsidP="00690DA5">
            <w:pPr>
              <w:pStyle w:val="Tabletext"/>
              <w:keepNext/>
              <w:keepLines/>
              <w:widowControl w:val="0"/>
              <w:spacing w:after="0"/>
              <w:rPr>
                <w:rFonts w:ascii="Arial Narrow" w:hAnsi="Arial Narrow"/>
              </w:rPr>
            </w:pPr>
            <w:r w:rsidRPr="003D5BD7">
              <w:rPr>
                <w:rFonts w:ascii="Arial Narrow" w:hAnsi="Arial Narrow"/>
              </w:rPr>
              <w:t xml:space="preserve">Net cost to PBS/RPBS </w:t>
            </w:r>
          </w:p>
        </w:tc>
        <w:tc>
          <w:tcPr>
            <w:tcW w:w="647" w:type="pct"/>
            <w:shd w:val="clear" w:color="auto" w:fill="auto"/>
            <w:vAlign w:val="center"/>
          </w:tcPr>
          <w:p w:rsidR="00574704" w:rsidRPr="003D5BD7" w:rsidRDefault="00574704" w:rsidP="00690DA5">
            <w:pPr>
              <w:pStyle w:val="Tabletext"/>
              <w:keepNext/>
              <w:keepLines/>
              <w:widowControl w:val="0"/>
              <w:spacing w:after="0"/>
              <w:jc w:val="center"/>
              <w:rPr>
                <w:rFonts w:ascii="Arial Narrow" w:hAnsi="Arial Narrow"/>
                <w:bCs/>
                <w:color w:val="000000"/>
              </w:rPr>
            </w:pPr>
            <w:r w:rsidRPr="003D5BD7">
              <w:rPr>
                <w:rFonts w:ascii="Arial Narrow" w:hAnsi="Arial Narrow" w:cs="Calibri"/>
                <w:bCs/>
                <w:color w:val="000000"/>
              </w:rPr>
              <w:t>$</w:t>
            </w:r>
            <w:r w:rsidR="005D3534">
              <w:rPr>
                <w:rFonts w:ascii="Arial Narrow" w:hAnsi="Arial Narrow" w:cs="Calibri"/>
                <w:bCs/>
                <w:noProof/>
                <w:color w:val="000000"/>
                <w:highlight w:val="black"/>
              </w:rPr>
              <w:t>'''''''''''''''''''''</w:t>
            </w:r>
          </w:p>
        </w:tc>
        <w:tc>
          <w:tcPr>
            <w:tcW w:w="647" w:type="pct"/>
            <w:shd w:val="clear" w:color="auto" w:fill="auto"/>
            <w:vAlign w:val="center"/>
          </w:tcPr>
          <w:p w:rsidR="00574704" w:rsidRPr="003D5BD7" w:rsidRDefault="00574704" w:rsidP="00690DA5">
            <w:pPr>
              <w:pStyle w:val="Tabletext"/>
              <w:keepNext/>
              <w:keepLines/>
              <w:widowControl w:val="0"/>
              <w:spacing w:after="0"/>
              <w:jc w:val="center"/>
              <w:rPr>
                <w:rFonts w:ascii="Arial Narrow" w:hAnsi="Arial Narrow"/>
                <w:bCs/>
                <w:color w:val="000000"/>
              </w:rPr>
            </w:pPr>
            <w:r w:rsidRPr="003D5BD7">
              <w:rPr>
                <w:rFonts w:ascii="Arial Narrow" w:hAnsi="Arial Narrow" w:cs="Calibri"/>
                <w:bCs/>
                <w:color w:val="000000"/>
              </w:rPr>
              <w:t>$</w:t>
            </w:r>
            <w:r w:rsidR="005D3534">
              <w:rPr>
                <w:rFonts w:ascii="Arial Narrow" w:hAnsi="Arial Narrow" w:cs="Calibri"/>
                <w:bCs/>
                <w:noProof/>
                <w:color w:val="000000"/>
                <w:highlight w:val="black"/>
              </w:rPr>
              <w:t>''''''''''''''''''''''</w:t>
            </w:r>
          </w:p>
        </w:tc>
        <w:tc>
          <w:tcPr>
            <w:tcW w:w="647" w:type="pct"/>
            <w:shd w:val="clear" w:color="auto" w:fill="auto"/>
            <w:vAlign w:val="center"/>
          </w:tcPr>
          <w:p w:rsidR="00574704" w:rsidRPr="003D5BD7" w:rsidRDefault="00574704" w:rsidP="00690DA5">
            <w:pPr>
              <w:pStyle w:val="Tabletext"/>
              <w:keepNext/>
              <w:keepLines/>
              <w:widowControl w:val="0"/>
              <w:spacing w:after="0"/>
              <w:jc w:val="center"/>
              <w:rPr>
                <w:rFonts w:ascii="Arial Narrow" w:hAnsi="Arial Narrow"/>
                <w:bCs/>
                <w:color w:val="000000"/>
              </w:rPr>
            </w:pPr>
            <w:r w:rsidRPr="003D5BD7">
              <w:rPr>
                <w:rFonts w:ascii="Arial Narrow" w:hAnsi="Arial Narrow" w:cs="Calibri"/>
                <w:bCs/>
                <w:color w:val="000000"/>
              </w:rPr>
              <w:t>$</w:t>
            </w:r>
            <w:r w:rsidR="005D3534">
              <w:rPr>
                <w:rFonts w:ascii="Arial Narrow" w:hAnsi="Arial Narrow" w:cs="Calibri"/>
                <w:bCs/>
                <w:noProof/>
                <w:color w:val="000000"/>
                <w:highlight w:val="black"/>
              </w:rPr>
              <w:t>''''''''''''''''''''''</w:t>
            </w:r>
          </w:p>
        </w:tc>
        <w:tc>
          <w:tcPr>
            <w:tcW w:w="647" w:type="pct"/>
            <w:shd w:val="clear" w:color="auto" w:fill="auto"/>
            <w:vAlign w:val="center"/>
          </w:tcPr>
          <w:p w:rsidR="00574704" w:rsidRPr="003D5BD7" w:rsidRDefault="00574704" w:rsidP="00690DA5">
            <w:pPr>
              <w:pStyle w:val="Tabletext"/>
              <w:keepNext/>
              <w:keepLines/>
              <w:widowControl w:val="0"/>
              <w:spacing w:after="0"/>
              <w:jc w:val="center"/>
              <w:rPr>
                <w:rFonts w:ascii="Arial Narrow" w:hAnsi="Arial Narrow"/>
                <w:bCs/>
                <w:color w:val="000000"/>
              </w:rPr>
            </w:pPr>
            <w:r w:rsidRPr="003D5BD7">
              <w:rPr>
                <w:rFonts w:ascii="Arial Narrow" w:hAnsi="Arial Narrow" w:cs="Calibri"/>
                <w:bCs/>
                <w:color w:val="000000"/>
              </w:rPr>
              <w:t>$</w:t>
            </w:r>
            <w:r w:rsidR="005D3534">
              <w:rPr>
                <w:rFonts w:ascii="Arial Narrow" w:hAnsi="Arial Narrow" w:cs="Calibri"/>
                <w:bCs/>
                <w:noProof/>
                <w:color w:val="000000"/>
                <w:highlight w:val="black"/>
              </w:rPr>
              <w:t>'''''''''''''''''''''''</w:t>
            </w:r>
          </w:p>
        </w:tc>
        <w:tc>
          <w:tcPr>
            <w:tcW w:w="647" w:type="pct"/>
            <w:shd w:val="clear" w:color="auto" w:fill="auto"/>
            <w:vAlign w:val="center"/>
          </w:tcPr>
          <w:p w:rsidR="00574704" w:rsidRPr="003D5BD7" w:rsidRDefault="00574704" w:rsidP="00690DA5">
            <w:pPr>
              <w:pStyle w:val="Tabletext"/>
              <w:keepNext/>
              <w:keepLines/>
              <w:widowControl w:val="0"/>
              <w:spacing w:after="0"/>
              <w:jc w:val="center"/>
              <w:rPr>
                <w:rFonts w:ascii="Arial Narrow" w:hAnsi="Arial Narrow"/>
                <w:bCs/>
                <w:color w:val="000000"/>
              </w:rPr>
            </w:pPr>
            <w:r w:rsidRPr="003D5BD7">
              <w:rPr>
                <w:rFonts w:ascii="Arial Narrow" w:hAnsi="Arial Narrow" w:cs="Calibri"/>
                <w:bCs/>
                <w:color w:val="000000"/>
              </w:rPr>
              <w:t>$</w:t>
            </w:r>
            <w:r w:rsidR="005D3534">
              <w:rPr>
                <w:rFonts w:ascii="Arial Narrow" w:hAnsi="Arial Narrow" w:cs="Calibri"/>
                <w:bCs/>
                <w:noProof/>
                <w:color w:val="000000"/>
                <w:highlight w:val="black"/>
              </w:rPr>
              <w:t>'''''''''''''''''''''''''</w:t>
            </w:r>
          </w:p>
        </w:tc>
        <w:tc>
          <w:tcPr>
            <w:tcW w:w="647" w:type="pct"/>
            <w:vAlign w:val="center"/>
          </w:tcPr>
          <w:p w:rsidR="00574704" w:rsidRPr="003D5BD7" w:rsidRDefault="00574704" w:rsidP="00690DA5">
            <w:pPr>
              <w:pStyle w:val="Tabletext"/>
              <w:keepNext/>
              <w:keepLines/>
              <w:widowControl w:val="0"/>
              <w:spacing w:after="0"/>
              <w:jc w:val="center"/>
              <w:rPr>
                <w:rFonts w:ascii="Arial Narrow" w:hAnsi="Arial Narrow"/>
                <w:bCs/>
                <w:color w:val="000000"/>
              </w:rPr>
            </w:pPr>
            <w:r w:rsidRPr="003D5BD7">
              <w:rPr>
                <w:rFonts w:ascii="Arial Narrow" w:hAnsi="Arial Narrow" w:cs="Calibri"/>
                <w:bCs/>
                <w:color w:val="000000"/>
              </w:rPr>
              <w:t>$</w:t>
            </w:r>
            <w:r w:rsidR="005D3534">
              <w:rPr>
                <w:rFonts w:ascii="Arial Narrow" w:hAnsi="Arial Narrow" w:cs="Calibri"/>
                <w:bCs/>
                <w:noProof/>
                <w:color w:val="000000"/>
                <w:highlight w:val="black"/>
              </w:rPr>
              <w:t>'''''''''''''''''''''''</w:t>
            </w:r>
          </w:p>
        </w:tc>
      </w:tr>
      <w:tr w:rsidR="00CA19E6" w:rsidRPr="003D5BD7" w:rsidTr="00CA19E6">
        <w:tc>
          <w:tcPr>
            <w:tcW w:w="5000" w:type="pct"/>
            <w:gridSpan w:val="7"/>
            <w:shd w:val="clear" w:color="auto" w:fill="auto"/>
            <w:vAlign w:val="center"/>
          </w:tcPr>
          <w:p w:rsidR="00CA19E6" w:rsidRPr="003D5BD7" w:rsidRDefault="00CA19E6" w:rsidP="00690DA5">
            <w:pPr>
              <w:pStyle w:val="Tabletext"/>
              <w:keepNext/>
              <w:keepLines/>
              <w:widowControl w:val="0"/>
              <w:spacing w:after="0"/>
              <w:rPr>
                <w:rFonts w:ascii="Arial Narrow" w:hAnsi="Arial Narrow"/>
                <w:bCs/>
                <w:color w:val="000000"/>
              </w:rPr>
            </w:pPr>
            <w:r w:rsidRPr="003D5BD7">
              <w:rPr>
                <w:rFonts w:ascii="Arial Narrow" w:hAnsi="Arial Narrow"/>
                <w:b/>
                <w:bCs/>
                <w:color w:val="000000"/>
              </w:rPr>
              <w:t xml:space="preserve">Estimated financial implications for </w:t>
            </w:r>
            <w:proofErr w:type="spellStart"/>
            <w:r w:rsidR="00DE6C7D" w:rsidRPr="003D5BD7">
              <w:rPr>
                <w:rFonts w:ascii="Arial Narrow" w:hAnsi="Arial Narrow"/>
                <w:b/>
                <w:bCs/>
                <w:color w:val="000000"/>
              </w:rPr>
              <w:t>dulaglutide</w:t>
            </w:r>
            <w:proofErr w:type="spellEnd"/>
          </w:p>
        </w:tc>
      </w:tr>
      <w:tr w:rsidR="00946126" w:rsidRPr="003D5BD7" w:rsidTr="00DF7E3A">
        <w:tc>
          <w:tcPr>
            <w:tcW w:w="1118" w:type="pct"/>
            <w:shd w:val="clear" w:color="auto" w:fill="auto"/>
            <w:vAlign w:val="center"/>
          </w:tcPr>
          <w:p w:rsidR="00946126" w:rsidRPr="003D5BD7" w:rsidRDefault="00574704" w:rsidP="00690DA5">
            <w:pPr>
              <w:pStyle w:val="Tabletext"/>
              <w:keepNext/>
              <w:keepLines/>
              <w:widowControl w:val="0"/>
              <w:spacing w:after="0"/>
              <w:rPr>
                <w:rFonts w:ascii="Arial Narrow" w:hAnsi="Arial Narrow"/>
              </w:rPr>
            </w:pPr>
            <w:r w:rsidRPr="003D5BD7">
              <w:rPr>
                <w:rFonts w:ascii="Arial Narrow" w:hAnsi="Arial Narrow"/>
              </w:rPr>
              <w:t>Net c</w:t>
            </w:r>
            <w:r w:rsidR="00946126" w:rsidRPr="003D5BD7">
              <w:rPr>
                <w:rFonts w:ascii="Arial Narrow" w:hAnsi="Arial Narrow"/>
              </w:rPr>
              <w:t xml:space="preserve">ost to PBS/RPBS </w:t>
            </w:r>
          </w:p>
        </w:tc>
        <w:tc>
          <w:tcPr>
            <w:tcW w:w="647" w:type="pct"/>
            <w:shd w:val="clear" w:color="auto" w:fill="auto"/>
            <w:vAlign w:val="center"/>
          </w:tcPr>
          <w:p w:rsidR="00946126" w:rsidRPr="003D5BD7" w:rsidRDefault="00946126" w:rsidP="00690DA5">
            <w:pPr>
              <w:pStyle w:val="Tabletext"/>
              <w:keepNext/>
              <w:keepLines/>
              <w:widowControl w:val="0"/>
              <w:spacing w:after="0"/>
              <w:jc w:val="center"/>
              <w:rPr>
                <w:rFonts w:ascii="Arial Narrow" w:hAnsi="Arial Narrow"/>
                <w:bCs/>
              </w:rPr>
            </w:pPr>
            <w:r w:rsidRPr="003D5BD7">
              <w:rPr>
                <w:rFonts w:ascii="Arial Narrow" w:hAnsi="Arial Narrow" w:cs="Calibri"/>
                <w:bCs/>
              </w:rPr>
              <w:t>-$</w:t>
            </w:r>
            <w:r w:rsidR="005D3534">
              <w:rPr>
                <w:rFonts w:ascii="Arial Narrow" w:hAnsi="Arial Narrow" w:cs="Calibri"/>
                <w:bCs/>
                <w:noProof/>
                <w:color w:val="000000"/>
                <w:highlight w:val="black"/>
              </w:rPr>
              <w:t>'''''''''''''''''''''</w:t>
            </w:r>
          </w:p>
        </w:tc>
        <w:tc>
          <w:tcPr>
            <w:tcW w:w="647" w:type="pct"/>
            <w:shd w:val="clear" w:color="auto" w:fill="auto"/>
            <w:vAlign w:val="center"/>
          </w:tcPr>
          <w:p w:rsidR="00946126" w:rsidRPr="003D5BD7" w:rsidRDefault="00946126" w:rsidP="00690DA5">
            <w:pPr>
              <w:pStyle w:val="Tabletext"/>
              <w:keepNext/>
              <w:keepLines/>
              <w:widowControl w:val="0"/>
              <w:spacing w:after="0"/>
              <w:jc w:val="center"/>
              <w:rPr>
                <w:rFonts w:ascii="Arial Narrow" w:hAnsi="Arial Narrow"/>
                <w:bCs/>
              </w:rPr>
            </w:pPr>
            <w:r w:rsidRPr="003D5BD7">
              <w:rPr>
                <w:rFonts w:ascii="Arial Narrow" w:hAnsi="Arial Narrow" w:cs="Calibri"/>
                <w:bCs/>
              </w:rPr>
              <w:t>-$</w:t>
            </w:r>
            <w:r w:rsidR="005D3534">
              <w:rPr>
                <w:rFonts w:ascii="Arial Narrow" w:hAnsi="Arial Narrow" w:cs="Calibri"/>
                <w:bCs/>
                <w:noProof/>
                <w:color w:val="000000"/>
                <w:highlight w:val="black"/>
              </w:rPr>
              <w:t>'''''''''''''''''''''''</w:t>
            </w:r>
          </w:p>
        </w:tc>
        <w:tc>
          <w:tcPr>
            <w:tcW w:w="647" w:type="pct"/>
            <w:shd w:val="clear" w:color="auto" w:fill="auto"/>
            <w:vAlign w:val="center"/>
          </w:tcPr>
          <w:p w:rsidR="00946126" w:rsidRPr="003D5BD7" w:rsidRDefault="00946126" w:rsidP="00690DA5">
            <w:pPr>
              <w:pStyle w:val="Tabletext"/>
              <w:keepNext/>
              <w:keepLines/>
              <w:widowControl w:val="0"/>
              <w:spacing w:after="0"/>
              <w:jc w:val="center"/>
              <w:rPr>
                <w:rFonts w:ascii="Arial Narrow" w:hAnsi="Arial Narrow"/>
                <w:bCs/>
              </w:rPr>
            </w:pPr>
            <w:r w:rsidRPr="003D5BD7">
              <w:rPr>
                <w:rFonts w:ascii="Arial Narrow" w:hAnsi="Arial Narrow" w:cs="Calibri"/>
                <w:bCs/>
              </w:rPr>
              <w:t>-$</w:t>
            </w:r>
            <w:r w:rsidR="005D3534">
              <w:rPr>
                <w:rFonts w:ascii="Arial Narrow" w:hAnsi="Arial Narrow" w:cs="Calibri"/>
                <w:bCs/>
                <w:noProof/>
                <w:color w:val="000000"/>
                <w:highlight w:val="black"/>
              </w:rPr>
              <w:t>'''''''''''''''''''''''</w:t>
            </w:r>
          </w:p>
        </w:tc>
        <w:tc>
          <w:tcPr>
            <w:tcW w:w="647" w:type="pct"/>
            <w:shd w:val="clear" w:color="auto" w:fill="auto"/>
            <w:vAlign w:val="center"/>
          </w:tcPr>
          <w:p w:rsidR="00946126" w:rsidRPr="003D5BD7" w:rsidRDefault="00946126" w:rsidP="00690DA5">
            <w:pPr>
              <w:pStyle w:val="Tabletext"/>
              <w:keepNext/>
              <w:keepLines/>
              <w:widowControl w:val="0"/>
              <w:spacing w:after="0"/>
              <w:jc w:val="center"/>
              <w:rPr>
                <w:rFonts w:ascii="Arial Narrow" w:hAnsi="Arial Narrow"/>
                <w:bCs/>
              </w:rPr>
            </w:pPr>
            <w:r w:rsidRPr="003D5BD7">
              <w:rPr>
                <w:rFonts w:ascii="Arial Narrow" w:hAnsi="Arial Narrow" w:cs="Calibri"/>
                <w:bCs/>
              </w:rPr>
              <w:t>-$</w:t>
            </w:r>
            <w:r w:rsidR="005D3534">
              <w:rPr>
                <w:rFonts w:ascii="Arial Narrow" w:hAnsi="Arial Narrow" w:cs="Calibri"/>
                <w:bCs/>
                <w:noProof/>
                <w:color w:val="000000"/>
                <w:highlight w:val="black"/>
              </w:rPr>
              <w:t>'''''''''''''''''''''''''</w:t>
            </w:r>
          </w:p>
        </w:tc>
        <w:tc>
          <w:tcPr>
            <w:tcW w:w="647" w:type="pct"/>
            <w:shd w:val="clear" w:color="auto" w:fill="auto"/>
            <w:vAlign w:val="center"/>
          </w:tcPr>
          <w:p w:rsidR="00946126" w:rsidRPr="003D5BD7" w:rsidRDefault="00946126" w:rsidP="00690DA5">
            <w:pPr>
              <w:pStyle w:val="Tabletext"/>
              <w:keepNext/>
              <w:keepLines/>
              <w:widowControl w:val="0"/>
              <w:spacing w:after="0"/>
              <w:jc w:val="center"/>
              <w:rPr>
                <w:rFonts w:ascii="Arial Narrow" w:hAnsi="Arial Narrow"/>
                <w:bCs/>
              </w:rPr>
            </w:pPr>
            <w:r w:rsidRPr="003D5BD7">
              <w:rPr>
                <w:rFonts w:ascii="Arial Narrow" w:hAnsi="Arial Narrow" w:cs="Calibri"/>
                <w:bCs/>
              </w:rPr>
              <w:t>-$</w:t>
            </w:r>
            <w:r w:rsidR="005D3534">
              <w:rPr>
                <w:rFonts w:ascii="Arial Narrow" w:hAnsi="Arial Narrow" w:cs="Calibri"/>
                <w:bCs/>
                <w:noProof/>
                <w:color w:val="000000"/>
                <w:highlight w:val="black"/>
              </w:rPr>
              <w:t>'''''''''''''''''''''''</w:t>
            </w:r>
          </w:p>
        </w:tc>
        <w:tc>
          <w:tcPr>
            <w:tcW w:w="647" w:type="pct"/>
            <w:vAlign w:val="center"/>
          </w:tcPr>
          <w:p w:rsidR="00946126" w:rsidRPr="003D5BD7" w:rsidRDefault="00946126" w:rsidP="00690DA5">
            <w:pPr>
              <w:pStyle w:val="Tabletext"/>
              <w:keepNext/>
              <w:keepLines/>
              <w:widowControl w:val="0"/>
              <w:spacing w:after="0"/>
              <w:jc w:val="center"/>
              <w:rPr>
                <w:rFonts w:ascii="Arial Narrow" w:hAnsi="Arial Narrow"/>
                <w:bCs/>
              </w:rPr>
            </w:pPr>
            <w:r w:rsidRPr="003D5BD7">
              <w:rPr>
                <w:rFonts w:ascii="Arial Narrow" w:hAnsi="Arial Narrow" w:cs="Calibri"/>
                <w:bCs/>
              </w:rPr>
              <w:t>-$</w:t>
            </w:r>
            <w:r w:rsidR="005D3534">
              <w:rPr>
                <w:rFonts w:ascii="Arial Narrow" w:hAnsi="Arial Narrow" w:cs="Calibri"/>
                <w:bCs/>
                <w:noProof/>
                <w:color w:val="000000"/>
                <w:highlight w:val="black"/>
              </w:rPr>
              <w:t>''''''''''''''''''''''''</w:t>
            </w:r>
          </w:p>
        </w:tc>
      </w:tr>
      <w:tr w:rsidR="00CA19E6" w:rsidRPr="003D5BD7" w:rsidTr="00CA19E6">
        <w:tc>
          <w:tcPr>
            <w:tcW w:w="5000" w:type="pct"/>
            <w:gridSpan w:val="7"/>
            <w:shd w:val="clear" w:color="auto" w:fill="auto"/>
            <w:vAlign w:val="center"/>
          </w:tcPr>
          <w:p w:rsidR="00CA19E6" w:rsidRPr="003D5BD7" w:rsidRDefault="00CA19E6" w:rsidP="00690DA5">
            <w:pPr>
              <w:pStyle w:val="Tabletext"/>
              <w:keepNext/>
              <w:keepLines/>
              <w:widowControl w:val="0"/>
              <w:spacing w:after="0"/>
              <w:rPr>
                <w:rFonts w:ascii="Arial Narrow" w:hAnsi="Arial Narrow"/>
                <w:b/>
                <w:bCs/>
                <w:color w:val="000000"/>
              </w:rPr>
            </w:pPr>
            <w:r w:rsidRPr="003D5BD7">
              <w:rPr>
                <w:rFonts w:ascii="Arial Narrow" w:hAnsi="Arial Narrow"/>
                <w:b/>
                <w:bCs/>
                <w:color w:val="000000"/>
              </w:rPr>
              <w:t>Net financial implications</w:t>
            </w:r>
          </w:p>
        </w:tc>
      </w:tr>
      <w:tr w:rsidR="004054E4" w:rsidRPr="003D5BD7" w:rsidTr="00DF7E3A">
        <w:tc>
          <w:tcPr>
            <w:tcW w:w="1118" w:type="pct"/>
            <w:shd w:val="clear" w:color="auto" w:fill="auto"/>
            <w:vAlign w:val="center"/>
          </w:tcPr>
          <w:p w:rsidR="004054E4" w:rsidRPr="003D5BD7" w:rsidRDefault="004054E4" w:rsidP="00690DA5">
            <w:pPr>
              <w:pStyle w:val="Tabletext"/>
              <w:keepNext/>
              <w:keepLines/>
              <w:widowControl w:val="0"/>
              <w:spacing w:after="0"/>
              <w:rPr>
                <w:rFonts w:ascii="Arial Narrow" w:hAnsi="Arial Narrow"/>
              </w:rPr>
            </w:pPr>
            <w:r w:rsidRPr="003D5BD7">
              <w:rPr>
                <w:rFonts w:ascii="Arial Narrow" w:hAnsi="Arial Narrow"/>
              </w:rPr>
              <w:t>Net cost to PBS/RPBS</w:t>
            </w:r>
          </w:p>
        </w:tc>
        <w:tc>
          <w:tcPr>
            <w:tcW w:w="647" w:type="pct"/>
            <w:shd w:val="clear" w:color="auto" w:fill="auto"/>
            <w:vAlign w:val="center"/>
          </w:tcPr>
          <w:p w:rsidR="004054E4" w:rsidRPr="003D5BD7" w:rsidRDefault="004054E4" w:rsidP="00690DA5">
            <w:pPr>
              <w:pStyle w:val="Tabletext"/>
              <w:keepNext/>
              <w:keepLines/>
              <w:widowControl w:val="0"/>
              <w:spacing w:after="0"/>
              <w:jc w:val="center"/>
              <w:rPr>
                <w:rFonts w:ascii="Arial Narrow" w:hAnsi="Arial Narrow"/>
                <w:bCs/>
                <w:color w:val="000000"/>
              </w:rPr>
            </w:pPr>
            <w:r w:rsidRPr="003D5BD7">
              <w:rPr>
                <w:rFonts w:ascii="Arial Narrow" w:hAnsi="Arial Narrow"/>
                <w:bCs/>
                <w:color w:val="000000"/>
              </w:rPr>
              <w:t>$0</w:t>
            </w:r>
          </w:p>
        </w:tc>
        <w:tc>
          <w:tcPr>
            <w:tcW w:w="647" w:type="pct"/>
            <w:shd w:val="clear" w:color="auto" w:fill="auto"/>
            <w:vAlign w:val="center"/>
          </w:tcPr>
          <w:p w:rsidR="004054E4" w:rsidRPr="003D5BD7" w:rsidRDefault="004054E4" w:rsidP="00690DA5">
            <w:pPr>
              <w:pStyle w:val="Tabletext"/>
              <w:keepNext/>
              <w:keepLines/>
              <w:widowControl w:val="0"/>
              <w:spacing w:after="0"/>
              <w:jc w:val="center"/>
              <w:rPr>
                <w:rFonts w:ascii="Arial Narrow" w:hAnsi="Arial Narrow"/>
                <w:bCs/>
                <w:color w:val="000000"/>
              </w:rPr>
            </w:pPr>
            <w:r w:rsidRPr="003D5BD7">
              <w:rPr>
                <w:rFonts w:ascii="Arial Narrow" w:hAnsi="Arial Narrow"/>
                <w:bCs/>
                <w:color w:val="000000"/>
              </w:rPr>
              <w:t>$0</w:t>
            </w:r>
          </w:p>
        </w:tc>
        <w:tc>
          <w:tcPr>
            <w:tcW w:w="647" w:type="pct"/>
            <w:shd w:val="clear" w:color="auto" w:fill="auto"/>
            <w:vAlign w:val="center"/>
          </w:tcPr>
          <w:p w:rsidR="004054E4" w:rsidRPr="003D5BD7" w:rsidRDefault="004054E4" w:rsidP="00690DA5">
            <w:pPr>
              <w:pStyle w:val="Tabletext"/>
              <w:keepNext/>
              <w:keepLines/>
              <w:widowControl w:val="0"/>
              <w:spacing w:after="0"/>
              <w:jc w:val="center"/>
              <w:rPr>
                <w:rFonts w:ascii="Arial Narrow" w:hAnsi="Arial Narrow"/>
                <w:bCs/>
                <w:color w:val="000000"/>
              </w:rPr>
            </w:pPr>
            <w:r w:rsidRPr="003D5BD7">
              <w:rPr>
                <w:rFonts w:ascii="Arial Narrow" w:hAnsi="Arial Narrow"/>
                <w:bCs/>
                <w:color w:val="000000"/>
              </w:rPr>
              <w:t>$0</w:t>
            </w:r>
          </w:p>
        </w:tc>
        <w:tc>
          <w:tcPr>
            <w:tcW w:w="647" w:type="pct"/>
            <w:shd w:val="clear" w:color="auto" w:fill="auto"/>
            <w:vAlign w:val="center"/>
          </w:tcPr>
          <w:p w:rsidR="004054E4" w:rsidRPr="003D5BD7" w:rsidRDefault="004054E4" w:rsidP="00690DA5">
            <w:pPr>
              <w:pStyle w:val="Tabletext"/>
              <w:keepNext/>
              <w:keepLines/>
              <w:widowControl w:val="0"/>
              <w:spacing w:after="0"/>
              <w:jc w:val="center"/>
              <w:rPr>
                <w:rFonts w:ascii="Arial Narrow" w:hAnsi="Arial Narrow"/>
                <w:bCs/>
                <w:color w:val="000000"/>
              </w:rPr>
            </w:pPr>
            <w:r w:rsidRPr="003D5BD7">
              <w:rPr>
                <w:rFonts w:ascii="Arial Narrow" w:hAnsi="Arial Narrow"/>
                <w:bCs/>
                <w:color w:val="000000"/>
              </w:rPr>
              <w:t>$0</w:t>
            </w:r>
          </w:p>
        </w:tc>
        <w:tc>
          <w:tcPr>
            <w:tcW w:w="647" w:type="pct"/>
            <w:shd w:val="clear" w:color="auto" w:fill="auto"/>
            <w:vAlign w:val="center"/>
          </w:tcPr>
          <w:p w:rsidR="004054E4" w:rsidRPr="003D5BD7" w:rsidRDefault="004054E4" w:rsidP="00690DA5">
            <w:pPr>
              <w:pStyle w:val="Tabletext"/>
              <w:keepNext/>
              <w:keepLines/>
              <w:widowControl w:val="0"/>
              <w:spacing w:after="0"/>
              <w:jc w:val="center"/>
              <w:rPr>
                <w:rFonts w:ascii="Arial Narrow" w:hAnsi="Arial Narrow"/>
                <w:bCs/>
                <w:color w:val="000000"/>
              </w:rPr>
            </w:pPr>
            <w:r w:rsidRPr="003D5BD7">
              <w:rPr>
                <w:rFonts w:ascii="Arial Narrow" w:hAnsi="Arial Narrow"/>
                <w:bCs/>
                <w:color w:val="000000"/>
              </w:rPr>
              <w:t>$0</w:t>
            </w:r>
          </w:p>
        </w:tc>
        <w:tc>
          <w:tcPr>
            <w:tcW w:w="647" w:type="pct"/>
            <w:vAlign w:val="center"/>
          </w:tcPr>
          <w:p w:rsidR="004054E4" w:rsidRPr="003D5BD7" w:rsidRDefault="004054E4" w:rsidP="00690DA5">
            <w:pPr>
              <w:pStyle w:val="Tabletext"/>
              <w:keepNext/>
              <w:keepLines/>
              <w:widowControl w:val="0"/>
              <w:spacing w:after="0"/>
              <w:jc w:val="center"/>
              <w:rPr>
                <w:rFonts w:ascii="Arial Narrow" w:hAnsi="Arial Narrow"/>
                <w:bCs/>
                <w:color w:val="000000"/>
              </w:rPr>
            </w:pPr>
            <w:r w:rsidRPr="003D5BD7">
              <w:rPr>
                <w:rFonts w:ascii="Arial Narrow" w:hAnsi="Arial Narrow"/>
                <w:bCs/>
                <w:color w:val="000000"/>
              </w:rPr>
              <w:t>$0</w:t>
            </w:r>
          </w:p>
        </w:tc>
      </w:tr>
    </w:tbl>
    <w:p w:rsidR="00CA19E6" w:rsidRPr="003D5BD7" w:rsidRDefault="00CA19E6" w:rsidP="00690DA5">
      <w:pPr>
        <w:keepNext/>
        <w:keepLines/>
        <w:widowControl w:val="0"/>
        <w:rPr>
          <w:rFonts w:ascii="Arial Narrow" w:hAnsi="Arial Narrow"/>
          <w:sz w:val="18"/>
          <w:szCs w:val="20"/>
        </w:rPr>
      </w:pPr>
      <w:r w:rsidRPr="003D5BD7">
        <w:rPr>
          <w:rFonts w:ascii="Arial Narrow" w:hAnsi="Arial Narrow"/>
          <w:sz w:val="18"/>
          <w:szCs w:val="20"/>
        </w:rPr>
        <w:t xml:space="preserve">Source: </w:t>
      </w:r>
      <w:r w:rsidR="00DE6C7D" w:rsidRPr="003D5BD7">
        <w:rPr>
          <w:rFonts w:ascii="Arial Narrow" w:hAnsi="Arial Narrow"/>
          <w:sz w:val="18"/>
          <w:szCs w:val="20"/>
        </w:rPr>
        <w:t xml:space="preserve">table 4, p11 of the </w:t>
      </w:r>
      <w:r w:rsidR="00ED3A14" w:rsidRPr="003D5BD7">
        <w:rPr>
          <w:rFonts w:ascii="Arial Narrow" w:hAnsi="Arial Narrow"/>
          <w:sz w:val="18"/>
          <w:szCs w:val="20"/>
        </w:rPr>
        <w:t>re</w:t>
      </w:r>
      <w:r w:rsidR="00DE6C7D" w:rsidRPr="003D5BD7">
        <w:rPr>
          <w:rFonts w:ascii="Arial Narrow" w:hAnsi="Arial Narrow"/>
          <w:sz w:val="18"/>
          <w:szCs w:val="20"/>
        </w:rPr>
        <w:t>submission</w:t>
      </w:r>
    </w:p>
    <w:p w:rsidR="00CA19E6" w:rsidRDefault="00CA19E6" w:rsidP="00CA19E6">
      <w:pPr>
        <w:rPr>
          <w:rFonts w:asciiTheme="minorHAnsi" w:hAnsiTheme="minorHAnsi"/>
          <w:sz w:val="22"/>
          <w:szCs w:val="22"/>
        </w:rPr>
      </w:pPr>
    </w:p>
    <w:p w:rsidR="00345276" w:rsidRPr="00345276" w:rsidRDefault="00345276" w:rsidP="00CA19E6">
      <w:pPr>
        <w:rPr>
          <w:rFonts w:asciiTheme="minorHAnsi" w:hAnsiTheme="minorHAnsi"/>
          <w:i/>
        </w:rPr>
      </w:pPr>
      <w:r w:rsidRPr="00345276">
        <w:rPr>
          <w:rFonts w:asciiTheme="minorHAnsi" w:hAnsiTheme="minorHAnsi"/>
          <w:i/>
        </w:rPr>
        <w:t xml:space="preserve">The redacted table shows that at Year 6, the estimated number of scripts dispensed for </w:t>
      </w:r>
      <w:proofErr w:type="spellStart"/>
      <w:r w:rsidRPr="00345276">
        <w:rPr>
          <w:rFonts w:asciiTheme="minorHAnsi" w:hAnsiTheme="minorHAnsi"/>
          <w:i/>
        </w:rPr>
        <w:t>semaglutide</w:t>
      </w:r>
      <w:proofErr w:type="spellEnd"/>
      <w:r w:rsidRPr="00345276">
        <w:rPr>
          <w:rFonts w:asciiTheme="minorHAnsi" w:hAnsiTheme="minorHAnsi"/>
          <w:i/>
        </w:rPr>
        <w:t xml:space="preserve"> 2 mg/1.5 mL to be 10,000 – 20,000 </w:t>
      </w:r>
      <w:r w:rsidR="00F36B35">
        <w:rPr>
          <w:rFonts w:asciiTheme="minorHAnsi" w:hAnsiTheme="minorHAnsi"/>
          <w:i/>
        </w:rPr>
        <w:t xml:space="preserve">scripts; </w:t>
      </w:r>
      <w:r w:rsidRPr="00345276">
        <w:rPr>
          <w:rFonts w:asciiTheme="minorHAnsi" w:hAnsiTheme="minorHAnsi"/>
          <w:i/>
        </w:rPr>
        <w:t xml:space="preserve">and </w:t>
      </w:r>
      <w:proofErr w:type="spellStart"/>
      <w:r w:rsidRPr="00345276">
        <w:rPr>
          <w:rFonts w:asciiTheme="minorHAnsi" w:hAnsiTheme="minorHAnsi"/>
          <w:i/>
        </w:rPr>
        <w:t>semaglutide</w:t>
      </w:r>
      <w:proofErr w:type="spellEnd"/>
      <w:r w:rsidRPr="00345276">
        <w:rPr>
          <w:rFonts w:asciiTheme="minorHAnsi" w:hAnsiTheme="minorHAnsi"/>
          <w:i/>
        </w:rPr>
        <w:t xml:space="preserve"> 4 mg/3 mL to be 50,000 – 100,</w:t>
      </w:r>
      <w:r>
        <w:rPr>
          <w:rFonts w:asciiTheme="minorHAnsi" w:hAnsiTheme="minorHAnsi"/>
          <w:i/>
        </w:rPr>
        <w:t>000</w:t>
      </w:r>
      <w:r w:rsidR="00F36B35">
        <w:rPr>
          <w:rFonts w:asciiTheme="minorHAnsi" w:hAnsiTheme="minorHAnsi"/>
          <w:i/>
        </w:rPr>
        <w:t xml:space="preserve"> scripts</w:t>
      </w:r>
      <w:r w:rsidRPr="00345276">
        <w:rPr>
          <w:rFonts w:asciiTheme="minorHAnsi" w:hAnsiTheme="minorHAnsi"/>
          <w:i/>
        </w:rPr>
        <w:t>.</w:t>
      </w:r>
    </w:p>
    <w:p w:rsidR="00345276" w:rsidRPr="003D5BD7" w:rsidRDefault="00345276" w:rsidP="00CA19E6">
      <w:pPr>
        <w:rPr>
          <w:rFonts w:asciiTheme="minorHAnsi" w:hAnsiTheme="minorHAnsi"/>
          <w:sz w:val="22"/>
          <w:szCs w:val="22"/>
        </w:rPr>
      </w:pPr>
    </w:p>
    <w:p w:rsidR="00CA19E6" w:rsidRPr="003D5BD7" w:rsidRDefault="00CA19E6" w:rsidP="004E3C97">
      <w:pPr>
        <w:pStyle w:val="Bodytextitalics"/>
        <w:numPr>
          <w:ilvl w:val="1"/>
          <w:numId w:val="2"/>
        </w:numPr>
        <w:jc w:val="both"/>
        <w:rPr>
          <w:i w:val="0"/>
          <w:szCs w:val="24"/>
        </w:rPr>
      </w:pPr>
      <w:r w:rsidRPr="003D5BD7">
        <w:rPr>
          <w:i w:val="0"/>
          <w:szCs w:val="24"/>
        </w:rPr>
        <w:t xml:space="preserve">As a minor submission, the financial estimates have </w:t>
      </w:r>
      <w:proofErr w:type="gramStart"/>
      <w:r w:rsidRPr="003D5BD7">
        <w:rPr>
          <w:i w:val="0"/>
          <w:szCs w:val="24"/>
        </w:rPr>
        <w:t>not been independently</w:t>
      </w:r>
      <w:proofErr w:type="gramEnd"/>
      <w:r w:rsidRPr="003D5BD7">
        <w:rPr>
          <w:i w:val="0"/>
          <w:szCs w:val="24"/>
        </w:rPr>
        <w:t xml:space="preserve"> evaluated.</w:t>
      </w:r>
    </w:p>
    <w:p w:rsidR="00ED22B2" w:rsidRPr="003D5BD7" w:rsidRDefault="002209EB" w:rsidP="002209EB">
      <w:pPr>
        <w:pStyle w:val="3Bodytext"/>
      </w:pPr>
      <w:r w:rsidRPr="003D5BD7">
        <w:lastRenderedPageBreak/>
        <w:t xml:space="preserve">The PBAC recalled that </w:t>
      </w:r>
      <w:r w:rsidR="00C26739">
        <w:t xml:space="preserve">100,000 – 200,000 </w:t>
      </w:r>
      <w:r w:rsidRPr="003D5BD7">
        <w:t xml:space="preserve">prescriptions for </w:t>
      </w:r>
      <w:proofErr w:type="spellStart"/>
      <w:r w:rsidRPr="003D5BD7">
        <w:t>dulaglutide</w:t>
      </w:r>
      <w:proofErr w:type="spellEnd"/>
      <w:r w:rsidRPr="003D5BD7">
        <w:t xml:space="preserve"> (June 2018 to May 2019) were dispensed in the first year of listing</w:t>
      </w:r>
      <w:r w:rsidR="00CD7E11" w:rsidRPr="003D5BD7">
        <w:t xml:space="preserve"> (para 6.100, </w:t>
      </w:r>
      <w:proofErr w:type="spellStart"/>
      <w:r w:rsidR="00CD7E11" w:rsidRPr="003D5BD7">
        <w:t>semaglutide</w:t>
      </w:r>
      <w:proofErr w:type="spellEnd"/>
      <w:r w:rsidR="00CD7E11" w:rsidRPr="003D5BD7">
        <w:t xml:space="preserve"> PSD, November 2019 PBAC meeting)</w:t>
      </w:r>
      <w:r w:rsidRPr="003D5BD7">
        <w:t xml:space="preserve">, and noted that the current estimate only allowed for </w:t>
      </w:r>
      <w:r w:rsidR="00A62648">
        <w:t xml:space="preserve">50,000 – 100,000 </w:t>
      </w:r>
      <w:r w:rsidRPr="003D5BD7">
        <w:t xml:space="preserve">prescriptions for </w:t>
      </w:r>
      <w:proofErr w:type="spellStart"/>
      <w:r w:rsidRPr="003D5BD7">
        <w:t>semaglutide</w:t>
      </w:r>
      <w:proofErr w:type="spellEnd"/>
      <w:r w:rsidRPr="003D5BD7">
        <w:t xml:space="preserve"> in the first year of listing. </w:t>
      </w:r>
    </w:p>
    <w:p w:rsidR="002209EB" w:rsidRPr="003D5BD7" w:rsidRDefault="00ED22B2" w:rsidP="00757C5B">
      <w:pPr>
        <w:pStyle w:val="3Bodytext"/>
      </w:pPr>
      <w:r w:rsidRPr="003D5BD7">
        <w:t xml:space="preserve">The PBAC also noted that since its previous consideration of </w:t>
      </w:r>
      <w:proofErr w:type="spellStart"/>
      <w:r w:rsidRPr="003D5BD7">
        <w:t>semaglutide</w:t>
      </w:r>
      <w:proofErr w:type="spellEnd"/>
      <w:r w:rsidRPr="003D5BD7">
        <w:t xml:space="preserve"> at the November 2019 meeting, the Australian Diabetes Society had revised its position statement on T2DM management to include GLP-1 therapies as second line add-on therapy.</w:t>
      </w:r>
      <w:r w:rsidRPr="003D5BD7">
        <w:rPr>
          <w:rStyle w:val="FootnoteReference"/>
        </w:rPr>
        <w:footnoteReference w:id="2"/>
      </w:r>
      <w:r w:rsidRPr="003D5BD7">
        <w:t xml:space="preserve"> </w:t>
      </w:r>
    </w:p>
    <w:p w:rsidR="00B03FD0" w:rsidRPr="003D5BD7" w:rsidRDefault="00B03FD0" w:rsidP="00B03FD0">
      <w:pPr>
        <w:pStyle w:val="Bodytextitalics"/>
      </w:pPr>
      <w:r w:rsidRPr="003D5BD7">
        <w:t>For more deta</w:t>
      </w:r>
      <w:r w:rsidR="00B34DA6" w:rsidRPr="003D5BD7">
        <w:t>il on PBAC’s view, see section 6</w:t>
      </w:r>
      <w:r w:rsidRPr="003D5BD7">
        <w:t xml:space="preserve"> PBAC outcome.</w:t>
      </w:r>
    </w:p>
    <w:p w:rsidR="00966E5C" w:rsidRPr="003D5BD7" w:rsidRDefault="00966E5C" w:rsidP="000D47F8">
      <w:pPr>
        <w:pStyle w:val="2-SectionHeading"/>
      </w:pPr>
      <w:r w:rsidRPr="003D5BD7">
        <w:t>PBAC Outcome</w:t>
      </w:r>
    </w:p>
    <w:p w:rsidR="00EC6BC7" w:rsidRPr="003D5BD7" w:rsidRDefault="00870B5B" w:rsidP="004F273C">
      <w:pPr>
        <w:numPr>
          <w:ilvl w:val="1"/>
          <w:numId w:val="2"/>
        </w:numPr>
        <w:spacing w:after="120"/>
        <w:rPr>
          <w:rFonts w:asciiTheme="minorHAnsi" w:hAnsiTheme="minorHAnsi"/>
          <w:bCs/>
        </w:rPr>
      </w:pPr>
      <w:r w:rsidRPr="003D5BD7">
        <w:rPr>
          <w:rFonts w:asciiTheme="minorHAnsi" w:hAnsiTheme="minorHAnsi"/>
          <w:bCs/>
        </w:rPr>
        <w:t xml:space="preserve">The PBAC recommended that </w:t>
      </w:r>
      <w:proofErr w:type="spellStart"/>
      <w:r w:rsidRPr="003D5BD7">
        <w:rPr>
          <w:rFonts w:asciiTheme="minorHAnsi" w:hAnsiTheme="minorHAnsi"/>
          <w:bCs/>
        </w:rPr>
        <w:t>semaglutide</w:t>
      </w:r>
      <w:proofErr w:type="spellEnd"/>
      <w:r w:rsidRPr="003D5BD7">
        <w:rPr>
          <w:rFonts w:asciiTheme="minorHAnsi" w:hAnsiTheme="minorHAnsi"/>
          <w:bCs/>
        </w:rPr>
        <w:t xml:space="preserve"> 0.5 mg </w:t>
      </w:r>
      <w:proofErr w:type="gramStart"/>
      <w:r w:rsidRPr="003D5BD7">
        <w:rPr>
          <w:rFonts w:asciiTheme="minorHAnsi" w:hAnsiTheme="minorHAnsi"/>
          <w:bCs/>
        </w:rPr>
        <w:t>should be considered</w:t>
      </w:r>
      <w:proofErr w:type="gramEnd"/>
      <w:r w:rsidRPr="003D5BD7">
        <w:rPr>
          <w:rFonts w:asciiTheme="minorHAnsi" w:hAnsiTheme="minorHAnsi"/>
          <w:bCs/>
        </w:rPr>
        <w:t xml:space="preserve"> </w:t>
      </w:r>
      <w:proofErr w:type="spellStart"/>
      <w:r w:rsidRPr="003D5BD7">
        <w:rPr>
          <w:rFonts w:asciiTheme="minorHAnsi" w:hAnsiTheme="minorHAnsi"/>
          <w:bCs/>
        </w:rPr>
        <w:t>equi</w:t>
      </w:r>
      <w:proofErr w:type="spellEnd"/>
      <w:r w:rsidRPr="003D5BD7">
        <w:rPr>
          <w:rFonts w:asciiTheme="minorHAnsi" w:hAnsiTheme="minorHAnsi"/>
          <w:bCs/>
        </w:rPr>
        <w:t xml:space="preserve">-effective to </w:t>
      </w:r>
      <w:proofErr w:type="spellStart"/>
      <w:r w:rsidRPr="003D5BD7">
        <w:rPr>
          <w:rFonts w:asciiTheme="minorHAnsi" w:hAnsiTheme="minorHAnsi"/>
          <w:bCs/>
        </w:rPr>
        <w:t>dulaglutide</w:t>
      </w:r>
      <w:proofErr w:type="spellEnd"/>
      <w:r w:rsidRPr="003D5BD7">
        <w:rPr>
          <w:rFonts w:asciiTheme="minorHAnsi" w:hAnsiTheme="minorHAnsi"/>
          <w:bCs/>
        </w:rPr>
        <w:t xml:space="preserve"> 1.5 mg </w:t>
      </w:r>
      <w:r w:rsidR="00EC6BC7" w:rsidRPr="003D5BD7">
        <w:t xml:space="preserve">for treatment of patients with </w:t>
      </w:r>
      <w:r w:rsidR="00AF7929" w:rsidRPr="003D5BD7">
        <w:t>T2DM</w:t>
      </w:r>
      <w:r w:rsidR="00EC6BC7" w:rsidRPr="003D5BD7">
        <w:t xml:space="preserve"> who have inadequate glycaemic control, as dual therapy in combination with metformin or a sulfonylurea where either of these is contraindicated or not tolerated; or triple therapy in combination with metformin and a sulfonylurea.</w:t>
      </w:r>
    </w:p>
    <w:p w:rsidR="00ED22B2" w:rsidRPr="003D5BD7" w:rsidRDefault="00ED22B2" w:rsidP="00ED22B2">
      <w:pPr>
        <w:numPr>
          <w:ilvl w:val="1"/>
          <w:numId w:val="2"/>
        </w:numPr>
        <w:spacing w:after="120"/>
        <w:rPr>
          <w:rFonts w:asciiTheme="minorHAnsi" w:hAnsiTheme="minorHAnsi"/>
          <w:bCs/>
        </w:rPr>
      </w:pPr>
      <w:r w:rsidRPr="003D5BD7">
        <w:t>The PBAC recalled that it had previously accepted HbA1c differences of 0.3-0.4% as a non-inferiority margin in the context of non-inferiority claims. (</w:t>
      </w:r>
      <w:proofErr w:type="gramStart"/>
      <w:r w:rsidRPr="003D5BD7">
        <w:t>para</w:t>
      </w:r>
      <w:proofErr w:type="gramEnd"/>
      <w:r w:rsidRPr="003D5BD7">
        <w:t xml:space="preserve"> 6.11, </w:t>
      </w:r>
      <w:proofErr w:type="spellStart"/>
      <w:r w:rsidRPr="003D5BD7">
        <w:t>semaglutide</w:t>
      </w:r>
      <w:proofErr w:type="spellEnd"/>
      <w:r w:rsidRPr="003D5BD7">
        <w:t xml:space="preserve"> PSD, November 2019 PBAC meeting). </w:t>
      </w:r>
      <w:r w:rsidRPr="003D5BD7">
        <w:rPr>
          <w:rFonts w:asciiTheme="minorHAnsi" w:hAnsiTheme="minorHAnsi"/>
          <w:bCs/>
        </w:rPr>
        <w:t xml:space="preserve">The PBAC considered this outcome </w:t>
      </w:r>
      <w:proofErr w:type="gramStart"/>
      <w:r w:rsidRPr="003D5BD7">
        <w:rPr>
          <w:rFonts w:asciiTheme="minorHAnsi" w:hAnsiTheme="minorHAnsi"/>
          <w:bCs/>
        </w:rPr>
        <w:t>was met</w:t>
      </w:r>
      <w:proofErr w:type="gramEnd"/>
      <w:r w:rsidRPr="003D5BD7">
        <w:rPr>
          <w:rFonts w:asciiTheme="minorHAnsi" w:hAnsiTheme="minorHAnsi"/>
          <w:bCs/>
        </w:rPr>
        <w:t xml:space="preserve"> for </w:t>
      </w:r>
      <w:proofErr w:type="spellStart"/>
      <w:r w:rsidRPr="003D5BD7">
        <w:rPr>
          <w:rFonts w:asciiTheme="minorHAnsi" w:hAnsiTheme="minorHAnsi"/>
          <w:bCs/>
        </w:rPr>
        <w:t>semaglutide</w:t>
      </w:r>
      <w:proofErr w:type="spellEnd"/>
      <w:r w:rsidRPr="003D5BD7">
        <w:rPr>
          <w:rFonts w:asciiTheme="minorHAnsi" w:hAnsiTheme="minorHAnsi"/>
          <w:bCs/>
        </w:rPr>
        <w:t xml:space="preserve"> 0.5 mg in the comparison with </w:t>
      </w:r>
      <w:proofErr w:type="spellStart"/>
      <w:r w:rsidRPr="003D5BD7">
        <w:rPr>
          <w:rFonts w:asciiTheme="minorHAnsi" w:hAnsiTheme="minorHAnsi"/>
          <w:bCs/>
        </w:rPr>
        <w:t>dulaglutide</w:t>
      </w:r>
      <w:proofErr w:type="spellEnd"/>
      <w:r w:rsidRPr="003D5BD7">
        <w:rPr>
          <w:rFonts w:asciiTheme="minorHAnsi" w:hAnsiTheme="minorHAnsi"/>
          <w:bCs/>
        </w:rPr>
        <w:t xml:space="preserve"> 1.5 mg.</w:t>
      </w:r>
    </w:p>
    <w:p w:rsidR="002956E9" w:rsidRPr="003D5BD7" w:rsidRDefault="002956E9" w:rsidP="002956E9">
      <w:pPr>
        <w:pStyle w:val="3Bodytext"/>
      </w:pPr>
      <w:r w:rsidRPr="003D5BD7">
        <w:t xml:space="preserve">The PBAC considered that </w:t>
      </w:r>
      <w:proofErr w:type="spellStart"/>
      <w:r w:rsidRPr="003D5BD7">
        <w:t>semaglutide</w:t>
      </w:r>
      <w:proofErr w:type="spellEnd"/>
      <w:r w:rsidRPr="003D5BD7">
        <w:t xml:space="preserve"> 0.5 mg once weekly was non-inferior to </w:t>
      </w:r>
      <w:proofErr w:type="spellStart"/>
      <w:r w:rsidRPr="003D5BD7">
        <w:t>dulaglutide</w:t>
      </w:r>
      <w:proofErr w:type="spellEnd"/>
      <w:r w:rsidRPr="003D5BD7">
        <w:t xml:space="preserve"> 1.5 mg once weekly in terms of efficacy and safety. </w:t>
      </w:r>
    </w:p>
    <w:p w:rsidR="000D47F8" w:rsidRPr="003D5BD7" w:rsidRDefault="000D47F8" w:rsidP="000D47F8">
      <w:pPr>
        <w:pStyle w:val="ListParagraph"/>
        <w:numPr>
          <w:ilvl w:val="1"/>
          <w:numId w:val="2"/>
        </w:numPr>
        <w:spacing w:before="120"/>
        <w:jc w:val="both"/>
      </w:pPr>
      <w:r w:rsidRPr="003D5BD7">
        <w:rPr>
          <w:bCs/>
        </w:rPr>
        <w:t xml:space="preserve">The recommended </w:t>
      </w:r>
      <w:proofErr w:type="spellStart"/>
      <w:r w:rsidRPr="003D5BD7">
        <w:rPr>
          <w:bCs/>
        </w:rPr>
        <w:t>equi</w:t>
      </w:r>
      <w:proofErr w:type="spellEnd"/>
      <w:r w:rsidRPr="003D5BD7">
        <w:rPr>
          <w:bCs/>
        </w:rPr>
        <w:t xml:space="preserve">-effective doses for the cost-minimisation to </w:t>
      </w:r>
      <w:proofErr w:type="spellStart"/>
      <w:r w:rsidRPr="003D5BD7">
        <w:rPr>
          <w:bCs/>
        </w:rPr>
        <w:t>dulaglutide</w:t>
      </w:r>
      <w:proofErr w:type="spellEnd"/>
      <w:r w:rsidRPr="003D5BD7">
        <w:rPr>
          <w:bCs/>
        </w:rPr>
        <w:t xml:space="preserve"> are as follows: </w:t>
      </w:r>
      <w:r w:rsidRPr="003D5BD7">
        <w:t xml:space="preserve">when used in combination with metformin (dual therapy) and in combination with metformin plus a sulfonylurea (triple therapy) both </w:t>
      </w:r>
      <w:proofErr w:type="spellStart"/>
      <w:r w:rsidRPr="003D5BD7">
        <w:rPr>
          <w:bCs/>
        </w:rPr>
        <w:t>semaglutide</w:t>
      </w:r>
      <w:proofErr w:type="spellEnd"/>
      <w:r w:rsidRPr="003D5BD7">
        <w:rPr>
          <w:bCs/>
        </w:rPr>
        <w:t xml:space="preserve"> 0.5</w:t>
      </w:r>
      <w:r w:rsidR="003D5BD7">
        <w:rPr>
          <w:bCs/>
        </w:rPr>
        <w:t xml:space="preserve"> </w:t>
      </w:r>
      <w:r w:rsidRPr="003D5BD7">
        <w:rPr>
          <w:bCs/>
        </w:rPr>
        <w:t xml:space="preserve">mg once weekly and 1.0 mg once weekly are </w:t>
      </w:r>
      <w:proofErr w:type="spellStart"/>
      <w:r w:rsidRPr="003D5BD7">
        <w:rPr>
          <w:bCs/>
        </w:rPr>
        <w:t>equi</w:t>
      </w:r>
      <w:proofErr w:type="spellEnd"/>
      <w:r w:rsidRPr="003D5BD7">
        <w:rPr>
          <w:bCs/>
        </w:rPr>
        <w:t xml:space="preserve">-effective to </w:t>
      </w:r>
      <w:proofErr w:type="spellStart"/>
      <w:r w:rsidRPr="003D5BD7">
        <w:rPr>
          <w:bCs/>
        </w:rPr>
        <w:t>dulaglutide</w:t>
      </w:r>
      <w:proofErr w:type="spellEnd"/>
      <w:r w:rsidRPr="003D5BD7">
        <w:rPr>
          <w:bCs/>
        </w:rPr>
        <w:t xml:space="preserve"> 1.5 mg once weekly. </w:t>
      </w:r>
      <w:r w:rsidR="002956E9" w:rsidRPr="003D5BD7">
        <w:rPr>
          <w:bCs/>
        </w:rPr>
        <w:t>The PBAC considered flat pricing</w:t>
      </w:r>
      <w:r w:rsidR="00146807" w:rsidRPr="003D5BD7">
        <w:rPr>
          <w:bCs/>
        </w:rPr>
        <w:t xml:space="preserve"> across the </w:t>
      </w:r>
      <w:proofErr w:type="spellStart"/>
      <w:r w:rsidR="00757C5B" w:rsidRPr="003D5BD7">
        <w:rPr>
          <w:bCs/>
        </w:rPr>
        <w:t>semaglutide</w:t>
      </w:r>
      <w:proofErr w:type="spellEnd"/>
      <w:r w:rsidR="00146807" w:rsidRPr="003D5BD7">
        <w:rPr>
          <w:bCs/>
        </w:rPr>
        <w:t xml:space="preserve"> doses</w:t>
      </w:r>
      <w:r w:rsidR="002956E9" w:rsidRPr="003D5BD7">
        <w:rPr>
          <w:bCs/>
        </w:rPr>
        <w:t xml:space="preserve"> was acceptable </w:t>
      </w:r>
      <w:r w:rsidR="00146807" w:rsidRPr="003D5BD7">
        <w:rPr>
          <w:bCs/>
        </w:rPr>
        <w:t>based on the acceptance of a non-inferior outcome for both doses.</w:t>
      </w:r>
    </w:p>
    <w:p w:rsidR="00ED22B2" w:rsidRPr="003D5BD7" w:rsidRDefault="00A647C6" w:rsidP="002D5691">
      <w:pPr>
        <w:pStyle w:val="ListParagraph"/>
        <w:numPr>
          <w:ilvl w:val="1"/>
          <w:numId w:val="2"/>
        </w:numPr>
        <w:jc w:val="both"/>
      </w:pPr>
      <w:r w:rsidRPr="003D5BD7">
        <w:t xml:space="preserve">The PBAC considered that the </w:t>
      </w:r>
      <w:r w:rsidR="00690DA5" w:rsidRPr="003D5BD7">
        <w:t xml:space="preserve">estimated </w:t>
      </w:r>
      <w:r w:rsidR="00ED22B2" w:rsidRPr="003D5BD7">
        <w:t>use</w:t>
      </w:r>
      <w:r w:rsidRPr="003D5BD7">
        <w:t xml:space="preserve"> was likely to be a significant underestimate</w:t>
      </w:r>
      <w:r w:rsidR="007B09AE" w:rsidRPr="003D5BD7">
        <w:t xml:space="preserve"> and</w:t>
      </w:r>
      <w:r w:rsidRPr="003D5BD7">
        <w:t xml:space="preserve"> that the financial model presented in the November 2019 submission was more </w:t>
      </w:r>
      <w:r w:rsidR="002956E9" w:rsidRPr="003D5BD7">
        <w:t>informative</w:t>
      </w:r>
      <w:r w:rsidRPr="003D5BD7">
        <w:t xml:space="preserve">. </w:t>
      </w:r>
      <w:r w:rsidR="00ED22B2" w:rsidRPr="003D5BD7">
        <w:t>The PBAC recalled</w:t>
      </w:r>
      <w:r w:rsidR="002956E9" w:rsidRPr="003D5BD7">
        <w:t xml:space="preserve"> f</w:t>
      </w:r>
      <w:r w:rsidR="00ED22B2" w:rsidRPr="003D5BD7">
        <w:t>r</w:t>
      </w:r>
      <w:r w:rsidR="002956E9" w:rsidRPr="003D5BD7">
        <w:t>o</w:t>
      </w:r>
      <w:r w:rsidR="00ED22B2" w:rsidRPr="003D5BD7">
        <w:t xml:space="preserve">m November 2019, it considered that the estimated cost of listing </w:t>
      </w:r>
      <w:proofErr w:type="spellStart"/>
      <w:r w:rsidR="00ED22B2" w:rsidRPr="003D5BD7">
        <w:t>semaglutide</w:t>
      </w:r>
      <w:proofErr w:type="spellEnd"/>
      <w:r w:rsidR="00ED22B2" w:rsidRPr="003D5BD7">
        <w:t xml:space="preserve"> on the PBS was associated with significant uncertainties due to a substantially underestimated size and projected growth of the DPP4/SGLT2 inhibitor market, highly uncertain GLP-1 market dynamics, cost-offsets attributed to delay in insulin use and assumed substitution rates used to estimate cost-offsets. </w:t>
      </w:r>
      <w:r w:rsidR="00146807" w:rsidRPr="003D5BD7">
        <w:t>However, w</w:t>
      </w:r>
      <w:r w:rsidR="00ED22B2" w:rsidRPr="003D5BD7">
        <w:t xml:space="preserve">ith the cost per patient of </w:t>
      </w:r>
      <w:proofErr w:type="spellStart"/>
      <w:r w:rsidR="00ED22B2" w:rsidRPr="003D5BD7">
        <w:t>semaglutide</w:t>
      </w:r>
      <w:proofErr w:type="spellEnd"/>
      <w:r w:rsidR="00ED22B2" w:rsidRPr="003D5BD7">
        <w:t xml:space="preserve"> the same as </w:t>
      </w:r>
      <w:proofErr w:type="spellStart"/>
      <w:r w:rsidR="00ED22B2" w:rsidRPr="003D5BD7">
        <w:t>dulaglutide</w:t>
      </w:r>
      <w:proofErr w:type="spellEnd"/>
      <w:r w:rsidR="00ED22B2" w:rsidRPr="003D5BD7">
        <w:t>, the overall financial impact will be close to nil.</w:t>
      </w:r>
    </w:p>
    <w:p w:rsidR="00ED22B2" w:rsidRPr="003D5BD7" w:rsidRDefault="00ED22B2" w:rsidP="00ED22B2">
      <w:pPr>
        <w:pStyle w:val="3Bodytext"/>
      </w:pPr>
      <w:r w:rsidRPr="003D5BD7">
        <w:lastRenderedPageBreak/>
        <w:t xml:space="preserve">The PBAC recommended that the restriction for listing should be the same as that recommended in November 2019. </w:t>
      </w:r>
    </w:p>
    <w:p w:rsidR="00B34DA6" w:rsidRPr="003D5BD7" w:rsidRDefault="00B34DA6" w:rsidP="00B34DA6">
      <w:pPr>
        <w:numPr>
          <w:ilvl w:val="1"/>
          <w:numId w:val="2"/>
        </w:numPr>
        <w:spacing w:after="120"/>
        <w:rPr>
          <w:rFonts w:asciiTheme="minorHAnsi" w:hAnsiTheme="minorHAnsi"/>
          <w:bCs/>
        </w:rPr>
      </w:pPr>
      <w:r w:rsidRPr="003D5BD7">
        <w:rPr>
          <w:rFonts w:asciiTheme="minorHAnsi" w:hAnsiTheme="minorHAnsi"/>
          <w:bCs/>
        </w:rPr>
        <w:t xml:space="preserve">The PBAC advised that </w:t>
      </w:r>
      <w:proofErr w:type="spellStart"/>
      <w:r w:rsidRPr="003D5BD7">
        <w:rPr>
          <w:rFonts w:asciiTheme="minorHAnsi" w:hAnsiTheme="minorHAnsi"/>
          <w:bCs/>
        </w:rPr>
        <w:t>semaglutide</w:t>
      </w:r>
      <w:proofErr w:type="spellEnd"/>
      <w:r w:rsidRPr="003D5BD7">
        <w:rPr>
          <w:rFonts w:asciiTheme="minorHAnsi" w:hAnsiTheme="minorHAnsi"/>
          <w:bCs/>
        </w:rPr>
        <w:t xml:space="preserve"> </w:t>
      </w:r>
      <w:proofErr w:type="gramStart"/>
      <w:r w:rsidRPr="003D5BD7">
        <w:rPr>
          <w:rFonts w:asciiTheme="minorHAnsi" w:hAnsiTheme="minorHAnsi"/>
          <w:bCs/>
        </w:rPr>
        <w:t>should be treated</w:t>
      </w:r>
      <w:proofErr w:type="gramEnd"/>
      <w:r w:rsidRPr="003D5BD7">
        <w:rPr>
          <w:rFonts w:asciiTheme="minorHAnsi" w:hAnsiTheme="minorHAnsi"/>
          <w:bCs/>
        </w:rPr>
        <w:t xml:space="preserve"> as interchangeable on an individual patient basis with </w:t>
      </w:r>
      <w:proofErr w:type="spellStart"/>
      <w:r w:rsidRPr="003D5BD7">
        <w:rPr>
          <w:rFonts w:asciiTheme="minorHAnsi" w:hAnsiTheme="minorHAnsi"/>
          <w:bCs/>
        </w:rPr>
        <w:t>dulaglutide</w:t>
      </w:r>
      <w:proofErr w:type="spellEnd"/>
      <w:r w:rsidRPr="003D5BD7">
        <w:rPr>
          <w:rFonts w:asciiTheme="minorHAnsi" w:hAnsiTheme="minorHAnsi"/>
          <w:bCs/>
        </w:rPr>
        <w:t xml:space="preserve"> and </w:t>
      </w:r>
      <w:proofErr w:type="spellStart"/>
      <w:r w:rsidRPr="003D5BD7">
        <w:rPr>
          <w:rFonts w:asciiTheme="minorHAnsi" w:hAnsiTheme="minorHAnsi"/>
          <w:bCs/>
        </w:rPr>
        <w:t>exenatide</w:t>
      </w:r>
      <w:proofErr w:type="spellEnd"/>
      <w:r w:rsidRPr="003D5BD7">
        <w:rPr>
          <w:rFonts w:asciiTheme="minorHAnsi" w:hAnsiTheme="minorHAnsi"/>
          <w:bCs/>
        </w:rPr>
        <w:t>.</w:t>
      </w:r>
    </w:p>
    <w:p w:rsidR="00B34DA6" w:rsidRPr="003D5BD7" w:rsidRDefault="00B34DA6" w:rsidP="00B34DA6">
      <w:pPr>
        <w:numPr>
          <w:ilvl w:val="1"/>
          <w:numId w:val="2"/>
        </w:numPr>
        <w:spacing w:after="120"/>
        <w:rPr>
          <w:rFonts w:asciiTheme="minorHAnsi" w:hAnsiTheme="minorHAnsi"/>
          <w:bCs/>
        </w:rPr>
      </w:pPr>
      <w:r w:rsidRPr="003D5BD7">
        <w:rPr>
          <w:rFonts w:asciiTheme="minorHAnsi" w:hAnsiTheme="minorHAnsi"/>
          <w:bCs/>
        </w:rPr>
        <w:t xml:space="preserve">The PBAC advised that </w:t>
      </w:r>
      <w:proofErr w:type="spellStart"/>
      <w:r w:rsidRPr="003D5BD7">
        <w:rPr>
          <w:rFonts w:asciiTheme="minorHAnsi" w:hAnsiTheme="minorHAnsi"/>
          <w:bCs/>
        </w:rPr>
        <w:t>semaglutide</w:t>
      </w:r>
      <w:proofErr w:type="spellEnd"/>
      <w:r w:rsidRPr="003D5BD7">
        <w:rPr>
          <w:rFonts w:asciiTheme="minorHAnsi" w:hAnsiTheme="minorHAnsi"/>
          <w:bCs/>
        </w:rPr>
        <w:t xml:space="preserve"> is suitable for prescribing by nurse practitioners. </w:t>
      </w:r>
    </w:p>
    <w:p w:rsidR="00B34DA6" w:rsidRPr="003D5BD7" w:rsidRDefault="00B34DA6" w:rsidP="00B34DA6">
      <w:pPr>
        <w:numPr>
          <w:ilvl w:val="1"/>
          <w:numId w:val="2"/>
        </w:numPr>
        <w:spacing w:after="120"/>
        <w:rPr>
          <w:rFonts w:asciiTheme="minorHAnsi" w:hAnsiTheme="minorHAnsi"/>
          <w:bCs/>
        </w:rPr>
      </w:pPr>
      <w:r w:rsidRPr="003D5BD7">
        <w:rPr>
          <w:rFonts w:asciiTheme="minorHAnsi" w:hAnsiTheme="minorHAnsi"/>
          <w:bCs/>
        </w:rPr>
        <w:t xml:space="preserve">The PBAC recommended that the Early Supply Rule should not apply. </w:t>
      </w:r>
    </w:p>
    <w:p w:rsidR="00870B5B" w:rsidRPr="003D5BD7" w:rsidRDefault="00634419" w:rsidP="00870B5B">
      <w:pPr>
        <w:pStyle w:val="3Bodytext"/>
        <w:jc w:val="left"/>
        <w:rPr>
          <w:snapToGrid w:val="0"/>
        </w:rPr>
      </w:pPr>
      <w:r w:rsidRPr="003D5BD7">
        <w:rPr>
          <w:snapToGrid w:val="0"/>
        </w:rPr>
        <w:t xml:space="preserve">The PBAC noted that this submission is not eligible for an Independent Review as it received a positive recommendation. </w:t>
      </w:r>
    </w:p>
    <w:p w:rsidR="00966E5C" w:rsidRPr="003D5BD7" w:rsidRDefault="00966E5C" w:rsidP="00966E5C">
      <w:pPr>
        <w:spacing w:before="240"/>
        <w:rPr>
          <w:rFonts w:asciiTheme="minorHAnsi" w:hAnsiTheme="minorHAnsi" w:cs="Arial"/>
          <w:b/>
          <w:bCs/>
          <w:snapToGrid w:val="0"/>
        </w:rPr>
      </w:pPr>
      <w:r w:rsidRPr="003D5BD7">
        <w:rPr>
          <w:rFonts w:asciiTheme="minorHAnsi" w:hAnsiTheme="minorHAnsi" w:cs="Arial"/>
          <w:b/>
          <w:bCs/>
          <w:snapToGrid w:val="0"/>
        </w:rPr>
        <w:t>Outcome:</w:t>
      </w:r>
    </w:p>
    <w:p w:rsidR="00966E5C" w:rsidRPr="003D5BD7" w:rsidRDefault="00966E5C" w:rsidP="00966E5C">
      <w:pPr>
        <w:rPr>
          <w:rFonts w:asciiTheme="minorHAnsi" w:hAnsiTheme="minorHAnsi" w:cs="Arial"/>
          <w:bCs/>
          <w:snapToGrid w:val="0"/>
        </w:rPr>
      </w:pPr>
      <w:r w:rsidRPr="003D5BD7">
        <w:rPr>
          <w:rFonts w:asciiTheme="minorHAnsi" w:hAnsiTheme="minorHAnsi" w:cs="Arial"/>
          <w:bCs/>
          <w:snapToGrid w:val="0"/>
        </w:rPr>
        <w:t xml:space="preserve">Recommended </w:t>
      </w:r>
    </w:p>
    <w:p w:rsidR="00966E5C" w:rsidRPr="003D5BD7" w:rsidRDefault="00966E5C" w:rsidP="00966E5C">
      <w:pPr>
        <w:widowControl w:val="0"/>
        <w:rPr>
          <w:rFonts w:asciiTheme="minorHAnsi" w:hAnsiTheme="minorHAnsi" w:cs="Arial"/>
          <w:b/>
          <w:bCs/>
          <w:snapToGrid w:val="0"/>
        </w:rPr>
      </w:pPr>
    </w:p>
    <w:p w:rsidR="00966E5C" w:rsidRPr="003D5BD7" w:rsidRDefault="00966E5C" w:rsidP="000D47F8">
      <w:pPr>
        <w:pStyle w:val="2-SectionHeading"/>
        <w:rPr>
          <w:i/>
        </w:rPr>
      </w:pPr>
      <w:r w:rsidRPr="003D5BD7">
        <w:t>Recommended listing</w:t>
      </w:r>
    </w:p>
    <w:p w:rsidR="00FC3647" w:rsidRPr="00492982" w:rsidRDefault="005C5924" w:rsidP="00492982">
      <w:pPr>
        <w:pStyle w:val="3Bodytext"/>
        <w:rPr>
          <w:snapToGrid w:val="0"/>
        </w:rPr>
      </w:pPr>
      <w:r>
        <w:rPr>
          <w:snapToGrid w:val="0"/>
        </w:rPr>
        <w:t>Add new item (n</w:t>
      </w:r>
      <w:r w:rsidR="00966E5C" w:rsidRPr="003D5BD7">
        <w:rPr>
          <w:snapToGrid w:val="0"/>
        </w:rPr>
        <w:t xml:space="preserve">o change to the </w:t>
      </w:r>
      <w:r>
        <w:rPr>
          <w:snapToGrid w:val="0"/>
        </w:rPr>
        <w:t xml:space="preserve"> November 2019 recommended listing)</w:t>
      </w:r>
      <w:r w:rsidR="00443CCB">
        <w:rPr>
          <w:snapToGrid w:val="0"/>
        </w:rPr>
        <w:t>:</w:t>
      </w:r>
      <w:r>
        <w:rPr>
          <w:snapToGrid w:val="0"/>
        </w:rP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993"/>
        <w:gridCol w:w="850"/>
        <w:gridCol w:w="851"/>
        <w:gridCol w:w="708"/>
        <w:gridCol w:w="993"/>
        <w:gridCol w:w="1134"/>
      </w:tblGrid>
      <w:tr w:rsidR="00443CCB" w:rsidRPr="00443CCB" w:rsidTr="00443CCB">
        <w:trPr>
          <w:cantSplit/>
          <w:trHeight w:val="20"/>
        </w:trPr>
        <w:tc>
          <w:tcPr>
            <w:tcW w:w="3397" w:type="dxa"/>
          </w:tcPr>
          <w:p w:rsidR="00443CCB" w:rsidRPr="00443CCB" w:rsidRDefault="00443CCB" w:rsidP="00443CCB">
            <w:pPr>
              <w:jc w:val="left"/>
              <w:rPr>
                <w:rFonts w:ascii="Arial Narrow" w:eastAsia="Calibri" w:hAnsi="Arial Narrow" w:cs="Calibri"/>
                <w:b/>
                <w:sz w:val="18"/>
                <w:szCs w:val="18"/>
                <w:lang w:eastAsia="en-US"/>
              </w:rPr>
            </w:pPr>
            <w:r w:rsidRPr="00443CCB">
              <w:rPr>
                <w:rFonts w:ascii="Arial Narrow" w:eastAsia="Calibri" w:hAnsi="Arial Narrow" w:cs="Calibri"/>
                <w:b/>
                <w:sz w:val="18"/>
                <w:szCs w:val="18"/>
                <w:lang w:eastAsia="en-US"/>
              </w:rPr>
              <w:t>Name, Restriction,</w:t>
            </w:r>
          </w:p>
          <w:p w:rsidR="00443CCB" w:rsidRPr="00443CCB" w:rsidRDefault="00443CCB" w:rsidP="00443CCB">
            <w:pPr>
              <w:jc w:val="left"/>
              <w:rPr>
                <w:rFonts w:ascii="Arial Narrow" w:eastAsia="Calibri" w:hAnsi="Arial Narrow" w:cs="Calibri"/>
                <w:sz w:val="18"/>
                <w:szCs w:val="18"/>
                <w:lang w:eastAsia="en-US"/>
              </w:rPr>
            </w:pPr>
            <w:r w:rsidRPr="00443CCB">
              <w:rPr>
                <w:rFonts w:ascii="Arial Narrow" w:eastAsia="Calibri" w:hAnsi="Arial Narrow" w:cs="Calibri"/>
                <w:b/>
                <w:sz w:val="18"/>
                <w:szCs w:val="18"/>
                <w:lang w:eastAsia="en-US"/>
              </w:rPr>
              <w:t>Manner of administration and form</w:t>
            </w:r>
          </w:p>
        </w:tc>
        <w:tc>
          <w:tcPr>
            <w:tcW w:w="993" w:type="dxa"/>
          </w:tcPr>
          <w:p w:rsidR="00443CCB" w:rsidRPr="00443CCB" w:rsidRDefault="00443CCB" w:rsidP="00443CCB">
            <w:pPr>
              <w:jc w:val="center"/>
              <w:rPr>
                <w:rFonts w:ascii="Arial Narrow" w:eastAsia="Calibri" w:hAnsi="Arial Narrow" w:cs="Calibri"/>
                <w:b/>
                <w:sz w:val="18"/>
                <w:szCs w:val="18"/>
                <w:lang w:eastAsia="en-US"/>
              </w:rPr>
            </w:pPr>
            <w:r w:rsidRPr="00443CCB">
              <w:rPr>
                <w:rFonts w:ascii="Arial Narrow" w:eastAsia="Calibri" w:hAnsi="Arial Narrow" w:cs="Calibri"/>
                <w:b/>
                <w:sz w:val="18"/>
                <w:szCs w:val="18"/>
                <w:lang w:eastAsia="en-US"/>
              </w:rPr>
              <w:t>PBS item</w:t>
            </w:r>
          </w:p>
          <w:p w:rsidR="00443CCB" w:rsidRPr="00443CCB" w:rsidRDefault="00443CCB" w:rsidP="00443CCB">
            <w:pPr>
              <w:jc w:val="center"/>
              <w:rPr>
                <w:rFonts w:ascii="Arial Narrow" w:eastAsia="Calibri" w:hAnsi="Arial Narrow" w:cs="Calibri"/>
                <w:b/>
                <w:sz w:val="18"/>
                <w:szCs w:val="18"/>
                <w:lang w:eastAsia="en-US"/>
              </w:rPr>
            </w:pPr>
            <w:r w:rsidRPr="00443CCB">
              <w:rPr>
                <w:rFonts w:ascii="Arial Narrow" w:eastAsia="Calibri" w:hAnsi="Arial Narrow" w:cs="Calibri"/>
                <w:b/>
                <w:sz w:val="18"/>
                <w:szCs w:val="18"/>
                <w:lang w:eastAsia="en-US"/>
              </w:rPr>
              <w:t>code</w:t>
            </w:r>
          </w:p>
        </w:tc>
        <w:tc>
          <w:tcPr>
            <w:tcW w:w="850" w:type="dxa"/>
          </w:tcPr>
          <w:p w:rsidR="00443CCB" w:rsidRPr="00443CCB" w:rsidRDefault="00443CCB" w:rsidP="00443CCB">
            <w:pPr>
              <w:jc w:val="center"/>
              <w:rPr>
                <w:rFonts w:ascii="Arial Narrow" w:eastAsia="Calibri" w:hAnsi="Arial Narrow" w:cs="Calibri"/>
                <w:b/>
                <w:sz w:val="18"/>
                <w:szCs w:val="18"/>
                <w:lang w:eastAsia="en-US"/>
              </w:rPr>
            </w:pPr>
            <w:r w:rsidRPr="00443CCB">
              <w:rPr>
                <w:rFonts w:ascii="Arial Narrow" w:eastAsia="Calibri" w:hAnsi="Arial Narrow" w:cs="Calibri"/>
                <w:b/>
                <w:sz w:val="18"/>
                <w:szCs w:val="18"/>
                <w:lang w:eastAsia="en-US"/>
              </w:rPr>
              <w:t>Max. qty Packs</w:t>
            </w:r>
          </w:p>
        </w:tc>
        <w:tc>
          <w:tcPr>
            <w:tcW w:w="851" w:type="dxa"/>
          </w:tcPr>
          <w:p w:rsidR="00443CCB" w:rsidRPr="00443CCB" w:rsidRDefault="00443CCB" w:rsidP="00443CCB">
            <w:pPr>
              <w:jc w:val="center"/>
              <w:rPr>
                <w:rFonts w:ascii="Arial Narrow" w:eastAsia="Calibri" w:hAnsi="Arial Narrow" w:cs="Calibri"/>
                <w:b/>
                <w:sz w:val="18"/>
                <w:szCs w:val="18"/>
                <w:lang w:eastAsia="en-US"/>
              </w:rPr>
            </w:pPr>
            <w:r w:rsidRPr="00443CCB">
              <w:rPr>
                <w:rFonts w:ascii="Arial Narrow" w:eastAsia="Calibri" w:hAnsi="Arial Narrow" w:cs="Calibri"/>
                <w:b/>
                <w:sz w:val="18"/>
                <w:szCs w:val="18"/>
                <w:lang w:eastAsia="en-US"/>
              </w:rPr>
              <w:t>Max. qty units</w:t>
            </w:r>
          </w:p>
        </w:tc>
        <w:tc>
          <w:tcPr>
            <w:tcW w:w="708" w:type="dxa"/>
          </w:tcPr>
          <w:p w:rsidR="00443CCB" w:rsidRPr="00443CCB" w:rsidRDefault="00443CCB" w:rsidP="00443CCB">
            <w:pPr>
              <w:jc w:val="center"/>
              <w:rPr>
                <w:rFonts w:ascii="Arial Narrow" w:eastAsia="Calibri" w:hAnsi="Arial Narrow" w:cs="Calibri"/>
                <w:b/>
                <w:sz w:val="18"/>
                <w:szCs w:val="18"/>
                <w:lang w:eastAsia="en-US"/>
              </w:rPr>
            </w:pPr>
            <w:r w:rsidRPr="00443CCB">
              <w:rPr>
                <w:rFonts w:ascii="Arial Narrow" w:eastAsia="Calibri" w:hAnsi="Arial Narrow" w:cs="Calibri"/>
                <w:b/>
                <w:sz w:val="18"/>
                <w:szCs w:val="18"/>
                <w:lang w:eastAsia="en-US"/>
              </w:rPr>
              <w:t>№.of</w:t>
            </w:r>
          </w:p>
          <w:p w:rsidR="00443CCB" w:rsidRPr="00443CCB" w:rsidRDefault="00443CCB" w:rsidP="00443CCB">
            <w:pPr>
              <w:jc w:val="center"/>
              <w:rPr>
                <w:rFonts w:ascii="Arial Narrow" w:eastAsia="Calibri" w:hAnsi="Arial Narrow" w:cs="Calibri"/>
                <w:b/>
                <w:sz w:val="18"/>
                <w:szCs w:val="18"/>
                <w:lang w:eastAsia="en-US"/>
              </w:rPr>
            </w:pPr>
            <w:proofErr w:type="spellStart"/>
            <w:r w:rsidRPr="00443CCB">
              <w:rPr>
                <w:rFonts w:ascii="Arial Narrow" w:eastAsia="Calibri" w:hAnsi="Arial Narrow" w:cs="Calibri"/>
                <w:b/>
                <w:sz w:val="18"/>
                <w:szCs w:val="18"/>
                <w:lang w:eastAsia="en-US"/>
              </w:rPr>
              <w:t>Rpts</w:t>
            </w:r>
            <w:proofErr w:type="spellEnd"/>
          </w:p>
        </w:tc>
        <w:tc>
          <w:tcPr>
            <w:tcW w:w="2127" w:type="dxa"/>
            <w:gridSpan w:val="2"/>
          </w:tcPr>
          <w:p w:rsidR="00443CCB" w:rsidRPr="00443CCB" w:rsidRDefault="00443CCB" w:rsidP="00443CCB">
            <w:pPr>
              <w:jc w:val="left"/>
              <w:rPr>
                <w:rFonts w:ascii="Arial Narrow" w:eastAsia="Calibri" w:hAnsi="Arial Narrow" w:cs="Calibri"/>
                <w:b/>
                <w:sz w:val="18"/>
                <w:szCs w:val="18"/>
                <w:lang w:eastAsia="en-US"/>
              </w:rPr>
            </w:pPr>
            <w:r w:rsidRPr="00443CCB">
              <w:rPr>
                <w:rFonts w:ascii="Arial Narrow" w:eastAsia="Calibri" w:hAnsi="Arial Narrow" w:cs="Calibri"/>
                <w:b/>
                <w:sz w:val="18"/>
                <w:szCs w:val="18"/>
                <w:lang w:eastAsia="en-US"/>
              </w:rPr>
              <w:t>Proprietary Name and Manufacturer</w:t>
            </w:r>
          </w:p>
        </w:tc>
      </w:tr>
      <w:tr w:rsidR="00443CCB" w:rsidRPr="00443CCB" w:rsidTr="00443CCB">
        <w:trPr>
          <w:cantSplit/>
          <w:trHeight w:val="20"/>
        </w:trPr>
        <w:tc>
          <w:tcPr>
            <w:tcW w:w="3397" w:type="dxa"/>
          </w:tcPr>
          <w:p w:rsidR="00443CCB" w:rsidRPr="00443CCB" w:rsidRDefault="00443CCB" w:rsidP="00443CCB">
            <w:pPr>
              <w:spacing w:after="160" w:line="259" w:lineRule="auto"/>
              <w:jc w:val="left"/>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SEMAGLUTIDE</w:t>
            </w:r>
          </w:p>
          <w:p w:rsidR="00443CCB" w:rsidRPr="00443CCB" w:rsidRDefault="00443CCB" w:rsidP="00443CCB">
            <w:pPr>
              <w:spacing w:after="160" w:line="259" w:lineRule="auto"/>
              <w:jc w:val="left"/>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 xml:space="preserve">1.34 mg/1 mL injection, 1 x 1.5 mL pen device </w:t>
            </w:r>
          </w:p>
        </w:tc>
        <w:tc>
          <w:tcPr>
            <w:tcW w:w="993" w:type="dxa"/>
          </w:tcPr>
          <w:p w:rsidR="00443CCB" w:rsidRPr="00443CCB" w:rsidRDefault="00443CCB" w:rsidP="00443CCB">
            <w:pPr>
              <w:spacing w:after="160" w:line="259" w:lineRule="auto"/>
              <w:jc w:val="center"/>
              <w:rPr>
                <w:rFonts w:ascii="Arial Narrow" w:eastAsia="Calibri" w:hAnsi="Arial Narrow" w:cs="Calibri"/>
                <w:sz w:val="18"/>
                <w:szCs w:val="18"/>
                <w:lang w:eastAsia="en-US"/>
              </w:rPr>
            </w:pPr>
          </w:p>
          <w:p w:rsidR="00443CCB" w:rsidRPr="00443CCB" w:rsidRDefault="00443CCB" w:rsidP="00443CCB">
            <w:pPr>
              <w:spacing w:after="160" w:line="259" w:lineRule="auto"/>
              <w:jc w:val="center"/>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New</w:t>
            </w:r>
          </w:p>
        </w:tc>
        <w:tc>
          <w:tcPr>
            <w:tcW w:w="850" w:type="dxa"/>
          </w:tcPr>
          <w:p w:rsidR="00443CCB" w:rsidRPr="00443CCB" w:rsidRDefault="00443CCB" w:rsidP="00443CCB">
            <w:pPr>
              <w:spacing w:after="160" w:line="259" w:lineRule="auto"/>
              <w:jc w:val="center"/>
              <w:rPr>
                <w:rFonts w:ascii="Arial Narrow" w:eastAsia="Calibri" w:hAnsi="Arial Narrow" w:cs="Calibri"/>
                <w:sz w:val="18"/>
                <w:szCs w:val="18"/>
                <w:lang w:eastAsia="en-US"/>
              </w:rPr>
            </w:pPr>
          </w:p>
          <w:p w:rsidR="00443CCB" w:rsidRPr="00443CCB" w:rsidRDefault="00443CCB" w:rsidP="00443CCB">
            <w:pPr>
              <w:spacing w:after="160" w:line="259" w:lineRule="auto"/>
              <w:jc w:val="center"/>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1</w:t>
            </w:r>
          </w:p>
        </w:tc>
        <w:tc>
          <w:tcPr>
            <w:tcW w:w="851" w:type="dxa"/>
          </w:tcPr>
          <w:p w:rsidR="00443CCB" w:rsidRPr="00443CCB" w:rsidRDefault="00443CCB" w:rsidP="00443CCB">
            <w:pPr>
              <w:spacing w:after="160" w:line="259" w:lineRule="auto"/>
              <w:jc w:val="center"/>
              <w:rPr>
                <w:rFonts w:ascii="Arial Narrow" w:eastAsia="Calibri" w:hAnsi="Arial Narrow" w:cs="Calibri"/>
                <w:sz w:val="18"/>
                <w:szCs w:val="18"/>
                <w:lang w:eastAsia="en-US"/>
              </w:rPr>
            </w:pPr>
          </w:p>
          <w:p w:rsidR="00443CCB" w:rsidRPr="00443CCB" w:rsidRDefault="00443CCB" w:rsidP="00443CCB">
            <w:pPr>
              <w:spacing w:after="160" w:line="259" w:lineRule="auto"/>
              <w:jc w:val="center"/>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1</w:t>
            </w:r>
          </w:p>
        </w:tc>
        <w:tc>
          <w:tcPr>
            <w:tcW w:w="708" w:type="dxa"/>
          </w:tcPr>
          <w:p w:rsidR="00443CCB" w:rsidRPr="00443CCB" w:rsidRDefault="00443CCB" w:rsidP="00443CCB">
            <w:pPr>
              <w:spacing w:after="160" w:line="259" w:lineRule="auto"/>
              <w:jc w:val="center"/>
              <w:rPr>
                <w:rFonts w:ascii="Arial Narrow" w:eastAsia="Calibri" w:hAnsi="Arial Narrow" w:cs="Calibri"/>
                <w:sz w:val="18"/>
                <w:szCs w:val="18"/>
                <w:lang w:eastAsia="en-US"/>
              </w:rPr>
            </w:pPr>
          </w:p>
          <w:p w:rsidR="00443CCB" w:rsidRPr="00443CCB" w:rsidRDefault="00443CCB" w:rsidP="00443CCB">
            <w:pPr>
              <w:spacing w:after="160" w:line="259" w:lineRule="auto"/>
              <w:jc w:val="center"/>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5</w:t>
            </w:r>
          </w:p>
        </w:tc>
        <w:tc>
          <w:tcPr>
            <w:tcW w:w="993" w:type="dxa"/>
          </w:tcPr>
          <w:p w:rsidR="00443CCB" w:rsidRPr="00443CCB" w:rsidRDefault="00443CCB" w:rsidP="00443CCB">
            <w:pPr>
              <w:spacing w:after="160" w:line="259" w:lineRule="auto"/>
              <w:jc w:val="left"/>
              <w:rPr>
                <w:rFonts w:ascii="Arial Narrow" w:eastAsia="Calibri" w:hAnsi="Arial Narrow" w:cs="Calibri"/>
                <w:sz w:val="18"/>
                <w:szCs w:val="18"/>
                <w:lang w:eastAsia="en-US"/>
              </w:rPr>
            </w:pPr>
          </w:p>
          <w:p w:rsidR="00443CCB" w:rsidRPr="00443CCB" w:rsidRDefault="00443CCB" w:rsidP="00443CCB">
            <w:pPr>
              <w:spacing w:after="160" w:line="259" w:lineRule="auto"/>
              <w:jc w:val="left"/>
              <w:rPr>
                <w:rFonts w:ascii="Arial Narrow" w:eastAsia="Calibri" w:hAnsi="Arial Narrow" w:cs="Calibri"/>
                <w:sz w:val="18"/>
                <w:szCs w:val="18"/>
                <w:lang w:eastAsia="en-US"/>
              </w:rPr>
            </w:pPr>
            <w:proofErr w:type="spellStart"/>
            <w:r w:rsidRPr="00443CCB">
              <w:rPr>
                <w:rFonts w:ascii="Arial Narrow" w:eastAsia="Calibri" w:hAnsi="Arial Narrow" w:cs="Calibri"/>
                <w:sz w:val="18"/>
                <w:szCs w:val="18"/>
                <w:lang w:eastAsia="en-US"/>
              </w:rPr>
              <w:t>Ozempic</w:t>
            </w:r>
            <w:proofErr w:type="spellEnd"/>
            <w:r w:rsidRPr="00443CCB">
              <w:rPr>
                <w:rFonts w:ascii="Arial Narrow" w:eastAsia="Calibri" w:hAnsi="Arial Narrow" w:cs="Calibri"/>
                <w:sz w:val="18"/>
                <w:szCs w:val="18"/>
                <w:vertAlign w:val="superscript"/>
                <w:lang w:eastAsia="en-US"/>
              </w:rPr>
              <w:t>®</w:t>
            </w:r>
            <w:r w:rsidRPr="00443CCB">
              <w:rPr>
                <w:rFonts w:ascii="Arial Narrow" w:eastAsia="Calibri" w:hAnsi="Arial Narrow" w:cs="Calibri"/>
                <w:sz w:val="18"/>
                <w:szCs w:val="18"/>
                <w:lang w:eastAsia="en-US"/>
              </w:rPr>
              <w:t xml:space="preserve"> </w:t>
            </w:r>
          </w:p>
        </w:tc>
        <w:tc>
          <w:tcPr>
            <w:tcW w:w="1134" w:type="dxa"/>
          </w:tcPr>
          <w:p w:rsidR="00443CCB" w:rsidRPr="00443CCB" w:rsidRDefault="00443CCB" w:rsidP="00443CCB">
            <w:pPr>
              <w:spacing w:after="160" w:line="259" w:lineRule="auto"/>
              <w:jc w:val="left"/>
              <w:rPr>
                <w:rFonts w:ascii="Arial Narrow" w:eastAsia="Calibri" w:hAnsi="Arial Narrow" w:cs="Calibri"/>
                <w:sz w:val="18"/>
                <w:szCs w:val="18"/>
                <w:lang w:eastAsia="en-US"/>
              </w:rPr>
            </w:pPr>
          </w:p>
          <w:p w:rsidR="00443CCB" w:rsidRPr="00443CCB" w:rsidRDefault="00443CCB" w:rsidP="00443CCB">
            <w:pPr>
              <w:spacing w:after="160" w:line="259" w:lineRule="auto"/>
              <w:jc w:val="left"/>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 xml:space="preserve">Novo Nordisk </w:t>
            </w:r>
          </w:p>
        </w:tc>
      </w:tr>
      <w:tr w:rsidR="00443CCB" w:rsidRPr="00443CCB" w:rsidTr="00443CCB">
        <w:trPr>
          <w:cantSplit/>
          <w:trHeight w:val="20"/>
        </w:trPr>
        <w:tc>
          <w:tcPr>
            <w:tcW w:w="3397" w:type="dxa"/>
          </w:tcPr>
          <w:p w:rsidR="00443CCB" w:rsidRPr="00443CCB" w:rsidRDefault="00443CCB" w:rsidP="00443CCB">
            <w:pPr>
              <w:spacing w:after="160" w:line="259" w:lineRule="auto"/>
              <w:jc w:val="left"/>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1.34 mg/1 mL injection, 1 x 3 mL pen device</w:t>
            </w:r>
          </w:p>
        </w:tc>
        <w:tc>
          <w:tcPr>
            <w:tcW w:w="993" w:type="dxa"/>
          </w:tcPr>
          <w:p w:rsidR="00443CCB" w:rsidRPr="00443CCB" w:rsidRDefault="00443CCB" w:rsidP="00443CCB">
            <w:pPr>
              <w:spacing w:after="160" w:line="259" w:lineRule="auto"/>
              <w:jc w:val="center"/>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New</w:t>
            </w:r>
          </w:p>
        </w:tc>
        <w:tc>
          <w:tcPr>
            <w:tcW w:w="850" w:type="dxa"/>
          </w:tcPr>
          <w:p w:rsidR="00443CCB" w:rsidRPr="00443CCB" w:rsidRDefault="00443CCB" w:rsidP="00443CCB">
            <w:pPr>
              <w:spacing w:after="160" w:line="259" w:lineRule="auto"/>
              <w:jc w:val="center"/>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1</w:t>
            </w:r>
          </w:p>
        </w:tc>
        <w:tc>
          <w:tcPr>
            <w:tcW w:w="851" w:type="dxa"/>
          </w:tcPr>
          <w:p w:rsidR="00443CCB" w:rsidRPr="00443CCB" w:rsidRDefault="00443CCB" w:rsidP="00443CCB">
            <w:pPr>
              <w:spacing w:after="160" w:line="259" w:lineRule="auto"/>
              <w:jc w:val="center"/>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1</w:t>
            </w:r>
          </w:p>
        </w:tc>
        <w:tc>
          <w:tcPr>
            <w:tcW w:w="708" w:type="dxa"/>
          </w:tcPr>
          <w:p w:rsidR="00443CCB" w:rsidRPr="00443CCB" w:rsidRDefault="00443CCB" w:rsidP="00443CCB">
            <w:pPr>
              <w:spacing w:after="160" w:line="259" w:lineRule="auto"/>
              <w:jc w:val="center"/>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5</w:t>
            </w:r>
          </w:p>
        </w:tc>
        <w:tc>
          <w:tcPr>
            <w:tcW w:w="993" w:type="dxa"/>
          </w:tcPr>
          <w:p w:rsidR="00443CCB" w:rsidRPr="00443CCB" w:rsidRDefault="00443CCB" w:rsidP="00443CCB">
            <w:pPr>
              <w:spacing w:after="160" w:line="259" w:lineRule="auto"/>
              <w:jc w:val="left"/>
              <w:rPr>
                <w:rFonts w:ascii="Arial Narrow" w:eastAsia="Calibri" w:hAnsi="Arial Narrow" w:cs="Calibri"/>
                <w:sz w:val="18"/>
                <w:szCs w:val="18"/>
                <w:lang w:eastAsia="en-US"/>
              </w:rPr>
            </w:pPr>
            <w:proofErr w:type="spellStart"/>
            <w:r w:rsidRPr="00443CCB">
              <w:rPr>
                <w:rFonts w:ascii="Arial Narrow" w:eastAsia="Calibri" w:hAnsi="Arial Narrow" w:cs="Calibri"/>
                <w:sz w:val="18"/>
                <w:szCs w:val="18"/>
                <w:lang w:eastAsia="en-US"/>
              </w:rPr>
              <w:t>Ozempic</w:t>
            </w:r>
            <w:proofErr w:type="spellEnd"/>
            <w:r w:rsidRPr="00443CCB">
              <w:rPr>
                <w:rFonts w:ascii="Arial Narrow" w:eastAsia="Calibri" w:hAnsi="Arial Narrow" w:cs="Calibri"/>
                <w:sz w:val="18"/>
                <w:szCs w:val="18"/>
                <w:vertAlign w:val="superscript"/>
                <w:lang w:eastAsia="en-US"/>
              </w:rPr>
              <w:t>®</w:t>
            </w:r>
          </w:p>
        </w:tc>
        <w:tc>
          <w:tcPr>
            <w:tcW w:w="1134" w:type="dxa"/>
          </w:tcPr>
          <w:p w:rsidR="00443CCB" w:rsidRPr="00443CCB" w:rsidRDefault="00443CCB" w:rsidP="00443CCB">
            <w:pPr>
              <w:spacing w:after="160" w:line="259" w:lineRule="auto"/>
              <w:jc w:val="left"/>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 xml:space="preserve">Novo Nordisk </w:t>
            </w:r>
          </w:p>
        </w:tc>
      </w:tr>
    </w:tbl>
    <w:p w:rsidR="00492982" w:rsidRDefault="00492982">
      <w:pPr>
        <w:jc w:val="left"/>
        <w:rPr>
          <w:rFonts w:ascii="Arial Narrow" w:eastAsia="Calibri" w:hAnsi="Arial Narrow" w:cs="Calibri"/>
          <w:sz w:val="18"/>
          <w:szCs w:val="18"/>
          <w:lang w:eastAsia="en-US"/>
        </w:rPr>
      </w:pPr>
    </w:p>
    <w:p w:rsidR="00492982" w:rsidRPr="00492982" w:rsidRDefault="00492982">
      <w:pPr>
        <w:jc w:val="left"/>
        <w:rPr>
          <w:snapToGrid w:val="0"/>
        </w:rPr>
      </w:pPr>
    </w:p>
    <w:p w:rsidR="00443CCB" w:rsidRPr="00492982" w:rsidRDefault="00443CCB" w:rsidP="00492982">
      <w:pPr>
        <w:keepNext/>
        <w:keepLines/>
        <w:widowControl w:val="0"/>
        <w:spacing w:after="160" w:line="259" w:lineRule="auto"/>
        <w:jc w:val="left"/>
        <w:rPr>
          <w:snapToGrid w:val="0"/>
        </w:rPr>
      </w:pPr>
      <w:r w:rsidRPr="00492982">
        <w:rPr>
          <w:snapToGrid w:val="0"/>
        </w:rPr>
        <w:lastRenderedPageBreak/>
        <w:t>Dual combination therapy:</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443CCB" w:rsidRPr="00443CCB" w:rsidTr="00492982">
        <w:tc>
          <w:tcPr>
            <w:tcW w:w="5000" w:type="pct"/>
            <w:tcBorders>
              <w:top w:val="single" w:sz="4" w:space="0" w:color="auto"/>
              <w:left w:val="single" w:sz="4" w:space="0" w:color="auto"/>
              <w:bottom w:val="single" w:sz="4" w:space="0" w:color="auto"/>
              <w:right w:val="single" w:sz="4" w:space="0" w:color="auto"/>
            </w:tcBorders>
          </w:tcPr>
          <w:p w:rsidR="00443CCB" w:rsidRPr="00443CCB" w:rsidRDefault="00443CCB" w:rsidP="00492982">
            <w:pPr>
              <w:keepNext/>
              <w:keepLines/>
              <w:widowControl w:val="0"/>
              <w:rPr>
                <w:rFonts w:ascii="Arial Narrow" w:eastAsia="Calibri" w:hAnsi="Arial Narrow" w:cs="Arial"/>
                <w:sz w:val="18"/>
                <w:szCs w:val="18"/>
                <w:lang w:eastAsia="en-US"/>
              </w:rPr>
            </w:pPr>
            <w:r w:rsidRPr="00443CCB">
              <w:rPr>
                <w:rFonts w:ascii="Arial Narrow" w:eastAsia="Calibri" w:hAnsi="Arial Narrow" w:cs="Arial"/>
                <w:b/>
                <w:sz w:val="18"/>
                <w:szCs w:val="18"/>
                <w:lang w:eastAsia="en-US"/>
              </w:rPr>
              <w:t xml:space="preserve">Category / Program:   </w:t>
            </w:r>
            <w:r w:rsidRPr="00443CCB">
              <w:rPr>
                <w:rFonts w:ascii="Arial Narrow" w:eastAsia="Calibri" w:hAnsi="Arial Narrow" w:cs="Arial"/>
                <w:sz w:val="18"/>
                <w:szCs w:val="18"/>
                <w:lang w:eastAsia="en-US"/>
              </w:rPr>
              <w:t>GENERAL – General Schedule (Code GE)</w:t>
            </w:r>
          </w:p>
        </w:tc>
      </w:tr>
      <w:tr w:rsidR="00443CCB" w:rsidRPr="00443CCB" w:rsidTr="00492982">
        <w:tc>
          <w:tcPr>
            <w:tcW w:w="5000" w:type="pct"/>
            <w:tcBorders>
              <w:top w:val="single" w:sz="4" w:space="0" w:color="auto"/>
              <w:left w:val="single" w:sz="4" w:space="0" w:color="auto"/>
              <w:bottom w:val="single" w:sz="4" w:space="0" w:color="auto"/>
              <w:right w:val="single" w:sz="4" w:space="0" w:color="auto"/>
            </w:tcBorders>
          </w:tcPr>
          <w:p w:rsidR="00443CCB" w:rsidRPr="00443CCB" w:rsidRDefault="00443CCB" w:rsidP="00492982">
            <w:pPr>
              <w:keepNext/>
              <w:keepLines/>
              <w:widowControl w:val="0"/>
              <w:rPr>
                <w:rFonts w:ascii="Arial Narrow" w:eastAsia="Calibri" w:hAnsi="Arial Narrow" w:cs="Arial"/>
                <w:b/>
                <w:sz w:val="18"/>
                <w:szCs w:val="18"/>
                <w:lang w:eastAsia="en-US"/>
              </w:rPr>
            </w:pPr>
            <w:r w:rsidRPr="00443CCB">
              <w:rPr>
                <w:rFonts w:ascii="Arial Narrow" w:eastAsia="Calibri" w:hAnsi="Arial Narrow" w:cs="Arial"/>
                <w:b/>
                <w:sz w:val="18"/>
                <w:szCs w:val="18"/>
                <w:lang w:eastAsia="en-US"/>
              </w:rPr>
              <w:t xml:space="preserve">Prescriber type:   </w:t>
            </w:r>
            <w:r w:rsidRPr="00443CCB">
              <w:rPr>
                <w:rFonts w:ascii="Arial Narrow" w:eastAsia="Calibri" w:hAnsi="Arial Narrow" w:cs="Arial"/>
                <w:sz w:val="18"/>
                <w:szCs w:val="18"/>
                <w:lang w:eastAsia="en-US"/>
              </w:rPr>
              <w:fldChar w:fldCharType="begin">
                <w:ffData>
                  <w:name w:val=""/>
                  <w:enabled/>
                  <w:calcOnExit w:val="0"/>
                  <w:checkBox>
                    <w:sizeAuto/>
                    <w:default w:val="0"/>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Pr="00443CCB">
              <w:rPr>
                <w:rFonts w:ascii="Arial Narrow" w:eastAsia="Calibri" w:hAnsi="Arial Narrow" w:cs="Arial"/>
                <w:sz w:val="18"/>
                <w:szCs w:val="18"/>
                <w:lang w:eastAsia="en-US"/>
              </w:rPr>
              <w:t xml:space="preserve">Dental   </w:t>
            </w:r>
            <w:r w:rsidRPr="00443CCB">
              <w:rPr>
                <w:rFonts w:ascii="Arial Narrow" w:eastAsia="Calibri" w:hAnsi="Arial Narrow" w:cs="Arial"/>
                <w:sz w:val="18"/>
                <w:szCs w:val="18"/>
                <w:lang w:eastAsia="en-US"/>
              </w:rPr>
              <w:fldChar w:fldCharType="begin">
                <w:ffData>
                  <w:name w:val=""/>
                  <w:enabled/>
                  <w:calcOnExit w:val="0"/>
                  <w:checkBox>
                    <w:sizeAuto/>
                    <w:default w:val="1"/>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Pr="00443CCB">
              <w:rPr>
                <w:rFonts w:ascii="Arial Narrow" w:eastAsia="Calibri" w:hAnsi="Arial Narrow" w:cs="Arial"/>
                <w:sz w:val="18"/>
                <w:szCs w:val="18"/>
                <w:lang w:eastAsia="en-US"/>
              </w:rPr>
              <w:t xml:space="preserve">Medical Practitioners   </w:t>
            </w:r>
            <w:r w:rsidRPr="00443CCB">
              <w:rPr>
                <w:rFonts w:ascii="Arial Narrow" w:eastAsia="Calibri" w:hAnsi="Arial Narrow" w:cs="Arial"/>
                <w:sz w:val="18"/>
                <w:szCs w:val="18"/>
                <w:lang w:eastAsia="en-US"/>
              </w:rPr>
              <w:fldChar w:fldCharType="begin">
                <w:ffData>
                  <w:name w:val="Check3"/>
                  <w:enabled/>
                  <w:calcOnExit w:val="0"/>
                  <w:checkBox>
                    <w:sizeAuto/>
                    <w:default w:val="1"/>
                  </w:checkBox>
                </w:ffData>
              </w:fldChar>
            </w:r>
            <w:bookmarkStart w:id="3" w:name="Check3"/>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bookmarkEnd w:id="3"/>
            <w:r w:rsidRPr="00443CCB">
              <w:rPr>
                <w:rFonts w:ascii="Arial Narrow" w:eastAsia="Calibri" w:hAnsi="Arial Narrow" w:cs="Arial"/>
                <w:sz w:val="18"/>
                <w:szCs w:val="18"/>
                <w:lang w:eastAsia="en-US"/>
              </w:rPr>
              <w:t>Nurse practitioners</w:t>
            </w:r>
            <w:r w:rsidR="00334310">
              <w:rPr>
                <w:rFonts w:ascii="Arial Narrow" w:eastAsia="Calibri" w:hAnsi="Arial Narrow" w:cs="Arial"/>
                <w:sz w:val="18"/>
                <w:szCs w:val="18"/>
                <w:lang w:eastAsia="en-US"/>
              </w:rPr>
              <w:t xml:space="preserve">   </w:t>
            </w:r>
            <w:r w:rsidRPr="00443CCB">
              <w:rPr>
                <w:rFonts w:ascii="Arial Narrow" w:eastAsia="Calibri" w:hAnsi="Arial Narrow" w:cs="Arial"/>
                <w:sz w:val="18"/>
                <w:szCs w:val="18"/>
                <w:lang w:eastAsia="en-US"/>
              </w:rPr>
              <w:fldChar w:fldCharType="begin">
                <w:ffData>
                  <w:name w:val=""/>
                  <w:enabled/>
                  <w:calcOnExit w:val="0"/>
                  <w:checkBox>
                    <w:sizeAuto/>
                    <w:default w:val="0"/>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00334310">
              <w:rPr>
                <w:rFonts w:ascii="Arial Narrow" w:eastAsia="Calibri" w:hAnsi="Arial Narrow" w:cs="Arial"/>
                <w:sz w:val="18"/>
                <w:szCs w:val="18"/>
                <w:lang w:eastAsia="en-US"/>
              </w:rPr>
              <w:t xml:space="preserve">Optometrists  </w:t>
            </w:r>
            <w:r w:rsidRPr="00443CCB">
              <w:rPr>
                <w:rFonts w:ascii="Arial Narrow" w:eastAsia="Calibri" w:hAnsi="Arial Narrow" w:cs="Arial"/>
                <w:sz w:val="18"/>
                <w:szCs w:val="18"/>
                <w:lang w:eastAsia="en-US"/>
              </w:rPr>
              <w:fldChar w:fldCharType="begin">
                <w:ffData>
                  <w:name w:val="Check5"/>
                  <w:enabled/>
                  <w:calcOnExit w:val="0"/>
                  <w:checkBox>
                    <w:sizeAuto/>
                    <w:default w:val="0"/>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Pr="00443CCB">
              <w:rPr>
                <w:rFonts w:ascii="Arial Narrow" w:eastAsia="Calibri" w:hAnsi="Arial Narrow" w:cs="Arial"/>
                <w:sz w:val="18"/>
                <w:szCs w:val="18"/>
                <w:lang w:eastAsia="en-US"/>
              </w:rPr>
              <w:t>Midwives</w:t>
            </w:r>
          </w:p>
        </w:tc>
      </w:tr>
      <w:tr w:rsidR="00443CCB" w:rsidRPr="00443CCB" w:rsidTr="00492982">
        <w:tc>
          <w:tcPr>
            <w:tcW w:w="5000" w:type="pct"/>
            <w:tcBorders>
              <w:top w:val="single" w:sz="4" w:space="0" w:color="auto"/>
              <w:left w:val="single" w:sz="4" w:space="0" w:color="auto"/>
              <w:bottom w:val="single" w:sz="4" w:space="0" w:color="auto"/>
              <w:right w:val="single" w:sz="4" w:space="0" w:color="auto"/>
            </w:tcBorders>
          </w:tcPr>
          <w:p w:rsidR="00443CCB" w:rsidRPr="00443CCB" w:rsidRDefault="00443CCB" w:rsidP="00492982">
            <w:pPr>
              <w:keepNext/>
              <w:keepLines/>
              <w:widowControl w:val="0"/>
              <w:rPr>
                <w:rFonts w:ascii="Arial Narrow" w:eastAsia="Calibri" w:hAnsi="Arial Narrow" w:cs="Arial"/>
                <w:b/>
                <w:sz w:val="18"/>
                <w:szCs w:val="18"/>
                <w:lang w:eastAsia="en-US"/>
              </w:rPr>
            </w:pPr>
            <w:r w:rsidRPr="00443CCB">
              <w:rPr>
                <w:rFonts w:ascii="Arial Narrow" w:eastAsia="Calibri" w:hAnsi="Arial Narrow" w:cs="Arial"/>
                <w:b/>
                <w:sz w:val="18"/>
                <w:szCs w:val="18"/>
                <w:lang w:eastAsia="en-US"/>
              </w:rPr>
              <w:t xml:space="preserve">Restriction Level / Method:  </w:t>
            </w:r>
            <w:r w:rsidRPr="00443CCB">
              <w:rPr>
                <w:rFonts w:ascii="Arial Narrow" w:eastAsia="Calibri" w:hAnsi="Arial Narrow" w:cs="Arial"/>
                <w:sz w:val="18"/>
                <w:szCs w:val="18"/>
                <w:lang w:eastAsia="en-US"/>
              </w:rPr>
              <w:fldChar w:fldCharType="begin">
                <w:ffData>
                  <w:name w:val=""/>
                  <w:enabled/>
                  <w:calcOnExit w:val="0"/>
                  <w:checkBox>
                    <w:sizeAuto/>
                    <w:default w:val="1"/>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Pr="00443CCB">
              <w:rPr>
                <w:rFonts w:ascii="Arial Narrow" w:eastAsia="Calibri" w:hAnsi="Arial Narrow" w:cs="Arial"/>
                <w:sz w:val="18"/>
                <w:szCs w:val="18"/>
                <w:lang w:eastAsia="en-US"/>
              </w:rPr>
              <w:t>Authority Required - Streamlined</w:t>
            </w:r>
          </w:p>
        </w:tc>
      </w:tr>
      <w:tr w:rsidR="00443CCB" w:rsidRPr="00443CCB" w:rsidTr="00492982">
        <w:tc>
          <w:tcPr>
            <w:tcW w:w="5000" w:type="pct"/>
            <w:tcBorders>
              <w:bottom w:val="nil"/>
            </w:tcBorders>
            <w:vAlign w:val="center"/>
            <w:hideMark/>
          </w:tcPr>
          <w:p w:rsidR="00443CCB" w:rsidRPr="00443CCB" w:rsidRDefault="00443CCB" w:rsidP="00492982">
            <w:pPr>
              <w:keepNext/>
              <w:keepLines/>
              <w:widowControl w:val="0"/>
              <w:jc w:val="left"/>
              <w:rPr>
                <w:rFonts w:ascii="Arial Narrow" w:eastAsia="Calibri" w:hAnsi="Arial Narrow" w:cs="Calibri"/>
                <w:sz w:val="18"/>
                <w:szCs w:val="18"/>
                <w:lang w:eastAsia="en-US"/>
              </w:rPr>
            </w:pPr>
            <w:r w:rsidRPr="00443CCB">
              <w:rPr>
                <w:rFonts w:ascii="Arial Narrow" w:eastAsia="Calibri" w:hAnsi="Arial Narrow" w:cs="Calibri"/>
                <w:b/>
                <w:bCs/>
                <w:sz w:val="18"/>
                <w:szCs w:val="18"/>
                <w:lang w:eastAsia="en-US"/>
              </w:rPr>
              <w:t>Indication:</w:t>
            </w:r>
            <w:r w:rsidRPr="00443CCB">
              <w:rPr>
                <w:rFonts w:ascii="Arial Narrow" w:eastAsia="Calibri" w:hAnsi="Arial Narrow" w:cs="Calibri"/>
                <w:sz w:val="18"/>
                <w:szCs w:val="18"/>
                <w:lang w:eastAsia="en-US"/>
              </w:rPr>
              <w:t xml:space="preserve"> Diabetes mellitus type 2</w:t>
            </w:r>
          </w:p>
        </w:tc>
      </w:tr>
      <w:tr w:rsidR="00443CCB" w:rsidRPr="00443CCB" w:rsidTr="00492982">
        <w:tc>
          <w:tcPr>
            <w:tcW w:w="5000" w:type="pct"/>
            <w:tcBorders>
              <w:top w:val="nil"/>
              <w:bottom w:val="nil"/>
            </w:tcBorders>
            <w:vAlign w:val="center"/>
            <w:hideMark/>
          </w:tcPr>
          <w:p w:rsidR="00443CCB" w:rsidRPr="00443CCB" w:rsidRDefault="00443CCB" w:rsidP="00492982">
            <w:pPr>
              <w:keepNext/>
              <w:keepLines/>
              <w:widowControl w:val="0"/>
              <w:jc w:val="left"/>
              <w:rPr>
                <w:rFonts w:ascii="Arial Narrow" w:eastAsia="Calibri" w:hAnsi="Arial Narrow" w:cs="Calibri"/>
                <w:sz w:val="18"/>
                <w:szCs w:val="18"/>
                <w:lang w:eastAsia="en-US"/>
              </w:rPr>
            </w:pPr>
            <w:r w:rsidRPr="00443CCB">
              <w:rPr>
                <w:rFonts w:ascii="Arial Narrow" w:eastAsia="Calibri" w:hAnsi="Arial Narrow" w:cs="Calibri"/>
                <w:b/>
                <w:bCs/>
                <w:sz w:val="18"/>
                <w:szCs w:val="18"/>
                <w:lang w:eastAsia="en-US"/>
              </w:rPr>
              <w:t>Clinical criteria:</w:t>
            </w:r>
          </w:p>
        </w:tc>
      </w:tr>
      <w:tr w:rsidR="00443CCB" w:rsidRPr="00443CCB" w:rsidTr="00492982">
        <w:tc>
          <w:tcPr>
            <w:tcW w:w="5000" w:type="pct"/>
            <w:tcBorders>
              <w:top w:val="nil"/>
              <w:bottom w:val="nil"/>
            </w:tcBorders>
            <w:vAlign w:val="center"/>
            <w:hideMark/>
          </w:tcPr>
          <w:p w:rsidR="00443CCB" w:rsidRPr="00443CCB" w:rsidRDefault="00443CCB" w:rsidP="00492982">
            <w:pPr>
              <w:pStyle w:val="ListParagraph"/>
              <w:keepNext/>
              <w:keepLines/>
              <w:widowControl w:val="0"/>
              <w:numPr>
                <w:ilvl w:val="0"/>
                <w:numId w:val="31"/>
              </w:numPr>
              <w:spacing w:after="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The treatment must be in combination with metformin; or</w:t>
            </w:r>
          </w:p>
        </w:tc>
      </w:tr>
      <w:tr w:rsidR="00443CCB" w:rsidRPr="00443CCB" w:rsidTr="00492982">
        <w:tc>
          <w:tcPr>
            <w:tcW w:w="5000" w:type="pct"/>
            <w:tcBorders>
              <w:top w:val="nil"/>
              <w:bottom w:val="nil"/>
            </w:tcBorders>
            <w:vAlign w:val="center"/>
            <w:hideMark/>
          </w:tcPr>
          <w:p w:rsidR="00443CCB" w:rsidRPr="00443CCB" w:rsidRDefault="00443CCB" w:rsidP="00492982">
            <w:pPr>
              <w:pStyle w:val="ListParagraph"/>
              <w:keepNext/>
              <w:keepLines/>
              <w:widowControl w:val="0"/>
              <w:numPr>
                <w:ilvl w:val="0"/>
                <w:numId w:val="31"/>
              </w:numPr>
              <w:spacing w:after="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The treatment must be in combination with a sulfonylurea</w:t>
            </w:r>
          </w:p>
        </w:tc>
      </w:tr>
      <w:tr w:rsidR="00443CCB" w:rsidRPr="00443CCB" w:rsidTr="00492982">
        <w:tc>
          <w:tcPr>
            <w:tcW w:w="5000" w:type="pct"/>
            <w:tcBorders>
              <w:top w:val="nil"/>
              <w:bottom w:val="nil"/>
            </w:tcBorders>
            <w:vAlign w:val="center"/>
            <w:hideMark/>
          </w:tcPr>
          <w:p w:rsidR="00443CCB" w:rsidRPr="00443CCB" w:rsidRDefault="00443CCB" w:rsidP="00492982">
            <w:pPr>
              <w:pStyle w:val="ListParagraph"/>
              <w:keepNext/>
              <w:keepLines/>
              <w:widowControl w:val="0"/>
              <w:spacing w:after="0"/>
              <w:ind w:left="720" w:firstLine="0"/>
              <w:rPr>
                <w:rFonts w:ascii="Arial Narrow" w:eastAsia="Calibri" w:hAnsi="Arial Narrow" w:cs="Calibri"/>
                <w:sz w:val="18"/>
                <w:szCs w:val="18"/>
                <w:lang w:eastAsia="en-US"/>
              </w:rPr>
            </w:pPr>
            <w:r w:rsidRPr="00443CCB">
              <w:rPr>
                <w:rFonts w:ascii="Arial Narrow" w:eastAsia="Calibri" w:hAnsi="Arial Narrow" w:cs="Calibri"/>
                <w:b/>
                <w:bCs/>
                <w:sz w:val="18"/>
                <w:szCs w:val="18"/>
                <w:lang w:eastAsia="en-US"/>
              </w:rPr>
              <w:t>AND</w:t>
            </w:r>
          </w:p>
        </w:tc>
      </w:tr>
      <w:tr w:rsidR="00443CCB" w:rsidRPr="00443CCB" w:rsidTr="00492982">
        <w:tc>
          <w:tcPr>
            <w:tcW w:w="5000" w:type="pct"/>
            <w:tcBorders>
              <w:top w:val="nil"/>
              <w:bottom w:val="nil"/>
            </w:tcBorders>
            <w:vAlign w:val="center"/>
            <w:hideMark/>
          </w:tcPr>
          <w:p w:rsidR="00443CCB" w:rsidRPr="00443CCB" w:rsidRDefault="00443CCB" w:rsidP="00492982">
            <w:pPr>
              <w:pStyle w:val="ListParagraph"/>
              <w:keepNext/>
              <w:keepLines/>
              <w:widowControl w:val="0"/>
              <w:numPr>
                <w:ilvl w:val="0"/>
                <w:numId w:val="31"/>
              </w:numPr>
              <w:spacing w:after="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Patient must have a contraindication to a combination of metformin and a sulfonylurea; or</w:t>
            </w:r>
          </w:p>
        </w:tc>
      </w:tr>
      <w:tr w:rsidR="00443CCB" w:rsidRPr="00443CCB" w:rsidTr="00492982">
        <w:tc>
          <w:tcPr>
            <w:tcW w:w="5000" w:type="pct"/>
            <w:tcBorders>
              <w:top w:val="nil"/>
              <w:bottom w:val="nil"/>
            </w:tcBorders>
            <w:vAlign w:val="center"/>
            <w:hideMark/>
          </w:tcPr>
          <w:p w:rsidR="00443CCB" w:rsidRPr="00443CCB" w:rsidRDefault="00443CCB" w:rsidP="00492982">
            <w:pPr>
              <w:pStyle w:val="ListParagraph"/>
              <w:keepNext/>
              <w:keepLines/>
              <w:widowControl w:val="0"/>
              <w:numPr>
                <w:ilvl w:val="0"/>
                <w:numId w:val="31"/>
              </w:numPr>
              <w:spacing w:after="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Patient must not have tolerated a combination of metformin and a sulfonylurea</w:t>
            </w:r>
          </w:p>
        </w:tc>
      </w:tr>
      <w:tr w:rsidR="00443CCB" w:rsidRPr="00443CCB" w:rsidTr="00492982">
        <w:tc>
          <w:tcPr>
            <w:tcW w:w="5000" w:type="pct"/>
            <w:tcBorders>
              <w:top w:val="nil"/>
              <w:bottom w:val="nil"/>
            </w:tcBorders>
            <w:vAlign w:val="center"/>
            <w:hideMark/>
          </w:tcPr>
          <w:p w:rsidR="00443CCB" w:rsidRPr="00443CCB" w:rsidRDefault="00443CCB" w:rsidP="00492982">
            <w:pPr>
              <w:pStyle w:val="ListParagraph"/>
              <w:keepNext/>
              <w:keepLines/>
              <w:widowControl w:val="0"/>
              <w:spacing w:after="0"/>
              <w:ind w:left="720" w:firstLine="0"/>
              <w:rPr>
                <w:rFonts w:ascii="Arial Narrow" w:eastAsia="Calibri" w:hAnsi="Arial Narrow" w:cs="Calibri"/>
                <w:sz w:val="18"/>
                <w:szCs w:val="18"/>
                <w:lang w:eastAsia="en-US"/>
              </w:rPr>
            </w:pPr>
            <w:r w:rsidRPr="00443CCB">
              <w:rPr>
                <w:rFonts w:ascii="Arial Narrow" w:eastAsia="Calibri" w:hAnsi="Arial Narrow" w:cs="Calibri"/>
                <w:b/>
                <w:bCs/>
                <w:sz w:val="18"/>
                <w:szCs w:val="18"/>
                <w:lang w:eastAsia="en-US"/>
              </w:rPr>
              <w:t>AND</w:t>
            </w:r>
          </w:p>
        </w:tc>
      </w:tr>
      <w:tr w:rsidR="00443CCB" w:rsidRPr="00443CCB" w:rsidTr="00492982">
        <w:tc>
          <w:tcPr>
            <w:tcW w:w="5000" w:type="pct"/>
            <w:tcBorders>
              <w:top w:val="nil"/>
              <w:bottom w:val="nil"/>
            </w:tcBorders>
            <w:vAlign w:val="center"/>
            <w:hideMark/>
          </w:tcPr>
          <w:p w:rsidR="00443CCB" w:rsidRPr="00443CCB" w:rsidRDefault="00443CCB" w:rsidP="00492982">
            <w:pPr>
              <w:pStyle w:val="ListParagraph"/>
              <w:keepNext/>
              <w:keepLines/>
              <w:widowControl w:val="0"/>
              <w:numPr>
                <w:ilvl w:val="0"/>
                <w:numId w:val="31"/>
              </w:numPr>
              <w:spacing w:after="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Patient must have, or have had, a HbA1c measurement greater than 7% prior to the initiation of a dipeptidyl peptidase 4 inhibitor (gliptin), a thiazolidinedione (</w:t>
            </w:r>
            <w:proofErr w:type="spellStart"/>
            <w:r w:rsidRPr="00443CCB">
              <w:rPr>
                <w:rFonts w:ascii="Arial Narrow" w:eastAsia="Calibri" w:hAnsi="Arial Narrow" w:cs="Calibri"/>
                <w:sz w:val="18"/>
                <w:szCs w:val="18"/>
                <w:lang w:eastAsia="en-US"/>
              </w:rPr>
              <w:t>glitazone</w:t>
            </w:r>
            <w:proofErr w:type="spellEnd"/>
            <w:r w:rsidRPr="00443CCB">
              <w:rPr>
                <w:rFonts w:ascii="Arial Narrow" w:eastAsia="Calibri" w:hAnsi="Arial Narrow" w:cs="Calibri"/>
                <w:sz w:val="18"/>
                <w:szCs w:val="18"/>
                <w:lang w:eastAsia="en-US"/>
              </w:rPr>
              <w:t>), a glucagon-like peptide-1 or a sodium-glucose co-transporter 2 (SGLT2) inhibitor despite treatment with either metformin or a sulfonylurea; or</w:t>
            </w:r>
          </w:p>
        </w:tc>
      </w:tr>
      <w:tr w:rsidR="00443CCB" w:rsidRPr="00443CCB" w:rsidTr="00492982">
        <w:tc>
          <w:tcPr>
            <w:tcW w:w="5000" w:type="pct"/>
            <w:tcBorders>
              <w:top w:val="nil"/>
            </w:tcBorders>
            <w:vAlign w:val="center"/>
            <w:hideMark/>
          </w:tcPr>
          <w:p w:rsidR="00443CCB" w:rsidRPr="00443CCB" w:rsidRDefault="00443CCB" w:rsidP="00492982">
            <w:pPr>
              <w:pStyle w:val="ListParagraph"/>
              <w:keepNext/>
              <w:keepLines/>
              <w:widowControl w:val="0"/>
              <w:numPr>
                <w:ilvl w:val="0"/>
                <w:numId w:val="31"/>
              </w:numPr>
              <w:spacing w:after="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 xml:space="preserve">Patient must have, or have had, where HbA1c measurement is clinically inappropriate, blood glucose levels greater than 10 </w:t>
            </w:r>
            <w:proofErr w:type="spellStart"/>
            <w:r w:rsidRPr="00443CCB">
              <w:rPr>
                <w:rFonts w:ascii="Arial Narrow" w:eastAsia="Calibri" w:hAnsi="Arial Narrow" w:cs="Calibri"/>
                <w:sz w:val="18"/>
                <w:szCs w:val="18"/>
                <w:lang w:eastAsia="en-US"/>
              </w:rPr>
              <w:t>mmol</w:t>
            </w:r>
            <w:proofErr w:type="spellEnd"/>
            <w:r w:rsidRPr="00443CCB">
              <w:rPr>
                <w:rFonts w:ascii="Arial Narrow" w:eastAsia="Calibri" w:hAnsi="Arial Narrow" w:cs="Calibri"/>
                <w:sz w:val="18"/>
                <w:szCs w:val="18"/>
                <w:lang w:eastAsia="en-US"/>
              </w:rPr>
              <w:t xml:space="preserve"> per L in more than 20% of tests over a 2 week period prior to initiation with a gliptin, a </w:t>
            </w:r>
            <w:proofErr w:type="spellStart"/>
            <w:r w:rsidRPr="00443CCB">
              <w:rPr>
                <w:rFonts w:ascii="Arial Narrow" w:eastAsia="Calibri" w:hAnsi="Arial Narrow" w:cs="Calibri"/>
                <w:sz w:val="18"/>
                <w:szCs w:val="18"/>
                <w:lang w:eastAsia="en-US"/>
              </w:rPr>
              <w:t>glitazone</w:t>
            </w:r>
            <w:proofErr w:type="spellEnd"/>
            <w:r w:rsidRPr="00443CCB">
              <w:rPr>
                <w:rFonts w:ascii="Arial Narrow" w:eastAsia="Calibri" w:hAnsi="Arial Narrow" w:cs="Calibri"/>
                <w:sz w:val="18"/>
                <w:szCs w:val="18"/>
                <w:lang w:eastAsia="en-US"/>
              </w:rPr>
              <w:t>, a glucagon-like peptide-1 or an SGLT2 inhibitor despite treatment with either metformin or a sulfonylurea</w:t>
            </w:r>
          </w:p>
        </w:tc>
      </w:tr>
      <w:tr w:rsidR="00443CCB" w:rsidRPr="00443CCB" w:rsidTr="00492982">
        <w:trPr>
          <w:trHeight w:val="2805"/>
        </w:trPr>
        <w:tc>
          <w:tcPr>
            <w:tcW w:w="5000" w:type="pct"/>
            <w:vAlign w:val="center"/>
            <w:hideMark/>
          </w:tcPr>
          <w:p w:rsidR="00443CCB" w:rsidRPr="00443CCB" w:rsidRDefault="00443CCB" w:rsidP="00492982">
            <w:pPr>
              <w:keepNext/>
              <w:keepLines/>
              <w:widowControl w:val="0"/>
              <w:rPr>
                <w:rFonts w:ascii="Arial Narrow" w:eastAsia="Calibri" w:hAnsi="Arial Narrow" w:cs="Calibri"/>
                <w:sz w:val="18"/>
                <w:szCs w:val="18"/>
                <w:lang w:eastAsia="en-US"/>
              </w:rPr>
            </w:pPr>
            <w:r w:rsidRPr="00443CCB">
              <w:rPr>
                <w:rFonts w:ascii="Arial Narrow" w:eastAsia="Calibri" w:hAnsi="Arial Narrow" w:cs="Calibri"/>
                <w:b/>
                <w:bCs/>
                <w:sz w:val="18"/>
                <w:szCs w:val="18"/>
                <w:lang w:eastAsia="en-US"/>
              </w:rPr>
              <w:t>Prescribing Instructions:</w:t>
            </w:r>
          </w:p>
          <w:p w:rsidR="00443CCB" w:rsidRPr="00443CCB" w:rsidRDefault="00443CCB" w:rsidP="00492982">
            <w:pPr>
              <w:keepNext/>
              <w:keepLines/>
              <w:widowControl w:val="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 xml:space="preserve">The date and level of the qualifying HbA1c measurement must be, or must have been, documented in the patient's medical records at the time treatment with a gliptin, a </w:t>
            </w:r>
            <w:proofErr w:type="spellStart"/>
            <w:r w:rsidRPr="00443CCB">
              <w:rPr>
                <w:rFonts w:ascii="Arial Narrow" w:eastAsia="Calibri" w:hAnsi="Arial Narrow" w:cs="Calibri"/>
                <w:sz w:val="18"/>
                <w:szCs w:val="18"/>
                <w:lang w:eastAsia="en-US"/>
              </w:rPr>
              <w:t>glitazone</w:t>
            </w:r>
            <w:proofErr w:type="spellEnd"/>
            <w:r w:rsidRPr="00443CCB">
              <w:rPr>
                <w:rFonts w:ascii="Arial Narrow" w:eastAsia="Calibri" w:hAnsi="Arial Narrow" w:cs="Calibri"/>
                <w:sz w:val="18"/>
                <w:szCs w:val="18"/>
                <w:lang w:eastAsia="en-US"/>
              </w:rPr>
              <w:t xml:space="preserve">, a glucagon-like peptide-1 or an SGLT2 inhibitor </w:t>
            </w:r>
            <w:proofErr w:type="gramStart"/>
            <w:r w:rsidRPr="00443CCB">
              <w:rPr>
                <w:rFonts w:ascii="Arial Narrow" w:eastAsia="Calibri" w:hAnsi="Arial Narrow" w:cs="Calibri"/>
                <w:sz w:val="18"/>
                <w:szCs w:val="18"/>
                <w:lang w:eastAsia="en-US"/>
              </w:rPr>
              <w:t>is initiated</w:t>
            </w:r>
            <w:proofErr w:type="gramEnd"/>
            <w:r w:rsidRPr="00443CCB">
              <w:rPr>
                <w:rFonts w:ascii="Arial Narrow" w:eastAsia="Calibri" w:hAnsi="Arial Narrow" w:cs="Calibri"/>
                <w:sz w:val="18"/>
                <w:szCs w:val="18"/>
                <w:lang w:eastAsia="en-US"/>
              </w:rPr>
              <w:t>.</w:t>
            </w:r>
          </w:p>
          <w:p w:rsidR="00443CCB" w:rsidRDefault="00443CCB" w:rsidP="00492982">
            <w:pPr>
              <w:keepNext/>
              <w:keepLines/>
              <w:widowControl w:val="0"/>
              <w:rPr>
                <w:rFonts w:ascii="Arial Narrow" w:eastAsia="Calibri" w:hAnsi="Arial Narrow" w:cs="Calibri"/>
                <w:sz w:val="18"/>
                <w:szCs w:val="18"/>
                <w:lang w:eastAsia="en-US"/>
              </w:rPr>
            </w:pPr>
          </w:p>
          <w:p w:rsidR="00443CCB" w:rsidRPr="00443CCB" w:rsidRDefault="00443CCB" w:rsidP="00492982">
            <w:pPr>
              <w:keepNext/>
              <w:keepLines/>
              <w:widowControl w:val="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 xml:space="preserve">The HbA1c must be no more than 4 months old at the time treatment with a gliptin, a </w:t>
            </w:r>
            <w:proofErr w:type="spellStart"/>
            <w:r w:rsidRPr="00443CCB">
              <w:rPr>
                <w:rFonts w:ascii="Arial Narrow" w:eastAsia="Calibri" w:hAnsi="Arial Narrow" w:cs="Calibri"/>
                <w:sz w:val="18"/>
                <w:szCs w:val="18"/>
                <w:lang w:eastAsia="en-US"/>
              </w:rPr>
              <w:t>glitazone</w:t>
            </w:r>
            <w:proofErr w:type="spellEnd"/>
            <w:r w:rsidRPr="00443CCB">
              <w:rPr>
                <w:rFonts w:ascii="Arial Narrow" w:eastAsia="Calibri" w:hAnsi="Arial Narrow" w:cs="Calibri"/>
                <w:sz w:val="18"/>
                <w:szCs w:val="18"/>
                <w:lang w:eastAsia="en-US"/>
              </w:rPr>
              <w:t xml:space="preserve">, a glucagon-like peptide-1 or an SGLT2 inhibitor </w:t>
            </w:r>
            <w:proofErr w:type="gramStart"/>
            <w:r w:rsidRPr="00443CCB">
              <w:rPr>
                <w:rFonts w:ascii="Arial Narrow" w:eastAsia="Calibri" w:hAnsi="Arial Narrow" w:cs="Calibri"/>
                <w:sz w:val="18"/>
                <w:szCs w:val="18"/>
                <w:lang w:eastAsia="en-US"/>
              </w:rPr>
              <w:t>was initiated</w:t>
            </w:r>
            <w:proofErr w:type="gramEnd"/>
            <w:r w:rsidRPr="00443CCB">
              <w:rPr>
                <w:rFonts w:ascii="Arial Narrow" w:eastAsia="Calibri" w:hAnsi="Arial Narrow" w:cs="Calibri"/>
                <w:sz w:val="18"/>
                <w:szCs w:val="18"/>
                <w:lang w:eastAsia="en-US"/>
              </w:rPr>
              <w:t>.</w:t>
            </w:r>
          </w:p>
          <w:p w:rsidR="00443CCB" w:rsidRDefault="00443CCB" w:rsidP="00492982">
            <w:pPr>
              <w:keepNext/>
              <w:keepLines/>
              <w:widowControl w:val="0"/>
              <w:rPr>
                <w:rFonts w:ascii="Arial Narrow" w:eastAsia="Calibri" w:hAnsi="Arial Narrow" w:cs="Calibri"/>
                <w:sz w:val="18"/>
                <w:szCs w:val="18"/>
                <w:lang w:eastAsia="en-US"/>
              </w:rPr>
            </w:pPr>
          </w:p>
          <w:p w:rsidR="00443CCB" w:rsidRPr="00443CCB" w:rsidRDefault="00443CCB" w:rsidP="00492982">
            <w:pPr>
              <w:keepNext/>
              <w:keepLines/>
              <w:widowControl w:val="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Blood glucose monitoring may be used as an alternative assessment to HbA1c levels in the following circumstances:</w:t>
            </w:r>
          </w:p>
          <w:p w:rsidR="00443CCB" w:rsidRPr="00443CCB" w:rsidRDefault="00443CCB" w:rsidP="00492982">
            <w:pPr>
              <w:keepNext/>
              <w:keepLines/>
              <w:widowControl w:val="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 xml:space="preserve">(a) A clinical condition with reduced red blood cell survival, including haemolytic anaemias and </w:t>
            </w:r>
            <w:proofErr w:type="spellStart"/>
            <w:r w:rsidRPr="00443CCB">
              <w:rPr>
                <w:rFonts w:ascii="Arial Narrow" w:eastAsia="Calibri" w:hAnsi="Arial Narrow" w:cs="Calibri"/>
                <w:sz w:val="18"/>
                <w:szCs w:val="18"/>
                <w:lang w:eastAsia="en-US"/>
              </w:rPr>
              <w:t>haemoglobinopathies</w:t>
            </w:r>
            <w:proofErr w:type="spellEnd"/>
            <w:r w:rsidRPr="00443CCB">
              <w:rPr>
                <w:rFonts w:ascii="Arial Narrow" w:eastAsia="Calibri" w:hAnsi="Arial Narrow" w:cs="Calibri"/>
                <w:sz w:val="18"/>
                <w:szCs w:val="18"/>
                <w:lang w:eastAsia="en-US"/>
              </w:rPr>
              <w:t>; and/or</w:t>
            </w:r>
          </w:p>
          <w:p w:rsidR="00443CCB" w:rsidRPr="00443CCB" w:rsidRDefault="00443CCB" w:rsidP="00492982">
            <w:pPr>
              <w:keepNext/>
              <w:keepLines/>
              <w:widowControl w:val="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(b) Had red cell transfusion within the previous 3 months.</w:t>
            </w:r>
          </w:p>
          <w:p w:rsidR="00443CCB" w:rsidRDefault="00443CCB" w:rsidP="00492982">
            <w:pPr>
              <w:keepNext/>
              <w:keepLines/>
              <w:widowControl w:val="0"/>
              <w:rPr>
                <w:rFonts w:ascii="Arial Narrow" w:eastAsia="Calibri" w:hAnsi="Arial Narrow" w:cs="Calibri"/>
                <w:sz w:val="18"/>
                <w:szCs w:val="18"/>
                <w:lang w:eastAsia="en-US"/>
              </w:rPr>
            </w:pPr>
          </w:p>
          <w:p w:rsidR="00443CCB" w:rsidRPr="00443CCB" w:rsidRDefault="00443CCB" w:rsidP="00492982">
            <w:pPr>
              <w:keepNext/>
              <w:keepLines/>
              <w:widowControl w:val="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 xml:space="preserve">The results of the blood glucose monitoring, which must be no more than 4 months old at the time of initiation of treatment with a gliptin, a </w:t>
            </w:r>
            <w:proofErr w:type="spellStart"/>
            <w:r w:rsidRPr="00443CCB">
              <w:rPr>
                <w:rFonts w:ascii="Arial Narrow" w:eastAsia="Calibri" w:hAnsi="Arial Narrow" w:cs="Calibri"/>
                <w:sz w:val="18"/>
                <w:szCs w:val="18"/>
                <w:lang w:eastAsia="en-US"/>
              </w:rPr>
              <w:t>glitazone</w:t>
            </w:r>
            <w:proofErr w:type="spellEnd"/>
            <w:r w:rsidRPr="00443CCB">
              <w:rPr>
                <w:rFonts w:ascii="Arial Narrow" w:eastAsia="Calibri" w:hAnsi="Arial Narrow" w:cs="Calibri"/>
                <w:sz w:val="18"/>
                <w:szCs w:val="18"/>
                <w:lang w:eastAsia="en-US"/>
              </w:rPr>
              <w:t xml:space="preserve">, a glucagon-like peptide-1 or an SGLT2 inhibitor, </w:t>
            </w:r>
            <w:proofErr w:type="gramStart"/>
            <w:r w:rsidRPr="00443CCB">
              <w:rPr>
                <w:rFonts w:ascii="Arial Narrow" w:eastAsia="Calibri" w:hAnsi="Arial Narrow" w:cs="Calibri"/>
                <w:sz w:val="18"/>
                <w:szCs w:val="18"/>
                <w:lang w:eastAsia="en-US"/>
              </w:rPr>
              <w:t>must be documented</w:t>
            </w:r>
            <w:proofErr w:type="gramEnd"/>
            <w:r w:rsidRPr="00443CCB">
              <w:rPr>
                <w:rFonts w:ascii="Arial Narrow" w:eastAsia="Calibri" w:hAnsi="Arial Narrow" w:cs="Calibri"/>
                <w:sz w:val="18"/>
                <w:szCs w:val="18"/>
                <w:lang w:eastAsia="en-US"/>
              </w:rPr>
              <w:t xml:space="preserve"> in the patient's medical records.</w:t>
            </w:r>
          </w:p>
        </w:tc>
      </w:tr>
      <w:tr w:rsidR="00443CCB" w:rsidRPr="00443CCB" w:rsidTr="00492982">
        <w:trPr>
          <w:trHeight w:val="897"/>
        </w:trPr>
        <w:tc>
          <w:tcPr>
            <w:tcW w:w="5000" w:type="pct"/>
            <w:vAlign w:val="center"/>
            <w:hideMark/>
          </w:tcPr>
          <w:p w:rsidR="00443CCB" w:rsidRPr="00443CCB" w:rsidRDefault="00443CCB" w:rsidP="00492982">
            <w:pPr>
              <w:keepNext/>
              <w:keepLines/>
              <w:widowControl w:val="0"/>
              <w:rPr>
                <w:rFonts w:ascii="Arial Narrow" w:eastAsia="Calibri" w:hAnsi="Arial Narrow" w:cs="Calibri"/>
                <w:sz w:val="18"/>
                <w:szCs w:val="18"/>
                <w:lang w:eastAsia="en-US"/>
              </w:rPr>
            </w:pPr>
            <w:r w:rsidRPr="00443CCB">
              <w:rPr>
                <w:rFonts w:ascii="Arial Narrow" w:eastAsia="Calibri" w:hAnsi="Arial Narrow" w:cs="Calibri"/>
                <w:b/>
                <w:bCs/>
                <w:sz w:val="18"/>
                <w:szCs w:val="18"/>
                <w:lang w:eastAsia="en-US"/>
              </w:rPr>
              <w:t>Administrative Advice:</w:t>
            </w:r>
          </w:p>
          <w:p w:rsidR="00443CCB" w:rsidRDefault="00443CCB" w:rsidP="00492982">
            <w:pPr>
              <w:keepNext/>
              <w:keepLines/>
              <w:widowControl w:val="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This drug is not PBS-subsidised for use as monotherapy or in combination with a dipeptidyl peptidase 4 inhibitor (gliptin), a thiazolidinedione (</w:t>
            </w:r>
            <w:proofErr w:type="spellStart"/>
            <w:r w:rsidRPr="00443CCB">
              <w:rPr>
                <w:rFonts w:ascii="Arial Narrow" w:eastAsia="Calibri" w:hAnsi="Arial Narrow" w:cs="Calibri"/>
                <w:sz w:val="18"/>
                <w:szCs w:val="18"/>
                <w:lang w:eastAsia="en-US"/>
              </w:rPr>
              <w:t>glitazone</w:t>
            </w:r>
            <w:proofErr w:type="spellEnd"/>
            <w:r w:rsidRPr="00443CCB">
              <w:rPr>
                <w:rFonts w:ascii="Arial Narrow" w:eastAsia="Calibri" w:hAnsi="Arial Narrow" w:cs="Calibri"/>
                <w:sz w:val="18"/>
                <w:szCs w:val="18"/>
                <w:lang w:eastAsia="en-US"/>
              </w:rPr>
              <w:t>), an insulin or an SGLT2 inhibitor.</w:t>
            </w:r>
          </w:p>
          <w:p w:rsidR="00443CCB" w:rsidRPr="00443CCB" w:rsidRDefault="00443CCB" w:rsidP="00492982">
            <w:pPr>
              <w:keepNext/>
              <w:keepLines/>
              <w:widowControl w:val="0"/>
              <w:rPr>
                <w:rFonts w:ascii="Arial Narrow" w:eastAsia="Calibri" w:hAnsi="Arial Narrow" w:cs="Calibri"/>
                <w:sz w:val="18"/>
                <w:szCs w:val="18"/>
                <w:lang w:eastAsia="en-US"/>
              </w:rPr>
            </w:pPr>
          </w:p>
          <w:p w:rsidR="00443CCB" w:rsidRPr="00443CCB" w:rsidRDefault="00443CCB" w:rsidP="00492982">
            <w:pPr>
              <w:keepNext/>
              <w:keepLines/>
              <w:widowControl w:val="0"/>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t>Special Pricing Arrangements apply.</w:t>
            </w:r>
          </w:p>
        </w:tc>
      </w:tr>
    </w:tbl>
    <w:p w:rsidR="00443CCB" w:rsidRPr="00443CCB" w:rsidRDefault="00443CCB" w:rsidP="00492982">
      <w:pPr>
        <w:keepNext/>
        <w:keepLines/>
        <w:widowControl w:val="0"/>
        <w:spacing w:after="160" w:line="259" w:lineRule="auto"/>
        <w:jc w:val="left"/>
        <w:rPr>
          <w:rFonts w:ascii="Arial Narrow" w:eastAsia="Calibri" w:hAnsi="Arial Narrow" w:cs="Calibri"/>
          <w:sz w:val="18"/>
          <w:szCs w:val="18"/>
          <w:lang w:eastAsia="en-US"/>
        </w:rPr>
      </w:pPr>
    </w:p>
    <w:p w:rsidR="00443CCB" w:rsidRPr="00443CCB" w:rsidRDefault="00443CCB" w:rsidP="00492982">
      <w:pPr>
        <w:keepNext/>
        <w:keepLines/>
        <w:widowControl w:val="0"/>
        <w:spacing w:after="160" w:line="259" w:lineRule="auto"/>
        <w:jc w:val="left"/>
        <w:rPr>
          <w:rFonts w:ascii="Arial Narrow" w:eastAsia="Calibri" w:hAnsi="Arial Narrow" w:cs="Calibri"/>
          <w:sz w:val="18"/>
          <w:szCs w:val="18"/>
          <w:lang w:eastAsia="en-US"/>
        </w:rPr>
      </w:pPr>
      <w:r w:rsidRPr="00443CCB">
        <w:rPr>
          <w:rFonts w:ascii="Arial Narrow" w:eastAsia="Calibri" w:hAnsi="Arial Narrow" w:cs="Calibri"/>
          <w:sz w:val="18"/>
          <w:szCs w:val="18"/>
          <w:lang w:eastAsia="en-US"/>
        </w:rPr>
        <w:br w:type="column"/>
      </w:r>
      <w:r w:rsidRPr="00492982">
        <w:rPr>
          <w:snapToGrid w:val="0"/>
        </w:rPr>
        <w:lastRenderedPageBreak/>
        <w:t>Triple combination therapy:</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83"/>
      </w:tblGrid>
      <w:tr w:rsidR="00443CCB" w:rsidRPr="00443CCB" w:rsidTr="00443CCB">
        <w:tc>
          <w:tcPr>
            <w:tcW w:w="5000" w:type="pct"/>
            <w:tcBorders>
              <w:top w:val="single" w:sz="4" w:space="0" w:color="auto"/>
              <w:left w:val="single" w:sz="4" w:space="0" w:color="auto"/>
              <w:bottom w:val="single" w:sz="4" w:space="0" w:color="auto"/>
              <w:right w:val="single" w:sz="4" w:space="0" w:color="auto"/>
            </w:tcBorders>
          </w:tcPr>
          <w:p w:rsidR="00443CCB" w:rsidRPr="00443CCB" w:rsidRDefault="00443CCB" w:rsidP="00443CCB">
            <w:pPr>
              <w:rPr>
                <w:rFonts w:ascii="Arial Narrow" w:eastAsia="Calibri" w:hAnsi="Arial Narrow" w:cs="Arial"/>
                <w:sz w:val="18"/>
                <w:szCs w:val="18"/>
                <w:lang w:eastAsia="en-US"/>
              </w:rPr>
            </w:pPr>
            <w:r w:rsidRPr="00443CCB">
              <w:rPr>
                <w:rFonts w:ascii="Arial Narrow" w:eastAsia="Calibri" w:hAnsi="Arial Narrow" w:cs="Arial"/>
                <w:b/>
                <w:sz w:val="18"/>
                <w:szCs w:val="18"/>
                <w:lang w:eastAsia="en-US"/>
              </w:rPr>
              <w:t xml:space="preserve">Category / Program:   </w:t>
            </w:r>
            <w:r w:rsidRPr="00443CCB">
              <w:rPr>
                <w:rFonts w:ascii="Arial Narrow" w:eastAsia="Calibri" w:hAnsi="Arial Narrow" w:cs="Arial"/>
                <w:sz w:val="18"/>
                <w:szCs w:val="18"/>
                <w:lang w:eastAsia="en-US"/>
              </w:rPr>
              <w:t>GENERAL – General Schedule (Code GE)</w:t>
            </w:r>
          </w:p>
        </w:tc>
      </w:tr>
      <w:tr w:rsidR="00443CCB" w:rsidRPr="00443CCB" w:rsidTr="00443CCB">
        <w:tc>
          <w:tcPr>
            <w:tcW w:w="5000" w:type="pct"/>
            <w:tcBorders>
              <w:top w:val="single" w:sz="4" w:space="0" w:color="auto"/>
              <w:left w:val="single" w:sz="4" w:space="0" w:color="auto"/>
              <w:bottom w:val="single" w:sz="4" w:space="0" w:color="auto"/>
              <w:right w:val="single" w:sz="4" w:space="0" w:color="auto"/>
            </w:tcBorders>
          </w:tcPr>
          <w:p w:rsidR="00443CCB" w:rsidRPr="00443CCB" w:rsidRDefault="00443CCB" w:rsidP="00443CCB">
            <w:pPr>
              <w:rPr>
                <w:rFonts w:ascii="Arial Narrow" w:eastAsia="Calibri" w:hAnsi="Arial Narrow" w:cs="Arial"/>
                <w:b/>
                <w:sz w:val="18"/>
                <w:szCs w:val="18"/>
                <w:lang w:eastAsia="en-US"/>
              </w:rPr>
            </w:pPr>
            <w:r w:rsidRPr="00443CCB">
              <w:rPr>
                <w:rFonts w:ascii="Arial Narrow" w:eastAsia="Calibri" w:hAnsi="Arial Narrow" w:cs="Arial"/>
                <w:b/>
                <w:sz w:val="18"/>
                <w:szCs w:val="18"/>
                <w:lang w:eastAsia="en-US"/>
              </w:rPr>
              <w:t xml:space="preserve">Prescriber type:   </w:t>
            </w:r>
            <w:r w:rsidRPr="00443CCB">
              <w:rPr>
                <w:rFonts w:ascii="Arial Narrow" w:eastAsia="Calibri" w:hAnsi="Arial Narrow" w:cs="Arial"/>
                <w:sz w:val="18"/>
                <w:szCs w:val="18"/>
                <w:lang w:eastAsia="en-US"/>
              </w:rPr>
              <w:fldChar w:fldCharType="begin">
                <w:ffData>
                  <w:name w:val="Check1"/>
                  <w:enabled/>
                  <w:calcOnExit w:val="0"/>
                  <w:checkBox>
                    <w:sizeAuto/>
                    <w:default w:val="0"/>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Pr="00443CCB">
              <w:rPr>
                <w:rFonts w:ascii="Arial Narrow" w:eastAsia="Calibri" w:hAnsi="Arial Narrow" w:cs="Arial"/>
                <w:sz w:val="18"/>
                <w:szCs w:val="18"/>
                <w:lang w:eastAsia="en-US"/>
              </w:rPr>
              <w:t xml:space="preserve">Dental   </w:t>
            </w:r>
            <w:r w:rsidRPr="00443CCB">
              <w:rPr>
                <w:rFonts w:ascii="Arial Narrow" w:eastAsia="Calibri" w:hAnsi="Arial Narrow" w:cs="Arial"/>
                <w:sz w:val="18"/>
                <w:szCs w:val="18"/>
                <w:lang w:eastAsia="en-US"/>
              </w:rPr>
              <w:fldChar w:fldCharType="begin">
                <w:ffData>
                  <w:name w:val=""/>
                  <w:enabled/>
                  <w:calcOnExit w:val="0"/>
                  <w:checkBox>
                    <w:sizeAuto/>
                    <w:default w:val="1"/>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Pr="00443CCB">
              <w:rPr>
                <w:rFonts w:ascii="Arial Narrow" w:eastAsia="Calibri" w:hAnsi="Arial Narrow" w:cs="Arial"/>
                <w:sz w:val="18"/>
                <w:szCs w:val="18"/>
                <w:lang w:eastAsia="en-US"/>
              </w:rPr>
              <w:t xml:space="preserve">Medical Practitioners   </w:t>
            </w:r>
            <w:r w:rsidRPr="00443CCB">
              <w:rPr>
                <w:rFonts w:ascii="Arial Narrow" w:eastAsia="Calibri" w:hAnsi="Arial Narrow" w:cs="Arial"/>
                <w:sz w:val="18"/>
                <w:szCs w:val="18"/>
                <w:lang w:eastAsia="en-US"/>
              </w:rPr>
              <w:fldChar w:fldCharType="begin">
                <w:ffData>
                  <w:name w:val="Check3"/>
                  <w:enabled/>
                  <w:calcOnExit w:val="0"/>
                  <w:checkBox>
                    <w:sizeAuto/>
                    <w:default w:val="1"/>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Pr="00443CCB">
              <w:rPr>
                <w:rFonts w:ascii="Arial Narrow" w:eastAsia="Calibri" w:hAnsi="Arial Narrow" w:cs="Arial"/>
                <w:sz w:val="18"/>
                <w:szCs w:val="18"/>
                <w:lang w:eastAsia="en-US"/>
              </w:rPr>
              <w:t>Nurse practitioners</w:t>
            </w:r>
            <w:r w:rsidR="00334310">
              <w:rPr>
                <w:rFonts w:ascii="Arial Narrow" w:eastAsia="Calibri" w:hAnsi="Arial Narrow" w:cs="Arial"/>
                <w:sz w:val="18"/>
                <w:szCs w:val="18"/>
                <w:lang w:eastAsia="en-US"/>
              </w:rPr>
              <w:t xml:space="preserve"> </w:t>
            </w:r>
            <w:r w:rsidRPr="00443CCB">
              <w:rPr>
                <w:rFonts w:ascii="Arial Narrow" w:eastAsia="Calibri" w:hAnsi="Arial Narrow" w:cs="Arial"/>
                <w:sz w:val="18"/>
                <w:szCs w:val="18"/>
                <w:lang w:eastAsia="en-US"/>
              </w:rPr>
              <w:t xml:space="preserve">  </w:t>
            </w:r>
            <w:r w:rsidRPr="00443CCB">
              <w:rPr>
                <w:rFonts w:ascii="Arial Narrow" w:eastAsia="Calibri" w:hAnsi="Arial Narrow" w:cs="Arial"/>
                <w:sz w:val="18"/>
                <w:szCs w:val="18"/>
                <w:lang w:eastAsia="en-US"/>
              </w:rPr>
              <w:fldChar w:fldCharType="begin">
                <w:ffData>
                  <w:name w:val=""/>
                  <w:enabled/>
                  <w:calcOnExit w:val="0"/>
                  <w:checkBox>
                    <w:sizeAuto/>
                    <w:default w:val="0"/>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Pr="00443CCB">
              <w:rPr>
                <w:rFonts w:ascii="Arial Narrow" w:eastAsia="Calibri" w:hAnsi="Arial Narrow" w:cs="Arial"/>
                <w:sz w:val="18"/>
                <w:szCs w:val="18"/>
                <w:lang w:eastAsia="en-US"/>
              </w:rPr>
              <w:t xml:space="preserve">Optometrists   </w:t>
            </w:r>
            <w:r w:rsidRPr="00443CCB">
              <w:rPr>
                <w:rFonts w:ascii="Arial Narrow" w:eastAsia="Calibri" w:hAnsi="Arial Narrow" w:cs="Arial"/>
                <w:sz w:val="18"/>
                <w:szCs w:val="18"/>
                <w:lang w:eastAsia="en-US"/>
              </w:rPr>
              <w:fldChar w:fldCharType="begin">
                <w:ffData>
                  <w:name w:val="Check5"/>
                  <w:enabled/>
                  <w:calcOnExit w:val="0"/>
                  <w:checkBox>
                    <w:sizeAuto/>
                    <w:default w:val="0"/>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Pr="00443CCB">
              <w:rPr>
                <w:rFonts w:ascii="Arial Narrow" w:eastAsia="Calibri" w:hAnsi="Arial Narrow" w:cs="Arial"/>
                <w:sz w:val="18"/>
                <w:szCs w:val="18"/>
                <w:lang w:eastAsia="en-US"/>
              </w:rPr>
              <w:t>Midwives</w:t>
            </w:r>
          </w:p>
        </w:tc>
      </w:tr>
      <w:tr w:rsidR="00443CCB" w:rsidRPr="00443CCB" w:rsidTr="00443CCB">
        <w:tc>
          <w:tcPr>
            <w:tcW w:w="5000" w:type="pct"/>
            <w:tcBorders>
              <w:top w:val="single" w:sz="4" w:space="0" w:color="auto"/>
              <w:left w:val="single" w:sz="4" w:space="0" w:color="auto"/>
              <w:bottom w:val="single" w:sz="4" w:space="0" w:color="auto"/>
              <w:right w:val="single" w:sz="4" w:space="0" w:color="auto"/>
            </w:tcBorders>
          </w:tcPr>
          <w:p w:rsidR="00443CCB" w:rsidRPr="00443CCB" w:rsidRDefault="00443CCB" w:rsidP="00443CCB">
            <w:pPr>
              <w:rPr>
                <w:rFonts w:ascii="Arial Narrow" w:eastAsia="Calibri" w:hAnsi="Arial Narrow" w:cs="Arial"/>
                <w:b/>
                <w:sz w:val="18"/>
                <w:szCs w:val="18"/>
                <w:lang w:eastAsia="en-US"/>
              </w:rPr>
            </w:pPr>
            <w:r w:rsidRPr="00443CCB">
              <w:rPr>
                <w:rFonts w:ascii="Arial Narrow" w:eastAsia="Calibri" w:hAnsi="Arial Narrow" w:cs="Arial"/>
                <w:b/>
                <w:sz w:val="18"/>
                <w:szCs w:val="18"/>
                <w:lang w:eastAsia="en-US"/>
              </w:rPr>
              <w:t xml:space="preserve">Restriction Level / Method:  </w:t>
            </w:r>
            <w:r w:rsidRPr="00443CCB">
              <w:rPr>
                <w:rFonts w:ascii="Arial Narrow" w:eastAsia="Calibri" w:hAnsi="Arial Narrow" w:cs="Arial"/>
                <w:sz w:val="18"/>
                <w:szCs w:val="18"/>
                <w:lang w:eastAsia="en-US"/>
              </w:rPr>
              <w:fldChar w:fldCharType="begin">
                <w:ffData>
                  <w:name w:val=""/>
                  <w:enabled/>
                  <w:calcOnExit w:val="0"/>
                  <w:checkBox>
                    <w:sizeAuto/>
                    <w:default w:val="1"/>
                  </w:checkBox>
                </w:ffData>
              </w:fldChar>
            </w:r>
            <w:r w:rsidRPr="00443CCB">
              <w:rPr>
                <w:rFonts w:ascii="Arial Narrow" w:eastAsia="Calibri" w:hAnsi="Arial Narrow" w:cs="Arial"/>
                <w:sz w:val="18"/>
                <w:szCs w:val="18"/>
                <w:lang w:eastAsia="en-US"/>
              </w:rPr>
              <w:instrText xml:space="preserve"> FORMCHECKBOX </w:instrText>
            </w:r>
            <w:r w:rsidR="004144D2">
              <w:rPr>
                <w:rFonts w:ascii="Arial Narrow" w:eastAsia="Calibri" w:hAnsi="Arial Narrow" w:cs="Arial"/>
                <w:sz w:val="18"/>
                <w:szCs w:val="18"/>
                <w:lang w:eastAsia="en-US"/>
              </w:rPr>
            </w:r>
            <w:r w:rsidR="004144D2">
              <w:rPr>
                <w:rFonts w:ascii="Arial Narrow" w:eastAsia="Calibri" w:hAnsi="Arial Narrow" w:cs="Arial"/>
                <w:sz w:val="18"/>
                <w:szCs w:val="18"/>
                <w:lang w:eastAsia="en-US"/>
              </w:rPr>
              <w:fldChar w:fldCharType="separate"/>
            </w:r>
            <w:r w:rsidRPr="00443CCB">
              <w:rPr>
                <w:rFonts w:ascii="Arial Narrow" w:eastAsia="Calibri" w:hAnsi="Arial Narrow" w:cs="Arial"/>
                <w:sz w:val="18"/>
                <w:szCs w:val="18"/>
                <w:lang w:eastAsia="en-US"/>
              </w:rPr>
              <w:fldChar w:fldCharType="end"/>
            </w:r>
            <w:r w:rsidRPr="00443CCB">
              <w:rPr>
                <w:rFonts w:ascii="Arial Narrow" w:eastAsia="Calibri" w:hAnsi="Arial Narrow" w:cs="Arial"/>
                <w:sz w:val="18"/>
                <w:szCs w:val="18"/>
                <w:lang w:eastAsia="en-US"/>
              </w:rPr>
              <w:t>Authority Required - Streamlined</w:t>
            </w:r>
          </w:p>
        </w:tc>
      </w:tr>
      <w:tr w:rsidR="00443CCB" w:rsidRPr="00443CCB" w:rsidTr="00443CCB">
        <w:tc>
          <w:tcPr>
            <w:tcW w:w="5000" w:type="pct"/>
            <w:tcBorders>
              <w:bottom w:val="nil"/>
            </w:tcBorders>
            <w:vAlign w:val="center"/>
            <w:hideMark/>
          </w:tcPr>
          <w:p w:rsidR="00443CCB" w:rsidRPr="00443CCB" w:rsidRDefault="00443CCB" w:rsidP="00443CCB">
            <w:pPr>
              <w:jc w:val="left"/>
              <w:rPr>
                <w:rFonts w:ascii="Arial Narrow" w:hAnsi="Arial Narrow" w:cs="Calibri"/>
                <w:color w:val="333333"/>
                <w:sz w:val="18"/>
                <w:szCs w:val="18"/>
              </w:rPr>
            </w:pPr>
            <w:r w:rsidRPr="00443CCB">
              <w:rPr>
                <w:rFonts w:ascii="Arial Narrow" w:hAnsi="Arial Narrow" w:cs="Calibri"/>
                <w:b/>
                <w:bCs/>
                <w:color w:val="333333"/>
                <w:sz w:val="18"/>
                <w:szCs w:val="18"/>
              </w:rPr>
              <w:t>Indication:</w:t>
            </w:r>
            <w:r w:rsidRPr="00443CCB">
              <w:rPr>
                <w:rFonts w:ascii="Arial Narrow" w:hAnsi="Arial Narrow" w:cs="Calibri"/>
                <w:color w:val="333333"/>
                <w:sz w:val="18"/>
                <w:szCs w:val="18"/>
              </w:rPr>
              <w:t xml:space="preserve"> Diabetes mellitus type 2</w:t>
            </w:r>
          </w:p>
        </w:tc>
      </w:tr>
      <w:tr w:rsidR="00443CCB" w:rsidRPr="00443CCB" w:rsidTr="00443CCB">
        <w:tc>
          <w:tcPr>
            <w:tcW w:w="5000" w:type="pct"/>
            <w:tcBorders>
              <w:top w:val="nil"/>
              <w:bottom w:val="nil"/>
            </w:tcBorders>
            <w:vAlign w:val="center"/>
            <w:hideMark/>
          </w:tcPr>
          <w:p w:rsidR="00443CCB" w:rsidRPr="00443CCB" w:rsidRDefault="00443CCB" w:rsidP="00443CCB">
            <w:pPr>
              <w:jc w:val="left"/>
              <w:rPr>
                <w:rFonts w:ascii="Arial Narrow" w:hAnsi="Arial Narrow" w:cs="Calibri"/>
                <w:color w:val="333333"/>
                <w:sz w:val="18"/>
                <w:szCs w:val="18"/>
              </w:rPr>
            </w:pPr>
            <w:r w:rsidRPr="00443CCB">
              <w:rPr>
                <w:rFonts w:ascii="Arial Narrow" w:hAnsi="Arial Narrow" w:cs="Calibri"/>
                <w:b/>
                <w:bCs/>
                <w:color w:val="333333"/>
                <w:sz w:val="18"/>
                <w:szCs w:val="18"/>
              </w:rPr>
              <w:t>Clinical criteria:</w:t>
            </w:r>
          </w:p>
        </w:tc>
      </w:tr>
      <w:tr w:rsidR="00443CCB" w:rsidRPr="00443CCB" w:rsidTr="00443CCB">
        <w:tc>
          <w:tcPr>
            <w:tcW w:w="5000" w:type="pct"/>
            <w:tcBorders>
              <w:top w:val="nil"/>
              <w:bottom w:val="nil"/>
            </w:tcBorders>
            <w:vAlign w:val="center"/>
            <w:hideMark/>
          </w:tcPr>
          <w:p w:rsidR="00443CCB" w:rsidRPr="00443CCB" w:rsidRDefault="00443CCB" w:rsidP="00443CCB">
            <w:pPr>
              <w:pStyle w:val="ListParagraph"/>
              <w:numPr>
                <w:ilvl w:val="0"/>
                <w:numId w:val="32"/>
              </w:numPr>
              <w:spacing w:after="0"/>
              <w:rPr>
                <w:rFonts w:ascii="Arial Narrow" w:hAnsi="Arial Narrow" w:cs="Calibri"/>
                <w:color w:val="333333"/>
                <w:sz w:val="18"/>
                <w:szCs w:val="18"/>
              </w:rPr>
            </w:pPr>
            <w:r w:rsidRPr="00443CCB">
              <w:rPr>
                <w:rFonts w:ascii="Arial Narrow" w:hAnsi="Arial Narrow" w:cs="Calibri"/>
                <w:color w:val="333333"/>
                <w:sz w:val="18"/>
                <w:szCs w:val="18"/>
              </w:rPr>
              <w:t>The treatment must be in combination with metformin</w:t>
            </w:r>
          </w:p>
        </w:tc>
      </w:tr>
      <w:tr w:rsidR="00443CCB" w:rsidRPr="00443CCB" w:rsidTr="00443CCB">
        <w:tc>
          <w:tcPr>
            <w:tcW w:w="5000" w:type="pct"/>
            <w:tcBorders>
              <w:top w:val="nil"/>
              <w:bottom w:val="nil"/>
            </w:tcBorders>
            <w:vAlign w:val="center"/>
            <w:hideMark/>
          </w:tcPr>
          <w:p w:rsidR="00443CCB" w:rsidRPr="00443CCB" w:rsidRDefault="00443CCB" w:rsidP="00443CCB">
            <w:pPr>
              <w:pStyle w:val="ListParagraph"/>
              <w:spacing w:after="0"/>
              <w:ind w:left="720" w:firstLine="0"/>
              <w:rPr>
                <w:rFonts w:ascii="Arial Narrow" w:hAnsi="Arial Narrow" w:cs="Calibri"/>
                <w:color w:val="333333"/>
                <w:sz w:val="18"/>
                <w:szCs w:val="18"/>
              </w:rPr>
            </w:pPr>
            <w:r w:rsidRPr="00443CCB">
              <w:rPr>
                <w:rFonts w:ascii="Arial Narrow" w:hAnsi="Arial Narrow" w:cs="Calibri"/>
                <w:b/>
                <w:bCs/>
                <w:color w:val="333333"/>
                <w:sz w:val="18"/>
                <w:szCs w:val="18"/>
              </w:rPr>
              <w:t>AND</w:t>
            </w:r>
          </w:p>
        </w:tc>
      </w:tr>
      <w:tr w:rsidR="00443CCB" w:rsidRPr="00443CCB" w:rsidTr="00443CCB">
        <w:tc>
          <w:tcPr>
            <w:tcW w:w="5000" w:type="pct"/>
            <w:tcBorders>
              <w:top w:val="nil"/>
              <w:bottom w:val="nil"/>
            </w:tcBorders>
            <w:vAlign w:val="center"/>
            <w:hideMark/>
          </w:tcPr>
          <w:p w:rsidR="00443CCB" w:rsidRPr="00443CCB" w:rsidRDefault="00443CCB" w:rsidP="00443CCB">
            <w:pPr>
              <w:pStyle w:val="ListParagraph"/>
              <w:numPr>
                <w:ilvl w:val="0"/>
                <w:numId w:val="32"/>
              </w:numPr>
              <w:spacing w:after="0"/>
              <w:rPr>
                <w:rFonts w:ascii="Arial Narrow" w:hAnsi="Arial Narrow" w:cs="Calibri"/>
                <w:color w:val="333333"/>
                <w:sz w:val="18"/>
                <w:szCs w:val="18"/>
              </w:rPr>
            </w:pPr>
            <w:r w:rsidRPr="00443CCB">
              <w:rPr>
                <w:rFonts w:ascii="Arial Narrow" w:hAnsi="Arial Narrow" w:cs="Calibri"/>
                <w:color w:val="333333"/>
                <w:sz w:val="18"/>
                <w:szCs w:val="18"/>
              </w:rPr>
              <w:t>The treatment must be in combination with a sulfonylurea</w:t>
            </w:r>
          </w:p>
        </w:tc>
      </w:tr>
      <w:tr w:rsidR="00443CCB" w:rsidRPr="00443CCB" w:rsidTr="00443CCB">
        <w:tc>
          <w:tcPr>
            <w:tcW w:w="5000" w:type="pct"/>
            <w:tcBorders>
              <w:top w:val="nil"/>
              <w:bottom w:val="nil"/>
            </w:tcBorders>
            <w:vAlign w:val="center"/>
            <w:hideMark/>
          </w:tcPr>
          <w:p w:rsidR="00443CCB" w:rsidRPr="00443CCB" w:rsidRDefault="00443CCB" w:rsidP="00443CCB">
            <w:pPr>
              <w:pStyle w:val="ListParagraph"/>
              <w:spacing w:after="0"/>
              <w:ind w:left="720" w:firstLine="0"/>
              <w:rPr>
                <w:rFonts w:ascii="Arial Narrow" w:hAnsi="Arial Narrow" w:cs="Calibri"/>
                <w:color w:val="333333"/>
                <w:sz w:val="18"/>
                <w:szCs w:val="18"/>
              </w:rPr>
            </w:pPr>
            <w:r w:rsidRPr="00443CCB">
              <w:rPr>
                <w:rFonts w:ascii="Arial Narrow" w:hAnsi="Arial Narrow" w:cs="Calibri"/>
                <w:b/>
                <w:bCs/>
                <w:color w:val="333333"/>
                <w:sz w:val="18"/>
                <w:szCs w:val="18"/>
              </w:rPr>
              <w:t>AND</w:t>
            </w:r>
          </w:p>
        </w:tc>
      </w:tr>
      <w:tr w:rsidR="00443CCB" w:rsidRPr="00443CCB" w:rsidTr="00443CCB">
        <w:tc>
          <w:tcPr>
            <w:tcW w:w="5000" w:type="pct"/>
            <w:tcBorders>
              <w:top w:val="nil"/>
              <w:bottom w:val="nil"/>
            </w:tcBorders>
            <w:vAlign w:val="center"/>
            <w:hideMark/>
          </w:tcPr>
          <w:p w:rsidR="00443CCB" w:rsidRPr="00443CCB" w:rsidRDefault="00443CCB" w:rsidP="00443CCB">
            <w:pPr>
              <w:pStyle w:val="ListParagraph"/>
              <w:numPr>
                <w:ilvl w:val="0"/>
                <w:numId w:val="32"/>
              </w:numPr>
              <w:spacing w:after="0"/>
              <w:rPr>
                <w:rFonts w:ascii="Arial Narrow" w:hAnsi="Arial Narrow" w:cs="Calibri"/>
                <w:color w:val="333333"/>
                <w:sz w:val="18"/>
                <w:szCs w:val="18"/>
              </w:rPr>
            </w:pPr>
            <w:r w:rsidRPr="00443CCB">
              <w:rPr>
                <w:rFonts w:ascii="Arial Narrow" w:hAnsi="Arial Narrow" w:cs="Calibri"/>
                <w:color w:val="333333"/>
                <w:sz w:val="18"/>
                <w:szCs w:val="18"/>
              </w:rPr>
              <w:t>Patient must have, or have had, a HbA1c measurement greater than 7% prior to the initiation of a dipeptidyl peptidase 4 inhibitor (gliptin), a thiazolidinedione (</w:t>
            </w:r>
            <w:proofErr w:type="spellStart"/>
            <w:r w:rsidRPr="00443CCB">
              <w:rPr>
                <w:rFonts w:ascii="Arial Narrow" w:hAnsi="Arial Narrow" w:cs="Calibri"/>
                <w:color w:val="333333"/>
                <w:sz w:val="18"/>
                <w:szCs w:val="18"/>
              </w:rPr>
              <w:t>glitazone</w:t>
            </w:r>
            <w:proofErr w:type="spellEnd"/>
            <w:r w:rsidRPr="00443CCB">
              <w:rPr>
                <w:rFonts w:ascii="Arial Narrow" w:hAnsi="Arial Narrow" w:cs="Calibri"/>
                <w:color w:val="333333"/>
                <w:sz w:val="18"/>
                <w:szCs w:val="18"/>
              </w:rPr>
              <w:t>), a glucagon-like peptide-1 or a sodium-glucose co-transporter 2 (SGLT2) inhibitor despite treatment with maximally tolerated doses of metformin and a sulfonylurea; or</w:t>
            </w:r>
          </w:p>
        </w:tc>
      </w:tr>
      <w:tr w:rsidR="00443CCB" w:rsidRPr="00443CCB" w:rsidTr="00443CCB">
        <w:tc>
          <w:tcPr>
            <w:tcW w:w="5000" w:type="pct"/>
            <w:tcBorders>
              <w:top w:val="nil"/>
            </w:tcBorders>
            <w:vAlign w:val="center"/>
            <w:hideMark/>
          </w:tcPr>
          <w:p w:rsidR="00443CCB" w:rsidRPr="00443CCB" w:rsidRDefault="00443CCB" w:rsidP="00443CCB">
            <w:pPr>
              <w:pStyle w:val="ListParagraph"/>
              <w:numPr>
                <w:ilvl w:val="0"/>
                <w:numId w:val="32"/>
              </w:numPr>
              <w:spacing w:after="0"/>
              <w:rPr>
                <w:rFonts w:ascii="Arial Narrow" w:hAnsi="Arial Narrow" w:cs="Calibri"/>
                <w:color w:val="333333"/>
                <w:sz w:val="18"/>
                <w:szCs w:val="18"/>
              </w:rPr>
            </w:pPr>
            <w:r w:rsidRPr="00443CCB">
              <w:rPr>
                <w:rFonts w:ascii="Arial Narrow" w:hAnsi="Arial Narrow" w:cs="Calibri"/>
                <w:color w:val="333333"/>
                <w:sz w:val="18"/>
                <w:szCs w:val="18"/>
              </w:rPr>
              <w:t xml:space="preserve">Patient must have, or have had, where HbA1c measurement is clinically inappropriate, blood glucose levels greater than 10 </w:t>
            </w:r>
            <w:proofErr w:type="spellStart"/>
            <w:r w:rsidRPr="00443CCB">
              <w:rPr>
                <w:rFonts w:ascii="Arial Narrow" w:hAnsi="Arial Narrow" w:cs="Calibri"/>
                <w:color w:val="333333"/>
                <w:sz w:val="18"/>
                <w:szCs w:val="18"/>
              </w:rPr>
              <w:t>mmol</w:t>
            </w:r>
            <w:proofErr w:type="spellEnd"/>
            <w:r w:rsidRPr="00443CCB">
              <w:rPr>
                <w:rFonts w:ascii="Arial Narrow" w:hAnsi="Arial Narrow" w:cs="Calibri"/>
                <w:color w:val="333333"/>
                <w:sz w:val="18"/>
                <w:szCs w:val="18"/>
              </w:rPr>
              <w:t xml:space="preserve"> per L in more than 20% of tests over a 2 week period prior to initiation with a gliptin, a </w:t>
            </w:r>
            <w:proofErr w:type="spellStart"/>
            <w:r w:rsidRPr="00443CCB">
              <w:rPr>
                <w:rFonts w:ascii="Arial Narrow" w:hAnsi="Arial Narrow" w:cs="Calibri"/>
                <w:color w:val="333333"/>
                <w:sz w:val="18"/>
                <w:szCs w:val="18"/>
              </w:rPr>
              <w:t>glitazone</w:t>
            </w:r>
            <w:proofErr w:type="spellEnd"/>
            <w:r w:rsidRPr="00443CCB">
              <w:rPr>
                <w:rFonts w:ascii="Arial Narrow" w:hAnsi="Arial Narrow" w:cs="Calibri"/>
                <w:color w:val="333333"/>
                <w:sz w:val="18"/>
                <w:szCs w:val="18"/>
              </w:rPr>
              <w:t>, a glucagon-like peptide-1 or an SGLT2 inhibitor despite treatment with maximally tolerated doses of metformin and a sulfonylurea</w:t>
            </w:r>
          </w:p>
        </w:tc>
      </w:tr>
      <w:tr w:rsidR="00443CCB" w:rsidRPr="00443CCB" w:rsidTr="00443CCB">
        <w:trPr>
          <w:trHeight w:val="2805"/>
        </w:trPr>
        <w:tc>
          <w:tcPr>
            <w:tcW w:w="5000" w:type="pct"/>
            <w:vAlign w:val="center"/>
            <w:hideMark/>
          </w:tcPr>
          <w:p w:rsidR="00443CCB" w:rsidRPr="00443CCB" w:rsidRDefault="00443CCB" w:rsidP="00443CCB">
            <w:pPr>
              <w:rPr>
                <w:rFonts w:ascii="Arial Narrow" w:hAnsi="Arial Narrow" w:cs="Calibri"/>
                <w:color w:val="333333"/>
                <w:sz w:val="18"/>
                <w:szCs w:val="18"/>
              </w:rPr>
            </w:pPr>
            <w:r w:rsidRPr="00443CCB">
              <w:rPr>
                <w:rFonts w:ascii="Arial Narrow" w:hAnsi="Arial Narrow" w:cs="Calibri"/>
                <w:b/>
                <w:bCs/>
                <w:color w:val="333333"/>
                <w:sz w:val="18"/>
                <w:szCs w:val="18"/>
              </w:rPr>
              <w:t>Prescribing Instructions:</w:t>
            </w:r>
          </w:p>
          <w:p w:rsidR="00443CCB" w:rsidRPr="00443CCB" w:rsidRDefault="00443CCB" w:rsidP="00443CCB">
            <w:pPr>
              <w:rPr>
                <w:rFonts w:ascii="Arial Narrow" w:hAnsi="Arial Narrow" w:cs="Calibri"/>
                <w:color w:val="333333"/>
                <w:sz w:val="18"/>
                <w:szCs w:val="18"/>
              </w:rPr>
            </w:pPr>
            <w:r w:rsidRPr="00443CCB">
              <w:rPr>
                <w:rFonts w:ascii="Arial Narrow" w:hAnsi="Arial Narrow" w:cs="Calibri"/>
                <w:color w:val="333333"/>
                <w:sz w:val="18"/>
                <w:szCs w:val="18"/>
              </w:rPr>
              <w:t xml:space="preserve">The date and level of the qualifying HbA1c measurement must be, or must have been, documented in the patient's medical records at the time treatment with a gliptin, a </w:t>
            </w:r>
            <w:proofErr w:type="spellStart"/>
            <w:r w:rsidRPr="00443CCB">
              <w:rPr>
                <w:rFonts w:ascii="Arial Narrow" w:hAnsi="Arial Narrow" w:cs="Calibri"/>
                <w:color w:val="333333"/>
                <w:sz w:val="18"/>
                <w:szCs w:val="18"/>
              </w:rPr>
              <w:t>glitazone</w:t>
            </w:r>
            <w:proofErr w:type="spellEnd"/>
            <w:r w:rsidRPr="00443CCB">
              <w:rPr>
                <w:rFonts w:ascii="Arial Narrow" w:hAnsi="Arial Narrow" w:cs="Calibri"/>
                <w:color w:val="333333"/>
                <w:sz w:val="18"/>
                <w:szCs w:val="18"/>
              </w:rPr>
              <w:t xml:space="preserve">, a glucagon-like peptide-1 or an SGLT2 inhibitor </w:t>
            </w:r>
            <w:proofErr w:type="gramStart"/>
            <w:r w:rsidRPr="00443CCB">
              <w:rPr>
                <w:rFonts w:ascii="Arial Narrow" w:hAnsi="Arial Narrow" w:cs="Calibri"/>
                <w:color w:val="333333"/>
                <w:sz w:val="18"/>
                <w:szCs w:val="18"/>
              </w:rPr>
              <w:t>is initiated</w:t>
            </w:r>
            <w:proofErr w:type="gramEnd"/>
            <w:r w:rsidRPr="00443CCB">
              <w:rPr>
                <w:rFonts w:ascii="Arial Narrow" w:hAnsi="Arial Narrow" w:cs="Calibri"/>
                <w:color w:val="333333"/>
                <w:sz w:val="18"/>
                <w:szCs w:val="18"/>
              </w:rPr>
              <w:t>.</w:t>
            </w:r>
          </w:p>
          <w:p w:rsidR="00443CCB" w:rsidRDefault="00443CCB" w:rsidP="00443CCB">
            <w:pPr>
              <w:rPr>
                <w:rFonts w:ascii="Arial Narrow" w:hAnsi="Arial Narrow" w:cs="Calibri"/>
                <w:color w:val="333333"/>
                <w:sz w:val="18"/>
                <w:szCs w:val="18"/>
              </w:rPr>
            </w:pPr>
          </w:p>
          <w:p w:rsidR="00443CCB" w:rsidRPr="00443CCB" w:rsidRDefault="00443CCB" w:rsidP="00443CCB">
            <w:pPr>
              <w:rPr>
                <w:rFonts w:ascii="Arial Narrow" w:hAnsi="Arial Narrow" w:cs="Calibri"/>
                <w:color w:val="333333"/>
                <w:sz w:val="18"/>
                <w:szCs w:val="18"/>
              </w:rPr>
            </w:pPr>
            <w:r w:rsidRPr="00443CCB">
              <w:rPr>
                <w:rFonts w:ascii="Arial Narrow" w:hAnsi="Arial Narrow" w:cs="Calibri"/>
                <w:color w:val="333333"/>
                <w:sz w:val="18"/>
                <w:szCs w:val="18"/>
              </w:rPr>
              <w:t xml:space="preserve">The HbA1c must be no more than 4 months old at the time treatment with a gliptin, a </w:t>
            </w:r>
            <w:proofErr w:type="spellStart"/>
            <w:r w:rsidRPr="00443CCB">
              <w:rPr>
                <w:rFonts w:ascii="Arial Narrow" w:hAnsi="Arial Narrow" w:cs="Calibri"/>
                <w:color w:val="333333"/>
                <w:sz w:val="18"/>
                <w:szCs w:val="18"/>
              </w:rPr>
              <w:t>glitazone</w:t>
            </w:r>
            <w:proofErr w:type="spellEnd"/>
            <w:r w:rsidRPr="00443CCB">
              <w:rPr>
                <w:rFonts w:ascii="Arial Narrow" w:hAnsi="Arial Narrow" w:cs="Calibri"/>
                <w:color w:val="333333"/>
                <w:sz w:val="18"/>
                <w:szCs w:val="18"/>
              </w:rPr>
              <w:t xml:space="preserve">, a glucagon-like peptide-1 or an SGLT2 inhibitor </w:t>
            </w:r>
            <w:proofErr w:type="gramStart"/>
            <w:r w:rsidRPr="00443CCB">
              <w:rPr>
                <w:rFonts w:ascii="Arial Narrow" w:hAnsi="Arial Narrow" w:cs="Calibri"/>
                <w:color w:val="333333"/>
                <w:sz w:val="18"/>
                <w:szCs w:val="18"/>
              </w:rPr>
              <w:t>was initiated</w:t>
            </w:r>
            <w:proofErr w:type="gramEnd"/>
            <w:r w:rsidRPr="00443CCB">
              <w:rPr>
                <w:rFonts w:ascii="Arial Narrow" w:hAnsi="Arial Narrow" w:cs="Calibri"/>
                <w:color w:val="333333"/>
                <w:sz w:val="18"/>
                <w:szCs w:val="18"/>
              </w:rPr>
              <w:t>.</w:t>
            </w:r>
          </w:p>
          <w:p w:rsidR="00443CCB" w:rsidRDefault="00443CCB" w:rsidP="00443CCB">
            <w:pPr>
              <w:rPr>
                <w:rFonts w:ascii="Arial Narrow" w:hAnsi="Arial Narrow" w:cs="Calibri"/>
                <w:color w:val="333333"/>
                <w:sz w:val="18"/>
                <w:szCs w:val="18"/>
              </w:rPr>
            </w:pPr>
          </w:p>
          <w:p w:rsidR="00443CCB" w:rsidRPr="00443CCB" w:rsidRDefault="00443CCB" w:rsidP="00443CCB">
            <w:pPr>
              <w:rPr>
                <w:rFonts w:ascii="Arial Narrow" w:hAnsi="Arial Narrow" w:cs="Calibri"/>
                <w:color w:val="333333"/>
                <w:sz w:val="18"/>
                <w:szCs w:val="18"/>
              </w:rPr>
            </w:pPr>
            <w:r w:rsidRPr="00443CCB">
              <w:rPr>
                <w:rFonts w:ascii="Arial Narrow" w:hAnsi="Arial Narrow" w:cs="Calibri"/>
                <w:color w:val="333333"/>
                <w:sz w:val="18"/>
                <w:szCs w:val="18"/>
              </w:rPr>
              <w:t>Blood glucose monitoring may be used as an alternative assessment to HbA1c levels in the following circumstances:</w:t>
            </w:r>
          </w:p>
          <w:p w:rsidR="00443CCB" w:rsidRPr="00443CCB" w:rsidRDefault="00443CCB" w:rsidP="00443CCB">
            <w:pPr>
              <w:rPr>
                <w:rFonts w:ascii="Arial Narrow" w:hAnsi="Arial Narrow" w:cs="Calibri"/>
                <w:color w:val="333333"/>
                <w:sz w:val="18"/>
                <w:szCs w:val="18"/>
              </w:rPr>
            </w:pPr>
            <w:r w:rsidRPr="00443CCB">
              <w:rPr>
                <w:rFonts w:ascii="Arial Narrow" w:hAnsi="Arial Narrow" w:cs="Calibri"/>
                <w:color w:val="333333"/>
                <w:sz w:val="18"/>
                <w:szCs w:val="18"/>
              </w:rPr>
              <w:t xml:space="preserve">(a) A clinical condition with reduced red blood cell survival, including haemolytic anaemias and </w:t>
            </w:r>
            <w:proofErr w:type="spellStart"/>
            <w:r w:rsidRPr="00443CCB">
              <w:rPr>
                <w:rFonts w:ascii="Arial Narrow" w:hAnsi="Arial Narrow" w:cs="Calibri"/>
                <w:color w:val="333333"/>
                <w:sz w:val="18"/>
                <w:szCs w:val="18"/>
              </w:rPr>
              <w:t>haemoglobinopathies</w:t>
            </w:r>
            <w:proofErr w:type="spellEnd"/>
            <w:r w:rsidRPr="00443CCB">
              <w:rPr>
                <w:rFonts w:ascii="Arial Narrow" w:hAnsi="Arial Narrow" w:cs="Calibri"/>
                <w:color w:val="333333"/>
                <w:sz w:val="18"/>
                <w:szCs w:val="18"/>
              </w:rPr>
              <w:t>; and/or</w:t>
            </w:r>
          </w:p>
          <w:p w:rsidR="00443CCB" w:rsidRPr="00443CCB" w:rsidRDefault="00443CCB" w:rsidP="00443CCB">
            <w:pPr>
              <w:rPr>
                <w:rFonts w:ascii="Arial Narrow" w:hAnsi="Arial Narrow" w:cs="Calibri"/>
                <w:color w:val="333333"/>
                <w:sz w:val="18"/>
                <w:szCs w:val="18"/>
              </w:rPr>
            </w:pPr>
            <w:r w:rsidRPr="00443CCB">
              <w:rPr>
                <w:rFonts w:ascii="Arial Narrow" w:hAnsi="Arial Narrow" w:cs="Calibri"/>
                <w:color w:val="333333"/>
                <w:sz w:val="18"/>
                <w:szCs w:val="18"/>
              </w:rPr>
              <w:t>(b) Had red cell transfusion within the previous 3 months.</w:t>
            </w:r>
          </w:p>
          <w:p w:rsidR="00443CCB" w:rsidRDefault="00443CCB" w:rsidP="00443CCB">
            <w:pPr>
              <w:rPr>
                <w:rFonts w:ascii="Arial Narrow" w:hAnsi="Arial Narrow" w:cs="Calibri"/>
                <w:color w:val="333333"/>
                <w:sz w:val="18"/>
                <w:szCs w:val="18"/>
              </w:rPr>
            </w:pPr>
          </w:p>
          <w:p w:rsidR="00443CCB" w:rsidRPr="00443CCB" w:rsidRDefault="00443CCB" w:rsidP="00443CCB">
            <w:pPr>
              <w:rPr>
                <w:rFonts w:ascii="Arial Narrow" w:hAnsi="Arial Narrow" w:cs="Calibri"/>
                <w:color w:val="333333"/>
                <w:sz w:val="18"/>
                <w:szCs w:val="18"/>
              </w:rPr>
            </w:pPr>
            <w:r w:rsidRPr="00443CCB">
              <w:rPr>
                <w:rFonts w:ascii="Arial Narrow" w:hAnsi="Arial Narrow" w:cs="Calibri"/>
                <w:color w:val="333333"/>
                <w:sz w:val="18"/>
                <w:szCs w:val="18"/>
              </w:rPr>
              <w:t xml:space="preserve">The results of the blood glucose monitoring, which must be no more than 4 months old at the time of initiation of treatment with a gliptin, a </w:t>
            </w:r>
            <w:proofErr w:type="spellStart"/>
            <w:r w:rsidRPr="00443CCB">
              <w:rPr>
                <w:rFonts w:ascii="Arial Narrow" w:hAnsi="Arial Narrow" w:cs="Calibri"/>
                <w:color w:val="333333"/>
                <w:sz w:val="18"/>
                <w:szCs w:val="18"/>
              </w:rPr>
              <w:t>glitazone</w:t>
            </w:r>
            <w:proofErr w:type="spellEnd"/>
            <w:r w:rsidRPr="00443CCB">
              <w:rPr>
                <w:rFonts w:ascii="Arial Narrow" w:hAnsi="Arial Narrow" w:cs="Calibri"/>
                <w:color w:val="333333"/>
                <w:sz w:val="18"/>
                <w:szCs w:val="18"/>
              </w:rPr>
              <w:t xml:space="preserve">, a glucagon-like peptide-1 or an SGLT2 inhibitor, </w:t>
            </w:r>
            <w:proofErr w:type="gramStart"/>
            <w:r w:rsidRPr="00443CCB">
              <w:rPr>
                <w:rFonts w:ascii="Arial Narrow" w:hAnsi="Arial Narrow" w:cs="Calibri"/>
                <w:color w:val="333333"/>
                <w:sz w:val="18"/>
                <w:szCs w:val="18"/>
              </w:rPr>
              <w:t>must be documented</w:t>
            </w:r>
            <w:proofErr w:type="gramEnd"/>
            <w:r w:rsidRPr="00443CCB">
              <w:rPr>
                <w:rFonts w:ascii="Arial Narrow" w:hAnsi="Arial Narrow" w:cs="Calibri"/>
                <w:color w:val="333333"/>
                <w:sz w:val="18"/>
                <w:szCs w:val="18"/>
              </w:rPr>
              <w:t xml:space="preserve"> in the patient's medical records.</w:t>
            </w:r>
          </w:p>
        </w:tc>
      </w:tr>
      <w:tr w:rsidR="00443CCB" w:rsidRPr="00443CCB" w:rsidTr="00443CCB">
        <w:trPr>
          <w:trHeight w:val="1028"/>
        </w:trPr>
        <w:tc>
          <w:tcPr>
            <w:tcW w:w="5000" w:type="pct"/>
            <w:vAlign w:val="center"/>
            <w:hideMark/>
          </w:tcPr>
          <w:p w:rsidR="00443CCB" w:rsidRPr="00443CCB" w:rsidRDefault="00443CCB" w:rsidP="00443CCB">
            <w:pPr>
              <w:rPr>
                <w:rFonts w:ascii="Arial Narrow" w:hAnsi="Arial Narrow" w:cs="Calibri"/>
                <w:color w:val="333333"/>
                <w:sz w:val="18"/>
                <w:szCs w:val="18"/>
              </w:rPr>
            </w:pPr>
            <w:r w:rsidRPr="00443CCB">
              <w:rPr>
                <w:rFonts w:ascii="Arial Narrow" w:hAnsi="Arial Narrow" w:cs="Calibri"/>
                <w:b/>
                <w:bCs/>
                <w:color w:val="333333"/>
                <w:sz w:val="18"/>
                <w:szCs w:val="18"/>
              </w:rPr>
              <w:t>Administrative Advice:</w:t>
            </w:r>
          </w:p>
          <w:p w:rsidR="00443CCB" w:rsidRDefault="00443CCB" w:rsidP="00443CCB">
            <w:pPr>
              <w:rPr>
                <w:rFonts w:ascii="Arial Narrow" w:hAnsi="Arial Narrow" w:cs="Calibri"/>
                <w:color w:val="333333"/>
                <w:sz w:val="18"/>
                <w:szCs w:val="18"/>
              </w:rPr>
            </w:pPr>
            <w:r w:rsidRPr="00443CCB">
              <w:rPr>
                <w:rFonts w:ascii="Arial Narrow" w:hAnsi="Arial Narrow" w:cs="Calibri"/>
                <w:color w:val="333333"/>
                <w:sz w:val="18"/>
                <w:szCs w:val="18"/>
              </w:rPr>
              <w:t>This drug is not PBS-subsidised for use as monotherapy or in combination with a dipeptidyl peptidase 4 inhibitor (gliptin), a thiazolidinedione (</w:t>
            </w:r>
            <w:proofErr w:type="spellStart"/>
            <w:r w:rsidRPr="00443CCB">
              <w:rPr>
                <w:rFonts w:ascii="Arial Narrow" w:hAnsi="Arial Narrow" w:cs="Calibri"/>
                <w:color w:val="333333"/>
                <w:sz w:val="18"/>
                <w:szCs w:val="18"/>
              </w:rPr>
              <w:t>glitazone</w:t>
            </w:r>
            <w:proofErr w:type="spellEnd"/>
            <w:r w:rsidRPr="00443CCB">
              <w:rPr>
                <w:rFonts w:ascii="Arial Narrow" w:hAnsi="Arial Narrow" w:cs="Calibri"/>
                <w:color w:val="333333"/>
                <w:sz w:val="18"/>
                <w:szCs w:val="18"/>
              </w:rPr>
              <w:t>), an insulin or an SGLT2 inhibitor.</w:t>
            </w:r>
          </w:p>
          <w:p w:rsidR="00443CCB" w:rsidRPr="00443CCB" w:rsidRDefault="00443CCB" w:rsidP="00443CCB">
            <w:pPr>
              <w:rPr>
                <w:rFonts w:ascii="Arial Narrow" w:hAnsi="Arial Narrow" w:cs="Calibri"/>
                <w:color w:val="333333"/>
                <w:sz w:val="18"/>
                <w:szCs w:val="18"/>
              </w:rPr>
            </w:pPr>
          </w:p>
          <w:p w:rsidR="00443CCB" w:rsidRPr="00443CCB" w:rsidRDefault="00443CCB" w:rsidP="00443CCB">
            <w:pPr>
              <w:rPr>
                <w:rFonts w:ascii="Arial Narrow" w:hAnsi="Arial Narrow" w:cs="Calibri"/>
                <w:color w:val="333333"/>
                <w:sz w:val="18"/>
                <w:szCs w:val="18"/>
              </w:rPr>
            </w:pPr>
            <w:r w:rsidRPr="00443CCB">
              <w:rPr>
                <w:rFonts w:ascii="Arial Narrow" w:hAnsi="Arial Narrow" w:cs="Calibri"/>
                <w:color w:val="333333"/>
                <w:sz w:val="18"/>
                <w:szCs w:val="18"/>
              </w:rPr>
              <w:t>Special Pricing Arrangements apply.</w:t>
            </w:r>
          </w:p>
        </w:tc>
      </w:tr>
    </w:tbl>
    <w:p w:rsidR="009718E4" w:rsidRDefault="009718E4" w:rsidP="009718E4">
      <w:pPr>
        <w:pStyle w:val="3Bodytext"/>
        <w:numPr>
          <w:ilvl w:val="0"/>
          <w:numId w:val="0"/>
        </w:numPr>
        <w:rPr>
          <w:rFonts w:asciiTheme="minorHAnsi" w:hAnsiTheme="minorHAnsi" w:cstheme="minorHAnsi"/>
          <w:b/>
          <w:i/>
        </w:rPr>
      </w:pPr>
      <w:r w:rsidRPr="008212CB">
        <w:rPr>
          <w:rFonts w:asciiTheme="minorHAnsi" w:hAnsiTheme="minorHAnsi" w:cstheme="minorHAnsi"/>
          <w:b/>
          <w:i/>
        </w:rPr>
        <w:t>This restriction may be subject to further review. Should there be any changes made to the restriction the Sponsor will be informed.</w:t>
      </w:r>
    </w:p>
    <w:p w:rsidR="002D0226" w:rsidRDefault="002D0226" w:rsidP="002D0226">
      <w:pPr>
        <w:pStyle w:val="2Sections"/>
        <w:numPr>
          <w:ilvl w:val="0"/>
          <w:numId w:val="2"/>
        </w:numPr>
        <w:rPr>
          <w:color w:val="1F497D"/>
        </w:rPr>
      </w:pPr>
      <w:r w:rsidRPr="00C07617">
        <w:t>Context for Decision</w:t>
      </w:r>
    </w:p>
    <w:p w:rsidR="002D5691" w:rsidRDefault="002D0226" w:rsidP="002D0226">
      <w:pPr>
        <w:ind w:left="709"/>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cs="Arial"/>
          <w:bCs/>
          <w:lang w:val="en-GB"/>
        </w:rPr>
        <w:t>should be made</w:t>
      </w:r>
      <w:proofErr w:type="gramEnd"/>
      <w:r w:rsidRPr="007129F2">
        <w:rPr>
          <w:rFonts w:asciiTheme="minorHAnsi" w:hAnsiTheme="minorHAnsi" w:cs="Arial"/>
          <w:bCs/>
          <w:lang w:val="en-GB"/>
        </w:rPr>
        <w:t xml:space="preserve"> available through the PBS. The PBAC welcomes applications containing new information at any time.</w:t>
      </w:r>
    </w:p>
    <w:p w:rsidR="002D0226" w:rsidRPr="00C07617" w:rsidRDefault="002D0226" w:rsidP="002D0226">
      <w:pPr>
        <w:pStyle w:val="2Sections"/>
        <w:numPr>
          <w:ilvl w:val="0"/>
          <w:numId w:val="2"/>
        </w:numPr>
        <w:rPr>
          <w:b w:val="0"/>
        </w:rPr>
      </w:pPr>
      <w:r>
        <w:t>Sponsor’s Comment</w:t>
      </w:r>
    </w:p>
    <w:p w:rsidR="002D0226" w:rsidRPr="0082153F" w:rsidRDefault="002D0226" w:rsidP="0082153F">
      <w:pPr>
        <w:spacing w:after="120"/>
        <w:ind w:left="709"/>
        <w:rPr>
          <w:rFonts w:asciiTheme="minorHAnsi" w:hAnsiTheme="minorHAnsi" w:cs="Arial"/>
          <w:bCs/>
        </w:rPr>
      </w:pPr>
      <w:r w:rsidRPr="00C07617">
        <w:rPr>
          <w:rFonts w:asciiTheme="minorHAnsi" w:hAnsiTheme="minorHAnsi" w:cs="Arial"/>
          <w:bCs/>
        </w:rPr>
        <w:t>The sponsor had no comment.</w:t>
      </w:r>
    </w:p>
    <w:sectPr w:rsidR="002D0226" w:rsidRPr="0082153F"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34" w:rsidRDefault="005D3534">
      <w:r>
        <w:separator/>
      </w:r>
    </w:p>
    <w:p w:rsidR="005D3534" w:rsidRDefault="005D3534"/>
  </w:endnote>
  <w:endnote w:type="continuationSeparator" w:id="0">
    <w:p w:rsidR="005D3534" w:rsidRDefault="005D3534">
      <w:r>
        <w:continuationSeparator/>
      </w:r>
    </w:p>
    <w:p w:rsidR="005D3534" w:rsidRDefault="005D3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43CCB" w:rsidTr="005A3173">
      <w:trPr>
        <w:trHeight w:val="151"/>
      </w:trPr>
      <w:tc>
        <w:tcPr>
          <w:tcW w:w="2250" w:type="pct"/>
          <w:tcBorders>
            <w:top w:val="nil"/>
            <w:left w:val="nil"/>
            <w:bottom w:val="single" w:sz="4" w:space="0" w:color="4F81BD"/>
            <w:right w:val="nil"/>
          </w:tcBorders>
        </w:tcPr>
        <w:p w:rsidR="00443CCB" w:rsidRPr="005A3173" w:rsidRDefault="00443CCB" w:rsidP="005A3173">
          <w:pPr>
            <w:pStyle w:val="Header"/>
            <w:spacing w:line="276" w:lineRule="auto"/>
            <w:rPr>
              <w:rFonts w:eastAsia="MS Gothic"/>
              <w:b/>
              <w:bCs/>
              <w:color w:val="4F81BD"/>
            </w:rPr>
          </w:pPr>
        </w:p>
      </w:tc>
      <w:tc>
        <w:tcPr>
          <w:tcW w:w="500" w:type="pct"/>
          <w:vMerge w:val="restart"/>
          <w:noWrap/>
          <w:vAlign w:val="center"/>
          <w:hideMark/>
        </w:tcPr>
        <w:p w:rsidR="00443CCB" w:rsidRPr="005A3173" w:rsidRDefault="00443CC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43CCB" w:rsidRPr="005A3173" w:rsidRDefault="00443CCB" w:rsidP="005A3173">
          <w:pPr>
            <w:pStyle w:val="Header"/>
            <w:spacing w:line="276" w:lineRule="auto"/>
            <w:rPr>
              <w:rFonts w:eastAsia="MS Gothic"/>
              <w:b/>
              <w:bCs/>
              <w:color w:val="4F81BD"/>
            </w:rPr>
          </w:pPr>
        </w:p>
      </w:tc>
    </w:tr>
    <w:tr w:rsidR="00443CCB" w:rsidTr="005A3173">
      <w:trPr>
        <w:trHeight w:val="150"/>
      </w:trPr>
      <w:tc>
        <w:tcPr>
          <w:tcW w:w="2250" w:type="pct"/>
          <w:tcBorders>
            <w:top w:val="single" w:sz="4" w:space="0" w:color="4F81BD"/>
            <w:left w:val="nil"/>
            <w:bottom w:val="nil"/>
            <w:right w:val="nil"/>
          </w:tcBorders>
        </w:tcPr>
        <w:p w:rsidR="00443CCB" w:rsidRPr="005A3173" w:rsidRDefault="00443CCB" w:rsidP="005A3173">
          <w:pPr>
            <w:pStyle w:val="Header"/>
            <w:spacing w:line="276" w:lineRule="auto"/>
            <w:rPr>
              <w:rFonts w:eastAsia="MS Gothic"/>
              <w:b/>
              <w:bCs/>
              <w:color w:val="4F81BD"/>
            </w:rPr>
          </w:pPr>
        </w:p>
      </w:tc>
      <w:tc>
        <w:tcPr>
          <w:tcW w:w="0" w:type="auto"/>
          <w:vMerge/>
          <w:vAlign w:val="center"/>
          <w:hideMark/>
        </w:tcPr>
        <w:p w:rsidR="00443CCB" w:rsidRPr="005A3173" w:rsidRDefault="00443CCB" w:rsidP="005A3173">
          <w:pPr>
            <w:rPr>
              <w:color w:val="365F91"/>
              <w:sz w:val="22"/>
              <w:szCs w:val="22"/>
            </w:rPr>
          </w:pPr>
        </w:p>
      </w:tc>
      <w:tc>
        <w:tcPr>
          <w:tcW w:w="2250" w:type="pct"/>
          <w:tcBorders>
            <w:top w:val="single" w:sz="4" w:space="0" w:color="4F81BD"/>
            <w:left w:val="nil"/>
            <w:bottom w:val="nil"/>
            <w:right w:val="nil"/>
          </w:tcBorders>
        </w:tcPr>
        <w:p w:rsidR="00443CCB" w:rsidRPr="005A3173" w:rsidRDefault="00443CCB" w:rsidP="005A3173">
          <w:pPr>
            <w:pStyle w:val="Header"/>
            <w:spacing w:line="276" w:lineRule="auto"/>
            <w:rPr>
              <w:rFonts w:eastAsia="MS Gothic"/>
              <w:b/>
              <w:bCs/>
              <w:color w:val="4F81BD"/>
            </w:rPr>
          </w:pPr>
        </w:p>
      </w:tc>
    </w:tr>
  </w:tbl>
  <w:p w:rsidR="00443CCB" w:rsidRDefault="00443CC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3CCB" w:rsidRDefault="00443CCB">
    <w:pPr>
      <w:pStyle w:val="Footer"/>
    </w:pPr>
  </w:p>
  <w:p w:rsidR="00443CCB" w:rsidRDefault="00443C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CB" w:rsidRDefault="00443CCB">
    <w:pPr>
      <w:pStyle w:val="Footer"/>
      <w:jc w:val="center"/>
    </w:pPr>
  </w:p>
  <w:p w:rsidR="00443CCB" w:rsidRPr="001F2EBC" w:rsidRDefault="004144D2" w:rsidP="001F2EBC">
    <w:pPr>
      <w:pStyle w:val="Footer"/>
      <w:jc w:val="center"/>
      <w:rPr>
        <w:rFonts w:cs="Arial"/>
        <w:b/>
      </w:rPr>
    </w:pPr>
    <w:sdt>
      <w:sdtPr>
        <w:id w:val="-592551299"/>
        <w:docPartObj>
          <w:docPartGallery w:val="Page Numbers (Bottom of Page)"/>
          <w:docPartUnique/>
        </w:docPartObj>
      </w:sdtPr>
      <w:sdtEndPr>
        <w:rPr>
          <w:rStyle w:val="PageFooterChar"/>
          <w:rFonts w:cs="Arial"/>
          <w:b/>
        </w:rPr>
      </w:sdtEndPr>
      <w:sdtContent>
        <w:r w:rsidR="00443CCB" w:rsidRPr="00C47097">
          <w:rPr>
            <w:rStyle w:val="PageFooterChar"/>
          </w:rPr>
          <w:fldChar w:fldCharType="begin"/>
        </w:r>
        <w:r w:rsidR="00443CCB" w:rsidRPr="00C47097">
          <w:rPr>
            <w:rStyle w:val="PageFooterChar"/>
          </w:rPr>
          <w:instrText xml:space="preserve"> PAGE   \* MERGEFORMAT </w:instrText>
        </w:r>
        <w:r w:rsidR="00443CCB" w:rsidRPr="00C47097">
          <w:rPr>
            <w:rStyle w:val="PageFooterChar"/>
          </w:rPr>
          <w:fldChar w:fldCharType="separate"/>
        </w:r>
        <w:r>
          <w:rPr>
            <w:rStyle w:val="PageFooterChar"/>
            <w:noProof/>
          </w:rPr>
          <w:t>11</w:t>
        </w:r>
        <w:r w:rsidR="00443CCB" w:rsidRPr="00C47097">
          <w:rPr>
            <w:rStyle w:val="PageFooterCha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443CCB" w:rsidTr="005A3173">
      <w:trPr>
        <w:trHeight w:val="151"/>
      </w:trPr>
      <w:tc>
        <w:tcPr>
          <w:tcW w:w="2250" w:type="pct"/>
          <w:tcBorders>
            <w:top w:val="nil"/>
            <w:left w:val="nil"/>
            <w:bottom w:val="single" w:sz="4" w:space="0" w:color="4F81BD"/>
            <w:right w:val="nil"/>
          </w:tcBorders>
        </w:tcPr>
        <w:p w:rsidR="00443CCB" w:rsidRPr="005A3173" w:rsidRDefault="00443CCB" w:rsidP="005A3173">
          <w:pPr>
            <w:pStyle w:val="Header"/>
            <w:spacing w:line="276" w:lineRule="auto"/>
            <w:rPr>
              <w:rFonts w:eastAsia="MS Gothic"/>
              <w:b/>
              <w:bCs/>
              <w:color w:val="4F81BD"/>
            </w:rPr>
          </w:pPr>
        </w:p>
      </w:tc>
      <w:tc>
        <w:tcPr>
          <w:tcW w:w="500" w:type="pct"/>
          <w:vMerge w:val="restart"/>
          <w:noWrap/>
          <w:vAlign w:val="center"/>
          <w:hideMark/>
        </w:tcPr>
        <w:p w:rsidR="00443CCB" w:rsidRPr="005A3173" w:rsidRDefault="00443CC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43CCB" w:rsidRPr="005A3173" w:rsidRDefault="00443CCB" w:rsidP="005A3173">
          <w:pPr>
            <w:pStyle w:val="Header"/>
            <w:spacing w:line="276" w:lineRule="auto"/>
            <w:rPr>
              <w:rFonts w:eastAsia="MS Gothic"/>
              <w:b/>
              <w:bCs/>
              <w:color w:val="4F81BD"/>
            </w:rPr>
          </w:pPr>
        </w:p>
      </w:tc>
    </w:tr>
    <w:tr w:rsidR="00443CCB" w:rsidTr="005A3173">
      <w:trPr>
        <w:trHeight w:val="150"/>
      </w:trPr>
      <w:tc>
        <w:tcPr>
          <w:tcW w:w="2250" w:type="pct"/>
          <w:tcBorders>
            <w:top w:val="single" w:sz="4" w:space="0" w:color="4F81BD"/>
            <w:left w:val="nil"/>
            <w:bottom w:val="nil"/>
            <w:right w:val="nil"/>
          </w:tcBorders>
        </w:tcPr>
        <w:p w:rsidR="00443CCB" w:rsidRPr="005A3173" w:rsidRDefault="00443CCB" w:rsidP="005A3173">
          <w:pPr>
            <w:pStyle w:val="Header"/>
            <w:spacing w:line="276" w:lineRule="auto"/>
            <w:rPr>
              <w:rFonts w:eastAsia="MS Gothic"/>
              <w:b/>
              <w:bCs/>
              <w:color w:val="4F81BD"/>
            </w:rPr>
          </w:pPr>
        </w:p>
      </w:tc>
      <w:tc>
        <w:tcPr>
          <w:tcW w:w="0" w:type="auto"/>
          <w:vMerge/>
          <w:vAlign w:val="center"/>
          <w:hideMark/>
        </w:tcPr>
        <w:p w:rsidR="00443CCB" w:rsidRPr="005A3173" w:rsidRDefault="00443CCB" w:rsidP="005A3173">
          <w:pPr>
            <w:rPr>
              <w:color w:val="365F91"/>
              <w:sz w:val="22"/>
              <w:szCs w:val="22"/>
            </w:rPr>
          </w:pPr>
        </w:p>
      </w:tc>
      <w:tc>
        <w:tcPr>
          <w:tcW w:w="2250" w:type="pct"/>
          <w:tcBorders>
            <w:top w:val="single" w:sz="4" w:space="0" w:color="4F81BD"/>
            <w:left w:val="nil"/>
            <w:bottom w:val="nil"/>
            <w:right w:val="nil"/>
          </w:tcBorders>
        </w:tcPr>
        <w:p w:rsidR="00443CCB" w:rsidRPr="005A3173" w:rsidRDefault="00443CCB"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43CCB" w:rsidTr="005A3173">
      <w:trPr>
        <w:trHeight w:val="151"/>
      </w:trPr>
      <w:tc>
        <w:tcPr>
          <w:tcW w:w="2250" w:type="pct"/>
          <w:tcBorders>
            <w:top w:val="nil"/>
            <w:left w:val="nil"/>
            <w:bottom w:val="single" w:sz="4" w:space="0" w:color="4F81BD"/>
            <w:right w:val="nil"/>
          </w:tcBorders>
        </w:tcPr>
        <w:p w:rsidR="00443CCB" w:rsidRPr="005A3173" w:rsidRDefault="00443CCB" w:rsidP="005A3173">
          <w:pPr>
            <w:pStyle w:val="Header"/>
            <w:spacing w:line="276" w:lineRule="auto"/>
            <w:rPr>
              <w:rFonts w:eastAsia="MS Gothic"/>
              <w:b/>
              <w:bCs/>
              <w:color w:val="4F81BD"/>
            </w:rPr>
          </w:pPr>
        </w:p>
      </w:tc>
      <w:tc>
        <w:tcPr>
          <w:tcW w:w="500" w:type="pct"/>
          <w:vMerge w:val="restart"/>
          <w:noWrap/>
          <w:vAlign w:val="center"/>
          <w:hideMark/>
        </w:tcPr>
        <w:p w:rsidR="00443CCB" w:rsidRPr="005A3173" w:rsidRDefault="00443CC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43CCB" w:rsidRPr="005A3173" w:rsidRDefault="00443CCB" w:rsidP="005A3173">
          <w:pPr>
            <w:pStyle w:val="Header"/>
            <w:spacing w:line="276" w:lineRule="auto"/>
            <w:rPr>
              <w:rFonts w:eastAsia="MS Gothic"/>
              <w:b/>
              <w:bCs/>
              <w:color w:val="4F81BD"/>
            </w:rPr>
          </w:pPr>
        </w:p>
      </w:tc>
    </w:tr>
    <w:tr w:rsidR="00443CCB" w:rsidTr="005A3173">
      <w:trPr>
        <w:trHeight w:val="150"/>
      </w:trPr>
      <w:tc>
        <w:tcPr>
          <w:tcW w:w="2250" w:type="pct"/>
          <w:tcBorders>
            <w:top w:val="single" w:sz="4" w:space="0" w:color="4F81BD"/>
            <w:left w:val="nil"/>
            <w:bottom w:val="nil"/>
            <w:right w:val="nil"/>
          </w:tcBorders>
        </w:tcPr>
        <w:p w:rsidR="00443CCB" w:rsidRPr="005A3173" w:rsidRDefault="00443CCB" w:rsidP="005A3173">
          <w:pPr>
            <w:pStyle w:val="Header"/>
            <w:spacing w:line="276" w:lineRule="auto"/>
            <w:rPr>
              <w:rFonts w:eastAsia="MS Gothic"/>
              <w:b/>
              <w:bCs/>
              <w:color w:val="4F81BD"/>
            </w:rPr>
          </w:pPr>
        </w:p>
      </w:tc>
      <w:tc>
        <w:tcPr>
          <w:tcW w:w="0" w:type="auto"/>
          <w:vMerge/>
          <w:vAlign w:val="center"/>
          <w:hideMark/>
        </w:tcPr>
        <w:p w:rsidR="00443CCB" w:rsidRPr="005A3173" w:rsidRDefault="00443CCB" w:rsidP="005A3173">
          <w:pPr>
            <w:rPr>
              <w:color w:val="365F91"/>
              <w:sz w:val="22"/>
              <w:szCs w:val="22"/>
            </w:rPr>
          </w:pPr>
        </w:p>
      </w:tc>
      <w:tc>
        <w:tcPr>
          <w:tcW w:w="2250" w:type="pct"/>
          <w:tcBorders>
            <w:top w:val="single" w:sz="4" w:space="0" w:color="4F81BD"/>
            <w:left w:val="nil"/>
            <w:bottom w:val="nil"/>
            <w:right w:val="nil"/>
          </w:tcBorders>
        </w:tcPr>
        <w:p w:rsidR="00443CCB" w:rsidRPr="005A3173" w:rsidRDefault="00443CCB" w:rsidP="005A3173">
          <w:pPr>
            <w:pStyle w:val="Header"/>
            <w:spacing w:line="276" w:lineRule="auto"/>
            <w:rPr>
              <w:rFonts w:eastAsia="MS Gothic"/>
              <w:b/>
              <w:bCs/>
              <w:color w:val="4F81BD"/>
            </w:rPr>
          </w:pPr>
        </w:p>
      </w:tc>
    </w:tr>
  </w:tbl>
  <w:p w:rsidR="00443CCB" w:rsidRPr="007C0F57" w:rsidRDefault="00443CC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43CCB" w:rsidRPr="007C0F57" w:rsidRDefault="00443CCB" w:rsidP="007C0F57">
    <w:pPr>
      <w:pStyle w:val="Footer"/>
      <w:jc w:val="center"/>
      <w:rPr>
        <w:b/>
        <w:i/>
        <w:sz w:val="20"/>
        <w:szCs w:val="20"/>
      </w:rPr>
    </w:pPr>
    <w:r w:rsidRPr="007C0F57">
      <w:rPr>
        <w:b/>
        <w:i/>
        <w:sz w:val="20"/>
        <w:szCs w:val="20"/>
      </w:rPr>
      <w:t>Commercial-in-Confidence</w:t>
    </w:r>
  </w:p>
  <w:p w:rsidR="00443CCB" w:rsidRDefault="00443C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34" w:rsidRDefault="005D3534">
      <w:r>
        <w:separator/>
      </w:r>
    </w:p>
    <w:p w:rsidR="005D3534" w:rsidRDefault="005D3534"/>
  </w:footnote>
  <w:footnote w:type="continuationSeparator" w:id="0">
    <w:p w:rsidR="005D3534" w:rsidRDefault="005D3534">
      <w:r>
        <w:continuationSeparator/>
      </w:r>
    </w:p>
    <w:p w:rsidR="005D3534" w:rsidRDefault="005D3534"/>
  </w:footnote>
  <w:footnote w:id="1">
    <w:p w:rsidR="00443CCB" w:rsidRPr="00B906B5" w:rsidRDefault="00443CCB">
      <w:pPr>
        <w:pStyle w:val="FootnoteText"/>
        <w:rPr>
          <w:i/>
        </w:rPr>
      </w:pPr>
      <w:r w:rsidRPr="00B906B5">
        <w:rPr>
          <w:rStyle w:val="FootnoteReference"/>
          <w:i/>
        </w:rPr>
        <w:footnoteRef/>
      </w:r>
      <w:r w:rsidRPr="00B906B5">
        <w:rPr>
          <w:i/>
        </w:rPr>
        <w:t xml:space="preserve"> </w:t>
      </w:r>
      <w:proofErr w:type="gramStart"/>
      <w:r w:rsidRPr="00B906B5">
        <w:rPr>
          <w:i/>
        </w:rPr>
        <w:t>Regulatory guidelines for weight management products suggest efficacy benchmarks after 1 year of treatment of either: statistically significant difference in weight loss of ≥ 5% between arms; or the proportion of patients with ≥ 5% weight loss is at least 35% in the intervention arm, is approximately double the proportion in the placebo arm, and the difference between arms is statistically significant (FDA Draft Guidance Feb 2007).</w:t>
      </w:r>
      <w:proofErr w:type="gramEnd"/>
    </w:p>
  </w:footnote>
  <w:footnote w:id="2">
    <w:p w:rsidR="00443CCB" w:rsidRDefault="00443CCB" w:rsidP="00ED22B2">
      <w:pPr>
        <w:pStyle w:val="FootnoteText"/>
      </w:pPr>
      <w:r>
        <w:rPr>
          <w:rStyle w:val="FootnoteReference"/>
        </w:rPr>
        <w:footnoteRef/>
      </w:r>
      <w:r>
        <w:t xml:space="preserve"> </w:t>
      </w:r>
      <w:hyperlink r:id="rId1" w:tooltip="The Australian Diabetes Society had revised its position statement on T2DM management to include GLP-1 therapies as second line add-on therapy." w:history="1">
        <w:r>
          <w:rPr>
            <w:rStyle w:val="Hyperlink"/>
          </w:rPr>
          <w:t>https://diabetessociety.com.au/documents/T2DManagementAlgorithm26022020.pdf</w:t>
        </w:r>
      </w:hyperlink>
      <w:bookmarkStart w:id="2" w:name="_GoBack"/>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43CCB" w:rsidRPr="008E0D90" w:rsidTr="00A06225">
      <w:trPr>
        <w:trHeight w:val="151"/>
      </w:trPr>
      <w:tc>
        <w:tcPr>
          <w:tcW w:w="2389" w:type="pct"/>
          <w:tcBorders>
            <w:top w:val="nil"/>
            <w:left w:val="nil"/>
            <w:bottom w:val="single" w:sz="4" w:space="0" w:color="4F81BD"/>
            <w:right w:val="nil"/>
          </w:tcBorders>
        </w:tcPr>
        <w:p w:rsidR="00443CCB" w:rsidRPr="00A06225" w:rsidRDefault="00443CCB">
          <w:pPr>
            <w:pStyle w:val="Header"/>
            <w:spacing w:line="276" w:lineRule="auto"/>
            <w:rPr>
              <w:rFonts w:ascii="Cambria" w:eastAsia="MS Gothic" w:hAnsi="Cambria"/>
              <w:b/>
              <w:bCs/>
              <w:color w:val="4F81BD"/>
            </w:rPr>
          </w:pPr>
        </w:p>
      </w:tc>
      <w:tc>
        <w:tcPr>
          <w:tcW w:w="333" w:type="pct"/>
          <w:vMerge w:val="restart"/>
          <w:noWrap/>
          <w:vAlign w:val="center"/>
          <w:hideMark/>
        </w:tcPr>
        <w:p w:rsidR="00443CCB" w:rsidRPr="00A06225" w:rsidRDefault="00443CC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43CCB" w:rsidRPr="00A06225" w:rsidRDefault="00443CCB">
          <w:pPr>
            <w:pStyle w:val="Header"/>
            <w:spacing w:line="276" w:lineRule="auto"/>
            <w:rPr>
              <w:rFonts w:ascii="Cambria" w:eastAsia="MS Gothic" w:hAnsi="Cambria"/>
              <w:b/>
              <w:bCs/>
              <w:color w:val="4F81BD"/>
            </w:rPr>
          </w:pPr>
        </w:p>
      </w:tc>
    </w:tr>
    <w:tr w:rsidR="00443CCB" w:rsidRPr="008E0D90" w:rsidTr="00A06225">
      <w:trPr>
        <w:trHeight w:val="150"/>
      </w:trPr>
      <w:tc>
        <w:tcPr>
          <w:tcW w:w="2389" w:type="pct"/>
          <w:tcBorders>
            <w:top w:val="single" w:sz="4" w:space="0" w:color="4F81BD"/>
            <w:left w:val="nil"/>
            <w:bottom w:val="nil"/>
            <w:right w:val="nil"/>
          </w:tcBorders>
        </w:tcPr>
        <w:p w:rsidR="00443CCB" w:rsidRPr="00A06225" w:rsidRDefault="00443CCB">
          <w:pPr>
            <w:pStyle w:val="Header"/>
            <w:spacing w:line="276" w:lineRule="auto"/>
            <w:rPr>
              <w:rFonts w:ascii="Cambria" w:eastAsia="MS Gothic" w:hAnsi="Cambria"/>
              <w:b/>
              <w:bCs/>
              <w:color w:val="4F81BD"/>
            </w:rPr>
          </w:pPr>
        </w:p>
      </w:tc>
      <w:tc>
        <w:tcPr>
          <w:tcW w:w="0" w:type="auto"/>
          <w:vMerge/>
          <w:vAlign w:val="center"/>
          <w:hideMark/>
        </w:tcPr>
        <w:p w:rsidR="00443CCB" w:rsidRPr="00A06225" w:rsidRDefault="00443CCB">
          <w:pPr>
            <w:rPr>
              <w:rFonts w:ascii="Cambria" w:hAnsi="Cambria"/>
              <w:color w:val="4F81BD"/>
              <w:sz w:val="22"/>
              <w:szCs w:val="22"/>
            </w:rPr>
          </w:pPr>
        </w:p>
      </w:tc>
      <w:tc>
        <w:tcPr>
          <w:tcW w:w="2278" w:type="pct"/>
          <w:tcBorders>
            <w:top w:val="single" w:sz="4" w:space="0" w:color="4F81BD"/>
            <w:left w:val="nil"/>
            <w:bottom w:val="nil"/>
            <w:right w:val="nil"/>
          </w:tcBorders>
        </w:tcPr>
        <w:p w:rsidR="00443CCB" w:rsidRPr="00A06225" w:rsidRDefault="00443CCB">
          <w:pPr>
            <w:pStyle w:val="Header"/>
            <w:spacing w:line="276" w:lineRule="auto"/>
            <w:rPr>
              <w:rFonts w:ascii="Cambria" w:eastAsia="MS Gothic" w:hAnsi="Cambria"/>
              <w:b/>
              <w:bCs/>
              <w:color w:val="4F81BD"/>
            </w:rPr>
          </w:pPr>
        </w:p>
      </w:tc>
    </w:tr>
  </w:tbl>
  <w:p w:rsidR="00443CCB" w:rsidRDefault="00443CCB">
    <w:pPr>
      <w:pStyle w:val="Header"/>
    </w:pPr>
  </w:p>
  <w:p w:rsidR="00443CCB" w:rsidRDefault="00443C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CB" w:rsidRDefault="00CA74AE" w:rsidP="00CA74AE">
    <w:pPr>
      <w:pStyle w:val="Header"/>
      <w:ind w:left="360"/>
      <w:rPr>
        <w:rFonts w:asciiTheme="minorHAnsi" w:hAnsiTheme="minorHAnsi" w:cs="Arial"/>
        <w:i/>
        <w:color w:val="808080"/>
      </w:rPr>
    </w:pPr>
    <w:r>
      <w:rPr>
        <w:rFonts w:asciiTheme="minorHAnsi" w:hAnsiTheme="minorHAnsi" w:cs="Arial"/>
        <w:i/>
        <w:color w:val="808080"/>
      </w:rPr>
      <w:t>Public Summary Document</w:t>
    </w:r>
    <w:r w:rsidR="00443CCB" w:rsidRPr="00056684">
      <w:rPr>
        <w:rFonts w:asciiTheme="minorHAnsi" w:hAnsiTheme="minorHAnsi" w:cs="Arial"/>
        <w:i/>
        <w:color w:val="808080"/>
      </w:rPr>
      <w:t xml:space="preserve"> – </w:t>
    </w:r>
    <w:r w:rsidR="00443CCB">
      <w:rPr>
        <w:rFonts w:asciiTheme="minorHAnsi" w:hAnsiTheme="minorHAnsi" w:cs="Arial"/>
        <w:i/>
        <w:color w:val="808080"/>
      </w:rPr>
      <w:t>March 2020</w:t>
    </w:r>
    <w:r w:rsidR="00443CCB" w:rsidRPr="00056684">
      <w:rPr>
        <w:rFonts w:asciiTheme="minorHAnsi" w:hAnsiTheme="minorHAnsi" w:cs="Arial"/>
        <w:i/>
        <w:color w:val="808080"/>
      </w:rPr>
      <w:t xml:space="preserve"> PBAC Meeting</w:t>
    </w:r>
  </w:p>
  <w:p w:rsidR="00443CCB" w:rsidRDefault="00443CCB"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6C0" w:rsidRDefault="00171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49E36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start w:val="1"/>
      <w:numFmt w:val="bullet"/>
      <w:pStyle w:val="3-BodyTex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2495D"/>
    <w:multiLevelType w:val="hybridMultilevel"/>
    <w:tmpl w:val="8D42A9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146E0"/>
    <w:multiLevelType w:val="hybridMultilevel"/>
    <w:tmpl w:val="5F7C76FA"/>
    <w:lvl w:ilvl="0" w:tplc="F93AB89A">
      <w:start w:val="1"/>
      <w:numFmt w:val="decimal"/>
      <w:lvlText w:val="%1."/>
      <w:lvlJc w:val="left"/>
      <w:pPr>
        <w:tabs>
          <w:tab w:val="num" w:pos="720"/>
        </w:tabs>
        <w:ind w:left="720" w:hanging="360"/>
      </w:pPr>
    </w:lvl>
    <w:lvl w:ilvl="1" w:tplc="91B8AD92" w:tentative="1">
      <w:start w:val="1"/>
      <w:numFmt w:val="decimal"/>
      <w:lvlText w:val="%2."/>
      <w:lvlJc w:val="left"/>
      <w:pPr>
        <w:tabs>
          <w:tab w:val="num" w:pos="1440"/>
        </w:tabs>
        <w:ind w:left="1440" w:hanging="360"/>
      </w:pPr>
    </w:lvl>
    <w:lvl w:ilvl="2" w:tplc="3BAA418E" w:tentative="1">
      <w:start w:val="1"/>
      <w:numFmt w:val="decimal"/>
      <w:lvlText w:val="%3."/>
      <w:lvlJc w:val="left"/>
      <w:pPr>
        <w:tabs>
          <w:tab w:val="num" w:pos="2160"/>
        </w:tabs>
        <w:ind w:left="2160" w:hanging="360"/>
      </w:pPr>
    </w:lvl>
    <w:lvl w:ilvl="3" w:tplc="3844191E" w:tentative="1">
      <w:start w:val="1"/>
      <w:numFmt w:val="decimal"/>
      <w:lvlText w:val="%4."/>
      <w:lvlJc w:val="left"/>
      <w:pPr>
        <w:tabs>
          <w:tab w:val="num" w:pos="2880"/>
        </w:tabs>
        <w:ind w:left="2880" w:hanging="360"/>
      </w:pPr>
    </w:lvl>
    <w:lvl w:ilvl="4" w:tplc="ED823846" w:tentative="1">
      <w:start w:val="1"/>
      <w:numFmt w:val="decimal"/>
      <w:lvlText w:val="%5."/>
      <w:lvlJc w:val="left"/>
      <w:pPr>
        <w:tabs>
          <w:tab w:val="num" w:pos="3600"/>
        </w:tabs>
        <w:ind w:left="3600" w:hanging="360"/>
      </w:pPr>
    </w:lvl>
    <w:lvl w:ilvl="5" w:tplc="445E1584" w:tentative="1">
      <w:start w:val="1"/>
      <w:numFmt w:val="decimal"/>
      <w:lvlText w:val="%6."/>
      <w:lvlJc w:val="left"/>
      <w:pPr>
        <w:tabs>
          <w:tab w:val="num" w:pos="4320"/>
        </w:tabs>
        <w:ind w:left="4320" w:hanging="360"/>
      </w:pPr>
    </w:lvl>
    <w:lvl w:ilvl="6" w:tplc="C6D443F0" w:tentative="1">
      <w:start w:val="1"/>
      <w:numFmt w:val="decimal"/>
      <w:lvlText w:val="%7."/>
      <w:lvlJc w:val="left"/>
      <w:pPr>
        <w:tabs>
          <w:tab w:val="num" w:pos="5040"/>
        </w:tabs>
        <w:ind w:left="5040" w:hanging="360"/>
      </w:pPr>
    </w:lvl>
    <w:lvl w:ilvl="7" w:tplc="999683FA" w:tentative="1">
      <w:start w:val="1"/>
      <w:numFmt w:val="decimal"/>
      <w:lvlText w:val="%8."/>
      <w:lvlJc w:val="left"/>
      <w:pPr>
        <w:tabs>
          <w:tab w:val="num" w:pos="5760"/>
        </w:tabs>
        <w:ind w:left="5760" w:hanging="360"/>
      </w:pPr>
    </w:lvl>
    <w:lvl w:ilvl="8" w:tplc="75800FCA" w:tentative="1">
      <w:start w:val="1"/>
      <w:numFmt w:val="decimal"/>
      <w:lvlText w:val="%9."/>
      <w:lvlJc w:val="left"/>
      <w:pPr>
        <w:tabs>
          <w:tab w:val="num" w:pos="6480"/>
        </w:tabs>
        <w:ind w:left="6480" w:hanging="360"/>
      </w:pPr>
    </w:lvl>
  </w:abstractNum>
  <w:abstractNum w:abstractNumId="7" w15:restartNumberingAfterBreak="0">
    <w:nsid w:val="200A5956"/>
    <w:multiLevelType w:val="hybridMultilevel"/>
    <w:tmpl w:val="1D94FA58"/>
    <w:lvl w:ilvl="0" w:tplc="18143B82">
      <w:start w:val="1"/>
      <w:numFmt w:val="bulle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32008766" w:tentative="1">
      <w:start w:val="1"/>
      <w:numFmt w:val="bullet"/>
      <w:lvlText w:val=""/>
      <w:lvlJc w:val="left"/>
      <w:pPr>
        <w:tabs>
          <w:tab w:val="num" w:pos="2520"/>
        </w:tabs>
        <w:ind w:left="2520" w:hanging="360"/>
      </w:pPr>
      <w:rPr>
        <w:rFonts w:ascii="Wingdings" w:hAnsi="Wingdings" w:hint="default"/>
      </w:rPr>
    </w:lvl>
    <w:lvl w:ilvl="3" w:tplc="E45AFFCC" w:tentative="1">
      <w:start w:val="1"/>
      <w:numFmt w:val="bullet"/>
      <w:lvlText w:val=""/>
      <w:lvlJc w:val="left"/>
      <w:pPr>
        <w:tabs>
          <w:tab w:val="num" w:pos="3240"/>
        </w:tabs>
        <w:ind w:left="3240" w:hanging="360"/>
      </w:pPr>
      <w:rPr>
        <w:rFonts w:ascii="Symbol" w:hAnsi="Symbol" w:hint="default"/>
      </w:rPr>
    </w:lvl>
    <w:lvl w:ilvl="4" w:tplc="E9C82456" w:tentative="1">
      <w:start w:val="1"/>
      <w:numFmt w:val="bullet"/>
      <w:lvlText w:val="o"/>
      <w:lvlJc w:val="left"/>
      <w:pPr>
        <w:tabs>
          <w:tab w:val="num" w:pos="3960"/>
        </w:tabs>
        <w:ind w:left="3960" w:hanging="360"/>
      </w:pPr>
      <w:rPr>
        <w:rFonts w:ascii="Courier New" w:hAnsi="Courier New" w:cs="Courier New" w:hint="default"/>
      </w:rPr>
    </w:lvl>
    <w:lvl w:ilvl="5" w:tplc="7640D61A" w:tentative="1">
      <w:start w:val="1"/>
      <w:numFmt w:val="bullet"/>
      <w:lvlText w:val=""/>
      <w:lvlJc w:val="left"/>
      <w:pPr>
        <w:tabs>
          <w:tab w:val="num" w:pos="4680"/>
        </w:tabs>
        <w:ind w:left="4680" w:hanging="360"/>
      </w:pPr>
      <w:rPr>
        <w:rFonts w:ascii="Wingdings" w:hAnsi="Wingdings" w:hint="default"/>
      </w:rPr>
    </w:lvl>
    <w:lvl w:ilvl="6" w:tplc="591CF4A6" w:tentative="1">
      <w:start w:val="1"/>
      <w:numFmt w:val="bullet"/>
      <w:lvlText w:val=""/>
      <w:lvlJc w:val="left"/>
      <w:pPr>
        <w:tabs>
          <w:tab w:val="num" w:pos="5400"/>
        </w:tabs>
        <w:ind w:left="5400" w:hanging="360"/>
      </w:pPr>
      <w:rPr>
        <w:rFonts w:ascii="Symbol" w:hAnsi="Symbol" w:hint="default"/>
      </w:rPr>
    </w:lvl>
    <w:lvl w:ilvl="7" w:tplc="0C2E83BC" w:tentative="1">
      <w:start w:val="1"/>
      <w:numFmt w:val="bullet"/>
      <w:lvlText w:val="o"/>
      <w:lvlJc w:val="left"/>
      <w:pPr>
        <w:tabs>
          <w:tab w:val="num" w:pos="6120"/>
        </w:tabs>
        <w:ind w:left="6120" w:hanging="360"/>
      </w:pPr>
      <w:rPr>
        <w:rFonts w:ascii="Courier New" w:hAnsi="Courier New" w:cs="Courier New" w:hint="default"/>
      </w:rPr>
    </w:lvl>
    <w:lvl w:ilvl="8" w:tplc="55C6FBAE"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7E2BF5"/>
    <w:multiLevelType w:val="hybridMultilevel"/>
    <w:tmpl w:val="8A08F9B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6385965"/>
    <w:multiLevelType w:val="hybridMultilevel"/>
    <w:tmpl w:val="96C217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4C31B3"/>
    <w:multiLevelType w:val="hybridMultilevel"/>
    <w:tmpl w:val="BBC4F4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7C34E2"/>
    <w:multiLevelType w:val="hybridMultilevel"/>
    <w:tmpl w:val="6A64FB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004547"/>
    <w:multiLevelType w:val="hybridMultilevel"/>
    <w:tmpl w:val="D2A80A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66D65"/>
    <w:multiLevelType w:val="hybridMultilevel"/>
    <w:tmpl w:val="2272FA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00E07CC"/>
    <w:multiLevelType w:val="hybridMultilevel"/>
    <w:tmpl w:val="9878A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070CA612"/>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5"/>
  </w:num>
  <w:num w:numId="3">
    <w:abstractNumId w:val="0"/>
  </w:num>
  <w:num w:numId="4">
    <w:abstractNumId w:val="20"/>
  </w:num>
  <w:num w:numId="5">
    <w:abstractNumId w:val="11"/>
  </w:num>
  <w:num w:numId="6">
    <w:abstractNumId w:val="1"/>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6"/>
  </w:num>
  <w:num w:numId="12">
    <w:abstractNumId w:val="24"/>
  </w:num>
  <w:num w:numId="13">
    <w:abstractNumId w:val="21"/>
  </w:num>
  <w:num w:numId="14">
    <w:abstractNumId w:val="26"/>
  </w:num>
  <w:num w:numId="15">
    <w:abstractNumId w:val="22"/>
  </w:num>
  <w:num w:numId="16">
    <w:abstractNumId w:val="23"/>
  </w:num>
  <w:num w:numId="17">
    <w:abstractNumId w:val="18"/>
  </w:num>
  <w:num w:numId="18">
    <w:abstractNumId w:val="7"/>
  </w:num>
  <w:num w:numId="19">
    <w:abstractNumId w:val="25"/>
  </w:num>
  <w:num w:numId="20">
    <w:abstractNumId w:val="25"/>
  </w:num>
  <w:num w:numId="21">
    <w:abstractNumId w:val="10"/>
  </w:num>
  <w:num w:numId="22">
    <w:abstractNumId w:val="17"/>
  </w:num>
  <w:num w:numId="23">
    <w:abstractNumId w:val="15"/>
  </w:num>
  <w:num w:numId="24">
    <w:abstractNumId w:val="19"/>
  </w:num>
  <w:num w:numId="25">
    <w:abstractNumId w:val="3"/>
  </w:num>
  <w:num w:numId="26">
    <w:abstractNumId w:val="2"/>
  </w:num>
  <w:num w:numId="27">
    <w:abstractNumId w:val="9"/>
  </w:num>
  <w:num w:numId="28">
    <w:abstractNumId w:val="12"/>
  </w:num>
  <w:num w:numId="29">
    <w:abstractNumId w:val="8"/>
  </w:num>
  <w:num w:numId="30">
    <w:abstractNumId w:val="6"/>
  </w:num>
  <w:num w:numId="31">
    <w:abstractNumId w:val="13"/>
  </w:num>
  <w:num w:numId="3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46E8"/>
    <w:rsid w:val="00021CA4"/>
    <w:rsid w:val="0002464A"/>
    <w:rsid w:val="00025532"/>
    <w:rsid w:val="000264C7"/>
    <w:rsid w:val="0003106B"/>
    <w:rsid w:val="00034905"/>
    <w:rsid w:val="00041254"/>
    <w:rsid w:val="000421A1"/>
    <w:rsid w:val="0004240E"/>
    <w:rsid w:val="00044100"/>
    <w:rsid w:val="00045E26"/>
    <w:rsid w:val="0005035D"/>
    <w:rsid w:val="000514B5"/>
    <w:rsid w:val="00054F3B"/>
    <w:rsid w:val="00060E64"/>
    <w:rsid w:val="000621F7"/>
    <w:rsid w:val="000656CC"/>
    <w:rsid w:val="00066755"/>
    <w:rsid w:val="000763D5"/>
    <w:rsid w:val="00077143"/>
    <w:rsid w:val="00082169"/>
    <w:rsid w:val="00093479"/>
    <w:rsid w:val="000969AD"/>
    <w:rsid w:val="000A44B2"/>
    <w:rsid w:val="000B1FA7"/>
    <w:rsid w:val="000B558D"/>
    <w:rsid w:val="000B5813"/>
    <w:rsid w:val="000C6996"/>
    <w:rsid w:val="000D23BA"/>
    <w:rsid w:val="000D47F8"/>
    <w:rsid w:val="000E1CC2"/>
    <w:rsid w:val="000E681E"/>
    <w:rsid w:val="000F0003"/>
    <w:rsid w:val="000F282C"/>
    <w:rsid w:val="000F3384"/>
    <w:rsid w:val="000F4E6A"/>
    <w:rsid w:val="000F7354"/>
    <w:rsid w:val="00102664"/>
    <w:rsid w:val="00104227"/>
    <w:rsid w:val="001107BF"/>
    <w:rsid w:val="00112498"/>
    <w:rsid w:val="00120616"/>
    <w:rsid w:val="001228AA"/>
    <w:rsid w:val="0012417C"/>
    <w:rsid w:val="00131F00"/>
    <w:rsid w:val="00135CE9"/>
    <w:rsid w:val="0014160F"/>
    <w:rsid w:val="00142395"/>
    <w:rsid w:val="00142714"/>
    <w:rsid w:val="001452ED"/>
    <w:rsid w:val="00145877"/>
    <w:rsid w:val="00146807"/>
    <w:rsid w:val="001526AB"/>
    <w:rsid w:val="00154887"/>
    <w:rsid w:val="00162D4E"/>
    <w:rsid w:val="00163329"/>
    <w:rsid w:val="00164623"/>
    <w:rsid w:val="00165B64"/>
    <w:rsid w:val="001716C0"/>
    <w:rsid w:val="0017280D"/>
    <w:rsid w:val="00180713"/>
    <w:rsid w:val="00181018"/>
    <w:rsid w:val="00182A1C"/>
    <w:rsid w:val="001830CE"/>
    <w:rsid w:val="0018643B"/>
    <w:rsid w:val="0018693D"/>
    <w:rsid w:val="00187304"/>
    <w:rsid w:val="00193614"/>
    <w:rsid w:val="00196307"/>
    <w:rsid w:val="001A33EA"/>
    <w:rsid w:val="001A7167"/>
    <w:rsid w:val="001B017F"/>
    <w:rsid w:val="001B2BBC"/>
    <w:rsid w:val="001B5129"/>
    <w:rsid w:val="001B5A44"/>
    <w:rsid w:val="001C0B4C"/>
    <w:rsid w:val="001C1195"/>
    <w:rsid w:val="001D417F"/>
    <w:rsid w:val="001D50F1"/>
    <w:rsid w:val="001D6E84"/>
    <w:rsid w:val="001E4F61"/>
    <w:rsid w:val="001F1850"/>
    <w:rsid w:val="001F28F9"/>
    <w:rsid w:val="001F2E9A"/>
    <w:rsid w:val="001F2EBC"/>
    <w:rsid w:val="001F3B04"/>
    <w:rsid w:val="00203FAC"/>
    <w:rsid w:val="00213CFB"/>
    <w:rsid w:val="0021524E"/>
    <w:rsid w:val="0021553C"/>
    <w:rsid w:val="0021557B"/>
    <w:rsid w:val="00217BE1"/>
    <w:rsid w:val="002209EB"/>
    <w:rsid w:val="00252CCA"/>
    <w:rsid w:val="00252D51"/>
    <w:rsid w:val="00253499"/>
    <w:rsid w:val="00253DE0"/>
    <w:rsid w:val="00254909"/>
    <w:rsid w:val="00264972"/>
    <w:rsid w:val="00270FBA"/>
    <w:rsid w:val="00271BA1"/>
    <w:rsid w:val="002762FA"/>
    <w:rsid w:val="00277505"/>
    <w:rsid w:val="002862E7"/>
    <w:rsid w:val="00293C0E"/>
    <w:rsid w:val="0029458F"/>
    <w:rsid w:val="002956E9"/>
    <w:rsid w:val="00297C2D"/>
    <w:rsid w:val="002A104C"/>
    <w:rsid w:val="002A4960"/>
    <w:rsid w:val="002B1AE6"/>
    <w:rsid w:val="002B1AEB"/>
    <w:rsid w:val="002B2DE8"/>
    <w:rsid w:val="002B30F8"/>
    <w:rsid w:val="002B5596"/>
    <w:rsid w:val="002C0601"/>
    <w:rsid w:val="002C212F"/>
    <w:rsid w:val="002D0226"/>
    <w:rsid w:val="002D352F"/>
    <w:rsid w:val="002D4543"/>
    <w:rsid w:val="002D5691"/>
    <w:rsid w:val="002E3153"/>
    <w:rsid w:val="002E4A92"/>
    <w:rsid w:val="002E72CA"/>
    <w:rsid w:val="002F00C0"/>
    <w:rsid w:val="002F3125"/>
    <w:rsid w:val="002F5F50"/>
    <w:rsid w:val="002F600D"/>
    <w:rsid w:val="0030000B"/>
    <w:rsid w:val="00300AD6"/>
    <w:rsid w:val="00301568"/>
    <w:rsid w:val="00304A14"/>
    <w:rsid w:val="00304DA5"/>
    <w:rsid w:val="00305C1B"/>
    <w:rsid w:val="003101A3"/>
    <w:rsid w:val="003149A0"/>
    <w:rsid w:val="00317C6C"/>
    <w:rsid w:val="003247B9"/>
    <w:rsid w:val="00326E79"/>
    <w:rsid w:val="003301B1"/>
    <w:rsid w:val="0033263D"/>
    <w:rsid w:val="00334310"/>
    <w:rsid w:val="0033518A"/>
    <w:rsid w:val="003367EF"/>
    <w:rsid w:val="00341AE4"/>
    <w:rsid w:val="00345276"/>
    <w:rsid w:val="00345833"/>
    <w:rsid w:val="003502B8"/>
    <w:rsid w:val="00357AF7"/>
    <w:rsid w:val="00384988"/>
    <w:rsid w:val="00385608"/>
    <w:rsid w:val="003872CF"/>
    <w:rsid w:val="00387F6A"/>
    <w:rsid w:val="0039782C"/>
    <w:rsid w:val="003A5B4A"/>
    <w:rsid w:val="003B23C5"/>
    <w:rsid w:val="003B2A75"/>
    <w:rsid w:val="003B6124"/>
    <w:rsid w:val="003C1AC7"/>
    <w:rsid w:val="003C1ECF"/>
    <w:rsid w:val="003C2FB5"/>
    <w:rsid w:val="003D0907"/>
    <w:rsid w:val="003D0E59"/>
    <w:rsid w:val="003D2C95"/>
    <w:rsid w:val="003D4AC4"/>
    <w:rsid w:val="003D5BD7"/>
    <w:rsid w:val="003D63B7"/>
    <w:rsid w:val="003D714B"/>
    <w:rsid w:val="003E468B"/>
    <w:rsid w:val="003F3228"/>
    <w:rsid w:val="003F4780"/>
    <w:rsid w:val="003F5C8C"/>
    <w:rsid w:val="0040078E"/>
    <w:rsid w:val="004046E1"/>
    <w:rsid w:val="004054E4"/>
    <w:rsid w:val="004144D2"/>
    <w:rsid w:val="00421C9C"/>
    <w:rsid w:val="0042206E"/>
    <w:rsid w:val="00423B4C"/>
    <w:rsid w:val="004252EC"/>
    <w:rsid w:val="00427221"/>
    <w:rsid w:val="00430D39"/>
    <w:rsid w:val="00436A34"/>
    <w:rsid w:val="00442650"/>
    <w:rsid w:val="00443CCB"/>
    <w:rsid w:val="004465BD"/>
    <w:rsid w:val="00466ADA"/>
    <w:rsid w:val="0047494B"/>
    <w:rsid w:val="00476245"/>
    <w:rsid w:val="00483035"/>
    <w:rsid w:val="00483B1B"/>
    <w:rsid w:val="00485940"/>
    <w:rsid w:val="00492982"/>
    <w:rsid w:val="00492CAF"/>
    <w:rsid w:val="004A1932"/>
    <w:rsid w:val="004A2484"/>
    <w:rsid w:val="004A4422"/>
    <w:rsid w:val="004A5A85"/>
    <w:rsid w:val="004A6DC5"/>
    <w:rsid w:val="004A71D1"/>
    <w:rsid w:val="004B0DA2"/>
    <w:rsid w:val="004B2D73"/>
    <w:rsid w:val="004B5640"/>
    <w:rsid w:val="004C1BD7"/>
    <w:rsid w:val="004C31FE"/>
    <w:rsid w:val="004C4397"/>
    <w:rsid w:val="004C691D"/>
    <w:rsid w:val="004C6C07"/>
    <w:rsid w:val="004D65FC"/>
    <w:rsid w:val="004E30A2"/>
    <w:rsid w:val="004E3C97"/>
    <w:rsid w:val="004E4EB8"/>
    <w:rsid w:val="004E692D"/>
    <w:rsid w:val="004F273C"/>
    <w:rsid w:val="004F655D"/>
    <w:rsid w:val="004F65BD"/>
    <w:rsid w:val="00501554"/>
    <w:rsid w:val="00503F7D"/>
    <w:rsid w:val="00504E0C"/>
    <w:rsid w:val="00514CD7"/>
    <w:rsid w:val="00515DAE"/>
    <w:rsid w:val="0052115B"/>
    <w:rsid w:val="00522DB6"/>
    <w:rsid w:val="005319B2"/>
    <w:rsid w:val="00532402"/>
    <w:rsid w:val="00532C74"/>
    <w:rsid w:val="00534E2E"/>
    <w:rsid w:val="0054450A"/>
    <w:rsid w:val="00544552"/>
    <w:rsid w:val="00562C34"/>
    <w:rsid w:val="00574704"/>
    <w:rsid w:val="00577C4D"/>
    <w:rsid w:val="00581932"/>
    <w:rsid w:val="00583DD0"/>
    <w:rsid w:val="005903D0"/>
    <w:rsid w:val="005963BB"/>
    <w:rsid w:val="005A10F4"/>
    <w:rsid w:val="005A3173"/>
    <w:rsid w:val="005A3223"/>
    <w:rsid w:val="005A3DA3"/>
    <w:rsid w:val="005A52C4"/>
    <w:rsid w:val="005B4DB1"/>
    <w:rsid w:val="005C5924"/>
    <w:rsid w:val="005C5E33"/>
    <w:rsid w:val="005D03AB"/>
    <w:rsid w:val="005D3534"/>
    <w:rsid w:val="005D3AE8"/>
    <w:rsid w:val="005D5017"/>
    <w:rsid w:val="005E1333"/>
    <w:rsid w:val="005F4361"/>
    <w:rsid w:val="00601A91"/>
    <w:rsid w:val="00602402"/>
    <w:rsid w:val="00602BA3"/>
    <w:rsid w:val="00605B63"/>
    <w:rsid w:val="00606EED"/>
    <w:rsid w:val="00610796"/>
    <w:rsid w:val="00612E34"/>
    <w:rsid w:val="00614159"/>
    <w:rsid w:val="00617C00"/>
    <w:rsid w:val="00620ACA"/>
    <w:rsid w:val="006220DF"/>
    <w:rsid w:val="006263BF"/>
    <w:rsid w:val="006264DE"/>
    <w:rsid w:val="00626DFC"/>
    <w:rsid w:val="0062748A"/>
    <w:rsid w:val="00630A2C"/>
    <w:rsid w:val="00634419"/>
    <w:rsid w:val="0063682E"/>
    <w:rsid w:val="00641DA6"/>
    <w:rsid w:val="006436CD"/>
    <w:rsid w:val="00645AE9"/>
    <w:rsid w:val="00651169"/>
    <w:rsid w:val="0065154E"/>
    <w:rsid w:val="00653D69"/>
    <w:rsid w:val="006552E6"/>
    <w:rsid w:val="00660C2F"/>
    <w:rsid w:val="006640EF"/>
    <w:rsid w:val="006670BE"/>
    <w:rsid w:val="006678FA"/>
    <w:rsid w:val="006701BA"/>
    <w:rsid w:val="00670A76"/>
    <w:rsid w:val="006711AA"/>
    <w:rsid w:val="00672B57"/>
    <w:rsid w:val="00675622"/>
    <w:rsid w:val="0067747D"/>
    <w:rsid w:val="0069039D"/>
    <w:rsid w:val="006906DB"/>
    <w:rsid w:val="00690DA5"/>
    <w:rsid w:val="00691E6C"/>
    <w:rsid w:val="0069501D"/>
    <w:rsid w:val="00696129"/>
    <w:rsid w:val="00697CF2"/>
    <w:rsid w:val="006A12A5"/>
    <w:rsid w:val="006A651E"/>
    <w:rsid w:val="006B0D94"/>
    <w:rsid w:val="006B3228"/>
    <w:rsid w:val="006B485D"/>
    <w:rsid w:val="006C708E"/>
    <w:rsid w:val="006D0ACF"/>
    <w:rsid w:val="006D14E7"/>
    <w:rsid w:val="006D6493"/>
    <w:rsid w:val="006D6EC7"/>
    <w:rsid w:val="006E1BCD"/>
    <w:rsid w:val="006F1052"/>
    <w:rsid w:val="006F5125"/>
    <w:rsid w:val="00702B6F"/>
    <w:rsid w:val="00706A2F"/>
    <w:rsid w:val="0070718E"/>
    <w:rsid w:val="0071340B"/>
    <w:rsid w:val="007174BB"/>
    <w:rsid w:val="0072025D"/>
    <w:rsid w:val="007353D3"/>
    <w:rsid w:val="00752D22"/>
    <w:rsid w:val="00753C07"/>
    <w:rsid w:val="00757C5B"/>
    <w:rsid w:val="00762E6F"/>
    <w:rsid w:val="0076420C"/>
    <w:rsid w:val="00774E2C"/>
    <w:rsid w:val="007753C2"/>
    <w:rsid w:val="007808F3"/>
    <w:rsid w:val="00782D22"/>
    <w:rsid w:val="007838B8"/>
    <w:rsid w:val="0079445D"/>
    <w:rsid w:val="007B09AE"/>
    <w:rsid w:val="007C0F57"/>
    <w:rsid w:val="007C40B6"/>
    <w:rsid w:val="007C571E"/>
    <w:rsid w:val="007C729F"/>
    <w:rsid w:val="007D54B4"/>
    <w:rsid w:val="007D69DB"/>
    <w:rsid w:val="007E1D28"/>
    <w:rsid w:val="007E67B8"/>
    <w:rsid w:val="007F2641"/>
    <w:rsid w:val="007F50A3"/>
    <w:rsid w:val="007F7528"/>
    <w:rsid w:val="007F7C36"/>
    <w:rsid w:val="00801C70"/>
    <w:rsid w:val="00806796"/>
    <w:rsid w:val="008151D6"/>
    <w:rsid w:val="008177C5"/>
    <w:rsid w:val="0082153F"/>
    <w:rsid w:val="00826437"/>
    <w:rsid w:val="008268BB"/>
    <w:rsid w:val="00826F6D"/>
    <w:rsid w:val="008306F3"/>
    <w:rsid w:val="00830E40"/>
    <w:rsid w:val="0085278B"/>
    <w:rsid w:val="00854766"/>
    <w:rsid w:val="00856DDD"/>
    <w:rsid w:val="00860B3D"/>
    <w:rsid w:val="00863E68"/>
    <w:rsid w:val="00870730"/>
    <w:rsid w:val="00870B5B"/>
    <w:rsid w:val="008732E4"/>
    <w:rsid w:val="008756FA"/>
    <w:rsid w:val="008805F1"/>
    <w:rsid w:val="00882085"/>
    <w:rsid w:val="00883188"/>
    <w:rsid w:val="008900C1"/>
    <w:rsid w:val="00891E75"/>
    <w:rsid w:val="00891F35"/>
    <w:rsid w:val="008920E6"/>
    <w:rsid w:val="00897D58"/>
    <w:rsid w:val="00897F22"/>
    <w:rsid w:val="008A1956"/>
    <w:rsid w:val="008A4937"/>
    <w:rsid w:val="008A50F1"/>
    <w:rsid w:val="008B4481"/>
    <w:rsid w:val="008C524B"/>
    <w:rsid w:val="008C6998"/>
    <w:rsid w:val="008D1B5C"/>
    <w:rsid w:val="008D3C82"/>
    <w:rsid w:val="008D447E"/>
    <w:rsid w:val="008D7A41"/>
    <w:rsid w:val="008E2C72"/>
    <w:rsid w:val="008E3680"/>
    <w:rsid w:val="008E3ECD"/>
    <w:rsid w:val="008E5486"/>
    <w:rsid w:val="008E5870"/>
    <w:rsid w:val="008F1434"/>
    <w:rsid w:val="008F5398"/>
    <w:rsid w:val="008F7355"/>
    <w:rsid w:val="009052C0"/>
    <w:rsid w:val="009067B7"/>
    <w:rsid w:val="009130EB"/>
    <w:rsid w:val="009132ED"/>
    <w:rsid w:val="00920DB9"/>
    <w:rsid w:val="00930937"/>
    <w:rsid w:val="00931B3C"/>
    <w:rsid w:val="00933E6C"/>
    <w:rsid w:val="0093539F"/>
    <w:rsid w:val="00937958"/>
    <w:rsid w:val="00941602"/>
    <w:rsid w:val="00942160"/>
    <w:rsid w:val="00946126"/>
    <w:rsid w:val="00946569"/>
    <w:rsid w:val="00947671"/>
    <w:rsid w:val="0095146F"/>
    <w:rsid w:val="00957BA0"/>
    <w:rsid w:val="009602C5"/>
    <w:rsid w:val="00962223"/>
    <w:rsid w:val="00966D0D"/>
    <w:rsid w:val="00966E5C"/>
    <w:rsid w:val="009718E4"/>
    <w:rsid w:val="00974C21"/>
    <w:rsid w:val="00975CDA"/>
    <w:rsid w:val="00983E3A"/>
    <w:rsid w:val="009A1EF2"/>
    <w:rsid w:val="009A61CA"/>
    <w:rsid w:val="009B0F67"/>
    <w:rsid w:val="009C703C"/>
    <w:rsid w:val="009D3CAA"/>
    <w:rsid w:val="009D65B6"/>
    <w:rsid w:val="009E40E1"/>
    <w:rsid w:val="009F0EFA"/>
    <w:rsid w:val="009F4E46"/>
    <w:rsid w:val="009F5B65"/>
    <w:rsid w:val="009F5F2E"/>
    <w:rsid w:val="00A06225"/>
    <w:rsid w:val="00A128E6"/>
    <w:rsid w:val="00A34E6C"/>
    <w:rsid w:val="00A37034"/>
    <w:rsid w:val="00A37C8D"/>
    <w:rsid w:val="00A429E4"/>
    <w:rsid w:val="00A5273B"/>
    <w:rsid w:val="00A53A9D"/>
    <w:rsid w:val="00A55FEE"/>
    <w:rsid w:val="00A5727A"/>
    <w:rsid w:val="00A62648"/>
    <w:rsid w:val="00A62C1A"/>
    <w:rsid w:val="00A6426D"/>
    <w:rsid w:val="00A647C6"/>
    <w:rsid w:val="00A665C1"/>
    <w:rsid w:val="00A70622"/>
    <w:rsid w:val="00A70977"/>
    <w:rsid w:val="00A744F9"/>
    <w:rsid w:val="00A77613"/>
    <w:rsid w:val="00A8390C"/>
    <w:rsid w:val="00A921C6"/>
    <w:rsid w:val="00A928BD"/>
    <w:rsid w:val="00A9463E"/>
    <w:rsid w:val="00AA0821"/>
    <w:rsid w:val="00AA12CD"/>
    <w:rsid w:val="00AA4D1C"/>
    <w:rsid w:val="00AA526C"/>
    <w:rsid w:val="00AA6071"/>
    <w:rsid w:val="00AC193C"/>
    <w:rsid w:val="00AC5206"/>
    <w:rsid w:val="00AC6E9E"/>
    <w:rsid w:val="00AC732C"/>
    <w:rsid w:val="00AD3398"/>
    <w:rsid w:val="00AD4322"/>
    <w:rsid w:val="00AE11A5"/>
    <w:rsid w:val="00AE13E2"/>
    <w:rsid w:val="00AE22D3"/>
    <w:rsid w:val="00AE2585"/>
    <w:rsid w:val="00AF62DF"/>
    <w:rsid w:val="00AF68CC"/>
    <w:rsid w:val="00AF7929"/>
    <w:rsid w:val="00B02FC2"/>
    <w:rsid w:val="00B03FD0"/>
    <w:rsid w:val="00B1059E"/>
    <w:rsid w:val="00B120C2"/>
    <w:rsid w:val="00B138B7"/>
    <w:rsid w:val="00B16967"/>
    <w:rsid w:val="00B176C8"/>
    <w:rsid w:val="00B205AA"/>
    <w:rsid w:val="00B22E84"/>
    <w:rsid w:val="00B233AD"/>
    <w:rsid w:val="00B25F75"/>
    <w:rsid w:val="00B26B3F"/>
    <w:rsid w:val="00B2778F"/>
    <w:rsid w:val="00B33635"/>
    <w:rsid w:val="00B34DA6"/>
    <w:rsid w:val="00B400EC"/>
    <w:rsid w:val="00B43E90"/>
    <w:rsid w:val="00B467DC"/>
    <w:rsid w:val="00B472E1"/>
    <w:rsid w:val="00B56118"/>
    <w:rsid w:val="00B6773F"/>
    <w:rsid w:val="00B75938"/>
    <w:rsid w:val="00B801BA"/>
    <w:rsid w:val="00B839BA"/>
    <w:rsid w:val="00B84235"/>
    <w:rsid w:val="00B84D5C"/>
    <w:rsid w:val="00B84E78"/>
    <w:rsid w:val="00B906B5"/>
    <w:rsid w:val="00B93324"/>
    <w:rsid w:val="00B97290"/>
    <w:rsid w:val="00B97ADE"/>
    <w:rsid w:val="00BA0878"/>
    <w:rsid w:val="00BA0DD1"/>
    <w:rsid w:val="00BA6182"/>
    <w:rsid w:val="00BB69F5"/>
    <w:rsid w:val="00BB7EC3"/>
    <w:rsid w:val="00BC0529"/>
    <w:rsid w:val="00BC4B9A"/>
    <w:rsid w:val="00BC63FA"/>
    <w:rsid w:val="00BC64F0"/>
    <w:rsid w:val="00BD4D42"/>
    <w:rsid w:val="00BD66EE"/>
    <w:rsid w:val="00BD69B1"/>
    <w:rsid w:val="00BD784C"/>
    <w:rsid w:val="00BF4CB6"/>
    <w:rsid w:val="00C00DA7"/>
    <w:rsid w:val="00C05AC2"/>
    <w:rsid w:val="00C06402"/>
    <w:rsid w:val="00C12768"/>
    <w:rsid w:val="00C26739"/>
    <w:rsid w:val="00C27B58"/>
    <w:rsid w:val="00C315F5"/>
    <w:rsid w:val="00C35996"/>
    <w:rsid w:val="00C37992"/>
    <w:rsid w:val="00C47097"/>
    <w:rsid w:val="00C4747E"/>
    <w:rsid w:val="00C5342C"/>
    <w:rsid w:val="00C53D77"/>
    <w:rsid w:val="00C60272"/>
    <w:rsid w:val="00C603D4"/>
    <w:rsid w:val="00C6256A"/>
    <w:rsid w:val="00C66FDE"/>
    <w:rsid w:val="00C7009C"/>
    <w:rsid w:val="00C71C3F"/>
    <w:rsid w:val="00C721AE"/>
    <w:rsid w:val="00C72754"/>
    <w:rsid w:val="00C72CBC"/>
    <w:rsid w:val="00C772B5"/>
    <w:rsid w:val="00C77891"/>
    <w:rsid w:val="00C81D0E"/>
    <w:rsid w:val="00C8226B"/>
    <w:rsid w:val="00C83914"/>
    <w:rsid w:val="00C84B5C"/>
    <w:rsid w:val="00C91449"/>
    <w:rsid w:val="00C92D10"/>
    <w:rsid w:val="00CA16BD"/>
    <w:rsid w:val="00CA19E6"/>
    <w:rsid w:val="00CA2CA2"/>
    <w:rsid w:val="00CA749E"/>
    <w:rsid w:val="00CA74AE"/>
    <w:rsid w:val="00CB1193"/>
    <w:rsid w:val="00CC6E26"/>
    <w:rsid w:val="00CD4C19"/>
    <w:rsid w:val="00CD6D9A"/>
    <w:rsid w:val="00CD7E11"/>
    <w:rsid w:val="00CE10C4"/>
    <w:rsid w:val="00CE27B5"/>
    <w:rsid w:val="00CE3439"/>
    <w:rsid w:val="00CF3F99"/>
    <w:rsid w:val="00D0321E"/>
    <w:rsid w:val="00D04D6B"/>
    <w:rsid w:val="00D101C2"/>
    <w:rsid w:val="00D13ED7"/>
    <w:rsid w:val="00D144DF"/>
    <w:rsid w:val="00D1455A"/>
    <w:rsid w:val="00D15053"/>
    <w:rsid w:val="00D164B0"/>
    <w:rsid w:val="00D23B3D"/>
    <w:rsid w:val="00D31150"/>
    <w:rsid w:val="00D3138B"/>
    <w:rsid w:val="00D31CBE"/>
    <w:rsid w:val="00D3228C"/>
    <w:rsid w:val="00D3280C"/>
    <w:rsid w:val="00D3406A"/>
    <w:rsid w:val="00D40459"/>
    <w:rsid w:val="00D44C78"/>
    <w:rsid w:val="00D4572C"/>
    <w:rsid w:val="00D469B2"/>
    <w:rsid w:val="00D46BF4"/>
    <w:rsid w:val="00D61ED5"/>
    <w:rsid w:val="00D6394E"/>
    <w:rsid w:val="00D727F5"/>
    <w:rsid w:val="00D741EB"/>
    <w:rsid w:val="00D75476"/>
    <w:rsid w:val="00D820F3"/>
    <w:rsid w:val="00D83605"/>
    <w:rsid w:val="00D84934"/>
    <w:rsid w:val="00D91271"/>
    <w:rsid w:val="00D919F5"/>
    <w:rsid w:val="00D94B50"/>
    <w:rsid w:val="00D94F03"/>
    <w:rsid w:val="00DA2CB5"/>
    <w:rsid w:val="00DA4BAC"/>
    <w:rsid w:val="00DA6D40"/>
    <w:rsid w:val="00DB0151"/>
    <w:rsid w:val="00DB08A4"/>
    <w:rsid w:val="00DC2086"/>
    <w:rsid w:val="00DE6C7D"/>
    <w:rsid w:val="00DE6D27"/>
    <w:rsid w:val="00DF217D"/>
    <w:rsid w:val="00DF26A7"/>
    <w:rsid w:val="00DF7E3A"/>
    <w:rsid w:val="00E02EBA"/>
    <w:rsid w:val="00E15627"/>
    <w:rsid w:val="00E164B3"/>
    <w:rsid w:val="00E16910"/>
    <w:rsid w:val="00E20541"/>
    <w:rsid w:val="00E2177E"/>
    <w:rsid w:val="00E27234"/>
    <w:rsid w:val="00E42BDB"/>
    <w:rsid w:val="00E50FB9"/>
    <w:rsid w:val="00E52D49"/>
    <w:rsid w:val="00E54EFF"/>
    <w:rsid w:val="00E57E7D"/>
    <w:rsid w:val="00E57EEB"/>
    <w:rsid w:val="00E62D94"/>
    <w:rsid w:val="00E649AF"/>
    <w:rsid w:val="00E65E54"/>
    <w:rsid w:val="00E663E9"/>
    <w:rsid w:val="00E74E41"/>
    <w:rsid w:val="00E80155"/>
    <w:rsid w:val="00E81F28"/>
    <w:rsid w:val="00E848C0"/>
    <w:rsid w:val="00E8537B"/>
    <w:rsid w:val="00E861D9"/>
    <w:rsid w:val="00E86EB8"/>
    <w:rsid w:val="00E91B96"/>
    <w:rsid w:val="00E941A1"/>
    <w:rsid w:val="00E95CE3"/>
    <w:rsid w:val="00E96266"/>
    <w:rsid w:val="00EA2825"/>
    <w:rsid w:val="00EA29AA"/>
    <w:rsid w:val="00EB0B63"/>
    <w:rsid w:val="00EB1936"/>
    <w:rsid w:val="00EB5088"/>
    <w:rsid w:val="00EC6BC7"/>
    <w:rsid w:val="00ED1644"/>
    <w:rsid w:val="00ED22B2"/>
    <w:rsid w:val="00ED2593"/>
    <w:rsid w:val="00ED3A14"/>
    <w:rsid w:val="00ED747D"/>
    <w:rsid w:val="00ED7D9C"/>
    <w:rsid w:val="00EF0069"/>
    <w:rsid w:val="00EF3256"/>
    <w:rsid w:val="00EF44A0"/>
    <w:rsid w:val="00EF4FED"/>
    <w:rsid w:val="00F0172E"/>
    <w:rsid w:val="00F050BD"/>
    <w:rsid w:val="00F05657"/>
    <w:rsid w:val="00F103CA"/>
    <w:rsid w:val="00F25578"/>
    <w:rsid w:val="00F258E5"/>
    <w:rsid w:val="00F300BC"/>
    <w:rsid w:val="00F3334E"/>
    <w:rsid w:val="00F36B35"/>
    <w:rsid w:val="00F36CCB"/>
    <w:rsid w:val="00F374E5"/>
    <w:rsid w:val="00F43AF2"/>
    <w:rsid w:val="00F5007E"/>
    <w:rsid w:val="00F50EC4"/>
    <w:rsid w:val="00F52232"/>
    <w:rsid w:val="00F550CA"/>
    <w:rsid w:val="00F550CF"/>
    <w:rsid w:val="00F57A6D"/>
    <w:rsid w:val="00F638CC"/>
    <w:rsid w:val="00F64CC1"/>
    <w:rsid w:val="00F70586"/>
    <w:rsid w:val="00F72317"/>
    <w:rsid w:val="00F76CEE"/>
    <w:rsid w:val="00F773EA"/>
    <w:rsid w:val="00F80475"/>
    <w:rsid w:val="00F8247A"/>
    <w:rsid w:val="00F8274F"/>
    <w:rsid w:val="00F9629A"/>
    <w:rsid w:val="00F97EFC"/>
    <w:rsid w:val="00FA1AD6"/>
    <w:rsid w:val="00FA48E0"/>
    <w:rsid w:val="00FA4DD5"/>
    <w:rsid w:val="00FA5883"/>
    <w:rsid w:val="00FA6055"/>
    <w:rsid w:val="00FB10A5"/>
    <w:rsid w:val="00FB322F"/>
    <w:rsid w:val="00FB442F"/>
    <w:rsid w:val="00FC1929"/>
    <w:rsid w:val="00FC3647"/>
    <w:rsid w:val="00FC5B46"/>
    <w:rsid w:val="00FD185A"/>
    <w:rsid w:val="00FD6D8E"/>
    <w:rsid w:val="00FD7726"/>
    <w:rsid w:val="00FE0E94"/>
    <w:rsid w:val="00FF00BD"/>
    <w:rsid w:val="00FF1ED4"/>
    <w:rsid w:val="00FF2801"/>
    <w:rsid w:val="00FF3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F5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052"/>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6F1052"/>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6F1052"/>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Bullet point,List Paragraph1,List Paragraph11,Recommendation,Footnote,ES Paragraph,PBAC ES Paragraph,PBAC normal points,Bullet List,Figure_name,Numbered Indented Text,Bullet- First level"/>
    <w:next w:val="ListBullet"/>
    <w:link w:val="ListParagraphChar"/>
    <w:uiPriority w:val="34"/>
    <w:qFormat/>
    <w:rsid w:val="006F1052"/>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3"/>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Bullet point Char,List Paragraph1 Char,List Paragraph11 Char,Recommendation Char,Footnote Char,ES Paragraph Char,PBAC ES Paragraph Char,PBAC normal points Char"/>
    <w:basedOn w:val="DefaultParagraphFont"/>
    <w:link w:val="ListParagraph"/>
    <w:uiPriority w:val="34"/>
    <w:qFormat/>
    <w:rsid w:val="006F1052"/>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Normal"/>
    <w:link w:val="3BodytextChar"/>
    <w:qFormat/>
    <w:rsid w:val="006F1052"/>
    <w:pPr>
      <w:numPr>
        <w:ilvl w:val="1"/>
        <w:numId w:val="2"/>
      </w:numPr>
      <w:spacing w:after="120"/>
    </w:p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6F1052"/>
    <w:rPr>
      <w:rFonts w:ascii="Calibri" w:hAnsi="Calibri" w:cs="Arial"/>
      <w:snapToGrid/>
      <w:sz w:val="24"/>
      <w:szCs w:val="24"/>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6F1052"/>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ilvl w:val="0"/>
        <w:numId w:val="4"/>
      </w:numPr>
    </w:pPr>
  </w:style>
  <w:style w:type="character" w:customStyle="1" w:styleId="TableTextChar0">
    <w:name w:val="Table Text Char"/>
    <w:basedOn w:val="DefaultParagraphFont"/>
    <w:link w:val="TableText0"/>
    <w:rsid w:val="006F1052"/>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Calibri" w:hAnsi="Calibri" w:cs="Arial"/>
      <w:snapToGrid/>
      <w:sz w:val="24"/>
      <w:szCs w:val="24"/>
    </w:rPr>
  </w:style>
  <w:style w:type="paragraph" w:customStyle="1" w:styleId="TableFooter">
    <w:name w:val="Table Footer"/>
    <w:basedOn w:val="Normal"/>
    <w:link w:val="TableFooterChar"/>
    <w:qFormat/>
    <w:rsid w:val="00FC3647"/>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character" w:customStyle="1" w:styleId="Font">
    <w:name w:val="Font"/>
    <w:basedOn w:val="DefaultParagraphFont"/>
    <w:uiPriority w:val="1"/>
    <w:qFormat/>
    <w:rsid w:val="00357AF7"/>
    <w:rPr>
      <w:rFonts w:asciiTheme="minorHAnsi" w:hAnsiTheme="minorHAnsi"/>
      <w:sz w:val="22"/>
    </w:rPr>
  </w:style>
  <w:style w:type="paragraph" w:customStyle="1" w:styleId="Table">
    <w:name w:val="Table"/>
    <w:basedOn w:val="Normal"/>
    <w:link w:val="TableChar"/>
    <w:qFormat/>
    <w:rsid w:val="004E30A2"/>
    <w:rPr>
      <w:rFonts w:asciiTheme="minorHAnsi" w:eastAsiaTheme="majorEastAsia" w:hAnsiTheme="minorHAnsi" w:cstheme="majorBidi"/>
      <w:sz w:val="20"/>
      <w:szCs w:val="22"/>
      <w:lang w:eastAsia="en-US" w:bidi="en-US"/>
    </w:rPr>
  </w:style>
  <w:style w:type="character" w:customStyle="1" w:styleId="TableChar">
    <w:name w:val="Table Char"/>
    <w:basedOn w:val="DefaultParagraphFont"/>
    <w:link w:val="Table"/>
    <w:locked/>
    <w:rsid w:val="004E30A2"/>
    <w:rPr>
      <w:rFonts w:asciiTheme="minorHAnsi" w:eastAsiaTheme="majorEastAsia" w:hAnsiTheme="minorHAnsi" w:cstheme="majorBidi"/>
      <w:szCs w:val="22"/>
      <w:lang w:eastAsia="en-US" w:bidi="en-US"/>
    </w:rPr>
  </w:style>
  <w:style w:type="paragraph" w:customStyle="1" w:styleId="2-SectionHeading">
    <w:name w:val="2-Section Heading"/>
    <w:qFormat/>
    <w:rsid w:val="006F1052"/>
    <w:pPr>
      <w:keepNext/>
      <w:numPr>
        <w:numId w:val="7"/>
      </w:numPr>
      <w:spacing w:before="240" w:after="120"/>
      <w:outlineLvl w:val="0"/>
    </w:pPr>
    <w:rPr>
      <w:rFonts w:asciiTheme="minorHAnsi" w:hAnsiTheme="minorHAnsi" w:cs="Arial"/>
      <w:b/>
      <w:snapToGrid w:val="0"/>
      <w:sz w:val="32"/>
      <w:szCs w:val="32"/>
    </w:rPr>
  </w:style>
  <w:style w:type="paragraph" w:customStyle="1" w:styleId="GeneralHeading">
    <w:name w:val="General Heading"/>
    <w:qFormat/>
    <w:rsid w:val="006F105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6F1052"/>
    <w:pPr>
      <w:keepNext/>
    </w:pPr>
    <w:rPr>
      <w:rFonts w:ascii="Arial Narrow" w:eastAsiaTheme="majorEastAsia" w:hAnsi="Arial Narrow"/>
      <w:b/>
      <w:szCs w:val="24"/>
      <w:lang w:val="en-US"/>
    </w:rPr>
  </w:style>
  <w:style w:type="paragraph" w:customStyle="1" w:styleId="1-MainHeading">
    <w:name w:val="1-Main Heading"/>
    <w:link w:val="1-MainHeadingChar"/>
    <w:qFormat/>
    <w:rsid w:val="006F105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F1052"/>
    <w:rPr>
      <w:rFonts w:asciiTheme="minorHAnsi" w:eastAsiaTheme="majorEastAsia" w:hAnsiTheme="minorHAnsi" w:cstheme="majorBidi"/>
      <w:b/>
      <w:spacing w:val="5"/>
      <w:kern w:val="28"/>
      <w:sz w:val="36"/>
      <w:szCs w:val="36"/>
    </w:rPr>
  </w:style>
  <w:style w:type="paragraph" w:customStyle="1" w:styleId="TableFigureHeading">
    <w:name w:val="Table/Figure Heading"/>
    <w:basedOn w:val="Normal"/>
    <w:link w:val="TableFigureHeadingChar"/>
    <w:qFormat/>
    <w:rsid w:val="00FB10A5"/>
    <w:pPr>
      <w:keepNext/>
    </w:pPr>
    <w:rPr>
      <w:rFonts w:ascii="Arial Narrow" w:hAnsi="Arial Narrow"/>
      <w:b/>
      <w:sz w:val="20"/>
      <w:szCs w:val="22"/>
    </w:rPr>
  </w:style>
  <w:style w:type="character" w:customStyle="1" w:styleId="TableFigureHeadingChar">
    <w:name w:val="Table/Figure Heading Char"/>
    <w:basedOn w:val="DefaultParagraphFont"/>
    <w:link w:val="TableFigureHeading"/>
    <w:rsid w:val="00FB10A5"/>
    <w:rPr>
      <w:rFonts w:ascii="Arial Narrow" w:hAnsi="Arial Narrow"/>
      <w:b/>
      <w:szCs w:val="22"/>
    </w:rPr>
  </w:style>
  <w:style w:type="paragraph" w:customStyle="1" w:styleId="3-BodyText">
    <w:name w:val="3-Body Text"/>
    <w:link w:val="3-BodyTextChar"/>
    <w:qFormat/>
    <w:rsid w:val="006F1052"/>
    <w:pPr>
      <w:numPr>
        <w:ilvl w:val="1"/>
        <w:numId w:val="1"/>
      </w:numPr>
      <w:tabs>
        <w:tab w:val="clear" w:pos="144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F105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6F1052"/>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6F1052"/>
    <w:rPr>
      <w:rFonts w:ascii="Calibri" w:hAnsi="Calibri" w:cs="Arial"/>
      <w:b/>
      <w:sz w:val="24"/>
      <w:szCs w:val="24"/>
    </w:rPr>
  </w:style>
  <w:style w:type="paragraph" w:customStyle="1" w:styleId="TableFigureFooter">
    <w:name w:val="Table/Figure Footer"/>
    <w:basedOn w:val="Normal"/>
    <w:link w:val="TableFigureFooterChar"/>
    <w:qFormat/>
    <w:rsid w:val="006F1052"/>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6F1052"/>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6F1052"/>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6F1052"/>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6F1052"/>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6F1052"/>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1052"/>
    <w:pPr>
      <w:numPr>
        <w:numId w:val="6"/>
      </w:numPr>
      <w:contextualSpacing/>
    </w:pPr>
  </w:style>
  <w:style w:type="paragraph" w:styleId="BodyTextIndent">
    <w:name w:val="Body Text Indent"/>
    <w:basedOn w:val="Normal"/>
    <w:link w:val="BodyTextIndentChar"/>
    <w:rsid w:val="00301568"/>
    <w:pPr>
      <w:spacing w:after="120"/>
      <w:ind w:left="283"/>
    </w:pPr>
    <w:rPr>
      <w:rFonts w:cs="Arial"/>
    </w:rPr>
  </w:style>
  <w:style w:type="character" w:customStyle="1" w:styleId="BodyTextIndentChar">
    <w:name w:val="Body Text Indent Char"/>
    <w:basedOn w:val="DefaultParagraphFont"/>
    <w:link w:val="BodyTextIndent"/>
    <w:rsid w:val="00301568"/>
    <w:rPr>
      <w:rFonts w:ascii="Calibri" w:hAnsi="Calibri" w:cs="Arial"/>
      <w:sz w:val="24"/>
      <w:szCs w:val="24"/>
    </w:rPr>
  </w:style>
  <w:style w:type="paragraph" w:customStyle="1" w:styleId="Bodytextitalics">
    <w:name w:val="Body text italics"/>
    <w:basedOn w:val="BodyText"/>
    <w:qFormat/>
    <w:rsid w:val="00CA19E6"/>
    <w:pPr>
      <w:ind w:left="720" w:hanging="720"/>
      <w:jc w:val="left"/>
    </w:pPr>
    <w:rPr>
      <w:rFonts w:asciiTheme="minorHAnsi" w:eastAsiaTheme="minorHAnsi" w:hAnsiTheme="minorHAnsi" w:cstheme="minorBidi"/>
      <w:i/>
      <w:szCs w:val="22"/>
    </w:rPr>
  </w:style>
  <w:style w:type="paragraph" w:styleId="BodyText">
    <w:name w:val="Body Text"/>
    <w:basedOn w:val="Normal"/>
    <w:link w:val="BodyTextChar"/>
    <w:semiHidden/>
    <w:unhideWhenUsed/>
    <w:rsid w:val="00CA19E6"/>
    <w:pPr>
      <w:spacing w:after="120"/>
    </w:pPr>
  </w:style>
  <w:style w:type="character" w:customStyle="1" w:styleId="BodyTextChar">
    <w:name w:val="Body Text Char"/>
    <w:basedOn w:val="DefaultParagraphFont"/>
    <w:link w:val="BodyText"/>
    <w:semiHidden/>
    <w:rsid w:val="00CA19E6"/>
    <w:rPr>
      <w:rFonts w:ascii="Calibri" w:hAnsi="Calibri"/>
      <w:sz w:val="24"/>
      <w:szCs w:val="24"/>
    </w:rPr>
  </w:style>
  <w:style w:type="paragraph" w:customStyle="1" w:styleId="Default">
    <w:name w:val="Default"/>
    <w:rsid w:val="00DF7E3A"/>
    <w:pPr>
      <w:autoSpaceDE w:val="0"/>
      <w:autoSpaceDN w:val="0"/>
      <w:adjustRightInd w:val="0"/>
    </w:pPr>
    <w:rPr>
      <w:rFonts w:ascii="Arial" w:hAnsi="Arial" w:cs="Arial"/>
      <w:color w:val="000000"/>
      <w:sz w:val="24"/>
      <w:szCs w:val="24"/>
    </w:rPr>
  </w:style>
  <w:style w:type="character" w:customStyle="1" w:styleId="Small">
    <w:name w:val="Small"/>
    <w:basedOn w:val="Font"/>
    <w:uiPriority w:val="4"/>
    <w:qFormat/>
    <w:rsid w:val="00583DD0"/>
    <w:rPr>
      <w:rFonts w:asciiTheme="minorHAnsi" w:hAnsiTheme="minorHAnsi"/>
      <w:sz w:val="20"/>
    </w:rPr>
  </w:style>
  <w:style w:type="paragraph" w:customStyle="1" w:styleId="Bulletpoints">
    <w:name w:val="Bullet points"/>
    <w:basedOn w:val="ListParagraph"/>
    <w:rsid w:val="00FB10A5"/>
    <w:pPr>
      <w:numPr>
        <w:numId w:val="11"/>
      </w:numPr>
      <w:spacing w:after="0"/>
    </w:pPr>
  </w:style>
  <w:style w:type="paragraph" w:customStyle="1" w:styleId="TableNotes0">
    <w:name w:val="TableNotes+0"/>
    <w:basedOn w:val="Normal"/>
    <w:rsid w:val="00FB10A5"/>
    <w:pPr>
      <w:keepNext/>
      <w:keepLines/>
      <w:ind w:left="720"/>
      <w:jc w:val="left"/>
    </w:pPr>
    <w:rPr>
      <w:rFonts w:ascii="Arial Narrow" w:hAnsi="Arial Narrow" w:cs="Arial Narrow"/>
      <w:snapToGrid w:val="0"/>
      <w:sz w:val="18"/>
      <w:szCs w:val="18"/>
    </w:rPr>
  </w:style>
  <w:style w:type="paragraph" w:customStyle="1" w:styleId="TableHeading0">
    <w:name w:val="Table Heading"/>
    <w:basedOn w:val="Normal"/>
    <w:link w:val="TableHeadingChar"/>
    <w:rsid w:val="00FB10A5"/>
    <w:pPr>
      <w:keepNext/>
      <w:spacing w:after="60"/>
      <w:jc w:val="left"/>
    </w:pPr>
    <w:rPr>
      <w:rFonts w:ascii="Arial Narrow" w:eastAsiaTheme="minorHAnsi" w:hAnsi="Arial Narrow" w:cstheme="minorBidi"/>
      <w:b/>
      <w:snapToGrid w:val="0"/>
      <w:sz w:val="20"/>
    </w:rPr>
  </w:style>
  <w:style w:type="character" w:customStyle="1" w:styleId="TableHeadingChar">
    <w:name w:val="Table Heading Char"/>
    <w:link w:val="TableHeading0"/>
    <w:rsid w:val="00FB10A5"/>
    <w:rPr>
      <w:rFonts w:ascii="Arial Narrow" w:eastAsiaTheme="minorHAnsi" w:hAnsi="Arial Narrow" w:cstheme="minorBidi"/>
      <w:b/>
      <w:snapToGrid w:val="0"/>
      <w:szCs w:val="24"/>
    </w:rPr>
  </w:style>
  <w:style w:type="paragraph" w:customStyle="1" w:styleId="TableBullets">
    <w:name w:val="Table Bullets"/>
    <w:basedOn w:val="Table"/>
    <w:uiPriority w:val="5"/>
    <w:qFormat/>
    <w:rsid w:val="00ED3A14"/>
    <w:pPr>
      <w:numPr>
        <w:numId w:val="13"/>
      </w:numPr>
      <w:ind w:left="357" w:hanging="357"/>
    </w:pPr>
  </w:style>
  <w:style w:type="table" w:customStyle="1" w:styleId="Summarybox1">
    <w:name w:val="Summary box1"/>
    <w:basedOn w:val="TableNormal"/>
    <w:next w:val="TableGrid"/>
    <w:uiPriority w:val="59"/>
    <w:rsid w:val="00ED3A14"/>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styleId="FootnoteText">
    <w:name w:val="footnote text"/>
    <w:basedOn w:val="Normal"/>
    <w:link w:val="FootnoteTextChar"/>
    <w:uiPriority w:val="99"/>
    <w:semiHidden/>
    <w:unhideWhenUsed/>
    <w:rsid w:val="00FA48E0"/>
    <w:rPr>
      <w:sz w:val="20"/>
      <w:szCs w:val="20"/>
    </w:rPr>
  </w:style>
  <w:style w:type="character" w:customStyle="1" w:styleId="FootnoteTextChar">
    <w:name w:val="Footnote Text Char"/>
    <w:basedOn w:val="DefaultParagraphFont"/>
    <w:link w:val="FootnoteText"/>
    <w:uiPriority w:val="99"/>
    <w:semiHidden/>
    <w:rsid w:val="00FA48E0"/>
    <w:rPr>
      <w:rFonts w:ascii="Calibri" w:hAnsi="Calibri"/>
    </w:rPr>
  </w:style>
  <w:style w:type="character" w:styleId="FootnoteReference">
    <w:name w:val="footnote reference"/>
    <w:aliases w:val="Footer (space following)"/>
    <w:basedOn w:val="DefaultParagraphFont"/>
    <w:uiPriority w:val="99"/>
    <w:semiHidden/>
    <w:unhideWhenUsed/>
    <w:rsid w:val="00FA48E0"/>
    <w:rPr>
      <w:vertAlign w:val="superscript"/>
    </w:rPr>
  </w:style>
  <w:style w:type="paragraph" w:styleId="Revision">
    <w:name w:val="Revision"/>
    <w:hidden/>
    <w:uiPriority w:val="71"/>
    <w:semiHidden/>
    <w:rsid w:val="0054450A"/>
    <w:rPr>
      <w:rFonts w:ascii="Calibri" w:hAnsi="Calibri"/>
      <w:sz w:val="24"/>
      <w:szCs w:val="24"/>
    </w:rPr>
  </w:style>
  <w:style w:type="paragraph" w:styleId="NormalWeb">
    <w:name w:val="Normal (Web)"/>
    <w:basedOn w:val="Normal"/>
    <w:uiPriority w:val="99"/>
    <w:semiHidden/>
    <w:unhideWhenUsed/>
    <w:rsid w:val="00135CE9"/>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4531089">
      <w:bodyDiv w:val="1"/>
      <w:marLeft w:val="0"/>
      <w:marRight w:val="0"/>
      <w:marTop w:val="0"/>
      <w:marBottom w:val="0"/>
      <w:divBdr>
        <w:top w:val="none" w:sz="0" w:space="0" w:color="auto"/>
        <w:left w:val="none" w:sz="0" w:space="0" w:color="auto"/>
        <w:bottom w:val="none" w:sz="0" w:space="0" w:color="auto"/>
        <w:right w:val="none" w:sz="0" w:space="0" w:color="auto"/>
      </w:divBdr>
    </w:div>
    <w:div w:id="155388260">
      <w:bodyDiv w:val="1"/>
      <w:marLeft w:val="0"/>
      <w:marRight w:val="0"/>
      <w:marTop w:val="0"/>
      <w:marBottom w:val="0"/>
      <w:divBdr>
        <w:top w:val="none" w:sz="0" w:space="0" w:color="auto"/>
        <w:left w:val="none" w:sz="0" w:space="0" w:color="auto"/>
        <w:bottom w:val="none" w:sz="0" w:space="0" w:color="auto"/>
        <w:right w:val="none" w:sz="0" w:space="0" w:color="auto"/>
      </w:divBdr>
    </w:div>
    <w:div w:id="324939865">
      <w:bodyDiv w:val="1"/>
      <w:marLeft w:val="0"/>
      <w:marRight w:val="0"/>
      <w:marTop w:val="0"/>
      <w:marBottom w:val="0"/>
      <w:divBdr>
        <w:top w:val="none" w:sz="0" w:space="0" w:color="auto"/>
        <w:left w:val="none" w:sz="0" w:space="0" w:color="auto"/>
        <w:bottom w:val="none" w:sz="0" w:space="0" w:color="auto"/>
        <w:right w:val="none" w:sz="0" w:space="0" w:color="auto"/>
      </w:divBdr>
    </w:div>
    <w:div w:id="406810599">
      <w:bodyDiv w:val="1"/>
      <w:marLeft w:val="0"/>
      <w:marRight w:val="0"/>
      <w:marTop w:val="0"/>
      <w:marBottom w:val="0"/>
      <w:divBdr>
        <w:top w:val="none" w:sz="0" w:space="0" w:color="auto"/>
        <w:left w:val="none" w:sz="0" w:space="0" w:color="auto"/>
        <w:bottom w:val="none" w:sz="0" w:space="0" w:color="auto"/>
        <w:right w:val="none" w:sz="0" w:space="0" w:color="auto"/>
      </w:divBdr>
      <w:divsChild>
        <w:div w:id="1187599446">
          <w:marLeft w:val="547"/>
          <w:marRight w:val="0"/>
          <w:marTop w:val="0"/>
          <w:marBottom w:val="0"/>
          <w:divBdr>
            <w:top w:val="none" w:sz="0" w:space="0" w:color="auto"/>
            <w:left w:val="none" w:sz="0" w:space="0" w:color="auto"/>
            <w:bottom w:val="none" w:sz="0" w:space="0" w:color="auto"/>
            <w:right w:val="none" w:sz="0" w:space="0" w:color="auto"/>
          </w:divBdr>
        </w:div>
      </w:divsChild>
    </w:div>
    <w:div w:id="461577882">
      <w:bodyDiv w:val="1"/>
      <w:marLeft w:val="0"/>
      <w:marRight w:val="0"/>
      <w:marTop w:val="0"/>
      <w:marBottom w:val="0"/>
      <w:divBdr>
        <w:top w:val="none" w:sz="0" w:space="0" w:color="auto"/>
        <w:left w:val="none" w:sz="0" w:space="0" w:color="auto"/>
        <w:bottom w:val="none" w:sz="0" w:space="0" w:color="auto"/>
        <w:right w:val="none" w:sz="0" w:space="0" w:color="auto"/>
      </w:divBdr>
    </w:div>
    <w:div w:id="485053624">
      <w:bodyDiv w:val="1"/>
      <w:marLeft w:val="0"/>
      <w:marRight w:val="0"/>
      <w:marTop w:val="0"/>
      <w:marBottom w:val="0"/>
      <w:divBdr>
        <w:top w:val="none" w:sz="0" w:space="0" w:color="auto"/>
        <w:left w:val="none" w:sz="0" w:space="0" w:color="auto"/>
        <w:bottom w:val="none" w:sz="0" w:space="0" w:color="auto"/>
        <w:right w:val="none" w:sz="0" w:space="0" w:color="auto"/>
      </w:divBdr>
    </w:div>
    <w:div w:id="64836252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74147056">
      <w:bodyDiv w:val="1"/>
      <w:marLeft w:val="0"/>
      <w:marRight w:val="0"/>
      <w:marTop w:val="0"/>
      <w:marBottom w:val="0"/>
      <w:divBdr>
        <w:top w:val="none" w:sz="0" w:space="0" w:color="auto"/>
        <w:left w:val="none" w:sz="0" w:space="0" w:color="auto"/>
        <w:bottom w:val="none" w:sz="0" w:space="0" w:color="auto"/>
        <w:right w:val="none" w:sz="0" w:space="0" w:color="auto"/>
      </w:divBdr>
    </w:div>
    <w:div w:id="1179352243">
      <w:bodyDiv w:val="1"/>
      <w:marLeft w:val="0"/>
      <w:marRight w:val="0"/>
      <w:marTop w:val="0"/>
      <w:marBottom w:val="0"/>
      <w:divBdr>
        <w:top w:val="none" w:sz="0" w:space="0" w:color="auto"/>
        <w:left w:val="none" w:sz="0" w:space="0" w:color="auto"/>
        <w:bottom w:val="none" w:sz="0" w:space="0" w:color="auto"/>
        <w:right w:val="none" w:sz="0" w:space="0" w:color="auto"/>
      </w:divBdr>
    </w:div>
    <w:div w:id="1477793041">
      <w:bodyDiv w:val="1"/>
      <w:marLeft w:val="0"/>
      <w:marRight w:val="0"/>
      <w:marTop w:val="0"/>
      <w:marBottom w:val="0"/>
      <w:divBdr>
        <w:top w:val="none" w:sz="0" w:space="0" w:color="auto"/>
        <w:left w:val="none" w:sz="0" w:space="0" w:color="auto"/>
        <w:bottom w:val="none" w:sz="0" w:space="0" w:color="auto"/>
        <w:right w:val="none" w:sz="0" w:space="0" w:color="auto"/>
      </w:divBdr>
    </w:div>
    <w:div w:id="154155531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abetessociety.com.au/documents/T2DManagementAlgorithm2602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15E8-1CFD-4632-A062-F596D9C0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4725</Words>
  <Characters>26369</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2020-06-19T06:34:00Z</dcterms:created>
  <dcterms:modified xsi:type="dcterms:W3CDTF">2020-06-24T23:49:00Z</dcterms:modified>
</cp:coreProperties>
</file>