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BFBA4" w14:textId="3798A20F" w:rsidR="00FC3647" w:rsidRPr="002B1D51" w:rsidRDefault="007D25EB" w:rsidP="00835B7F">
      <w:pPr>
        <w:pStyle w:val="1MainTitle"/>
        <w:ind w:left="1440" w:hanging="1440"/>
      </w:pPr>
      <w:r>
        <w:t>1</w:t>
      </w:r>
      <w:r w:rsidR="00F6700F">
        <w:t>4.03a</w:t>
      </w:r>
      <w:r w:rsidR="00FC3647" w:rsidRPr="002B5596">
        <w:tab/>
      </w:r>
      <w:r w:rsidR="00C23F31">
        <w:t>TRIG</w:t>
      </w:r>
      <w:r w:rsidR="002A28C3">
        <w:t>LY</w:t>
      </w:r>
      <w:r w:rsidR="00C23F31">
        <w:t>CERIDES MEDIUM CHAIN FORMULA</w:t>
      </w:r>
      <w:r w:rsidR="00FC3647" w:rsidRPr="002B5596">
        <w:t xml:space="preserve"> </w:t>
      </w:r>
      <w:r w:rsidR="00FC3647" w:rsidRPr="002B5596">
        <w:br/>
      </w:r>
      <w:r w:rsidR="00C23F31">
        <w:t>Oral powder 400 g</w:t>
      </w:r>
      <w:r w:rsidR="00FC3647" w:rsidRPr="002B5596">
        <w:t xml:space="preserve">, </w:t>
      </w:r>
      <w:r w:rsidR="00FC3647" w:rsidRPr="002B5596">
        <w:br/>
      </w:r>
      <w:r w:rsidR="00C23F31">
        <w:t>Lipistart</w:t>
      </w:r>
      <w:r w:rsidR="00FC3647" w:rsidRPr="002B5596">
        <w:rPr>
          <w:vertAlign w:val="superscript"/>
        </w:rPr>
        <w:t>®</w:t>
      </w:r>
      <w:r w:rsidR="00FC3647">
        <w:t xml:space="preserve">, </w:t>
      </w:r>
      <w:r w:rsidR="00960633">
        <w:br/>
      </w:r>
      <w:r w:rsidR="00C23F31">
        <w:t>Vitaflo Australia Pty Ltd</w:t>
      </w:r>
    </w:p>
    <w:p w14:paraId="27A1AEC7" w14:textId="77777777" w:rsidR="00FC3647" w:rsidRPr="00D4572C" w:rsidRDefault="00FC3647" w:rsidP="00FC3647">
      <w:pPr>
        <w:pStyle w:val="2Sections"/>
        <w:numPr>
          <w:ilvl w:val="0"/>
          <w:numId w:val="5"/>
        </w:numPr>
      </w:pPr>
      <w:r w:rsidRPr="0033263D">
        <w:t>Purpose of Application</w:t>
      </w:r>
      <w:r>
        <w:t xml:space="preserve"> </w:t>
      </w:r>
    </w:p>
    <w:p w14:paraId="05339954" w14:textId="791B9559" w:rsidR="00292036" w:rsidRPr="00292036" w:rsidRDefault="002F2006" w:rsidP="00906114">
      <w:pPr>
        <w:pStyle w:val="ListParagraph"/>
        <w:widowControl/>
        <w:numPr>
          <w:ilvl w:val="1"/>
          <w:numId w:val="5"/>
        </w:numPr>
        <w:spacing w:after="120"/>
        <w:contextualSpacing w:val="0"/>
        <w:rPr>
          <w:rFonts w:asciiTheme="minorHAnsi" w:hAnsiTheme="minorHAnsi"/>
          <w:sz w:val="24"/>
          <w:szCs w:val="24"/>
        </w:rPr>
      </w:pPr>
      <w:r w:rsidRPr="002F2006">
        <w:rPr>
          <w:rFonts w:asciiTheme="minorHAnsi" w:eastAsiaTheme="minorHAnsi" w:hAnsiTheme="minorHAnsi" w:cstheme="minorBidi"/>
          <w:snapToGrid/>
          <w:sz w:val="24"/>
          <w:szCs w:val="22"/>
        </w:rPr>
        <w:t xml:space="preserve">The </w:t>
      </w:r>
      <w:r w:rsidR="00903845">
        <w:rPr>
          <w:rFonts w:asciiTheme="minorHAnsi" w:eastAsiaTheme="minorHAnsi" w:hAnsiTheme="minorHAnsi" w:cstheme="minorBidi"/>
          <w:snapToGrid/>
          <w:sz w:val="24"/>
          <w:szCs w:val="22"/>
        </w:rPr>
        <w:t xml:space="preserve">Committee Secretariat </w:t>
      </w:r>
      <w:r w:rsidR="004F0CF2">
        <w:rPr>
          <w:rFonts w:asciiTheme="minorHAnsi" w:eastAsiaTheme="minorHAnsi" w:hAnsiTheme="minorHAnsi" w:cstheme="minorBidi"/>
          <w:snapToGrid/>
          <w:sz w:val="24"/>
          <w:szCs w:val="22"/>
        </w:rPr>
        <w:t xml:space="preserve">submission </w:t>
      </w:r>
      <w:r w:rsidR="00FC3647" w:rsidRPr="002F2006">
        <w:rPr>
          <w:rFonts w:asciiTheme="minorHAnsi" w:eastAsiaTheme="minorHAnsi" w:hAnsiTheme="minorHAnsi" w:cstheme="minorBidi"/>
          <w:snapToGrid/>
          <w:sz w:val="24"/>
          <w:szCs w:val="22"/>
        </w:rPr>
        <w:t>requested</w:t>
      </w:r>
      <w:r w:rsidRPr="002F2006">
        <w:rPr>
          <w:rFonts w:asciiTheme="minorHAnsi" w:hAnsiTheme="minorHAnsi"/>
          <w:sz w:val="24"/>
          <w:szCs w:val="24"/>
        </w:rPr>
        <w:t xml:space="preserve"> a formulation change to Lipistart</w:t>
      </w:r>
      <w:r w:rsidR="00960633">
        <w:rPr>
          <w:rFonts w:asciiTheme="minorHAnsi" w:hAnsiTheme="minorHAnsi" w:cstheme="minorHAnsi"/>
          <w:sz w:val="24"/>
          <w:szCs w:val="24"/>
        </w:rPr>
        <w:t>®</w:t>
      </w:r>
      <w:r w:rsidR="00292036">
        <w:rPr>
          <w:rFonts w:asciiTheme="minorHAnsi" w:hAnsiTheme="minorHAnsi" w:cstheme="minorHAnsi"/>
          <w:sz w:val="24"/>
          <w:szCs w:val="24"/>
        </w:rPr>
        <w:t>. Lipistart is PBS listed for the dietary management of:</w:t>
      </w:r>
    </w:p>
    <w:p w14:paraId="0FD70E4D" w14:textId="7B825185" w:rsidR="00292036" w:rsidRDefault="00292036" w:rsidP="00292036">
      <w:pPr>
        <w:pStyle w:val="ListParagraph"/>
        <w:widowControl/>
        <w:numPr>
          <w:ilvl w:val="0"/>
          <w:numId w:val="22"/>
        </w:numPr>
        <w:spacing w:after="120"/>
        <w:contextualSpacing w:val="0"/>
        <w:rPr>
          <w:rFonts w:asciiTheme="minorHAnsi" w:hAnsiTheme="minorHAnsi"/>
          <w:sz w:val="24"/>
          <w:szCs w:val="24"/>
        </w:rPr>
      </w:pPr>
      <w:r>
        <w:rPr>
          <w:rFonts w:asciiTheme="minorHAnsi" w:hAnsiTheme="minorHAnsi"/>
          <w:sz w:val="24"/>
          <w:szCs w:val="24"/>
        </w:rPr>
        <w:t>P</w:t>
      </w:r>
      <w:r w:rsidR="002F2006" w:rsidRPr="002F2006">
        <w:rPr>
          <w:rFonts w:asciiTheme="minorHAnsi" w:hAnsiTheme="minorHAnsi"/>
          <w:sz w:val="24"/>
          <w:szCs w:val="24"/>
        </w:rPr>
        <w:t>atients with fat malabsorption due to liver disease, short gut syndrome, cystic fibrosis or gastrointestinal disorders</w:t>
      </w:r>
      <w:r>
        <w:rPr>
          <w:rFonts w:asciiTheme="minorHAnsi" w:hAnsiTheme="minorHAnsi"/>
          <w:sz w:val="24"/>
          <w:szCs w:val="24"/>
        </w:rPr>
        <w:t>; and</w:t>
      </w:r>
      <w:r w:rsidR="00906114">
        <w:rPr>
          <w:rFonts w:asciiTheme="minorHAnsi" w:hAnsiTheme="minorHAnsi"/>
          <w:sz w:val="24"/>
          <w:szCs w:val="24"/>
        </w:rPr>
        <w:t xml:space="preserve"> </w:t>
      </w:r>
    </w:p>
    <w:p w14:paraId="17008C4D" w14:textId="73795C5A" w:rsidR="002F2006" w:rsidRPr="002F2006" w:rsidRDefault="00906114" w:rsidP="00292036">
      <w:pPr>
        <w:pStyle w:val="ListParagraph"/>
        <w:widowControl/>
        <w:numPr>
          <w:ilvl w:val="0"/>
          <w:numId w:val="22"/>
        </w:numPr>
        <w:spacing w:after="120"/>
        <w:contextualSpacing w:val="0"/>
        <w:rPr>
          <w:rFonts w:asciiTheme="minorHAnsi" w:hAnsiTheme="minorHAnsi"/>
          <w:sz w:val="24"/>
          <w:szCs w:val="24"/>
        </w:rPr>
      </w:pPr>
      <w:r w:rsidRPr="00906114">
        <w:rPr>
          <w:rFonts w:asciiTheme="minorHAnsi" w:hAnsiTheme="minorHAnsi"/>
          <w:sz w:val="24"/>
          <w:szCs w:val="24"/>
        </w:rPr>
        <w:t>Hyperlipoproteinaemia type 1</w:t>
      </w:r>
      <w:r>
        <w:rPr>
          <w:rFonts w:asciiTheme="minorHAnsi" w:hAnsiTheme="minorHAnsi"/>
          <w:sz w:val="24"/>
          <w:szCs w:val="24"/>
        </w:rPr>
        <w:t>, long chain fatty acid oxidation disorders, chylous ascites and chylothorax.</w:t>
      </w:r>
    </w:p>
    <w:p w14:paraId="541300DB" w14:textId="44418E6D" w:rsidR="00C603D4" w:rsidRPr="00145877" w:rsidRDefault="00CE10C4" w:rsidP="0014587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145877">
        <w:rPr>
          <w:rFonts w:asciiTheme="minorHAnsi" w:hAnsiTheme="minorHAnsi"/>
          <w:sz w:val="32"/>
          <w:szCs w:val="32"/>
        </w:rPr>
        <w:t>Background</w:t>
      </w:r>
    </w:p>
    <w:p w14:paraId="328C7D18" w14:textId="1667FCA6" w:rsidR="008569CA" w:rsidRDefault="008569CA" w:rsidP="00965B5C">
      <w:pPr>
        <w:pStyle w:val="3Bodytext"/>
        <w:numPr>
          <w:ilvl w:val="1"/>
          <w:numId w:val="5"/>
        </w:numPr>
      </w:pPr>
      <w:r>
        <w:t>Lipistart was listed on the PBS on 1 August 2012.</w:t>
      </w:r>
    </w:p>
    <w:p w14:paraId="6C3E1062" w14:textId="751EB4E4" w:rsidR="00AB6A32" w:rsidRDefault="00B3129D" w:rsidP="00965B5C">
      <w:pPr>
        <w:pStyle w:val="3Bodytext"/>
        <w:numPr>
          <w:ilvl w:val="1"/>
          <w:numId w:val="5"/>
        </w:numPr>
      </w:pPr>
      <w:r>
        <w:t>In this submission, t</w:t>
      </w:r>
      <w:r w:rsidR="00AB6A32">
        <w:t>he sponsor of Lipistart</w:t>
      </w:r>
      <w:r w:rsidR="005235BD">
        <w:t xml:space="preserve"> </w:t>
      </w:r>
      <w:r w:rsidR="00B82A49">
        <w:t xml:space="preserve">indicated the product </w:t>
      </w:r>
      <w:r w:rsidR="00AB6A32">
        <w:t>met the requirements</w:t>
      </w:r>
      <w:r w:rsidR="008D21F6">
        <w:t xml:space="preserve"> for Infant formulas and Foods for Special Medical Purposes</w:t>
      </w:r>
      <w:r w:rsidR="00AB6A32">
        <w:t xml:space="preserve"> as set out under </w:t>
      </w:r>
      <w:r w:rsidR="00B82A49" w:rsidRPr="00593DDA">
        <w:rPr>
          <w:i/>
        </w:rPr>
        <w:t>The Australia New Zealand Food Standards Code — Standard</w:t>
      </w:r>
      <w:r w:rsidR="008D21F6">
        <w:rPr>
          <w:i/>
        </w:rPr>
        <w:t>s 2.9.1 (Infant formulas and</w:t>
      </w:r>
      <w:r w:rsidR="00B82A49" w:rsidRPr="00593DDA">
        <w:rPr>
          <w:i/>
        </w:rPr>
        <w:t xml:space="preserve"> 2.9.5 </w:t>
      </w:r>
      <w:r w:rsidR="008D21F6">
        <w:rPr>
          <w:i/>
        </w:rPr>
        <w:t>(</w:t>
      </w:r>
      <w:r w:rsidR="00B82A49" w:rsidRPr="00593DDA">
        <w:rPr>
          <w:i/>
        </w:rPr>
        <w:t xml:space="preserve">Food for Special </w:t>
      </w:r>
      <w:r w:rsidR="007F5480" w:rsidRPr="00593DDA">
        <w:rPr>
          <w:i/>
        </w:rPr>
        <w:t>M</w:t>
      </w:r>
      <w:r w:rsidR="007F5480">
        <w:rPr>
          <w:i/>
        </w:rPr>
        <w:t>e</w:t>
      </w:r>
      <w:r w:rsidR="007F5480" w:rsidRPr="00593DDA">
        <w:rPr>
          <w:i/>
        </w:rPr>
        <w:t>dical</w:t>
      </w:r>
      <w:r w:rsidR="00B82A49" w:rsidRPr="00593DDA">
        <w:rPr>
          <w:i/>
        </w:rPr>
        <w:t xml:space="preserve"> Purposes</w:t>
      </w:r>
      <w:r w:rsidR="008D21F6">
        <w:rPr>
          <w:i/>
        </w:rPr>
        <w:t>)</w:t>
      </w:r>
      <w:r w:rsidR="007F5480">
        <w:t>.</w:t>
      </w:r>
    </w:p>
    <w:p w14:paraId="63C9560D" w14:textId="0FBCA432" w:rsidR="00835B7F" w:rsidRPr="007F5480" w:rsidRDefault="00AB6A32" w:rsidP="00E30A6A">
      <w:pPr>
        <w:pStyle w:val="3Bodytext"/>
        <w:numPr>
          <w:ilvl w:val="1"/>
          <w:numId w:val="5"/>
        </w:numPr>
        <w:rPr>
          <w:rFonts w:cs="Arial"/>
          <w:b/>
          <w:snapToGrid w:val="0"/>
          <w:sz w:val="32"/>
          <w:szCs w:val="32"/>
        </w:rPr>
      </w:pPr>
      <w:r>
        <w:t xml:space="preserve">The submission requested a change to the formulation of Lipistart to comply with the </w:t>
      </w:r>
      <w:r w:rsidR="00715133">
        <w:t xml:space="preserve">compositional standards specified for foods for special medical purposes for infants in the European Union </w:t>
      </w:r>
      <w:r w:rsidR="00906114">
        <w:t>and CODEX Guidelines</w:t>
      </w:r>
      <w:r w:rsidR="00715133">
        <w:t xml:space="preserve">. </w:t>
      </w:r>
      <w:r w:rsidR="00906114" w:rsidRPr="006328A2">
        <w:t>The submission did not explicitly state which EU Standards necessitated the change in formulation. European Commission Delegated Regulations 2016/127 and 2016/128 were recently updated, necessitating a change in a number of nutritional product formulations.</w:t>
      </w:r>
    </w:p>
    <w:p w14:paraId="7F1C5F48" w14:textId="00CD6C88" w:rsidR="00FF5511" w:rsidRPr="00577C4D" w:rsidRDefault="00FF5511" w:rsidP="00FF5511">
      <w:pPr>
        <w:pStyle w:val="2Sections"/>
        <w:numPr>
          <w:ilvl w:val="0"/>
          <w:numId w:val="5"/>
        </w:numPr>
      </w:pPr>
      <w:r w:rsidRPr="002B5596">
        <w:t>Requested listing</w:t>
      </w:r>
    </w:p>
    <w:p w14:paraId="7E803D2C" w14:textId="77777777" w:rsidR="00FF5511" w:rsidRDefault="00FF5511" w:rsidP="00FF5511">
      <w:pPr>
        <w:pStyle w:val="3Bodytext"/>
        <w:numPr>
          <w:ilvl w:val="1"/>
          <w:numId w:val="5"/>
        </w:numPr>
      </w:pPr>
      <w:r>
        <w:t>The submission proposed</w:t>
      </w:r>
      <w:r w:rsidRPr="001B2BBC">
        <w:t xml:space="preserve"> no changes to the existing listing</w:t>
      </w:r>
      <w:r>
        <w:t>s (PBS item code 1938B and 10155L).</w:t>
      </w:r>
    </w:p>
    <w:p w14:paraId="048FCE47" w14:textId="674E61FA" w:rsidR="00FC3647" w:rsidRPr="003C2FB5" w:rsidRDefault="00FC3647" w:rsidP="00FC364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Consideration of the evidence</w:t>
      </w:r>
    </w:p>
    <w:p w14:paraId="74C68A29" w14:textId="77777777" w:rsidR="00B9725A" w:rsidRPr="00FC013E" w:rsidRDefault="00B9725A" w:rsidP="00FC013E">
      <w:pPr>
        <w:pStyle w:val="Heading2"/>
        <w:spacing w:before="240" w:after="120"/>
        <w:rPr>
          <w:rFonts w:asciiTheme="minorHAnsi" w:hAnsiTheme="minorHAnsi" w:cstheme="minorHAnsi"/>
          <w:snapToGrid w:val="0"/>
          <w:sz w:val="28"/>
        </w:rPr>
      </w:pPr>
      <w:r w:rsidRPr="00FC013E">
        <w:rPr>
          <w:rFonts w:asciiTheme="minorHAnsi" w:hAnsiTheme="minorHAnsi" w:cstheme="minorHAnsi"/>
          <w:snapToGrid w:val="0"/>
          <w:sz w:val="28"/>
        </w:rPr>
        <w:t>Sponsor hearing</w:t>
      </w:r>
    </w:p>
    <w:p w14:paraId="3252B0F5" w14:textId="5063A2E0" w:rsidR="00FC013E" w:rsidRPr="00FC013E" w:rsidRDefault="00FC013E" w:rsidP="00FC013E">
      <w:pPr>
        <w:widowControl w:val="0"/>
        <w:numPr>
          <w:ilvl w:val="1"/>
          <w:numId w:val="5"/>
        </w:numPr>
        <w:spacing w:after="120"/>
        <w:jc w:val="both"/>
        <w:rPr>
          <w:rFonts w:asciiTheme="minorHAnsi" w:hAnsiTheme="minorHAnsi" w:cs="Arial"/>
          <w:b/>
          <w:bCs/>
          <w:i/>
          <w:snapToGrid w:val="0"/>
          <w:sz w:val="28"/>
          <w:szCs w:val="28"/>
        </w:rPr>
      </w:pPr>
      <w:r>
        <w:rPr>
          <w:rFonts w:asciiTheme="minorHAnsi" w:hAnsiTheme="minorHAnsi" w:cs="Arial"/>
          <w:bCs/>
          <w:snapToGrid w:val="0"/>
        </w:rPr>
        <w:t>There was no hearing for this i</w:t>
      </w:r>
      <w:r w:rsidR="00903845">
        <w:rPr>
          <w:rFonts w:asciiTheme="minorHAnsi" w:hAnsiTheme="minorHAnsi" w:cs="Arial"/>
          <w:bCs/>
          <w:snapToGrid w:val="0"/>
        </w:rPr>
        <w:t>tem as it was a Committee Secretariat</w:t>
      </w:r>
      <w:r w:rsidR="004F0CF2">
        <w:rPr>
          <w:rFonts w:asciiTheme="minorHAnsi" w:hAnsiTheme="minorHAnsi" w:cs="Arial"/>
          <w:bCs/>
          <w:snapToGrid w:val="0"/>
        </w:rPr>
        <w:t xml:space="preserve"> submission</w:t>
      </w:r>
      <w:r>
        <w:rPr>
          <w:rFonts w:asciiTheme="minorHAnsi" w:hAnsiTheme="minorHAnsi" w:cs="Arial"/>
          <w:bCs/>
          <w:snapToGrid w:val="0"/>
        </w:rPr>
        <w:t>.</w:t>
      </w:r>
    </w:p>
    <w:p w14:paraId="03CA9E78" w14:textId="013A42F9" w:rsidR="00B9725A" w:rsidRPr="00FC013E" w:rsidRDefault="00B9725A" w:rsidP="00FC013E">
      <w:pPr>
        <w:pStyle w:val="Heading2"/>
        <w:spacing w:before="240" w:after="120"/>
        <w:rPr>
          <w:rFonts w:asciiTheme="minorHAnsi" w:hAnsiTheme="minorHAnsi" w:cstheme="minorHAnsi"/>
          <w:snapToGrid w:val="0"/>
          <w:sz w:val="28"/>
        </w:rPr>
      </w:pPr>
      <w:r w:rsidRPr="00FC013E">
        <w:rPr>
          <w:rFonts w:asciiTheme="minorHAnsi" w:hAnsiTheme="minorHAnsi" w:cstheme="minorHAnsi"/>
          <w:snapToGrid w:val="0"/>
          <w:sz w:val="28"/>
        </w:rPr>
        <w:lastRenderedPageBreak/>
        <w:t>Consumer comments</w:t>
      </w:r>
    </w:p>
    <w:p w14:paraId="604BE738" w14:textId="77777777" w:rsidR="00FC013E" w:rsidRPr="00FC013E" w:rsidRDefault="00FC013E" w:rsidP="00FC013E">
      <w:pPr>
        <w:widowControl w:val="0"/>
        <w:numPr>
          <w:ilvl w:val="1"/>
          <w:numId w:val="5"/>
        </w:numPr>
        <w:spacing w:after="120"/>
        <w:jc w:val="both"/>
        <w:rPr>
          <w:rFonts w:asciiTheme="minorHAnsi" w:eastAsiaTheme="majorEastAsia" w:hAnsiTheme="minorHAnsi" w:cstheme="majorBidi"/>
          <w:sz w:val="28"/>
          <w:szCs w:val="28"/>
          <w:lang w:eastAsia="en-US"/>
        </w:rPr>
      </w:pPr>
      <w:r w:rsidRPr="00FC013E">
        <w:rPr>
          <w:rFonts w:asciiTheme="minorHAnsi" w:hAnsiTheme="minorHAnsi" w:cs="Arial"/>
          <w:bCs/>
          <w:snapToGrid w:val="0"/>
        </w:rPr>
        <w:t>The PBAC noted that no consumer comments were received for this item</w:t>
      </w:r>
      <w:r>
        <w:rPr>
          <w:rFonts w:asciiTheme="minorHAnsi" w:hAnsiTheme="minorHAnsi" w:cs="Arial"/>
          <w:bCs/>
          <w:snapToGrid w:val="0"/>
        </w:rPr>
        <w:t>.</w:t>
      </w:r>
      <w:r w:rsidR="00B9725A" w:rsidRPr="00FC013E">
        <w:rPr>
          <w:rFonts w:asciiTheme="minorHAnsi" w:hAnsiTheme="minorHAnsi" w:cs="Arial"/>
          <w:bCs/>
          <w:i/>
          <w:snapToGrid w:val="0"/>
        </w:rPr>
        <w:t xml:space="preserve"> </w:t>
      </w:r>
    </w:p>
    <w:p w14:paraId="1BE91D50" w14:textId="2B225CB9" w:rsidR="00FC3647" w:rsidRPr="00FC013E" w:rsidRDefault="00FC3647" w:rsidP="00FC013E">
      <w:pPr>
        <w:pStyle w:val="Heading2"/>
        <w:spacing w:before="240" w:after="120"/>
        <w:rPr>
          <w:rFonts w:asciiTheme="minorHAnsi" w:eastAsiaTheme="majorEastAsia" w:hAnsiTheme="minorHAnsi" w:cstheme="minorHAnsi"/>
          <w:sz w:val="28"/>
        </w:rPr>
      </w:pPr>
      <w:r w:rsidRPr="00FC013E">
        <w:rPr>
          <w:rFonts w:asciiTheme="minorHAnsi" w:eastAsiaTheme="majorEastAsia" w:hAnsiTheme="minorHAnsi" w:cstheme="minorHAnsi"/>
          <w:sz w:val="28"/>
        </w:rPr>
        <w:t>Clinical trials</w:t>
      </w:r>
    </w:p>
    <w:p w14:paraId="54ADEB1E" w14:textId="42823FE9" w:rsidR="00755027" w:rsidRPr="00422330" w:rsidRDefault="00755027" w:rsidP="00FC3647">
      <w:pPr>
        <w:pStyle w:val="3Bodytext"/>
        <w:numPr>
          <w:ilvl w:val="1"/>
          <w:numId w:val="5"/>
        </w:numPr>
        <w:rPr>
          <w:szCs w:val="24"/>
        </w:rPr>
      </w:pPr>
      <w:r w:rsidRPr="00422330">
        <w:rPr>
          <w:szCs w:val="24"/>
        </w:rPr>
        <w:t>As a</w:t>
      </w:r>
      <w:r w:rsidR="00903845">
        <w:rPr>
          <w:szCs w:val="24"/>
        </w:rPr>
        <w:t xml:space="preserve"> Committee Secretariat</w:t>
      </w:r>
      <w:r w:rsidR="004F0CF2">
        <w:rPr>
          <w:szCs w:val="24"/>
        </w:rPr>
        <w:t xml:space="preserve"> submission</w:t>
      </w:r>
      <w:r w:rsidRPr="00422330">
        <w:rPr>
          <w:szCs w:val="24"/>
        </w:rPr>
        <w:t>, no clinical trials were presented in the submission.</w:t>
      </w:r>
    </w:p>
    <w:p w14:paraId="78E70B00" w14:textId="64F486C3" w:rsidR="00BD4D42" w:rsidRPr="00937958" w:rsidRDefault="00BD4D42" w:rsidP="00BD4D42">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Other relevant matters</w:t>
      </w:r>
    </w:p>
    <w:p w14:paraId="2650546E" w14:textId="6C3AEB34" w:rsidR="00960633" w:rsidRDefault="00960633" w:rsidP="00965B5C">
      <w:pPr>
        <w:pStyle w:val="3Bodytext"/>
        <w:numPr>
          <w:ilvl w:val="1"/>
          <w:numId w:val="5"/>
        </w:numPr>
        <w:rPr>
          <w:szCs w:val="24"/>
        </w:rPr>
      </w:pPr>
      <w:r>
        <w:rPr>
          <w:szCs w:val="24"/>
        </w:rPr>
        <w:t xml:space="preserve">The new formulation </w:t>
      </w:r>
      <w:r w:rsidR="00C417F8">
        <w:rPr>
          <w:szCs w:val="24"/>
        </w:rPr>
        <w:t>of Lipistart includes a range of changes to the nutritional profile, including protein, carbohydrate and fatty acid content, as well as to the vitamin, mineral and micronutrient profile.</w:t>
      </w:r>
    </w:p>
    <w:p w14:paraId="776A1FBE" w14:textId="2AF7EC37" w:rsidR="006F01BF" w:rsidRDefault="00D70C1F" w:rsidP="00C417F8">
      <w:pPr>
        <w:pStyle w:val="3Bodytext"/>
        <w:numPr>
          <w:ilvl w:val="1"/>
          <w:numId w:val="5"/>
        </w:numPr>
        <w:rPr>
          <w:szCs w:val="24"/>
        </w:rPr>
      </w:pPr>
      <w:r>
        <w:rPr>
          <w:szCs w:val="24"/>
        </w:rPr>
        <w:t xml:space="preserve">A selection of </w:t>
      </w:r>
      <w:r w:rsidR="006F01BF">
        <w:rPr>
          <w:szCs w:val="24"/>
        </w:rPr>
        <w:t>changes</w:t>
      </w:r>
      <w:r w:rsidR="00960633">
        <w:rPr>
          <w:szCs w:val="24"/>
        </w:rPr>
        <w:t xml:space="preserve"> to the formulation of Lipistart are presented</w:t>
      </w:r>
      <w:r w:rsidR="00920BC1">
        <w:rPr>
          <w:szCs w:val="24"/>
        </w:rPr>
        <w:t xml:space="preserve"> in Table 1.</w:t>
      </w:r>
      <w:r w:rsidR="00960633">
        <w:rPr>
          <w:szCs w:val="24"/>
        </w:rPr>
        <w:t xml:space="preserve"> </w:t>
      </w:r>
    </w:p>
    <w:p w14:paraId="0A966ECB" w14:textId="13BEC55E" w:rsidR="006F01BF" w:rsidRPr="00F31A88" w:rsidRDefault="006F01BF" w:rsidP="000243C0">
      <w:pPr>
        <w:pStyle w:val="3Bodytext"/>
        <w:spacing w:after="0"/>
        <w:rPr>
          <w:rFonts w:ascii="Arial Narrow" w:hAnsi="Arial Narrow"/>
          <w:b/>
          <w:sz w:val="18"/>
        </w:rPr>
      </w:pPr>
      <w:r w:rsidRPr="000744E4">
        <w:rPr>
          <w:rFonts w:ascii="Arial Narrow" w:hAnsi="Arial Narrow"/>
          <w:b/>
          <w:sz w:val="20"/>
        </w:rPr>
        <w:t xml:space="preserve">Table 1: </w:t>
      </w:r>
      <w:r w:rsidR="00906114" w:rsidRPr="000744E4">
        <w:rPr>
          <w:rFonts w:ascii="Arial Narrow" w:hAnsi="Arial Narrow"/>
          <w:b/>
          <w:sz w:val="20"/>
        </w:rPr>
        <w:t>Brief overview of</w:t>
      </w:r>
      <w:r w:rsidRPr="000744E4">
        <w:rPr>
          <w:rFonts w:ascii="Arial Narrow" w:hAnsi="Arial Narrow"/>
          <w:b/>
          <w:sz w:val="20"/>
        </w:rPr>
        <w:t xml:space="preserve"> </w:t>
      </w:r>
      <w:r w:rsidR="00906114" w:rsidRPr="000744E4">
        <w:rPr>
          <w:rFonts w:ascii="Arial Narrow" w:hAnsi="Arial Narrow"/>
          <w:b/>
          <w:sz w:val="20"/>
        </w:rPr>
        <w:t>Lipistart formulation changes</w:t>
      </w:r>
      <w:r w:rsidR="00920BC1" w:rsidRPr="000744E4">
        <w:rPr>
          <w:rFonts w:ascii="Arial Narrow" w:hAnsi="Arial Narrow"/>
          <w:b/>
          <w:sz w:val="20"/>
        </w:rPr>
        <w:t xml:space="preserve"> </w:t>
      </w:r>
    </w:p>
    <w:tbl>
      <w:tblPr>
        <w:tblStyle w:val="TableGrid"/>
        <w:tblW w:w="5000" w:type="pct"/>
        <w:tblLook w:val="04A0" w:firstRow="1" w:lastRow="0" w:firstColumn="1" w:lastColumn="0" w:noHBand="0" w:noVBand="1"/>
        <w:tblCaption w:val="Table 1"/>
        <w:tblDescription w:val="Brief overview of Lipistart formulation changes"/>
      </w:tblPr>
      <w:tblGrid>
        <w:gridCol w:w="2830"/>
        <w:gridCol w:w="1872"/>
        <w:gridCol w:w="2157"/>
        <w:gridCol w:w="2157"/>
      </w:tblGrid>
      <w:tr w:rsidR="00C417F8" w:rsidRPr="00F31A88" w14:paraId="6ABAE669" w14:textId="0FA19B91" w:rsidTr="00954E26">
        <w:trPr>
          <w:trHeight w:val="170"/>
          <w:tblHeader/>
        </w:trPr>
        <w:tc>
          <w:tcPr>
            <w:tcW w:w="1569" w:type="pct"/>
          </w:tcPr>
          <w:p w14:paraId="11B81697" w14:textId="77777777" w:rsidR="00B82A49" w:rsidRDefault="00C417F8" w:rsidP="00C417F8">
            <w:pPr>
              <w:pStyle w:val="3Bodytext"/>
              <w:rPr>
                <w:rFonts w:ascii="Arial Narrow" w:hAnsi="Arial Narrow"/>
                <w:b/>
                <w:sz w:val="20"/>
                <w:szCs w:val="20"/>
              </w:rPr>
            </w:pPr>
            <w:r w:rsidRPr="00F31A88">
              <w:rPr>
                <w:rFonts w:ascii="Arial Narrow" w:hAnsi="Arial Narrow"/>
                <w:b/>
                <w:sz w:val="20"/>
                <w:szCs w:val="20"/>
              </w:rPr>
              <w:t>Type of change/parameter</w:t>
            </w:r>
          </w:p>
          <w:p w14:paraId="48251286" w14:textId="2FFEF027" w:rsidR="00C417F8" w:rsidRPr="00F31A88" w:rsidRDefault="00B82A49" w:rsidP="00C417F8">
            <w:pPr>
              <w:pStyle w:val="3Bodytext"/>
              <w:rPr>
                <w:rFonts w:ascii="Arial Narrow" w:hAnsi="Arial Narrow"/>
                <w:b/>
                <w:sz w:val="20"/>
                <w:szCs w:val="20"/>
              </w:rPr>
            </w:pPr>
            <w:r>
              <w:rPr>
                <w:rFonts w:ascii="Arial Narrow" w:hAnsi="Arial Narrow"/>
                <w:b/>
                <w:sz w:val="20"/>
                <w:szCs w:val="20"/>
              </w:rPr>
              <w:t>(grams per 100kcal)</w:t>
            </w:r>
            <w:r w:rsidR="00C417F8">
              <w:rPr>
                <w:rFonts w:ascii="Arial Narrow" w:hAnsi="Arial Narrow"/>
                <w:b/>
                <w:sz w:val="20"/>
                <w:szCs w:val="20"/>
              </w:rPr>
              <w:t xml:space="preserve"> </w:t>
            </w:r>
          </w:p>
        </w:tc>
        <w:tc>
          <w:tcPr>
            <w:tcW w:w="1038" w:type="pct"/>
          </w:tcPr>
          <w:p w14:paraId="51448209" w14:textId="77777777" w:rsidR="00C417F8" w:rsidRPr="00F31A88" w:rsidRDefault="00C417F8" w:rsidP="00513010">
            <w:pPr>
              <w:pStyle w:val="3Bodytext"/>
              <w:rPr>
                <w:rFonts w:ascii="Arial Narrow" w:hAnsi="Arial Narrow"/>
                <w:b/>
                <w:sz w:val="20"/>
                <w:szCs w:val="20"/>
              </w:rPr>
            </w:pPr>
            <w:r w:rsidRPr="00F31A88">
              <w:rPr>
                <w:rFonts w:ascii="Arial Narrow" w:hAnsi="Arial Narrow"/>
                <w:b/>
                <w:sz w:val="20"/>
                <w:szCs w:val="20"/>
              </w:rPr>
              <w:t>Old</w:t>
            </w:r>
            <w:r>
              <w:rPr>
                <w:rFonts w:ascii="Arial Narrow" w:hAnsi="Arial Narrow"/>
                <w:b/>
                <w:sz w:val="20"/>
                <w:szCs w:val="20"/>
              </w:rPr>
              <w:t xml:space="preserve"> formulation</w:t>
            </w:r>
          </w:p>
        </w:tc>
        <w:tc>
          <w:tcPr>
            <w:tcW w:w="1196" w:type="pct"/>
          </w:tcPr>
          <w:p w14:paraId="4C3D6790" w14:textId="77777777" w:rsidR="00C417F8" w:rsidRPr="00F31A88" w:rsidRDefault="00C417F8" w:rsidP="00513010">
            <w:pPr>
              <w:pStyle w:val="3Bodytext"/>
              <w:rPr>
                <w:rFonts w:ascii="Arial Narrow" w:hAnsi="Arial Narrow"/>
                <w:b/>
                <w:sz w:val="20"/>
                <w:szCs w:val="20"/>
              </w:rPr>
            </w:pPr>
            <w:r w:rsidRPr="00F31A88">
              <w:rPr>
                <w:rFonts w:ascii="Arial Narrow" w:hAnsi="Arial Narrow"/>
                <w:b/>
                <w:sz w:val="20"/>
                <w:szCs w:val="20"/>
              </w:rPr>
              <w:t>New</w:t>
            </w:r>
            <w:r>
              <w:rPr>
                <w:rFonts w:ascii="Arial Narrow" w:hAnsi="Arial Narrow"/>
                <w:b/>
                <w:sz w:val="20"/>
                <w:szCs w:val="20"/>
              </w:rPr>
              <w:t xml:space="preserve"> formulation</w:t>
            </w:r>
          </w:p>
        </w:tc>
        <w:tc>
          <w:tcPr>
            <w:tcW w:w="1196" w:type="pct"/>
          </w:tcPr>
          <w:p w14:paraId="45D9B595" w14:textId="5DA348C4" w:rsidR="00C417F8" w:rsidRPr="00F31A88" w:rsidRDefault="00C417F8" w:rsidP="00513010">
            <w:pPr>
              <w:pStyle w:val="3Bodytext"/>
              <w:rPr>
                <w:rFonts w:ascii="Arial Narrow" w:hAnsi="Arial Narrow"/>
                <w:b/>
                <w:sz w:val="20"/>
                <w:szCs w:val="20"/>
              </w:rPr>
            </w:pPr>
            <w:r>
              <w:rPr>
                <w:rFonts w:ascii="Arial Narrow" w:hAnsi="Arial Narrow"/>
                <w:b/>
                <w:sz w:val="20"/>
                <w:szCs w:val="20"/>
              </w:rPr>
              <w:t>Comparator (Monogen)</w:t>
            </w:r>
          </w:p>
        </w:tc>
      </w:tr>
      <w:tr w:rsidR="00C417F8" w:rsidRPr="00F31A88" w14:paraId="671DC864" w14:textId="4C17FFE7" w:rsidTr="00835B7F">
        <w:trPr>
          <w:trHeight w:val="170"/>
        </w:trPr>
        <w:tc>
          <w:tcPr>
            <w:tcW w:w="1569" w:type="pct"/>
          </w:tcPr>
          <w:p w14:paraId="7C626540" w14:textId="263C850F" w:rsidR="00C417F8" w:rsidRPr="00F31A88" w:rsidRDefault="00C417F8" w:rsidP="00513010">
            <w:pPr>
              <w:pStyle w:val="3Bodytext"/>
              <w:rPr>
                <w:rFonts w:ascii="Arial Narrow" w:hAnsi="Arial Narrow"/>
                <w:sz w:val="20"/>
                <w:szCs w:val="20"/>
              </w:rPr>
            </w:pPr>
            <w:r>
              <w:rPr>
                <w:rFonts w:ascii="Arial Narrow" w:hAnsi="Arial Narrow"/>
                <w:sz w:val="20"/>
                <w:szCs w:val="20"/>
              </w:rPr>
              <w:t>Energy (kcal/100mL)</w:t>
            </w:r>
          </w:p>
        </w:tc>
        <w:tc>
          <w:tcPr>
            <w:tcW w:w="1038" w:type="pct"/>
          </w:tcPr>
          <w:p w14:paraId="65D330D9" w14:textId="23DB2E4B" w:rsidR="00C417F8" w:rsidRPr="006F01BF" w:rsidRDefault="00C417F8" w:rsidP="00C417F8">
            <w:pPr>
              <w:pStyle w:val="3Bodytext"/>
              <w:jc w:val="center"/>
              <w:rPr>
                <w:rFonts w:ascii="Arial Narrow" w:hAnsi="Arial Narrow"/>
                <w:sz w:val="20"/>
                <w:szCs w:val="20"/>
              </w:rPr>
            </w:pPr>
            <w:r>
              <w:rPr>
                <w:rFonts w:ascii="Arial Narrow" w:hAnsi="Arial Narrow"/>
                <w:sz w:val="20"/>
                <w:szCs w:val="20"/>
              </w:rPr>
              <w:t>69</w:t>
            </w:r>
          </w:p>
        </w:tc>
        <w:tc>
          <w:tcPr>
            <w:tcW w:w="1196" w:type="pct"/>
          </w:tcPr>
          <w:p w14:paraId="7205E48C" w14:textId="08D71E83" w:rsidR="00C417F8" w:rsidRPr="006F01BF" w:rsidRDefault="00C417F8" w:rsidP="00C417F8">
            <w:pPr>
              <w:pStyle w:val="3Bodytext"/>
              <w:jc w:val="center"/>
              <w:rPr>
                <w:rFonts w:ascii="Arial Narrow" w:hAnsi="Arial Narrow"/>
                <w:sz w:val="20"/>
                <w:szCs w:val="20"/>
              </w:rPr>
            </w:pPr>
            <w:r>
              <w:rPr>
                <w:rFonts w:ascii="Arial Narrow" w:hAnsi="Arial Narrow"/>
                <w:sz w:val="20"/>
                <w:szCs w:val="20"/>
              </w:rPr>
              <w:t>70</w:t>
            </w:r>
          </w:p>
        </w:tc>
        <w:tc>
          <w:tcPr>
            <w:tcW w:w="1196" w:type="pct"/>
          </w:tcPr>
          <w:p w14:paraId="4FC1148A" w14:textId="4275F99F" w:rsidR="00C417F8" w:rsidRPr="006F01BF" w:rsidRDefault="00C417F8" w:rsidP="00C417F8">
            <w:pPr>
              <w:pStyle w:val="3Bodytext"/>
              <w:jc w:val="center"/>
              <w:rPr>
                <w:rFonts w:ascii="Arial Narrow" w:hAnsi="Arial Narrow"/>
                <w:sz w:val="20"/>
                <w:szCs w:val="20"/>
              </w:rPr>
            </w:pPr>
            <w:r>
              <w:rPr>
                <w:rFonts w:ascii="Arial Narrow" w:hAnsi="Arial Narrow"/>
                <w:sz w:val="20"/>
                <w:szCs w:val="20"/>
              </w:rPr>
              <w:t>75</w:t>
            </w:r>
          </w:p>
        </w:tc>
      </w:tr>
      <w:tr w:rsidR="00C417F8" w:rsidRPr="00F31A88" w14:paraId="70AD4B10" w14:textId="3D3DC0E2" w:rsidTr="00835B7F">
        <w:trPr>
          <w:trHeight w:val="170"/>
        </w:trPr>
        <w:tc>
          <w:tcPr>
            <w:tcW w:w="1569" w:type="pct"/>
          </w:tcPr>
          <w:p w14:paraId="7C9D9624" w14:textId="62A773D3" w:rsidR="00C417F8" w:rsidRPr="00F31A88" w:rsidRDefault="00B82A49" w:rsidP="00513010">
            <w:pPr>
              <w:pStyle w:val="3Bodytext"/>
              <w:rPr>
                <w:rFonts w:ascii="Arial Narrow" w:hAnsi="Arial Narrow"/>
                <w:sz w:val="20"/>
                <w:szCs w:val="20"/>
              </w:rPr>
            </w:pPr>
            <w:r>
              <w:rPr>
                <w:rFonts w:ascii="Arial Narrow" w:hAnsi="Arial Narrow"/>
                <w:sz w:val="20"/>
                <w:szCs w:val="20"/>
              </w:rPr>
              <w:t>Protein</w:t>
            </w:r>
          </w:p>
        </w:tc>
        <w:tc>
          <w:tcPr>
            <w:tcW w:w="1038" w:type="pct"/>
          </w:tcPr>
          <w:p w14:paraId="4495DFE9" w14:textId="18575381" w:rsidR="00C417F8" w:rsidRPr="006F01BF" w:rsidRDefault="00C417F8" w:rsidP="00C417F8">
            <w:pPr>
              <w:pStyle w:val="3Bodytext"/>
              <w:jc w:val="center"/>
              <w:rPr>
                <w:rFonts w:ascii="Arial Narrow" w:hAnsi="Arial Narrow"/>
                <w:sz w:val="20"/>
                <w:szCs w:val="20"/>
              </w:rPr>
            </w:pPr>
            <w:r>
              <w:rPr>
                <w:rFonts w:ascii="Arial Narrow" w:hAnsi="Arial Narrow"/>
                <w:sz w:val="20"/>
                <w:szCs w:val="20"/>
              </w:rPr>
              <w:t>3.0</w:t>
            </w:r>
          </w:p>
        </w:tc>
        <w:tc>
          <w:tcPr>
            <w:tcW w:w="1196" w:type="pct"/>
          </w:tcPr>
          <w:p w14:paraId="44BBB8CC" w14:textId="1F4F216C" w:rsidR="00C417F8" w:rsidRPr="006F01BF" w:rsidRDefault="00C417F8" w:rsidP="00C417F8">
            <w:pPr>
              <w:pStyle w:val="3Bodytext"/>
              <w:jc w:val="center"/>
              <w:rPr>
                <w:rFonts w:ascii="Arial Narrow" w:hAnsi="Arial Narrow"/>
                <w:sz w:val="20"/>
                <w:szCs w:val="20"/>
              </w:rPr>
            </w:pPr>
            <w:r>
              <w:rPr>
                <w:rFonts w:ascii="Arial Narrow" w:hAnsi="Arial Narrow"/>
                <w:sz w:val="20"/>
                <w:szCs w:val="20"/>
              </w:rPr>
              <w:t>2.6</w:t>
            </w:r>
          </w:p>
        </w:tc>
        <w:tc>
          <w:tcPr>
            <w:tcW w:w="1196" w:type="pct"/>
          </w:tcPr>
          <w:p w14:paraId="051D7446" w14:textId="4448D22B" w:rsidR="00C417F8" w:rsidRDefault="004C2F8A" w:rsidP="00C417F8">
            <w:pPr>
              <w:pStyle w:val="3Bodytext"/>
              <w:jc w:val="center"/>
              <w:rPr>
                <w:rFonts w:ascii="Arial Narrow" w:hAnsi="Arial Narrow"/>
                <w:sz w:val="20"/>
                <w:szCs w:val="20"/>
              </w:rPr>
            </w:pPr>
            <w:r>
              <w:rPr>
                <w:rFonts w:ascii="Arial Narrow" w:hAnsi="Arial Narrow"/>
                <w:sz w:val="20"/>
                <w:szCs w:val="20"/>
              </w:rPr>
              <w:t>2.9</w:t>
            </w:r>
          </w:p>
        </w:tc>
      </w:tr>
      <w:tr w:rsidR="004C2F8A" w:rsidRPr="00F31A88" w14:paraId="4DCC5120" w14:textId="77777777" w:rsidTr="00835B7F">
        <w:trPr>
          <w:trHeight w:val="170"/>
        </w:trPr>
        <w:tc>
          <w:tcPr>
            <w:tcW w:w="1569" w:type="pct"/>
            <w:tcBorders>
              <w:bottom w:val="single" w:sz="4" w:space="0" w:color="auto"/>
            </w:tcBorders>
          </w:tcPr>
          <w:p w14:paraId="7E8DE873" w14:textId="6181FDE0" w:rsidR="004C2F8A" w:rsidRDefault="004C2F8A" w:rsidP="00513010">
            <w:pPr>
              <w:pStyle w:val="3Bodytext"/>
              <w:rPr>
                <w:rFonts w:ascii="Arial Narrow" w:hAnsi="Arial Narrow"/>
                <w:sz w:val="20"/>
                <w:szCs w:val="20"/>
              </w:rPr>
            </w:pPr>
            <w:r>
              <w:rPr>
                <w:rFonts w:ascii="Arial Narrow" w:hAnsi="Arial Narrow"/>
                <w:sz w:val="20"/>
                <w:szCs w:val="20"/>
              </w:rPr>
              <w:t>Fats</w:t>
            </w:r>
            <w:r w:rsidR="00B82A49">
              <w:rPr>
                <w:rFonts w:ascii="Arial Narrow" w:hAnsi="Arial Narrow"/>
                <w:sz w:val="20"/>
                <w:szCs w:val="20"/>
              </w:rPr>
              <w:t xml:space="preserve"> (total)</w:t>
            </w:r>
          </w:p>
        </w:tc>
        <w:tc>
          <w:tcPr>
            <w:tcW w:w="1038" w:type="pct"/>
            <w:tcBorders>
              <w:bottom w:val="single" w:sz="4" w:space="0" w:color="auto"/>
            </w:tcBorders>
          </w:tcPr>
          <w:p w14:paraId="251B7A51" w14:textId="3DBB84A8" w:rsidR="004C2F8A" w:rsidRDefault="004C2F8A" w:rsidP="00C417F8">
            <w:pPr>
              <w:pStyle w:val="3Bodytext"/>
              <w:jc w:val="center"/>
              <w:rPr>
                <w:rFonts w:ascii="Arial Narrow" w:hAnsi="Arial Narrow"/>
                <w:sz w:val="20"/>
                <w:szCs w:val="20"/>
              </w:rPr>
            </w:pPr>
            <w:r>
              <w:rPr>
                <w:rFonts w:ascii="Arial Narrow" w:hAnsi="Arial Narrow"/>
                <w:sz w:val="20"/>
                <w:szCs w:val="20"/>
              </w:rPr>
              <w:t>4.5</w:t>
            </w:r>
          </w:p>
        </w:tc>
        <w:tc>
          <w:tcPr>
            <w:tcW w:w="1196" w:type="pct"/>
            <w:tcBorders>
              <w:bottom w:val="single" w:sz="4" w:space="0" w:color="auto"/>
            </w:tcBorders>
          </w:tcPr>
          <w:p w14:paraId="2A3036B1" w14:textId="48136C10" w:rsidR="004C2F8A" w:rsidRDefault="004C2F8A" w:rsidP="00C417F8">
            <w:pPr>
              <w:pStyle w:val="3Bodytext"/>
              <w:jc w:val="center"/>
              <w:rPr>
                <w:rFonts w:ascii="Arial Narrow" w:hAnsi="Arial Narrow"/>
                <w:sz w:val="20"/>
                <w:szCs w:val="20"/>
              </w:rPr>
            </w:pPr>
            <w:r>
              <w:rPr>
                <w:rFonts w:ascii="Arial Narrow" w:hAnsi="Arial Narrow"/>
                <w:sz w:val="20"/>
                <w:szCs w:val="20"/>
              </w:rPr>
              <w:t>4.5</w:t>
            </w:r>
          </w:p>
        </w:tc>
        <w:tc>
          <w:tcPr>
            <w:tcW w:w="1196" w:type="pct"/>
            <w:tcBorders>
              <w:bottom w:val="single" w:sz="4" w:space="0" w:color="auto"/>
            </w:tcBorders>
          </w:tcPr>
          <w:p w14:paraId="16AEDFCC" w14:textId="69122152" w:rsidR="004C2F8A" w:rsidRDefault="004C2F8A" w:rsidP="00C417F8">
            <w:pPr>
              <w:pStyle w:val="3Bodytext"/>
              <w:jc w:val="center"/>
              <w:rPr>
                <w:rFonts w:ascii="Arial Narrow" w:hAnsi="Arial Narrow"/>
                <w:sz w:val="20"/>
                <w:szCs w:val="20"/>
              </w:rPr>
            </w:pPr>
            <w:r>
              <w:rPr>
                <w:rFonts w:ascii="Arial Narrow" w:hAnsi="Arial Narrow"/>
                <w:sz w:val="20"/>
                <w:szCs w:val="20"/>
              </w:rPr>
              <w:t>2.9</w:t>
            </w:r>
          </w:p>
        </w:tc>
      </w:tr>
      <w:tr w:rsidR="00D70C1F" w:rsidRPr="00F31A88" w14:paraId="4FFBCC1F" w14:textId="77777777" w:rsidTr="00835B7F">
        <w:trPr>
          <w:trHeight w:val="170"/>
        </w:trPr>
        <w:tc>
          <w:tcPr>
            <w:tcW w:w="1569" w:type="pct"/>
            <w:tcBorders>
              <w:top w:val="single" w:sz="4" w:space="0" w:color="auto"/>
              <w:left w:val="single" w:sz="4" w:space="0" w:color="auto"/>
              <w:bottom w:val="nil"/>
              <w:right w:val="single" w:sz="4" w:space="0" w:color="auto"/>
            </w:tcBorders>
          </w:tcPr>
          <w:p w14:paraId="3232CCE5" w14:textId="6DBB19BF" w:rsidR="00D70C1F" w:rsidRPr="00720FCA" w:rsidRDefault="00D70C1F" w:rsidP="00D70C1F">
            <w:pPr>
              <w:pStyle w:val="3Bodytext"/>
              <w:numPr>
                <w:ilvl w:val="0"/>
                <w:numId w:val="21"/>
              </w:numPr>
              <w:ind w:left="164" w:hanging="142"/>
              <w:rPr>
                <w:rFonts w:ascii="Arial Narrow" w:hAnsi="Arial Narrow"/>
                <w:sz w:val="20"/>
                <w:szCs w:val="20"/>
              </w:rPr>
            </w:pPr>
            <w:r w:rsidRPr="00720FCA">
              <w:rPr>
                <w:rFonts w:ascii="Arial Narrow" w:hAnsi="Arial Narrow"/>
                <w:sz w:val="20"/>
                <w:szCs w:val="20"/>
              </w:rPr>
              <w:t>Medium chain triglycerides (MCT)</w:t>
            </w:r>
          </w:p>
        </w:tc>
        <w:tc>
          <w:tcPr>
            <w:tcW w:w="1038" w:type="pct"/>
            <w:tcBorders>
              <w:left w:val="single" w:sz="4" w:space="0" w:color="auto"/>
              <w:bottom w:val="nil"/>
            </w:tcBorders>
            <w:vAlign w:val="center"/>
          </w:tcPr>
          <w:p w14:paraId="61EB460E" w14:textId="4B68F59F" w:rsidR="00D70C1F" w:rsidRDefault="00D70C1F" w:rsidP="00D70C1F">
            <w:pPr>
              <w:pStyle w:val="3Bodytext"/>
              <w:jc w:val="center"/>
              <w:rPr>
                <w:rFonts w:ascii="Arial Narrow" w:hAnsi="Arial Narrow"/>
                <w:sz w:val="20"/>
                <w:szCs w:val="20"/>
              </w:rPr>
            </w:pPr>
            <w:r>
              <w:rPr>
                <w:rFonts w:ascii="Arial Narrow" w:hAnsi="Arial Narrow"/>
                <w:sz w:val="20"/>
                <w:szCs w:val="20"/>
              </w:rPr>
              <w:t>2.48</w:t>
            </w:r>
          </w:p>
        </w:tc>
        <w:tc>
          <w:tcPr>
            <w:tcW w:w="1196" w:type="pct"/>
            <w:tcBorders>
              <w:bottom w:val="nil"/>
            </w:tcBorders>
            <w:vAlign w:val="center"/>
          </w:tcPr>
          <w:p w14:paraId="19EB7143" w14:textId="7A46A95E" w:rsidR="00D70C1F" w:rsidRDefault="00D70C1F" w:rsidP="00D70C1F">
            <w:pPr>
              <w:pStyle w:val="3Bodytext"/>
              <w:jc w:val="center"/>
              <w:rPr>
                <w:rFonts w:ascii="Arial Narrow" w:hAnsi="Arial Narrow"/>
                <w:sz w:val="20"/>
                <w:szCs w:val="20"/>
              </w:rPr>
            </w:pPr>
            <w:r>
              <w:rPr>
                <w:rFonts w:ascii="Arial Narrow" w:hAnsi="Arial Narrow"/>
                <w:sz w:val="20"/>
                <w:szCs w:val="20"/>
              </w:rPr>
              <w:t>2.34</w:t>
            </w:r>
          </w:p>
        </w:tc>
        <w:tc>
          <w:tcPr>
            <w:tcW w:w="1196" w:type="pct"/>
            <w:tcBorders>
              <w:bottom w:val="nil"/>
            </w:tcBorders>
            <w:vAlign w:val="center"/>
          </w:tcPr>
          <w:p w14:paraId="7864D993" w14:textId="6FE7F93A" w:rsidR="00D70C1F" w:rsidRDefault="00D70C1F" w:rsidP="00D70C1F">
            <w:pPr>
              <w:pStyle w:val="3Bodytext"/>
              <w:jc w:val="center"/>
              <w:rPr>
                <w:rFonts w:ascii="Arial Narrow" w:hAnsi="Arial Narrow"/>
                <w:sz w:val="20"/>
                <w:szCs w:val="20"/>
              </w:rPr>
            </w:pPr>
            <w:r>
              <w:rPr>
                <w:rFonts w:ascii="Arial Narrow" w:hAnsi="Arial Narrow"/>
                <w:sz w:val="20"/>
                <w:szCs w:val="20"/>
              </w:rPr>
              <w:t>1.85</w:t>
            </w:r>
          </w:p>
        </w:tc>
      </w:tr>
      <w:tr w:rsidR="00D70C1F" w:rsidRPr="00F31A88" w14:paraId="63621F0E" w14:textId="77777777" w:rsidTr="00835B7F">
        <w:trPr>
          <w:trHeight w:val="170"/>
        </w:trPr>
        <w:tc>
          <w:tcPr>
            <w:tcW w:w="1569" w:type="pct"/>
            <w:tcBorders>
              <w:top w:val="nil"/>
              <w:left w:val="single" w:sz="4" w:space="0" w:color="auto"/>
              <w:bottom w:val="nil"/>
              <w:right w:val="single" w:sz="4" w:space="0" w:color="auto"/>
            </w:tcBorders>
          </w:tcPr>
          <w:p w14:paraId="306C4088" w14:textId="719A7DFA" w:rsidR="00D70C1F" w:rsidRPr="00720FCA" w:rsidRDefault="00D70C1F" w:rsidP="00D70C1F">
            <w:pPr>
              <w:pStyle w:val="3Bodytext"/>
              <w:numPr>
                <w:ilvl w:val="0"/>
                <w:numId w:val="21"/>
              </w:numPr>
              <w:ind w:left="164" w:hanging="142"/>
              <w:rPr>
                <w:rFonts w:ascii="Arial Narrow" w:hAnsi="Arial Narrow"/>
                <w:sz w:val="20"/>
                <w:szCs w:val="20"/>
              </w:rPr>
            </w:pPr>
            <w:r w:rsidRPr="00720FCA">
              <w:rPr>
                <w:rFonts w:ascii="Arial Narrow" w:hAnsi="Arial Narrow"/>
                <w:sz w:val="20"/>
                <w:szCs w:val="20"/>
              </w:rPr>
              <w:t>Long chain triglycerides (LCT)</w:t>
            </w:r>
          </w:p>
        </w:tc>
        <w:tc>
          <w:tcPr>
            <w:tcW w:w="1038" w:type="pct"/>
            <w:tcBorders>
              <w:top w:val="nil"/>
              <w:left w:val="single" w:sz="4" w:space="0" w:color="auto"/>
              <w:bottom w:val="nil"/>
            </w:tcBorders>
            <w:vAlign w:val="center"/>
          </w:tcPr>
          <w:p w14:paraId="43F47686" w14:textId="6C8F87A0" w:rsidR="00D70C1F" w:rsidRDefault="00D70C1F" w:rsidP="00D70C1F">
            <w:pPr>
              <w:pStyle w:val="3Bodytext"/>
              <w:jc w:val="center"/>
              <w:rPr>
                <w:rFonts w:ascii="Arial Narrow" w:hAnsi="Arial Narrow"/>
                <w:sz w:val="20"/>
                <w:szCs w:val="20"/>
              </w:rPr>
            </w:pPr>
            <w:r>
              <w:rPr>
                <w:rFonts w:ascii="Arial Narrow" w:hAnsi="Arial Narrow"/>
                <w:sz w:val="20"/>
                <w:szCs w:val="20"/>
              </w:rPr>
              <w:t>0.57</w:t>
            </w:r>
          </w:p>
        </w:tc>
        <w:tc>
          <w:tcPr>
            <w:tcW w:w="1196" w:type="pct"/>
            <w:tcBorders>
              <w:top w:val="nil"/>
              <w:bottom w:val="nil"/>
            </w:tcBorders>
            <w:vAlign w:val="center"/>
          </w:tcPr>
          <w:p w14:paraId="1473D9B6" w14:textId="6EAD3494" w:rsidR="00D70C1F" w:rsidRDefault="00D70C1F" w:rsidP="00D70C1F">
            <w:pPr>
              <w:pStyle w:val="3Bodytext"/>
              <w:jc w:val="center"/>
              <w:rPr>
                <w:rFonts w:ascii="Arial Narrow" w:hAnsi="Arial Narrow"/>
                <w:sz w:val="20"/>
                <w:szCs w:val="20"/>
              </w:rPr>
            </w:pPr>
            <w:r>
              <w:rPr>
                <w:rFonts w:ascii="Arial Narrow" w:hAnsi="Arial Narrow"/>
                <w:sz w:val="20"/>
                <w:szCs w:val="20"/>
              </w:rPr>
              <w:t>0.66</w:t>
            </w:r>
          </w:p>
        </w:tc>
        <w:tc>
          <w:tcPr>
            <w:tcW w:w="1196" w:type="pct"/>
            <w:tcBorders>
              <w:top w:val="nil"/>
              <w:bottom w:val="nil"/>
            </w:tcBorders>
            <w:vAlign w:val="center"/>
          </w:tcPr>
          <w:p w14:paraId="3B73C53A" w14:textId="3B8BE632" w:rsidR="00D70C1F" w:rsidRDefault="00D70C1F" w:rsidP="00D70C1F">
            <w:pPr>
              <w:pStyle w:val="3Bodytext"/>
              <w:jc w:val="center"/>
              <w:rPr>
                <w:rFonts w:ascii="Arial Narrow" w:hAnsi="Arial Narrow"/>
                <w:sz w:val="20"/>
                <w:szCs w:val="20"/>
              </w:rPr>
            </w:pPr>
            <w:r>
              <w:rPr>
                <w:rFonts w:ascii="Arial Narrow" w:hAnsi="Arial Narrow"/>
                <w:sz w:val="20"/>
                <w:szCs w:val="20"/>
              </w:rPr>
              <w:t>0.35</w:t>
            </w:r>
          </w:p>
        </w:tc>
      </w:tr>
      <w:tr w:rsidR="00D70C1F" w:rsidRPr="00F31A88" w14:paraId="6A809D29" w14:textId="77777777" w:rsidTr="00835B7F">
        <w:trPr>
          <w:trHeight w:val="170"/>
        </w:trPr>
        <w:tc>
          <w:tcPr>
            <w:tcW w:w="1569" w:type="pct"/>
            <w:tcBorders>
              <w:top w:val="nil"/>
              <w:left w:val="single" w:sz="4" w:space="0" w:color="auto"/>
              <w:bottom w:val="nil"/>
              <w:right w:val="single" w:sz="4" w:space="0" w:color="auto"/>
            </w:tcBorders>
          </w:tcPr>
          <w:p w14:paraId="7CB1D698" w14:textId="2F40CEB1" w:rsidR="00D70C1F" w:rsidRPr="00D70C1F" w:rsidRDefault="00046359" w:rsidP="00D70C1F">
            <w:pPr>
              <w:pStyle w:val="3Bodytext"/>
              <w:numPr>
                <w:ilvl w:val="0"/>
                <w:numId w:val="21"/>
              </w:numPr>
              <w:ind w:left="164" w:hanging="142"/>
              <w:rPr>
                <w:rFonts w:ascii="Arial Narrow" w:hAnsi="Arial Narrow"/>
                <w:sz w:val="20"/>
                <w:szCs w:val="20"/>
              </w:rPr>
            </w:pPr>
            <w:r w:rsidRPr="00D70C1F">
              <w:rPr>
                <w:rFonts w:ascii="Arial Narrow" w:hAnsi="Arial Narrow"/>
                <w:sz w:val="20"/>
                <w:szCs w:val="20"/>
              </w:rPr>
              <w:t>Docosahexaenoic</w:t>
            </w:r>
            <w:r w:rsidR="00D70C1F" w:rsidRPr="00D70C1F">
              <w:rPr>
                <w:rFonts w:ascii="Arial Narrow" w:hAnsi="Arial Narrow"/>
                <w:sz w:val="20"/>
                <w:szCs w:val="20"/>
              </w:rPr>
              <w:t xml:space="preserve"> a</w:t>
            </w:r>
            <w:r w:rsidR="00B82A49">
              <w:rPr>
                <w:rFonts w:ascii="Arial Narrow" w:hAnsi="Arial Narrow"/>
                <w:sz w:val="20"/>
                <w:szCs w:val="20"/>
              </w:rPr>
              <w:t xml:space="preserve">cid (DHA) </w:t>
            </w:r>
          </w:p>
        </w:tc>
        <w:tc>
          <w:tcPr>
            <w:tcW w:w="1038" w:type="pct"/>
            <w:tcBorders>
              <w:top w:val="nil"/>
              <w:left w:val="single" w:sz="4" w:space="0" w:color="auto"/>
              <w:bottom w:val="nil"/>
            </w:tcBorders>
            <w:vAlign w:val="center"/>
          </w:tcPr>
          <w:p w14:paraId="4D82923C" w14:textId="24EA7D23" w:rsidR="00D70C1F" w:rsidRDefault="00D70C1F" w:rsidP="00D70C1F">
            <w:pPr>
              <w:pStyle w:val="3Bodytext"/>
              <w:jc w:val="center"/>
              <w:rPr>
                <w:rFonts w:ascii="Arial Narrow" w:hAnsi="Arial Narrow"/>
                <w:sz w:val="20"/>
                <w:szCs w:val="20"/>
              </w:rPr>
            </w:pPr>
            <w:r>
              <w:rPr>
                <w:rFonts w:ascii="Arial Narrow" w:hAnsi="Arial Narrow"/>
                <w:sz w:val="20"/>
                <w:szCs w:val="20"/>
              </w:rPr>
              <w:t>15</w:t>
            </w:r>
          </w:p>
        </w:tc>
        <w:tc>
          <w:tcPr>
            <w:tcW w:w="1196" w:type="pct"/>
            <w:tcBorders>
              <w:top w:val="nil"/>
              <w:bottom w:val="nil"/>
            </w:tcBorders>
            <w:vAlign w:val="center"/>
          </w:tcPr>
          <w:p w14:paraId="2530DBF1" w14:textId="7DD1F654" w:rsidR="00D70C1F" w:rsidRDefault="00D70C1F" w:rsidP="00D70C1F">
            <w:pPr>
              <w:pStyle w:val="3Bodytext"/>
              <w:jc w:val="center"/>
              <w:rPr>
                <w:rFonts w:ascii="Arial Narrow" w:hAnsi="Arial Narrow"/>
                <w:sz w:val="20"/>
                <w:szCs w:val="20"/>
              </w:rPr>
            </w:pPr>
            <w:r>
              <w:rPr>
                <w:rFonts w:ascii="Arial Narrow" w:hAnsi="Arial Narrow"/>
                <w:sz w:val="20"/>
                <w:szCs w:val="20"/>
              </w:rPr>
              <w:t>15</w:t>
            </w:r>
          </w:p>
        </w:tc>
        <w:tc>
          <w:tcPr>
            <w:tcW w:w="1196" w:type="pct"/>
            <w:tcBorders>
              <w:top w:val="nil"/>
              <w:bottom w:val="nil"/>
            </w:tcBorders>
            <w:vAlign w:val="center"/>
          </w:tcPr>
          <w:p w14:paraId="5E7285B7" w14:textId="5E70ED62" w:rsidR="00D70C1F" w:rsidRDefault="00B82A49" w:rsidP="00D70C1F">
            <w:pPr>
              <w:pStyle w:val="3Bodytext"/>
              <w:jc w:val="center"/>
              <w:rPr>
                <w:rFonts w:ascii="Arial Narrow" w:hAnsi="Arial Narrow"/>
                <w:sz w:val="20"/>
                <w:szCs w:val="20"/>
              </w:rPr>
            </w:pPr>
            <w:r>
              <w:rPr>
                <w:rFonts w:ascii="Arial Narrow" w:hAnsi="Arial Narrow"/>
                <w:sz w:val="20"/>
                <w:szCs w:val="20"/>
              </w:rPr>
              <w:t>10.1</w:t>
            </w:r>
          </w:p>
        </w:tc>
      </w:tr>
      <w:tr w:rsidR="00D70C1F" w:rsidRPr="00F31A88" w14:paraId="0CA461E9" w14:textId="77777777" w:rsidTr="00835B7F">
        <w:trPr>
          <w:trHeight w:val="170"/>
        </w:trPr>
        <w:tc>
          <w:tcPr>
            <w:tcW w:w="1569" w:type="pct"/>
            <w:tcBorders>
              <w:top w:val="nil"/>
              <w:left w:val="single" w:sz="4" w:space="0" w:color="auto"/>
              <w:bottom w:val="nil"/>
              <w:right w:val="single" w:sz="4" w:space="0" w:color="auto"/>
            </w:tcBorders>
          </w:tcPr>
          <w:p w14:paraId="1A30FD78" w14:textId="23202A9F" w:rsidR="00D70C1F" w:rsidRPr="00D70C1F" w:rsidRDefault="00D70C1F" w:rsidP="00D70C1F">
            <w:pPr>
              <w:pStyle w:val="3Bodytext"/>
              <w:numPr>
                <w:ilvl w:val="0"/>
                <w:numId w:val="21"/>
              </w:numPr>
              <w:ind w:left="164" w:hanging="142"/>
              <w:rPr>
                <w:rFonts w:ascii="Arial Narrow" w:hAnsi="Arial Narrow"/>
                <w:sz w:val="20"/>
                <w:szCs w:val="20"/>
              </w:rPr>
            </w:pPr>
            <w:r w:rsidRPr="00D70C1F">
              <w:rPr>
                <w:rFonts w:ascii="Arial Narrow" w:hAnsi="Arial Narrow"/>
                <w:sz w:val="20"/>
                <w:szCs w:val="20"/>
              </w:rPr>
              <w:t>Arachidonic</w:t>
            </w:r>
            <w:r w:rsidR="00B82A49">
              <w:rPr>
                <w:rFonts w:ascii="Arial Narrow" w:hAnsi="Arial Narrow"/>
                <w:sz w:val="20"/>
                <w:szCs w:val="20"/>
              </w:rPr>
              <w:t xml:space="preserve"> acid (ARA)</w:t>
            </w:r>
          </w:p>
        </w:tc>
        <w:tc>
          <w:tcPr>
            <w:tcW w:w="1038" w:type="pct"/>
            <w:tcBorders>
              <w:top w:val="nil"/>
              <w:left w:val="single" w:sz="4" w:space="0" w:color="auto"/>
              <w:bottom w:val="nil"/>
            </w:tcBorders>
            <w:vAlign w:val="center"/>
          </w:tcPr>
          <w:p w14:paraId="64789166" w14:textId="53615FCA" w:rsidR="00D70C1F" w:rsidRDefault="00D70C1F" w:rsidP="00D70C1F">
            <w:pPr>
              <w:pStyle w:val="3Bodytext"/>
              <w:jc w:val="center"/>
              <w:rPr>
                <w:rFonts w:ascii="Arial Narrow" w:hAnsi="Arial Narrow"/>
                <w:sz w:val="20"/>
                <w:szCs w:val="20"/>
              </w:rPr>
            </w:pPr>
            <w:r>
              <w:rPr>
                <w:rFonts w:ascii="Arial Narrow" w:hAnsi="Arial Narrow"/>
                <w:sz w:val="20"/>
                <w:szCs w:val="20"/>
              </w:rPr>
              <w:t>30</w:t>
            </w:r>
          </w:p>
        </w:tc>
        <w:tc>
          <w:tcPr>
            <w:tcW w:w="1196" w:type="pct"/>
            <w:tcBorders>
              <w:top w:val="nil"/>
              <w:bottom w:val="nil"/>
            </w:tcBorders>
            <w:vAlign w:val="center"/>
          </w:tcPr>
          <w:p w14:paraId="006EE7BA" w14:textId="74CED224" w:rsidR="00D70C1F" w:rsidRDefault="00D70C1F" w:rsidP="00D70C1F">
            <w:pPr>
              <w:pStyle w:val="3Bodytext"/>
              <w:jc w:val="center"/>
              <w:rPr>
                <w:rFonts w:ascii="Arial Narrow" w:hAnsi="Arial Narrow"/>
                <w:sz w:val="20"/>
                <w:szCs w:val="20"/>
              </w:rPr>
            </w:pPr>
            <w:r>
              <w:rPr>
                <w:rFonts w:ascii="Arial Narrow" w:hAnsi="Arial Narrow"/>
                <w:sz w:val="20"/>
                <w:szCs w:val="20"/>
              </w:rPr>
              <w:t>15</w:t>
            </w:r>
          </w:p>
        </w:tc>
        <w:tc>
          <w:tcPr>
            <w:tcW w:w="1196" w:type="pct"/>
            <w:tcBorders>
              <w:top w:val="nil"/>
              <w:bottom w:val="nil"/>
            </w:tcBorders>
            <w:vAlign w:val="center"/>
          </w:tcPr>
          <w:p w14:paraId="39BC6CBD" w14:textId="03550393" w:rsidR="00D70C1F" w:rsidRDefault="00B82A49" w:rsidP="00D70C1F">
            <w:pPr>
              <w:pStyle w:val="3Bodytext"/>
              <w:jc w:val="center"/>
              <w:rPr>
                <w:rFonts w:ascii="Arial Narrow" w:hAnsi="Arial Narrow"/>
                <w:sz w:val="20"/>
                <w:szCs w:val="20"/>
              </w:rPr>
            </w:pPr>
            <w:r>
              <w:rPr>
                <w:rFonts w:ascii="Arial Narrow" w:hAnsi="Arial Narrow"/>
                <w:sz w:val="20"/>
                <w:szCs w:val="20"/>
              </w:rPr>
              <w:t>10.1</w:t>
            </w:r>
          </w:p>
        </w:tc>
      </w:tr>
      <w:tr w:rsidR="00D70C1F" w:rsidRPr="00F31A88" w14:paraId="0C8AE425" w14:textId="77777777" w:rsidTr="00835B7F">
        <w:trPr>
          <w:trHeight w:val="170"/>
        </w:trPr>
        <w:tc>
          <w:tcPr>
            <w:tcW w:w="1569" w:type="pct"/>
            <w:tcBorders>
              <w:top w:val="nil"/>
              <w:left w:val="single" w:sz="4" w:space="0" w:color="auto"/>
              <w:bottom w:val="nil"/>
              <w:right w:val="single" w:sz="4" w:space="0" w:color="auto"/>
            </w:tcBorders>
          </w:tcPr>
          <w:p w14:paraId="2882D91A" w14:textId="59D45276" w:rsidR="00D70C1F" w:rsidRPr="00D70C1F" w:rsidRDefault="00D70C1F" w:rsidP="00D70C1F">
            <w:pPr>
              <w:pStyle w:val="3Bodytext"/>
              <w:numPr>
                <w:ilvl w:val="0"/>
                <w:numId w:val="21"/>
              </w:numPr>
              <w:ind w:left="164" w:hanging="142"/>
              <w:rPr>
                <w:rFonts w:ascii="Arial Narrow" w:hAnsi="Arial Narrow"/>
                <w:sz w:val="20"/>
                <w:szCs w:val="20"/>
              </w:rPr>
            </w:pPr>
            <w:r w:rsidRPr="00D70C1F">
              <w:rPr>
                <w:rFonts w:ascii="Arial Narrow" w:hAnsi="Arial Narrow"/>
                <w:sz w:val="20"/>
                <w:szCs w:val="20"/>
              </w:rPr>
              <w:t>Linole</w:t>
            </w:r>
            <w:r w:rsidR="00B82A49">
              <w:rPr>
                <w:rFonts w:ascii="Arial Narrow" w:hAnsi="Arial Narrow"/>
                <w:sz w:val="20"/>
                <w:szCs w:val="20"/>
              </w:rPr>
              <w:t>ic acid</w:t>
            </w:r>
          </w:p>
        </w:tc>
        <w:tc>
          <w:tcPr>
            <w:tcW w:w="1038" w:type="pct"/>
            <w:tcBorders>
              <w:top w:val="nil"/>
              <w:left w:val="single" w:sz="4" w:space="0" w:color="auto"/>
              <w:bottom w:val="nil"/>
            </w:tcBorders>
            <w:vAlign w:val="center"/>
          </w:tcPr>
          <w:p w14:paraId="3ECF8C91" w14:textId="6EAAE1E8" w:rsidR="00D70C1F" w:rsidRDefault="00D70C1F" w:rsidP="00D70C1F">
            <w:pPr>
              <w:pStyle w:val="3Bodytext"/>
              <w:jc w:val="center"/>
              <w:rPr>
                <w:rFonts w:ascii="Arial Narrow" w:hAnsi="Arial Narrow"/>
                <w:sz w:val="20"/>
                <w:szCs w:val="20"/>
              </w:rPr>
            </w:pPr>
            <w:r>
              <w:rPr>
                <w:rFonts w:ascii="Arial Narrow" w:hAnsi="Arial Narrow"/>
                <w:sz w:val="20"/>
                <w:szCs w:val="20"/>
              </w:rPr>
              <w:t>259</w:t>
            </w:r>
          </w:p>
        </w:tc>
        <w:tc>
          <w:tcPr>
            <w:tcW w:w="1196" w:type="pct"/>
            <w:tcBorders>
              <w:top w:val="nil"/>
              <w:bottom w:val="nil"/>
            </w:tcBorders>
            <w:vAlign w:val="center"/>
          </w:tcPr>
          <w:p w14:paraId="3B507383" w14:textId="1FCAB703" w:rsidR="00D70C1F" w:rsidRDefault="00D70C1F" w:rsidP="00D70C1F">
            <w:pPr>
              <w:pStyle w:val="3Bodytext"/>
              <w:jc w:val="center"/>
              <w:rPr>
                <w:rFonts w:ascii="Arial Narrow" w:hAnsi="Arial Narrow"/>
                <w:sz w:val="20"/>
                <w:szCs w:val="20"/>
              </w:rPr>
            </w:pPr>
            <w:r>
              <w:rPr>
                <w:rFonts w:ascii="Arial Narrow" w:hAnsi="Arial Narrow"/>
                <w:sz w:val="20"/>
                <w:szCs w:val="20"/>
              </w:rPr>
              <w:t>221</w:t>
            </w:r>
          </w:p>
        </w:tc>
        <w:tc>
          <w:tcPr>
            <w:tcW w:w="1196" w:type="pct"/>
            <w:tcBorders>
              <w:top w:val="nil"/>
              <w:bottom w:val="nil"/>
            </w:tcBorders>
            <w:vAlign w:val="center"/>
          </w:tcPr>
          <w:p w14:paraId="186C4474" w14:textId="65EDCAA8" w:rsidR="00D70C1F" w:rsidRDefault="00B82A49" w:rsidP="00D70C1F">
            <w:pPr>
              <w:pStyle w:val="3Bodytext"/>
              <w:jc w:val="center"/>
              <w:rPr>
                <w:rFonts w:ascii="Arial Narrow" w:hAnsi="Arial Narrow"/>
                <w:sz w:val="20"/>
                <w:szCs w:val="20"/>
              </w:rPr>
            </w:pPr>
            <w:r>
              <w:rPr>
                <w:rFonts w:ascii="Arial Narrow" w:hAnsi="Arial Narrow"/>
                <w:sz w:val="20"/>
                <w:szCs w:val="20"/>
              </w:rPr>
              <w:t>151</w:t>
            </w:r>
          </w:p>
        </w:tc>
      </w:tr>
      <w:tr w:rsidR="00D70C1F" w:rsidRPr="00F31A88" w14:paraId="7F5856B7" w14:textId="77777777" w:rsidTr="00835B7F">
        <w:trPr>
          <w:trHeight w:val="170"/>
        </w:trPr>
        <w:tc>
          <w:tcPr>
            <w:tcW w:w="1569" w:type="pct"/>
            <w:tcBorders>
              <w:top w:val="nil"/>
              <w:left w:val="single" w:sz="4" w:space="0" w:color="auto"/>
              <w:bottom w:val="single" w:sz="4" w:space="0" w:color="auto"/>
              <w:right w:val="single" w:sz="4" w:space="0" w:color="auto"/>
            </w:tcBorders>
          </w:tcPr>
          <w:p w14:paraId="26769131" w14:textId="56DE3665" w:rsidR="00D70C1F" w:rsidRPr="00D70C1F" w:rsidRDefault="00D70C1F" w:rsidP="00D70C1F">
            <w:pPr>
              <w:pStyle w:val="3Bodytext"/>
              <w:numPr>
                <w:ilvl w:val="0"/>
                <w:numId w:val="21"/>
              </w:numPr>
              <w:ind w:left="164" w:hanging="142"/>
              <w:rPr>
                <w:rFonts w:ascii="Arial Narrow" w:hAnsi="Arial Narrow"/>
                <w:sz w:val="20"/>
                <w:szCs w:val="20"/>
              </w:rPr>
            </w:pPr>
            <w:r w:rsidRPr="00D70C1F">
              <w:rPr>
                <w:rFonts w:ascii="Arial Narrow" w:hAnsi="Arial Narrow"/>
                <w:sz w:val="20"/>
                <w:szCs w:val="20"/>
              </w:rPr>
              <w:t>α-</w:t>
            </w:r>
            <w:r w:rsidR="00046359" w:rsidRPr="00D70C1F">
              <w:rPr>
                <w:rFonts w:ascii="Arial Narrow" w:hAnsi="Arial Narrow"/>
                <w:sz w:val="20"/>
                <w:szCs w:val="20"/>
              </w:rPr>
              <w:t>linoleic</w:t>
            </w:r>
            <w:r w:rsidRPr="00D70C1F">
              <w:rPr>
                <w:rFonts w:ascii="Arial Narrow" w:hAnsi="Arial Narrow"/>
                <w:sz w:val="20"/>
                <w:szCs w:val="20"/>
              </w:rPr>
              <w:t xml:space="preserve"> acid</w:t>
            </w:r>
          </w:p>
        </w:tc>
        <w:tc>
          <w:tcPr>
            <w:tcW w:w="1038" w:type="pct"/>
            <w:tcBorders>
              <w:top w:val="nil"/>
              <w:left w:val="single" w:sz="4" w:space="0" w:color="auto"/>
              <w:bottom w:val="single" w:sz="4" w:space="0" w:color="auto"/>
            </w:tcBorders>
            <w:vAlign w:val="center"/>
          </w:tcPr>
          <w:p w14:paraId="2DACBBE0" w14:textId="77792437" w:rsidR="00D70C1F" w:rsidRDefault="00D70C1F" w:rsidP="00D70C1F">
            <w:pPr>
              <w:pStyle w:val="3Bodytext"/>
              <w:jc w:val="center"/>
              <w:rPr>
                <w:rFonts w:ascii="Arial Narrow" w:hAnsi="Arial Narrow"/>
                <w:sz w:val="20"/>
                <w:szCs w:val="20"/>
              </w:rPr>
            </w:pPr>
            <w:r>
              <w:rPr>
                <w:rFonts w:ascii="Arial Narrow" w:hAnsi="Arial Narrow"/>
                <w:sz w:val="20"/>
                <w:szCs w:val="20"/>
              </w:rPr>
              <w:t>36</w:t>
            </w:r>
          </w:p>
        </w:tc>
        <w:tc>
          <w:tcPr>
            <w:tcW w:w="1196" w:type="pct"/>
            <w:tcBorders>
              <w:top w:val="nil"/>
              <w:bottom w:val="single" w:sz="4" w:space="0" w:color="auto"/>
            </w:tcBorders>
            <w:vAlign w:val="center"/>
          </w:tcPr>
          <w:p w14:paraId="56B04742" w14:textId="3F57AC34" w:rsidR="00D70C1F" w:rsidRDefault="00D70C1F" w:rsidP="00D70C1F">
            <w:pPr>
              <w:pStyle w:val="3Bodytext"/>
              <w:jc w:val="center"/>
              <w:rPr>
                <w:rFonts w:ascii="Arial Narrow" w:hAnsi="Arial Narrow"/>
                <w:sz w:val="20"/>
                <w:szCs w:val="20"/>
              </w:rPr>
            </w:pPr>
            <w:r>
              <w:rPr>
                <w:rFonts w:ascii="Arial Narrow" w:hAnsi="Arial Narrow"/>
                <w:sz w:val="20"/>
                <w:szCs w:val="20"/>
              </w:rPr>
              <w:t>35</w:t>
            </w:r>
          </w:p>
        </w:tc>
        <w:tc>
          <w:tcPr>
            <w:tcW w:w="1196" w:type="pct"/>
            <w:tcBorders>
              <w:top w:val="nil"/>
              <w:bottom w:val="single" w:sz="4" w:space="0" w:color="auto"/>
            </w:tcBorders>
            <w:vAlign w:val="center"/>
          </w:tcPr>
          <w:p w14:paraId="43AA825F" w14:textId="2BA64906" w:rsidR="00D70C1F" w:rsidRDefault="00B82A49" w:rsidP="00D70C1F">
            <w:pPr>
              <w:pStyle w:val="3Bodytext"/>
              <w:jc w:val="center"/>
              <w:rPr>
                <w:rFonts w:ascii="Arial Narrow" w:hAnsi="Arial Narrow"/>
                <w:sz w:val="20"/>
                <w:szCs w:val="20"/>
              </w:rPr>
            </w:pPr>
            <w:r>
              <w:rPr>
                <w:rFonts w:ascii="Arial Narrow" w:hAnsi="Arial Narrow"/>
                <w:sz w:val="20"/>
                <w:szCs w:val="20"/>
              </w:rPr>
              <w:t>28.6</w:t>
            </w:r>
          </w:p>
        </w:tc>
      </w:tr>
    </w:tbl>
    <w:p w14:paraId="26EB406D" w14:textId="45FE7E37" w:rsidR="006F01BF" w:rsidRDefault="00920BC1" w:rsidP="00423CEA">
      <w:pPr>
        <w:pStyle w:val="3Bodytext"/>
        <w:spacing w:after="0"/>
        <w:rPr>
          <w:rFonts w:ascii="Arial Narrow" w:hAnsi="Arial Narrow"/>
          <w:sz w:val="18"/>
          <w:szCs w:val="20"/>
        </w:rPr>
      </w:pPr>
      <w:r>
        <w:rPr>
          <w:rFonts w:ascii="Arial Narrow" w:hAnsi="Arial Narrow"/>
          <w:sz w:val="18"/>
          <w:szCs w:val="20"/>
        </w:rPr>
        <w:t>Source:</w:t>
      </w:r>
      <w:r w:rsidRPr="00B1780C">
        <w:rPr>
          <w:rFonts w:ascii="Arial Narrow" w:hAnsi="Arial Narrow"/>
          <w:sz w:val="18"/>
          <w:szCs w:val="20"/>
        </w:rPr>
        <w:t xml:space="preserve"> Changes to </w:t>
      </w:r>
      <w:r w:rsidR="008C32C0" w:rsidRPr="00B1780C">
        <w:rPr>
          <w:rFonts w:ascii="Arial Narrow" w:hAnsi="Arial Narrow"/>
          <w:sz w:val="18"/>
          <w:szCs w:val="20"/>
        </w:rPr>
        <w:t xml:space="preserve">the </w:t>
      </w:r>
      <w:r w:rsidR="008C32C0">
        <w:rPr>
          <w:rFonts w:ascii="Arial Narrow" w:hAnsi="Arial Narrow"/>
          <w:sz w:val="18"/>
          <w:szCs w:val="20"/>
        </w:rPr>
        <w:t>nutritional</w:t>
      </w:r>
      <w:r w:rsidRPr="00B1780C">
        <w:rPr>
          <w:rFonts w:ascii="Arial Narrow" w:hAnsi="Arial Narrow"/>
          <w:sz w:val="18"/>
          <w:szCs w:val="20"/>
        </w:rPr>
        <w:t xml:space="preserve"> composition of </w:t>
      </w:r>
      <w:r>
        <w:rPr>
          <w:rFonts w:ascii="Arial Narrow" w:hAnsi="Arial Narrow"/>
          <w:sz w:val="18"/>
          <w:szCs w:val="20"/>
        </w:rPr>
        <w:t>Lipist</w:t>
      </w:r>
      <w:r w:rsidR="004C2F8A">
        <w:rPr>
          <w:rFonts w:ascii="Arial Narrow" w:hAnsi="Arial Narrow"/>
          <w:sz w:val="18"/>
          <w:szCs w:val="20"/>
        </w:rPr>
        <w:t>art. Minor Submission ‘Lipistart CSL Appendices 1-4’, Appendix 1a</w:t>
      </w:r>
      <w:r w:rsidRPr="00B1780C">
        <w:rPr>
          <w:rFonts w:ascii="Arial Narrow" w:hAnsi="Arial Narrow"/>
          <w:sz w:val="18"/>
          <w:szCs w:val="20"/>
        </w:rPr>
        <w:t>.</w:t>
      </w:r>
    </w:p>
    <w:p w14:paraId="34E33CC0" w14:textId="77777777" w:rsidR="00423CEA" w:rsidRPr="00423CEA" w:rsidRDefault="00423CEA" w:rsidP="00423CEA">
      <w:pPr>
        <w:pStyle w:val="3Bodytext"/>
        <w:spacing w:after="0"/>
        <w:rPr>
          <w:rFonts w:ascii="Arial Narrow" w:hAnsi="Arial Narrow"/>
          <w:sz w:val="18"/>
          <w:szCs w:val="20"/>
        </w:rPr>
      </w:pPr>
    </w:p>
    <w:p w14:paraId="6C164EB9" w14:textId="6DCD690F" w:rsidR="00965B5C" w:rsidRDefault="00422330" w:rsidP="00423CEA">
      <w:pPr>
        <w:pStyle w:val="3Bodytext"/>
        <w:numPr>
          <w:ilvl w:val="1"/>
          <w:numId w:val="5"/>
        </w:numPr>
        <w:rPr>
          <w:szCs w:val="24"/>
        </w:rPr>
      </w:pPr>
      <w:r>
        <w:rPr>
          <w:szCs w:val="24"/>
        </w:rPr>
        <w:t xml:space="preserve">The main changes to the nutritional profile proposed in the submission relate to the fat contents and fatty acid profiles. </w:t>
      </w:r>
    </w:p>
    <w:p w14:paraId="717A04A2" w14:textId="77777777" w:rsidR="00920BC1" w:rsidRPr="008306F3" w:rsidRDefault="00920BC1" w:rsidP="00920BC1">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14:paraId="3331D530" w14:textId="19FF05A1" w:rsidR="003B2032" w:rsidRPr="00965B5C" w:rsidRDefault="003B2032" w:rsidP="00FC3647">
      <w:pPr>
        <w:pStyle w:val="3Bodytext"/>
        <w:numPr>
          <w:ilvl w:val="1"/>
          <w:numId w:val="5"/>
        </w:numPr>
        <w:rPr>
          <w:szCs w:val="24"/>
        </w:rPr>
      </w:pPr>
      <w:r w:rsidRPr="00965B5C">
        <w:rPr>
          <w:szCs w:val="24"/>
        </w:rPr>
        <w:t>The submission di</w:t>
      </w:r>
      <w:r w:rsidR="004C2F8A">
        <w:rPr>
          <w:szCs w:val="24"/>
        </w:rPr>
        <w:t>d not request a change of the price of Lipistart.</w:t>
      </w:r>
    </w:p>
    <w:p w14:paraId="6185A2E4" w14:textId="5367EFC8" w:rsidR="00FC3647" w:rsidRDefault="00FC3647" w:rsidP="00965B5C">
      <w:pPr>
        <w:pStyle w:val="3Bodytext"/>
        <w:numPr>
          <w:ilvl w:val="1"/>
          <w:numId w:val="5"/>
        </w:numPr>
        <w:rPr>
          <w:szCs w:val="24"/>
        </w:rPr>
      </w:pPr>
      <w:r w:rsidRPr="00965B5C">
        <w:rPr>
          <w:szCs w:val="24"/>
        </w:rPr>
        <w:t xml:space="preserve">The </w:t>
      </w:r>
      <w:r w:rsidR="00903845">
        <w:rPr>
          <w:szCs w:val="24"/>
        </w:rPr>
        <w:t>Committee Secretariat</w:t>
      </w:r>
      <w:r w:rsidRPr="00965B5C">
        <w:rPr>
          <w:szCs w:val="24"/>
        </w:rPr>
        <w:t xml:space="preserve"> </w:t>
      </w:r>
      <w:r w:rsidR="004F0CF2">
        <w:rPr>
          <w:szCs w:val="24"/>
        </w:rPr>
        <w:t xml:space="preserve">submission </w:t>
      </w:r>
      <w:r w:rsidRPr="00965B5C">
        <w:rPr>
          <w:szCs w:val="24"/>
        </w:rPr>
        <w:t>estimated there to be no financial implications to the PBS/changes in PBS usage as the submission</w:t>
      </w:r>
      <w:r w:rsidR="00965B5C">
        <w:rPr>
          <w:szCs w:val="24"/>
        </w:rPr>
        <w:t xml:space="preserve"> did not expect the reformulation would change the existing patient population. </w:t>
      </w:r>
      <w:r w:rsidRPr="00965B5C">
        <w:rPr>
          <w:szCs w:val="24"/>
        </w:rPr>
        <w:t xml:space="preserve"> </w:t>
      </w:r>
    </w:p>
    <w:p w14:paraId="48879C94" w14:textId="15CDB271" w:rsidR="00FC3647" w:rsidRDefault="00FC3647" w:rsidP="00FC3647">
      <w:pPr>
        <w:pStyle w:val="Heading1"/>
        <w:keepNext/>
        <w:keepLines/>
        <w:widowControl/>
        <w:numPr>
          <w:ilvl w:val="0"/>
          <w:numId w:val="5"/>
        </w:numPr>
        <w:spacing w:before="240" w:after="120"/>
        <w:ind w:left="709" w:hanging="709"/>
        <w:contextualSpacing w:val="0"/>
        <w:jc w:val="left"/>
        <w:rPr>
          <w:rFonts w:asciiTheme="minorHAnsi" w:eastAsiaTheme="majorEastAsia" w:hAnsiTheme="minorHAnsi" w:cstheme="majorBidi"/>
          <w:sz w:val="32"/>
          <w:szCs w:val="28"/>
        </w:rPr>
      </w:pPr>
      <w:r>
        <w:rPr>
          <w:rFonts w:asciiTheme="minorHAnsi" w:eastAsiaTheme="majorEastAsia" w:hAnsiTheme="minorHAnsi" w:cstheme="majorBidi"/>
          <w:sz w:val="32"/>
          <w:szCs w:val="28"/>
        </w:rPr>
        <w:lastRenderedPageBreak/>
        <w:t xml:space="preserve">NPWP Consideration </w:t>
      </w:r>
    </w:p>
    <w:p w14:paraId="2F21E5DE" w14:textId="4396AAFB" w:rsidR="007B184B" w:rsidRPr="007B184B" w:rsidRDefault="007B184B" w:rsidP="007B184B">
      <w:pPr>
        <w:pStyle w:val="3Bodytext"/>
        <w:numPr>
          <w:ilvl w:val="1"/>
          <w:numId w:val="5"/>
        </w:numPr>
        <w:rPr>
          <w:szCs w:val="24"/>
        </w:rPr>
      </w:pPr>
      <w:r w:rsidRPr="007B184B">
        <w:rPr>
          <w:szCs w:val="24"/>
        </w:rPr>
        <w:t xml:space="preserve">The NPWP noted the requested change to formulation for Lipistart to meet international guidelines and standards for nutritional content of supplementary products for children and infants. </w:t>
      </w:r>
    </w:p>
    <w:p w14:paraId="325EE9FC" w14:textId="6CB54230" w:rsidR="007B184B" w:rsidRPr="007B184B" w:rsidRDefault="007B184B" w:rsidP="007B184B">
      <w:pPr>
        <w:pStyle w:val="3Bodytext"/>
        <w:numPr>
          <w:ilvl w:val="1"/>
          <w:numId w:val="5"/>
        </w:numPr>
        <w:rPr>
          <w:szCs w:val="24"/>
        </w:rPr>
      </w:pPr>
      <w:r w:rsidRPr="007B184B">
        <w:rPr>
          <w:szCs w:val="24"/>
        </w:rPr>
        <w:t xml:space="preserve">The NPWP noted the revised formulation had included a range of changes to the nutritional profile, including protein, carbohydrate and fatty acid content, as well as to the vitamin mineral and micronutrient profile. The NPWP considered that the nutritional values spreadsheets included in the submission were informative and agreed it would be useful for submissions to continue to present information in this format. </w:t>
      </w:r>
    </w:p>
    <w:p w14:paraId="7E433A71" w14:textId="3F3F2136" w:rsidR="007B184B" w:rsidRDefault="007B184B" w:rsidP="007B184B">
      <w:pPr>
        <w:pStyle w:val="3Bodytext"/>
        <w:numPr>
          <w:ilvl w:val="1"/>
          <w:numId w:val="5"/>
        </w:numPr>
        <w:rPr>
          <w:szCs w:val="24"/>
        </w:rPr>
      </w:pPr>
      <w:r w:rsidRPr="007B184B">
        <w:rPr>
          <w:szCs w:val="24"/>
        </w:rPr>
        <w:t>The NPWP accepted the request to change the formulation and noted it had no other concerns that the changes would pose a risk to the health and safety of patients.</w:t>
      </w:r>
    </w:p>
    <w:p w14:paraId="57113EAB" w14:textId="6C523D48" w:rsidR="00FC3647" w:rsidRPr="00961415" w:rsidRDefault="005D3FCC" w:rsidP="00961415">
      <w:pPr>
        <w:pStyle w:val="3Bodytext"/>
        <w:ind w:left="720"/>
        <w:rPr>
          <w:i/>
          <w:szCs w:val="24"/>
        </w:rPr>
      </w:pPr>
      <w:r>
        <w:rPr>
          <w:i/>
          <w:szCs w:val="24"/>
        </w:rPr>
        <w:t>For more detail on PBAC’s view, see section 6 PBAC outcome.</w:t>
      </w:r>
    </w:p>
    <w:p w14:paraId="2EF735D4" w14:textId="0B9FFBB9" w:rsidR="00961415" w:rsidRPr="00D52702" w:rsidRDefault="00961415" w:rsidP="00961415">
      <w:pPr>
        <w:pStyle w:val="2Sections"/>
        <w:numPr>
          <w:ilvl w:val="0"/>
          <w:numId w:val="5"/>
        </w:numPr>
      </w:pPr>
      <w:r w:rsidRPr="00D52702">
        <w:t>PBAC Outcome</w:t>
      </w:r>
    </w:p>
    <w:p w14:paraId="52D3304E" w14:textId="14BDA1D1" w:rsidR="00903845" w:rsidRDefault="00903845" w:rsidP="00903845">
      <w:pPr>
        <w:pStyle w:val="3Bodytext"/>
        <w:numPr>
          <w:ilvl w:val="1"/>
          <w:numId w:val="5"/>
        </w:numPr>
        <w:rPr>
          <w:snapToGrid w:val="0"/>
          <w:lang w:val="en-GB"/>
        </w:rPr>
      </w:pPr>
      <w:r>
        <w:rPr>
          <w:snapToGrid w:val="0"/>
          <w:lang w:val="en-GB"/>
        </w:rPr>
        <w:t>The PBAC recommended continuing the Restricted Benefit listing of triglycerides medium chain formula, Lipistart,</w:t>
      </w:r>
      <w:r w:rsidR="00AE4F07">
        <w:rPr>
          <w:snapToGrid w:val="0"/>
          <w:lang w:val="en-GB"/>
        </w:rPr>
        <w:t xml:space="preserve"> for the dietary management of patients with fat malabsorption due to liver diseas</w:t>
      </w:r>
      <w:r w:rsidR="00EB4AD6">
        <w:rPr>
          <w:snapToGrid w:val="0"/>
          <w:lang w:val="en-GB"/>
        </w:rPr>
        <w:t>e</w:t>
      </w:r>
      <w:r w:rsidR="00AE4F07">
        <w:rPr>
          <w:snapToGrid w:val="0"/>
          <w:lang w:val="en-GB"/>
        </w:rPr>
        <w:t>, short gut syndrome, cystic fibrosis or gastrointestinal disorders, and pa</w:t>
      </w:r>
      <w:r w:rsidR="00835B7F">
        <w:rPr>
          <w:snapToGrid w:val="0"/>
          <w:lang w:val="en-GB"/>
        </w:rPr>
        <w:t>t</w:t>
      </w:r>
      <w:r w:rsidR="00AE4F07">
        <w:rPr>
          <w:snapToGrid w:val="0"/>
          <w:lang w:val="en-GB"/>
        </w:rPr>
        <w:t>ients with hyperlipoproteinaemia type 1, long chain fatty acid oxidation disorders, chylous ascites and chylothorax</w:t>
      </w:r>
      <w:r w:rsidR="008B19AF">
        <w:rPr>
          <w:snapToGrid w:val="0"/>
          <w:lang w:val="en-GB"/>
        </w:rPr>
        <w:t>, following</w:t>
      </w:r>
      <w:r>
        <w:rPr>
          <w:snapToGrid w:val="0"/>
          <w:lang w:val="en-GB"/>
        </w:rPr>
        <w:t xml:space="preserve"> its reformulation due to changes i</w:t>
      </w:r>
      <w:bookmarkStart w:id="0" w:name="_GoBack"/>
      <w:bookmarkEnd w:id="0"/>
      <w:r>
        <w:rPr>
          <w:snapToGrid w:val="0"/>
          <w:lang w:val="en-GB"/>
        </w:rPr>
        <w:t xml:space="preserve">n European compositional standards. </w:t>
      </w:r>
    </w:p>
    <w:p w14:paraId="0C917250" w14:textId="1E1365FF" w:rsidR="00903845" w:rsidRDefault="00903845" w:rsidP="00903845">
      <w:pPr>
        <w:pStyle w:val="3Bodytext"/>
        <w:numPr>
          <w:ilvl w:val="1"/>
          <w:numId w:val="5"/>
        </w:numPr>
        <w:rPr>
          <w:snapToGrid w:val="0"/>
          <w:lang w:val="en-GB"/>
        </w:rPr>
      </w:pPr>
      <w:r>
        <w:rPr>
          <w:snapToGrid w:val="0"/>
          <w:lang w:val="en-GB"/>
        </w:rPr>
        <w:t xml:space="preserve">The PBAC noted the NPWP had no concerns that the changes to formulation would pose a risk to the health and safety of patients. </w:t>
      </w:r>
    </w:p>
    <w:p w14:paraId="693C9C0C" w14:textId="1992C34F" w:rsidR="00903845" w:rsidRDefault="00903845" w:rsidP="00903845">
      <w:pPr>
        <w:pStyle w:val="3Bodytext"/>
        <w:numPr>
          <w:ilvl w:val="1"/>
          <w:numId w:val="5"/>
        </w:numPr>
        <w:rPr>
          <w:snapToGrid w:val="0"/>
          <w:lang w:val="en-GB"/>
        </w:rPr>
      </w:pPr>
      <w:r>
        <w:rPr>
          <w:snapToGrid w:val="0"/>
          <w:lang w:val="en-GB"/>
        </w:rPr>
        <w:t xml:space="preserve">The PBAC advised that its previous advice for triglycerides medium chain formula regarding Nurse Practitioner Prescribing, the Early Supply Rule and interchangeability advice under Section 101(3BA) of the </w:t>
      </w:r>
      <w:r>
        <w:rPr>
          <w:i/>
          <w:snapToGrid w:val="0"/>
          <w:lang w:val="en-GB"/>
        </w:rPr>
        <w:t>National Health Act 1953</w:t>
      </w:r>
      <w:r>
        <w:rPr>
          <w:snapToGrid w:val="0"/>
          <w:lang w:val="en-GB"/>
        </w:rPr>
        <w:t xml:space="preserve"> remained appropriate.</w:t>
      </w:r>
    </w:p>
    <w:p w14:paraId="06716182" w14:textId="6F8BADAA" w:rsidR="00AE4F07" w:rsidRPr="00AE4F07" w:rsidRDefault="00903845" w:rsidP="00AE4F07">
      <w:pPr>
        <w:pStyle w:val="3Bodytext"/>
        <w:numPr>
          <w:ilvl w:val="1"/>
          <w:numId w:val="5"/>
        </w:numPr>
        <w:rPr>
          <w:snapToGrid w:val="0"/>
          <w:lang w:val="en-GB"/>
        </w:rPr>
      </w:pPr>
      <w:r>
        <w:rPr>
          <w:snapToGrid w:val="0"/>
          <w:lang w:val="en-GB"/>
        </w:rPr>
        <w:t xml:space="preserve">The PBAC noted that this submission is not eligible for an Independent Review as it received a positive recommendation. </w:t>
      </w:r>
    </w:p>
    <w:p w14:paraId="200CBCD9" w14:textId="3B0F3E3B" w:rsidR="00961415" w:rsidRPr="00525B39" w:rsidRDefault="00961415" w:rsidP="00961415">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23B58BBA" w14:textId="1175E64A" w:rsidR="00961415" w:rsidRPr="00525B39" w:rsidRDefault="00542484" w:rsidP="00961415">
      <w:pPr>
        <w:jc w:val="both"/>
        <w:rPr>
          <w:rFonts w:asciiTheme="minorHAnsi" w:hAnsiTheme="minorHAnsi" w:cs="Arial"/>
          <w:bCs/>
          <w:snapToGrid w:val="0"/>
          <w:lang w:val="en-GB"/>
        </w:rPr>
      </w:pPr>
      <w:r>
        <w:rPr>
          <w:rFonts w:asciiTheme="minorHAnsi" w:hAnsiTheme="minorHAnsi" w:cs="Arial"/>
          <w:bCs/>
          <w:snapToGrid w:val="0"/>
          <w:lang w:val="en-GB"/>
        </w:rPr>
        <w:t>Recommended.</w:t>
      </w:r>
    </w:p>
    <w:p w14:paraId="06BE2F92" w14:textId="77777777" w:rsidR="00961415" w:rsidRPr="00525B39" w:rsidRDefault="00961415" w:rsidP="00961415">
      <w:pPr>
        <w:widowControl w:val="0"/>
        <w:jc w:val="both"/>
        <w:rPr>
          <w:rFonts w:asciiTheme="minorHAnsi" w:hAnsiTheme="minorHAnsi" w:cs="Arial"/>
          <w:b/>
          <w:bCs/>
          <w:snapToGrid w:val="0"/>
        </w:rPr>
      </w:pPr>
    </w:p>
    <w:p w14:paraId="11FD92CF" w14:textId="77777777" w:rsidR="00961415" w:rsidRPr="00525B39" w:rsidRDefault="00961415" w:rsidP="00961415">
      <w:pPr>
        <w:pStyle w:val="2Sections"/>
        <w:numPr>
          <w:ilvl w:val="0"/>
          <w:numId w:val="5"/>
        </w:numPr>
        <w:rPr>
          <w:i/>
          <w:lang w:val="en-GB"/>
        </w:rPr>
      </w:pPr>
      <w:r w:rsidRPr="00525B39">
        <w:rPr>
          <w:lang w:val="en-GB"/>
        </w:rPr>
        <w:t>Recommended listing</w:t>
      </w:r>
    </w:p>
    <w:p w14:paraId="7872C6C3" w14:textId="52A71A98" w:rsidR="00736074" w:rsidRDefault="002B7392" w:rsidP="00FC3647">
      <w:pPr>
        <w:pStyle w:val="3Bodytext"/>
        <w:numPr>
          <w:ilvl w:val="1"/>
          <w:numId w:val="5"/>
        </w:numPr>
      </w:pPr>
      <w:r>
        <w:t>No change to the existing listing.</w:t>
      </w:r>
    </w:p>
    <w:p w14:paraId="6FB40B90" w14:textId="093D2165" w:rsidR="00875AE1" w:rsidRDefault="00875AE1" w:rsidP="00875AE1">
      <w:pPr>
        <w:pStyle w:val="3Bodytext"/>
      </w:pPr>
    </w:p>
    <w:p w14:paraId="7C4050B6" w14:textId="4D086072" w:rsidR="00875AE1" w:rsidRDefault="00875AE1" w:rsidP="00875AE1">
      <w:pPr>
        <w:pStyle w:val="3Bodytext"/>
        <w:rPr>
          <w:rFonts w:cstheme="minorHAnsi"/>
          <w:b/>
          <w:i/>
          <w:szCs w:val="24"/>
        </w:rPr>
      </w:pPr>
      <w:r w:rsidRPr="008212CB">
        <w:rPr>
          <w:rFonts w:cstheme="minorHAnsi"/>
          <w:b/>
          <w:i/>
          <w:szCs w:val="24"/>
        </w:rPr>
        <w:t>This restriction may be subject to further review. Should there be any changes made to the restriction the Sponsor will be informed.</w:t>
      </w:r>
    </w:p>
    <w:p w14:paraId="5568E0C9" w14:textId="77777777" w:rsidR="00BA050C" w:rsidRPr="008212CB" w:rsidRDefault="00BA050C" w:rsidP="00875AE1">
      <w:pPr>
        <w:pStyle w:val="3Bodytext"/>
        <w:rPr>
          <w:rFonts w:cstheme="minorHAnsi"/>
          <w:b/>
          <w:color w:val="FF00FF"/>
          <w:szCs w:val="24"/>
        </w:rPr>
      </w:pPr>
    </w:p>
    <w:p w14:paraId="1648FD07" w14:textId="46E00DDE" w:rsidR="00D1252B" w:rsidRDefault="00D1252B" w:rsidP="00D1252B">
      <w:pPr>
        <w:pStyle w:val="2Sections"/>
        <w:numPr>
          <w:ilvl w:val="0"/>
          <w:numId w:val="5"/>
        </w:numPr>
        <w:rPr>
          <w:color w:val="1F497D"/>
        </w:rPr>
      </w:pPr>
      <w:r w:rsidRPr="00C07617">
        <w:t>Context for Decision</w:t>
      </w:r>
    </w:p>
    <w:p w14:paraId="091FB370" w14:textId="77777777" w:rsidR="00D1252B" w:rsidRPr="007129F2" w:rsidRDefault="00D1252B" w:rsidP="00D1252B">
      <w:pPr>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C956593" w14:textId="27D849E2" w:rsidR="00460051" w:rsidRPr="00A03D72" w:rsidRDefault="00D1252B" w:rsidP="00A03D72">
      <w:pPr>
        <w:pStyle w:val="2Sections"/>
        <w:numPr>
          <w:ilvl w:val="0"/>
          <w:numId w:val="5"/>
        </w:numPr>
        <w:rPr>
          <w:b w:val="0"/>
        </w:rPr>
      </w:pPr>
      <w:r>
        <w:t>Sponsor’s Comment</w:t>
      </w:r>
      <w:r w:rsidR="00460051" w:rsidRPr="00A03D72">
        <w:rPr>
          <w:bCs/>
        </w:rPr>
        <w:t xml:space="preserve"> </w:t>
      </w:r>
    </w:p>
    <w:p w14:paraId="1565FCE3" w14:textId="77777777" w:rsidR="00D1252B" w:rsidRPr="001179AC" w:rsidRDefault="00D1252B" w:rsidP="00D1252B">
      <w:pPr>
        <w:spacing w:after="120"/>
        <w:ind w:left="709"/>
        <w:jc w:val="both"/>
        <w:rPr>
          <w:rFonts w:asciiTheme="minorHAnsi" w:hAnsiTheme="minorHAnsi" w:cs="Arial"/>
          <w:bCs/>
        </w:rPr>
      </w:pPr>
      <w:r w:rsidRPr="00C07617">
        <w:rPr>
          <w:rFonts w:asciiTheme="minorHAnsi" w:hAnsiTheme="minorHAnsi" w:cs="Arial"/>
          <w:bCs/>
        </w:rPr>
        <w:t>The sponsor had no comment.</w:t>
      </w:r>
    </w:p>
    <w:p w14:paraId="0936DD70" w14:textId="77777777" w:rsidR="00875AE1" w:rsidRPr="00835B7F" w:rsidRDefault="00875AE1" w:rsidP="00875AE1">
      <w:pPr>
        <w:pStyle w:val="3Bodytext"/>
      </w:pPr>
    </w:p>
    <w:sectPr w:rsidR="00875AE1" w:rsidRPr="00835B7F"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9B2DE4" w16cid:durableId="22762B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FEFD9" w14:textId="77777777" w:rsidR="00F80475" w:rsidRDefault="00F80475">
      <w:r>
        <w:separator/>
      </w:r>
    </w:p>
    <w:p w14:paraId="5F2145C0" w14:textId="77777777" w:rsidR="00F80475" w:rsidRDefault="00F80475"/>
  </w:endnote>
  <w:endnote w:type="continuationSeparator" w:id="0">
    <w:p w14:paraId="659E437D" w14:textId="77777777" w:rsidR="00F80475" w:rsidRDefault="00F80475">
      <w:r>
        <w:continuationSeparator/>
      </w:r>
    </w:p>
    <w:p w14:paraId="038FF432" w14:textId="77777777" w:rsidR="00F80475" w:rsidRDefault="00F80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80475" w14:paraId="0F403046" w14:textId="77777777" w:rsidTr="005A3173">
      <w:trPr>
        <w:trHeight w:val="151"/>
      </w:trPr>
      <w:tc>
        <w:tcPr>
          <w:tcW w:w="2250" w:type="pct"/>
          <w:tcBorders>
            <w:top w:val="nil"/>
            <w:left w:val="nil"/>
            <w:bottom w:val="single" w:sz="4" w:space="0" w:color="4F81BD"/>
            <w:right w:val="nil"/>
          </w:tcBorders>
        </w:tcPr>
        <w:p w14:paraId="528B430F" w14:textId="77777777"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439869EB" w14:textId="77777777"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924438C" w14:textId="77777777" w:rsidR="00F80475" w:rsidRPr="005A3173" w:rsidRDefault="00F80475" w:rsidP="005A3173">
          <w:pPr>
            <w:pStyle w:val="Header"/>
            <w:spacing w:line="276" w:lineRule="auto"/>
            <w:rPr>
              <w:rFonts w:ascii="Calibri" w:eastAsia="MS Gothic" w:hAnsi="Calibri"/>
              <w:b/>
              <w:bCs/>
              <w:color w:val="4F81BD"/>
            </w:rPr>
          </w:pPr>
        </w:p>
      </w:tc>
    </w:tr>
    <w:tr w:rsidR="00F80475" w14:paraId="11805259" w14:textId="77777777" w:rsidTr="005A3173">
      <w:trPr>
        <w:trHeight w:val="150"/>
      </w:trPr>
      <w:tc>
        <w:tcPr>
          <w:tcW w:w="2250" w:type="pct"/>
          <w:tcBorders>
            <w:top w:val="single" w:sz="4" w:space="0" w:color="4F81BD"/>
            <w:left w:val="nil"/>
            <w:bottom w:val="nil"/>
            <w:right w:val="nil"/>
          </w:tcBorders>
        </w:tcPr>
        <w:p w14:paraId="2C889BD0" w14:textId="77777777"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14:paraId="0FCE3EC0" w14:textId="77777777"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14:paraId="764A0A76" w14:textId="77777777" w:rsidR="00F80475" w:rsidRPr="005A3173" w:rsidRDefault="00F80475" w:rsidP="005A3173">
          <w:pPr>
            <w:pStyle w:val="Header"/>
            <w:spacing w:line="276" w:lineRule="auto"/>
            <w:rPr>
              <w:rFonts w:ascii="Calibri" w:eastAsia="MS Gothic" w:hAnsi="Calibri"/>
              <w:b/>
              <w:bCs/>
              <w:color w:val="4F81BD"/>
            </w:rPr>
          </w:pPr>
        </w:p>
      </w:tc>
    </w:tr>
  </w:tbl>
  <w:p w14:paraId="02E3CF04" w14:textId="77777777"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898625" w14:textId="77777777" w:rsidR="00F80475" w:rsidRDefault="00F80475">
    <w:pPr>
      <w:pStyle w:val="Footer"/>
    </w:pPr>
  </w:p>
  <w:p w14:paraId="4EEC3467" w14:textId="77777777" w:rsidR="00F80475" w:rsidRDefault="00F80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C9169" w14:textId="77777777" w:rsidR="00E276C6" w:rsidRDefault="00E276C6">
    <w:pPr>
      <w:pStyle w:val="Footer"/>
      <w:jc w:val="center"/>
    </w:pPr>
  </w:p>
  <w:p w14:paraId="04655211" w14:textId="1A171823" w:rsidR="00F80475" w:rsidRPr="00E276C6" w:rsidRDefault="00954E26" w:rsidP="00E276C6">
    <w:pPr>
      <w:pStyle w:val="Footer"/>
      <w:jc w:val="center"/>
    </w:pPr>
    <w:sdt>
      <w:sdtPr>
        <w:id w:val="-1610653935"/>
        <w:docPartObj>
          <w:docPartGallery w:val="Page Numbers (Bottom of Page)"/>
          <w:docPartUnique/>
        </w:docPartObj>
      </w:sdtPr>
      <w:sdtEndPr>
        <w:rPr>
          <w:noProof/>
        </w:rPr>
      </w:sdtEndPr>
      <w:sdtContent>
        <w:r w:rsidR="00E276C6" w:rsidRPr="00E276C6">
          <w:rPr>
            <w:rFonts w:asciiTheme="minorHAnsi" w:hAnsiTheme="minorHAnsi" w:cstheme="minorHAnsi"/>
            <w:b/>
          </w:rPr>
          <w:fldChar w:fldCharType="begin"/>
        </w:r>
        <w:r w:rsidR="00E276C6" w:rsidRPr="00E276C6">
          <w:rPr>
            <w:rFonts w:asciiTheme="minorHAnsi" w:hAnsiTheme="minorHAnsi" w:cstheme="minorHAnsi"/>
            <w:b/>
          </w:rPr>
          <w:instrText xml:space="preserve"> PAGE   \* MERGEFORMAT </w:instrText>
        </w:r>
        <w:r w:rsidR="00E276C6" w:rsidRPr="00E276C6">
          <w:rPr>
            <w:rFonts w:asciiTheme="minorHAnsi" w:hAnsiTheme="minorHAnsi" w:cstheme="minorHAnsi"/>
            <w:b/>
          </w:rPr>
          <w:fldChar w:fldCharType="separate"/>
        </w:r>
        <w:r>
          <w:rPr>
            <w:rFonts w:asciiTheme="minorHAnsi" w:hAnsiTheme="minorHAnsi" w:cstheme="minorHAnsi"/>
            <w:b/>
            <w:noProof/>
          </w:rPr>
          <w:t>4</w:t>
        </w:r>
        <w:r w:rsidR="00E276C6" w:rsidRPr="00E276C6">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F80475" w14:paraId="4100C6BD" w14:textId="77777777" w:rsidTr="005A3173">
      <w:trPr>
        <w:trHeight w:val="151"/>
      </w:trPr>
      <w:tc>
        <w:tcPr>
          <w:tcW w:w="2250" w:type="pct"/>
          <w:tcBorders>
            <w:top w:val="nil"/>
            <w:left w:val="nil"/>
            <w:bottom w:val="single" w:sz="4" w:space="0" w:color="4F81BD"/>
            <w:right w:val="nil"/>
          </w:tcBorders>
        </w:tcPr>
        <w:p w14:paraId="22747997" w14:textId="77777777"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69696AD2" w14:textId="77777777"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C33F9BF" w14:textId="77777777" w:rsidR="00F80475" w:rsidRPr="005A3173" w:rsidRDefault="00F80475" w:rsidP="005A3173">
          <w:pPr>
            <w:pStyle w:val="Header"/>
            <w:spacing w:line="276" w:lineRule="auto"/>
            <w:rPr>
              <w:rFonts w:ascii="Calibri" w:eastAsia="MS Gothic" w:hAnsi="Calibri"/>
              <w:b/>
              <w:bCs/>
              <w:color w:val="4F81BD"/>
            </w:rPr>
          </w:pPr>
        </w:p>
      </w:tc>
    </w:tr>
    <w:tr w:rsidR="00F80475" w14:paraId="4114C6AA" w14:textId="77777777" w:rsidTr="005A3173">
      <w:trPr>
        <w:trHeight w:val="150"/>
      </w:trPr>
      <w:tc>
        <w:tcPr>
          <w:tcW w:w="2250" w:type="pct"/>
          <w:tcBorders>
            <w:top w:val="single" w:sz="4" w:space="0" w:color="4F81BD"/>
            <w:left w:val="nil"/>
            <w:bottom w:val="nil"/>
            <w:right w:val="nil"/>
          </w:tcBorders>
        </w:tcPr>
        <w:p w14:paraId="55D51CE5" w14:textId="77777777"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14:paraId="6BC26E08" w14:textId="77777777"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14:paraId="1D0417E1" w14:textId="77777777"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14:paraId="502F4ED0" w14:textId="77777777" w:rsidTr="005A3173">
      <w:trPr>
        <w:trHeight w:val="151"/>
      </w:trPr>
      <w:tc>
        <w:tcPr>
          <w:tcW w:w="2250" w:type="pct"/>
          <w:tcBorders>
            <w:top w:val="nil"/>
            <w:left w:val="nil"/>
            <w:bottom w:val="single" w:sz="4" w:space="0" w:color="4F81BD"/>
            <w:right w:val="nil"/>
          </w:tcBorders>
        </w:tcPr>
        <w:p w14:paraId="55163CE0" w14:textId="77777777"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512A4467" w14:textId="77777777"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D8EF3E4" w14:textId="77777777" w:rsidR="00F80475" w:rsidRPr="005A3173" w:rsidRDefault="00F80475" w:rsidP="005A3173">
          <w:pPr>
            <w:pStyle w:val="Header"/>
            <w:spacing w:line="276" w:lineRule="auto"/>
            <w:rPr>
              <w:rFonts w:ascii="Calibri" w:eastAsia="MS Gothic" w:hAnsi="Calibri"/>
              <w:b/>
              <w:bCs/>
              <w:color w:val="4F81BD"/>
            </w:rPr>
          </w:pPr>
        </w:p>
      </w:tc>
    </w:tr>
    <w:tr w:rsidR="00F80475" w14:paraId="07A637CE" w14:textId="77777777" w:rsidTr="005A3173">
      <w:trPr>
        <w:trHeight w:val="150"/>
      </w:trPr>
      <w:tc>
        <w:tcPr>
          <w:tcW w:w="2250" w:type="pct"/>
          <w:tcBorders>
            <w:top w:val="single" w:sz="4" w:space="0" w:color="4F81BD"/>
            <w:left w:val="nil"/>
            <w:bottom w:val="nil"/>
            <w:right w:val="nil"/>
          </w:tcBorders>
        </w:tcPr>
        <w:p w14:paraId="41EF6B5D" w14:textId="77777777"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14:paraId="18F6948C" w14:textId="77777777"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14:paraId="46AD7675" w14:textId="77777777" w:rsidR="00F80475" w:rsidRPr="005A3173" w:rsidRDefault="00F80475" w:rsidP="005A3173">
          <w:pPr>
            <w:pStyle w:val="Header"/>
            <w:spacing w:line="276" w:lineRule="auto"/>
            <w:rPr>
              <w:rFonts w:ascii="Calibri" w:eastAsia="MS Gothic" w:hAnsi="Calibri"/>
              <w:b/>
              <w:bCs/>
              <w:color w:val="4F81BD"/>
            </w:rPr>
          </w:pPr>
        </w:p>
      </w:tc>
    </w:tr>
  </w:tbl>
  <w:p w14:paraId="0EB79063" w14:textId="77777777"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332AE26F" w14:textId="77777777" w:rsidR="00F80475" w:rsidRPr="007C0F57" w:rsidRDefault="00F80475" w:rsidP="007C0F57">
    <w:pPr>
      <w:pStyle w:val="Footer"/>
      <w:jc w:val="center"/>
      <w:rPr>
        <w:b/>
        <w:i/>
        <w:sz w:val="20"/>
        <w:szCs w:val="20"/>
      </w:rPr>
    </w:pPr>
    <w:r w:rsidRPr="007C0F57">
      <w:rPr>
        <w:b/>
        <w:i/>
        <w:sz w:val="20"/>
        <w:szCs w:val="20"/>
      </w:rPr>
      <w:t>Commercial-in-Confidence</w:t>
    </w:r>
  </w:p>
  <w:p w14:paraId="0F3D8635" w14:textId="77777777" w:rsidR="00F80475" w:rsidRDefault="00F804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42C3F" w14:textId="77777777" w:rsidR="00F80475" w:rsidRDefault="00F80475">
      <w:r>
        <w:separator/>
      </w:r>
    </w:p>
    <w:p w14:paraId="3942454E" w14:textId="77777777" w:rsidR="00F80475" w:rsidRDefault="00F80475"/>
  </w:footnote>
  <w:footnote w:type="continuationSeparator" w:id="0">
    <w:p w14:paraId="70A18AFD" w14:textId="77777777" w:rsidR="00F80475" w:rsidRDefault="00F80475">
      <w:r>
        <w:continuationSeparator/>
      </w:r>
    </w:p>
    <w:p w14:paraId="005DF962" w14:textId="77777777" w:rsidR="00F80475" w:rsidRDefault="00F804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F80475" w:rsidRPr="008E0D90" w14:paraId="28F0606A" w14:textId="77777777" w:rsidTr="00A06225">
      <w:trPr>
        <w:trHeight w:val="151"/>
      </w:trPr>
      <w:tc>
        <w:tcPr>
          <w:tcW w:w="2389" w:type="pct"/>
          <w:tcBorders>
            <w:top w:val="nil"/>
            <w:left w:val="nil"/>
            <w:bottom w:val="single" w:sz="4" w:space="0" w:color="4F81BD"/>
            <w:right w:val="nil"/>
          </w:tcBorders>
        </w:tcPr>
        <w:p w14:paraId="1028238A" w14:textId="77777777"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14:paraId="6EE80E57" w14:textId="77777777"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577B1C0F" w14:textId="77777777" w:rsidR="00F80475" w:rsidRPr="00A06225" w:rsidRDefault="00F80475">
          <w:pPr>
            <w:pStyle w:val="Header"/>
            <w:spacing w:line="276" w:lineRule="auto"/>
            <w:rPr>
              <w:rFonts w:ascii="Cambria" w:eastAsia="MS Gothic" w:hAnsi="Cambria"/>
              <w:b/>
              <w:bCs/>
              <w:color w:val="4F81BD"/>
            </w:rPr>
          </w:pPr>
        </w:p>
      </w:tc>
    </w:tr>
    <w:tr w:rsidR="00F80475" w:rsidRPr="008E0D90" w14:paraId="560E31D6" w14:textId="77777777" w:rsidTr="00A06225">
      <w:trPr>
        <w:trHeight w:val="150"/>
      </w:trPr>
      <w:tc>
        <w:tcPr>
          <w:tcW w:w="2389" w:type="pct"/>
          <w:tcBorders>
            <w:top w:val="single" w:sz="4" w:space="0" w:color="4F81BD"/>
            <w:left w:val="nil"/>
            <w:bottom w:val="nil"/>
            <w:right w:val="nil"/>
          </w:tcBorders>
        </w:tcPr>
        <w:p w14:paraId="28AF8ABE" w14:textId="77777777"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14:paraId="716A5265" w14:textId="77777777"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14:paraId="16E7CF73" w14:textId="77777777" w:rsidR="00F80475" w:rsidRPr="00A06225" w:rsidRDefault="00F80475">
          <w:pPr>
            <w:pStyle w:val="Header"/>
            <w:spacing w:line="276" w:lineRule="auto"/>
            <w:rPr>
              <w:rFonts w:ascii="Cambria" w:eastAsia="MS Gothic" w:hAnsi="Cambria"/>
              <w:b/>
              <w:bCs/>
              <w:color w:val="4F81BD"/>
            </w:rPr>
          </w:pPr>
        </w:p>
      </w:tc>
    </w:tr>
  </w:tbl>
  <w:p w14:paraId="799ACE62" w14:textId="77777777" w:rsidR="00F80475" w:rsidRDefault="00F80475">
    <w:pPr>
      <w:pStyle w:val="Header"/>
    </w:pPr>
  </w:p>
  <w:p w14:paraId="42EC782B" w14:textId="77777777" w:rsidR="00F80475" w:rsidRDefault="00F804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4A665" w14:textId="0861D6B7" w:rsidR="00E276C6" w:rsidRDefault="00D1252B" w:rsidP="00D1252B">
    <w:pPr>
      <w:pStyle w:val="NoSpacing"/>
      <w:jc w:val="center"/>
      <w:rPr>
        <w:rFonts w:asciiTheme="minorHAnsi" w:hAnsiTheme="minorHAnsi" w:cstheme="minorHAnsi"/>
        <w:i/>
        <w:sz w:val="24"/>
        <w:lang w:val="en-US"/>
      </w:rPr>
    </w:pPr>
    <w:r w:rsidRPr="00D1252B">
      <w:rPr>
        <w:rFonts w:asciiTheme="minorHAnsi" w:hAnsiTheme="minorHAnsi" w:cstheme="minorHAnsi"/>
        <w:i/>
        <w:sz w:val="24"/>
        <w:lang w:val="en-US"/>
      </w:rPr>
      <w:t xml:space="preserve">Public Summary Document </w:t>
    </w:r>
    <w:r>
      <w:rPr>
        <w:rFonts w:asciiTheme="minorHAnsi" w:hAnsiTheme="minorHAnsi" w:cstheme="minorHAnsi"/>
        <w:i/>
        <w:sz w:val="24"/>
        <w:lang w:val="en-US"/>
      </w:rPr>
      <w:t>– March 2020 PBAC Meeting</w:t>
    </w:r>
  </w:p>
  <w:p w14:paraId="52BD91C1" w14:textId="77777777" w:rsidR="00E276C6" w:rsidRPr="00E276C6" w:rsidRDefault="00E276C6" w:rsidP="00E276C6">
    <w:pPr>
      <w:pStyle w:val="NoSpacing"/>
      <w:jc w:val="center"/>
      <w:rPr>
        <w:rFonts w:asciiTheme="minorHAnsi" w:hAnsiTheme="minorHAnsi" w:cstheme="minorHAnsi"/>
        <w:i/>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93B61"/>
    <w:multiLevelType w:val="hybridMultilevel"/>
    <w:tmpl w:val="7C9E2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613A8E"/>
    <w:multiLevelType w:val="hybridMultilevel"/>
    <w:tmpl w:val="E5FA5FC4"/>
    <w:lvl w:ilvl="0" w:tplc="E604ED16">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660980"/>
    <w:multiLevelType w:val="hybridMultilevel"/>
    <w:tmpl w:val="3200A3EA"/>
    <w:lvl w:ilvl="0" w:tplc="7DE0801C">
      <w:start w:val="2"/>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A2309C"/>
    <w:multiLevelType w:val="hybridMultilevel"/>
    <w:tmpl w:val="3070C9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F37348"/>
    <w:multiLevelType w:val="hybridMultilevel"/>
    <w:tmpl w:val="BB3C5F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627240"/>
    <w:multiLevelType w:val="hybridMultilevel"/>
    <w:tmpl w:val="771E5FCA"/>
    <w:lvl w:ilvl="0" w:tplc="1C96FB82">
      <w:start w:val="2"/>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84D033C"/>
    <w:multiLevelType w:val="multilevel"/>
    <w:tmpl w:val="5510A8E0"/>
    <w:lvl w:ilvl="0">
      <w:start w:val="1"/>
      <w:numFmt w:val="decimal"/>
      <w:lvlText w:val="%1"/>
      <w:lvlJc w:val="left"/>
      <w:pPr>
        <w:ind w:left="720" w:hanging="720"/>
      </w:pPr>
      <w:rPr>
        <w:rFonts w:hint="default"/>
        <w:b/>
        <w:i w:val="0"/>
        <w:color w:val="auto"/>
      </w:rPr>
    </w:lvl>
    <w:lvl w:ilvl="1">
      <w:start w:val="1"/>
      <w:numFmt w:val="decimal"/>
      <w:lvlText w:val="%1.%2"/>
      <w:lvlJc w:val="left"/>
      <w:pPr>
        <w:ind w:left="720" w:hanging="720"/>
      </w:pPr>
      <w:rPr>
        <w:rFonts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6"/>
  </w:num>
  <w:num w:numId="4">
    <w:abstractNumId w:val="21"/>
  </w:num>
  <w:num w:numId="5">
    <w:abstractNumId w:val="26"/>
  </w:num>
  <w:num w:numId="6">
    <w:abstractNumId w:val="7"/>
  </w:num>
  <w:num w:numId="7">
    <w:abstractNumId w:val="19"/>
  </w:num>
  <w:num w:numId="8">
    <w:abstractNumId w:val="4"/>
  </w:num>
  <w:num w:numId="9">
    <w:abstractNumId w:val="18"/>
  </w:num>
  <w:num w:numId="10">
    <w:abstractNumId w:val="16"/>
  </w:num>
  <w:num w:numId="11">
    <w:abstractNumId w:val="13"/>
  </w:num>
  <w:num w:numId="12">
    <w:abstractNumId w:val="1"/>
  </w:num>
  <w:num w:numId="13">
    <w:abstractNumId w:val="0"/>
  </w:num>
  <w:num w:numId="14">
    <w:abstractNumId w:val="26"/>
  </w:num>
  <w:num w:numId="15">
    <w:abstractNumId w:val="26"/>
  </w:num>
  <w:num w:numId="16">
    <w:abstractNumId w:val="26"/>
  </w:num>
  <w:num w:numId="17">
    <w:abstractNumId w:val="25"/>
  </w:num>
  <w:num w:numId="18">
    <w:abstractNumId w:val="22"/>
  </w:num>
  <w:num w:numId="19">
    <w:abstractNumId w:val="26"/>
  </w:num>
  <w:num w:numId="20">
    <w:abstractNumId w:val="23"/>
  </w:num>
  <w:num w:numId="21">
    <w:abstractNumId w:val="15"/>
  </w:num>
  <w:num w:numId="22">
    <w:abstractNumId w:val="20"/>
  </w:num>
  <w:num w:numId="23">
    <w:abstractNumId w:val="24"/>
  </w:num>
  <w:num w:numId="24">
    <w:abstractNumId w:val="5"/>
  </w:num>
  <w:num w:numId="25">
    <w:abstractNumId w:val="2"/>
  </w:num>
  <w:num w:numId="26">
    <w:abstractNumId w:val="11"/>
  </w:num>
  <w:num w:numId="27">
    <w:abstractNumId w:val="14"/>
  </w:num>
  <w:num w:numId="28">
    <w:abstractNumId w:val="10"/>
  </w:num>
  <w:num w:numId="29">
    <w:abstractNumId w:val="17"/>
  </w:num>
  <w:num w:numId="30">
    <w:abstractNumId w:val="8"/>
  </w:num>
  <w:num w:numId="3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243C0"/>
    <w:rsid w:val="0002464A"/>
    <w:rsid w:val="0003106B"/>
    <w:rsid w:val="00034905"/>
    <w:rsid w:val="000421A1"/>
    <w:rsid w:val="0004240E"/>
    <w:rsid w:val="00045E26"/>
    <w:rsid w:val="00046359"/>
    <w:rsid w:val="000514B5"/>
    <w:rsid w:val="00060E64"/>
    <w:rsid w:val="00066755"/>
    <w:rsid w:val="000744E4"/>
    <w:rsid w:val="000763D5"/>
    <w:rsid w:val="00077143"/>
    <w:rsid w:val="00082169"/>
    <w:rsid w:val="000969AD"/>
    <w:rsid w:val="000A44B2"/>
    <w:rsid w:val="000B558D"/>
    <w:rsid w:val="000C6996"/>
    <w:rsid w:val="000D23BA"/>
    <w:rsid w:val="000E681E"/>
    <w:rsid w:val="000F0003"/>
    <w:rsid w:val="000F3384"/>
    <w:rsid w:val="000F4E6A"/>
    <w:rsid w:val="000F7354"/>
    <w:rsid w:val="00104227"/>
    <w:rsid w:val="001107BF"/>
    <w:rsid w:val="00122EE8"/>
    <w:rsid w:val="0012417C"/>
    <w:rsid w:val="00127608"/>
    <w:rsid w:val="00135074"/>
    <w:rsid w:val="00142395"/>
    <w:rsid w:val="00142714"/>
    <w:rsid w:val="001452ED"/>
    <w:rsid w:val="00145877"/>
    <w:rsid w:val="001503C0"/>
    <w:rsid w:val="00160C62"/>
    <w:rsid w:val="00162D4E"/>
    <w:rsid w:val="00163329"/>
    <w:rsid w:val="00164623"/>
    <w:rsid w:val="00165B64"/>
    <w:rsid w:val="001766C6"/>
    <w:rsid w:val="00180713"/>
    <w:rsid w:val="001830CE"/>
    <w:rsid w:val="0018643B"/>
    <w:rsid w:val="00190AE9"/>
    <w:rsid w:val="00196307"/>
    <w:rsid w:val="001A33EA"/>
    <w:rsid w:val="001B017F"/>
    <w:rsid w:val="001B2BBC"/>
    <w:rsid w:val="001B5129"/>
    <w:rsid w:val="001C0B4C"/>
    <w:rsid w:val="001C1195"/>
    <w:rsid w:val="001F1850"/>
    <w:rsid w:val="00203FAC"/>
    <w:rsid w:val="00213CFB"/>
    <w:rsid w:val="0021553C"/>
    <w:rsid w:val="0021557B"/>
    <w:rsid w:val="00217BE1"/>
    <w:rsid w:val="00250F61"/>
    <w:rsid w:val="00253499"/>
    <w:rsid w:val="00254FAF"/>
    <w:rsid w:val="00271BA1"/>
    <w:rsid w:val="002762FA"/>
    <w:rsid w:val="00277505"/>
    <w:rsid w:val="0028137E"/>
    <w:rsid w:val="00292036"/>
    <w:rsid w:val="0029458F"/>
    <w:rsid w:val="002A104C"/>
    <w:rsid w:val="002A28C3"/>
    <w:rsid w:val="002A4960"/>
    <w:rsid w:val="002B1AE6"/>
    <w:rsid w:val="002B2DE8"/>
    <w:rsid w:val="002B30F8"/>
    <w:rsid w:val="002B5596"/>
    <w:rsid w:val="002B7392"/>
    <w:rsid w:val="002C212F"/>
    <w:rsid w:val="002D4543"/>
    <w:rsid w:val="002E3153"/>
    <w:rsid w:val="002E72CA"/>
    <w:rsid w:val="002F2006"/>
    <w:rsid w:val="002F600D"/>
    <w:rsid w:val="00300AD6"/>
    <w:rsid w:val="00317C6C"/>
    <w:rsid w:val="00326E79"/>
    <w:rsid w:val="003301B1"/>
    <w:rsid w:val="0033263D"/>
    <w:rsid w:val="0033518A"/>
    <w:rsid w:val="003367EF"/>
    <w:rsid w:val="00341AE4"/>
    <w:rsid w:val="00374E0E"/>
    <w:rsid w:val="00376DCE"/>
    <w:rsid w:val="00384988"/>
    <w:rsid w:val="003872CF"/>
    <w:rsid w:val="0039782C"/>
    <w:rsid w:val="003A5B4A"/>
    <w:rsid w:val="003B2032"/>
    <w:rsid w:val="003B23C5"/>
    <w:rsid w:val="003B2A75"/>
    <w:rsid w:val="003B6124"/>
    <w:rsid w:val="003C1ECF"/>
    <w:rsid w:val="003C2FB5"/>
    <w:rsid w:val="003D4AC4"/>
    <w:rsid w:val="003D63B7"/>
    <w:rsid w:val="003E468B"/>
    <w:rsid w:val="003F3228"/>
    <w:rsid w:val="003F5C8C"/>
    <w:rsid w:val="00422330"/>
    <w:rsid w:val="00423CEA"/>
    <w:rsid w:val="004252EC"/>
    <w:rsid w:val="00430D39"/>
    <w:rsid w:val="004465BD"/>
    <w:rsid w:val="00460051"/>
    <w:rsid w:val="00466ADA"/>
    <w:rsid w:val="0047494B"/>
    <w:rsid w:val="00476245"/>
    <w:rsid w:val="00483035"/>
    <w:rsid w:val="00485940"/>
    <w:rsid w:val="004A2484"/>
    <w:rsid w:val="004A5A85"/>
    <w:rsid w:val="004A71D1"/>
    <w:rsid w:val="004B5640"/>
    <w:rsid w:val="004C1BD7"/>
    <w:rsid w:val="004C2F8A"/>
    <w:rsid w:val="004C31FE"/>
    <w:rsid w:val="004C691D"/>
    <w:rsid w:val="004C6C07"/>
    <w:rsid w:val="004E692D"/>
    <w:rsid w:val="004F0CF2"/>
    <w:rsid w:val="004F65BD"/>
    <w:rsid w:val="00501554"/>
    <w:rsid w:val="00504E0C"/>
    <w:rsid w:val="00514CD7"/>
    <w:rsid w:val="00522DB6"/>
    <w:rsid w:val="005235BD"/>
    <w:rsid w:val="00527B7E"/>
    <w:rsid w:val="005319B2"/>
    <w:rsid w:val="00532402"/>
    <w:rsid w:val="00532C74"/>
    <w:rsid w:val="00534E2E"/>
    <w:rsid w:val="00542484"/>
    <w:rsid w:val="00544552"/>
    <w:rsid w:val="00577C4D"/>
    <w:rsid w:val="00581932"/>
    <w:rsid w:val="005902A5"/>
    <w:rsid w:val="005963BB"/>
    <w:rsid w:val="005A3173"/>
    <w:rsid w:val="005A3223"/>
    <w:rsid w:val="005A3DA3"/>
    <w:rsid w:val="005A52C4"/>
    <w:rsid w:val="005D03AB"/>
    <w:rsid w:val="005D3FCC"/>
    <w:rsid w:val="005D5017"/>
    <w:rsid w:val="005E1333"/>
    <w:rsid w:val="005E17DC"/>
    <w:rsid w:val="00601A91"/>
    <w:rsid w:val="00602BA3"/>
    <w:rsid w:val="00605B63"/>
    <w:rsid w:val="00606EED"/>
    <w:rsid w:val="00612E34"/>
    <w:rsid w:val="00614159"/>
    <w:rsid w:val="00617C00"/>
    <w:rsid w:val="006263BF"/>
    <w:rsid w:val="0062748A"/>
    <w:rsid w:val="00630A2C"/>
    <w:rsid w:val="006328A2"/>
    <w:rsid w:val="0063682E"/>
    <w:rsid w:val="006436CD"/>
    <w:rsid w:val="00651169"/>
    <w:rsid w:val="00653D69"/>
    <w:rsid w:val="006552E6"/>
    <w:rsid w:val="006670BE"/>
    <w:rsid w:val="00670A76"/>
    <w:rsid w:val="006711AA"/>
    <w:rsid w:val="00672B57"/>
    <w:rsid w:val="00675622"/>
    <w:rsid w:val="0067747D"/>
    <w:rsid w:val="0069039D"/>
    <w:rsid w:val="006906DB"/>
    <w:rsid w:val="00691E6C"/>
    <w:rsid w:val="0069501D"/>
    <w:rsid w:val="00696129"/>
    <w:rsid w:val="00697CF2"/>
    <w:rsid w:val="006A12A5"/>
    <w:rsid w:val="006B0D94"/>
    <w:rsid w:val="006B485D"/>
    <w:rsid w:val="006C708E"/>
    <w:rsid w:val="006D14E7"/>
    <w:rsid w:val="006D6493"/>
    <w:rsid w:val="006D6EC7"/>
    <w:rsid w:val="006E0C34"/>
    <w:rsid w:val="006E1BCD"/>
    <w:rsid w:val="006F01BF"/>
    <w:rsid w:val="006F5125"/>
    <w:rsid w:val="00702B6F"/>
    <w:rsid w:val="00706A2F"/>
    <w:rsid w:val="0070718E"/>
    <w:rsid w:val="0071340B"/>
    <w:rsid w:val="00715133"/>
    <w:rsid w:val="007174BB"/>
    <w:rsid w:val="0072025D"/>
    <w:rsid w:val="00720FCA"/>
    <w:rsid w:val="007353D3"/>
    <w:rsid w:val="00736074"/>
    <w:rsid w:val="007378F8"/>
    <w:rsid w:val="00740BE2"/>
    <w:rsid w:val="00744E4A"/>
    <w:rsid w:val="00754E67"/>
    <w:rsid w:val="00755027"/>
    <w:rsid w:val="0076420C"/>
    <w:rsid w:val="007728BE"/>
    <w:rsid w:val="00774E2C"/>
    <w:rsid w:val="007753C2"/>
    <w:rsid w:val="007838B8"/>
    <w:rsid w:val="007879D8"/>
    <w:rsid w:val="007B184B"/>
    <w:rsid w:val="007C0F57"/>
    <w:rsid w:val="007C40B6"/>
    <w:rsid w:val="007C729F"/>
    <w:rsid w:val="007C7604"/>
    <w:rsid w:val="007D25EB"/>
    <w:rsid w:val="007E1D28"/>
    <w:rsid w:val="007F2641"/>
    <w:rsid w:val="007F5480"/>
    <w:rsid w:val="007F7C36"/>
    <w:rsid w:val="00806796"/>
    <w:rsid w:val="00810AA3"/>
    <w:rsid w:val="008151D6"/>
    <w:rsid w:val="008268BB"/>
    <w:rsid w:val="00826F6D"/>
    <w:rsid w:val="008306F3"/>
    <w:rsid w:val="00830E40"/>
    <w:rsid w:val="00835B7F"/>
    <w:rsid w:val="00852EF5"/>
    <w:rsid w:val="008569CA"/>
    <w:rsid w:val="00856DDD"/>
    <w:rsid w:val="00863E68"/>
    <w:rsid w:val="00875AE1"/>
    <w:rsid w:val="00882085"/>
    <w:rsid w:val="00883188"/>
    <w:rsid w:val="008908A9"/>
    <w:rsid w:val="00897D58"/>
    <w:rsid w:val="00897F22"/>
    <w:rsid w:val="008A1956"/>
    <w:rsid w:val="008A4937"/>
    <w:rsid w:val="008A50F1"/>
    <w:rsid w:val="008B19AF"/>
    <w:rsid w:val="008C32C0"/>
    <w:rsid w:val="008D1B5C"/>
    <w:rsid w:val="008D21F6"/>
    <w:rsid w:val="008D3C82"/>
    <w:rsid w:val="008D447E"/>
    <w:rsid w:val="008D7A41"/>
    <w:rsid w:val="008E2C72"/>
    <w:rsid w:val="008E3680"/>
    <w:rsid w:val="008E5870"/>
    <w:rsid w:val="008F1434"/>
    <w:rsid w:val="008F7355"/>
    <w:rsid w:val="00903845"/>
    <w:rsid w:val="00906114"/>
    <w:rsid w:val="009067B7"/>
    <w:rsid w:val="00920BC1"/>
    <w:rsid w:val="00930937"/>
    <w:rsid w:val="00933E6C"/>
    <w:rsid w:val="00934E11"/>
    <w:rsid w:val="00937958"/>
    <w:rsid w:val="00941602"/>
    <w:rsid w:val="00942160"/>
    <w:rsid w:val="0095146F"/>
    <w:rsid w:val="00954E26"/>
    <w:rsid w:val="009602C5"/>
    <w:rsid w:val="00960633"/>
    <w:rsid w:val="00961415"/>
    <w:rsid w:val="00962223"/>
    <w:rsid w:val="00965B5C"/>
    <w:rsid w:val="00966D0D"/>
    <w:rsid w:val="00974C21"/>
    <w:rsid w:val="009A61CA"/>
    <w:rsid w:val="009B0F67"/>
    <w:rsid w:val="009C703C"/>
    <w:rsid w:val="009D3CAA"/>
    <w:rsid w:val="009E40E1"/>
    <w:rsid w:val="009F0453"/>
    <w:rsid w:val="009F0EFA"/>
    <w:rsid w:val="009F1D78"/>
    <w:rsid w:val="009F4E46"/>
    <w:rsid w:val="009F5B65"/>
    <w:rsid w:val="009F5F2E"/>
    <w:rsid w:val="00A03D72"/>
    <w:rsid w:val="00A06225"/>
    <w:rsid w:val="00A128E6"/>
    <w:rsid w:val="00A31872"/>
    <w:rsid w:val="00A34E6C"/>
    <w:rsid w:val="00A37C8D"/>
    <w:rsid w:val="00A37F8C"/>
    <w:rsid w:val="00A5273B"/>
    <w:rsid w:val="00A53A9D"/>
    <w:rsid w:val="00A55FEE"/>
    <w:rsid w:val="00A62C1A"/>
    <w:rsid w:val="00A6426D"/>
    <w:rsid w:val="00A665C1"/>
    <w:rsid w:val="00A70622"/>
    <w:rsid w:val="00A70977"/>
    <w:rsid w:val="00A744F9"/>
    <w:rsid w:val="00A77613"/>
    <w:rsid w:val="00A8390C"/>
    <w:rsid w:val="00A928BD"/>
    <w:rsid w:val="00AA12CD"/>
    <w:rsid w:val="00AA4D1C"/>
    <w:rsid w:val="00AA7B9C"/>
    <w:rsid w:val="00AB6A32"/>
    <w:rsid w:val="00AC193C"/>
    <w:rsid w:val="00AC5206"/>
    <w:rsid w:val="00AD3232"/>
    <w:rsid w:val="00AD4322"/>
    <w:rsid w:val="00AE11A5"/>
    <w:rsid w:val="00AE13E2"/>
    <w:rsid w:val="00AE22D3"/>
    <w:rsid w:val="00AE4F07"/>
    <w:rsid w:val="00AF5BBE"/>
    <w:rsid w:val="00AF62DF"/>
    <w:rsid w:val="00AF68CC"/>
    <w:rsid w:val="00B1059E"/>
    <w:rsid w:val="00B176C8"/>
    <w:rsid w:val="00B205AA"/>
    <w:rsid w:val="00B22E84"/>
    <w:rsid w:val="00B233AD"/>
    <w:rsid w:val="00B25F75"/>
    <w:rsid w:val="00B26B3F"/>
    <w:rsid w:val="00B2778F"/>
    <w:rsid w:val="00B3129D"/>
    <w:rsid w:val="00B317FF"/>
    <w:rsid w:val="00B33635"/>
    <w:rsid w:val="00B43E90"/>
    <w:rsid w:val="00B467DC"/>
    <w:rsid w:val="00B56118"/>
    <w:rsid w:val="00B6773F"/>
    <w:rsid w:val="00B801BA"/>
    <w:rsid w:val="00B81550"/>
    <w:rsid w:val="00B82A49"/>
    <w:rsid w:val="00B84D5C"/>
    <w:rsid w:val="00B9725A"/>
    <w:rsid w:val="00BA050C"/>
    <w:rsid w:val="00BB69F5"/>
    <w:rsid w:val="00BB7EC3"/>
    <w:rsid w:val="00BC4B9A"/>
    <w:rsid w:val="00BD4D42"/>
    <w:rsid w:val="00BD784C"/>
    <w:rsid w:val="00BF4CB6"/>
    <w:rsid w:val="00C00DA7"/>
    <w:rsid w:val="00C12768"/>
    <w:rsid w:val="00C23F31"/>
    <w:rsid w:val="00C27B58"/>
    <w:rsid w:val="00C35996"/>
    <w:rsid w:val="00C417F8"/>
    <w:rsid w:val="00C4747E"/>
    <w:rsid w:val="00C5342C"/>
    <w:rsid w:val="00C60272"/>
    <w:rsid w:val="00C603D4"/>
    <w:rsid w:val="00C6256A"/>
    <w:rsid w:val="00C63B5F"/>
    <w:rsid w:val="00C71C3F"/>
    <w:rsid w:val="00C73F1B"/>
    <w:rsid w:val="00C77891"/>
    <w:rsid w:val="00C91449"/>
    <w:rsid w:val="00C92D10"/>
    <w:rsid w:val="00C94F5B"/>
    <w:rsid w:val="00CB1193"/>
    <w:rsid w:val="00CD6260"/>
    <w:rsid w:val="00CE10C4"/>
    <w:rsid w:val="00CE27B5"/>
    <w:rsid w:val="00CE3439"/>
    <w:rsid w:val="00D0321E"/>
    <w:rsid w:val="00D1252B"/>
    <w:rsid w:val="00D1455A"/>
    <w:rsid w:val="00D31150"/>
    <w:rsid w:val="00D3138B"/>
    <w:rsid w:val="00D3280C"/>
    <w:rsid w:val="00D3406A"/>
    <w:rsid w:val="00D4572C"/>
    <w:rsid w:val="00D469B2"/>
    <w:rsid w:val="00D5722A"/>
    <w:rsid w:val="00D6394E"/>
    <w:rsid w:val="00D70C1F"/>
    <w:rsid w:val="00D741EB"/>
    <w:rsid w:val="00D820F3"/>
    <w:rsid w:val="00D83605"/>
    <w:rsid w:val="00D84934"/>
    <w:rsid w:val="00D91271"/>
    <w:rsid w:val="00D919F5"/>
    <w:rsid w:val="00D93EFC"/>
    <w:rsid w:val="00D94F03"/>
    <w:rsid w:val="00DA2CB5"/>
    <w:rsid w:val="00DA4BAC"/>
    <w:rsid w:val="00DB0151"/>
    <w:rsid w:val="00DE6D27"/>
    <w:rsid w:val="00DF217D"/>
    <w:rsid w:val="00DF26A7"/>
    <w:rsid w:val="00E15627"/>
    <w:rsid w:val="00E164B3"/>
    <w:rsid w:val="00E16910"/>
    <w:rsid w:val="00E27234"/>
    <w:rsid w:val="00E276C6"/>
    <w:rsid w:val="00E42BDB"/>
    <w:rsid w:val="00E57EEB"/>
    <w:rsid w:val="00E62D94"/>
    <w:rsid w:val="00E65E54"/>
    <w:rsid w:val="00E663E9"/>
    <w:rsid w:val="00E80155"/>
    <w:rsid w:val="00E81F28"/>
    <w:rsid w:val="00E848C0"/>
    <w:rsid w:val="00E91B96"/>
    <w:rsid w:val="00E941A1"/>
    <w:rsid w:val="00E95CE3"/>
    <w:rsid w:val="00EA2825"/>
    <w:rsid w:val="00EB0B63"/>
    <w:rsid w:val="00EB1936"/>
    <w:rsid w:val="00EB4AD6"/>
    <w:rsid w:val="00EB5088"/>
    <w:rsid w:val="00ED1644"/>
    <w:rsid w:val="00ED2593"/>
    <w:rsid w:val="00ED7D9C"/>
    <w:rsid w:val="00EF0069"/>
    <w:rsid w:val="00EF44A0"/>
    <w:rsid w:val="00EF4FED"/>
    <w:rsid w:val="00F0172E"/>
    <w:rsid w:val="00F050BD"/>
    <w:rsid w:val="00F05657"/>
    <w:rsid w:val="00F25578"/>
    <w:rsid w:val="00F258E5"/>
    <w:rsid w:val="00F300BC"/>
    <w:rsid w:val="00F3334E"/>
    <w:rsid w:val="00F36CCB"/>
    <w:rsid w:val="00F374E5"/>
    <w:rsid w:val="00F40365"/>
    <w:rsid w:val="00F43AF2"/>
    <w:rsid w:val="00F5007E"/>
    <w:rsid w:val="00F50EC4"/>
    <w:rsid w:val="00F52232"/>
    <w:rsid w:val="00F550CF"/>
    <w:rsid w:val="00F57A6D"/>
    <w:rsid w:val="00F638CC"/>
    <w:rsid w:val="00F64CC1"/>
    <w:rsid w:val="00F6700F"/>
    <w:rsid w:val="00F72317"/>
    <w:rsid w:val="00F80475"/>
    <w:rsid w:val="00F8247A"/>
    <w:rsid w:val="00F83DA8"/>
    <w:rsid w:val="00F9629A"/>
    <w:rsid w:val="00F97EFC"/>
    <w:rsid w:val="00FA4DD5"/>
    <w:rsid w:val="00FA5883"/>
    <w:rsid w:val="00FA6055"/>
    <w:rsid w:val="00FB322F"/>
    <w:rsid w:val="00FB442F"/>
    <w:rsid w:val="00FB7A5A"/>
    <w:rsid w:val="00FC013E"/>
    <w:rsid w:val="00FC0D91"/>
    <w:rsid w:val="00FC1929"/>
    <w:rsid w:val="00FC3647"/>
    <w:rsid w:val="00FC5B46"/>
    <w:rsid w:val="00FD6D8E"/>
    <w:rsid w:val="00FE0E94"/>
    <w:rsid w:val="00FF00BD"/>
    <w:rsid w:val="00FF1ED4"/>
    <w:rsid w:val="00FF2801"/>
    <w:rsid w:val="00FF5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4:docId w14:val="1F73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spacing w:after="120"/>
      <w:ind w:left="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paragraph" w:styleId="Revision">
    <w:name w:val="Revision"/>
    <w:hidden/>
    <w:uiPriority w:val="71"/>
    <w:semiHidden/>
    <w:rsid w:val="007F54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6565967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20090-A001-408D-BF49-428D4570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81CE4CF2.dotm</Template>
  <TotalTime>0</TotalTime>
  <Pages>4</Pages>
  <Words>899</Words>
  <Characters>4903</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2020-06-18T23:26:00Z</dcterms:created>
  <dcterms:modified xsi:type="dcterms:W3CDTF">2020-06-18T23:27:00Z</dcterms:modified>
</cp:coreProperties>
</file>