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ED6B5" w14:textId="2D1EC19E" w:rsidR="00BF27A0" w:rsidRPr="00BF27A0" w:rsidRDefault="00234C7C" w:rsidP="00123A8C">
      <w:pPr>
        <w:pStyle w:val="1MainTitle"/>
        <w:ind w:left="1134" w:hanging="1134"/>
        <w:rPr>
          <w:rFonts w:ascii="Calibri" w:eastAsia="Calibri" w:hAnsi="Calibri"/>
          <w:b w:val="0"/>
          <w:lang w:eastAsia="en-US"/>
        </w:rPr>
      </w:pPr>
      <w:r w:rsidRPr="00234C7C">
        <w:t xml:space="preserve">14.03b </w:t>
      </w:r>
      <w:r w:rsidRPr="0063164E">
        <w:t>WHEY PROTEIN FORMULA SUPPLEMENTED WITH AMINO ACIDS, LONG CHAIN POLYUNSATURATED FATTY ACIDS, VITAMINS AND MINERALS, LOW IN PROTEIN, PHOSPHATE, POTASSIUM AND LACTOSE</w:t>
      </w:r>
      <w:r w:rsidR="002E6EEA">
        <w:br/>
      </w:r>
      <w:r>
        <w:t xml:space="preserve">Oral powder </w:t>
      </w:r>
      <w:r w:rsidR="006B5D6B">
        <w:t>400 g,</w:t>
      </w:r>
      <w:r w:rsidR="002E6EEA">
        <w:br/>
      </w:r>
      <w:r>
        <w:t>Sachets containing oral powder 100 g,</w:t>
      </w:r>
      <w:r w:rsidR="002E6EEA">
        <w:br/>
      </w:r>
      <w:r>
        <w:t>Renastart</w:t>
      </w:r>
      <w:r w:rsidRPr="002B5596">
        <w:rPr>
          <w:vertAlign w:val="superscript"/>
        </w:rPr>
        <w:t>®</w:t>
      </w:r>
      <w:r>
        <w:t>,</w:t>
      </w:r>
      <w:r w:rsidR="002E6EEA">
        <w:br/>
      </w:r>
      <w:r>
        <w:t>Vitaflo Australia Pty Ltd</w:t>
      </w:r>
      <w:r w:rsidR="00BF27A0" w:rsidRPr="00234C7C">
        <w:t xml:space="preserve"> </w:t>
      </w:r>
    </w:p>
    <w:p w14:paraId="0596616F" w14:textId="77D42804" w:rsidR="008A50F1" w:rsidRPr="00D4572C" w:rsidRDefault="00CE10C4" w:rsidP="00234C7C">
      <w:pPr>
        <w:pStyle w:val="2Sections"/>
      </w:pPr>
      <w:r w:rsidRPr="0033263D">
        <w:t xml:space="preserve">Purpose of </w:t>
      </w:r>
      <w:r w:rsidR="0004240E" w:rsidRPr="0033263D">
        <w:t>Application</w:t>
      </w:r>
      <w:r w:rsidR="00034905">
        <w:t xml:space="preserve"> </w:t>
      </w:r>
    </w:p>
    <w:p w14:paraId="026E4F53" w14:textId="5F9DE123" w:rsidR="00234C7C" w:rsidRDefault="00234C7C" w:rsidP="00234C7C">
      <w:pPr>
        <w:pStyle w:val="3Bodytext"/>
      </w:pPr>
      <w:r w:rsidRPr="00234C7C">
        <w:t xml:space="preserve">The </w:t>
      </w:r>
      <w:r w:rsidR="006F5ACB">
        <w:t xml:space="preserve">Committee Secretariat </w:t>
      </w:r>
      <w:r w:rsidR="00CE01C9">
        <w:t xml:space="preserve">submission </w:t>
      </w:r>
      <w:r w:rsidRPr="00234C7C">
        <w:t>requested a change to the formulation of whey protein formula supplemented with amino acids, long chain polyunsaturated fatty acids, vitamins and minerals, low in protein, phosphate, potassium and lactose (Renastart®), for the dietary management of chronic kidney disease (CKD</w:t>
      </w:r>
      <w:r w:rsidR="005B6FFC">
        <w:t>) in infants and young children</w:t>
      </w:r>
      <w:r w:rsidRPr="00234C7C">
        <w:t xml:space="preserve">. </w:t>
      </w:r>
    </w:p>
    <w:p w14:paraId="6BD6A80D" w14:textId="77777777" w:rsidR="00D93B5D" w:rsidRPr="00FD6D8E" w:rsidRDefault="00D93B5D" w:rsidP="00D93B5D">
      <w:pPr>
        <w:pStyle w:val="2Sections"/>
      </w:pPr>
      <w:r w:rsidRPr="002B5596">
        <w:t>Background</w:t>
      </w:r>
      <w:r>
        <w:t xml:space="preserve"> </w:t>
      </w:r>
    </w:p>
    <w:p w14:paraId="24F9EDE4" w14:textId="77C10B67" w:rsidR="00D93B5D" w:rsidRPr="00CC532C" w:rsidRDefault="00D93B5D" w:rsidP="00D93B5D">
      <w:pPr>
        <w:pStyle w:val="3Bodytext"/>
      </w:pPr>
      <w:r w:rsidRPr="00CC532C">
        <w:t>Renastart was listed on the PBS in March 2009 starting with the 100 g sachets (PBS item 9382T</w:t>
      </w:r>
      <w:r w:rsidRPr="003E4FA4">
        <w:t>). The 400 g cans have been listed since December 2013 (PBS item 2870C).</w:t>
      </w:r>
    </w:p>
    <w:p w14:paraId="2327FE59" w14:textId="77777777" w:rsidR="00D93B5D" w:rsidRPr="00CC532C" w:rsidRDefault="00D93B5D" w:rsidP="00D93B5D">
      <w:pPr>
        <w:pStyle w:val="3Bodytext"/>
      </w:pPr>
      <w:r w:rsidRPr="00CC532C">
        <w:rPr>
          <w:lang w:val="en-US"/>
        </w:rPr>
        <w:t>The submission requested a change to the formulation of Renastart without impact to its PBS listing to</w:t>
      </w:r>
      <w:r>
        <w:rPr>
          <w:lang w:val="en-US"/>
        </w:rPr>
        <w:t xml:space="preserve"> </w:t>
      </w:r>
      <w:r w:rsidRPr="00CC532C">
        <w:rPr>
          <w:lang w:val="en-US"/>
        </w:rPr>
        <w:t xml:space="preserve">meet the recently published European Union regulations (Commission Delegated Regulation (EU) 2016/127, and Commission Delegated Regulation (EU) 2016/128) and CODEX guidelines (FAO/UNU/WHO, Standard for Infant Formula and Formulas for Special Medical Purposes Intended for Infants. Revision: 2007). </w:t>
      </w:r>
      <w:r w:rsidRPr="00794AD2">
        <w:rPr>
          <w:lang w:val="en-US"/>
        </w:rPr>
        <w:t>Regulation 2016/128</w:t>
      </w:r>
      <w:r w:rsidRPr="00A84A77">
        <w:rPr>
          <w:i/>
          <w:lang w:val="en-US"/>
        </w:rPr>
        <w:t xml:space="preserve"> </w:t>
      </w:r>
      <w:r w:rsidRPr="002353A4">
        <w:rPr>
          <w:lang w:val="en-US"/>
        </w:rPr>
        <w:t>sets out new maximum and minimum levels of vitamin and mineral substances for products that will provide a sole source of nutrition, and new maximum levels of vitamins and minerals for products that are not a sole source of nutrition. This regulation also requires additional nutrient declarations on the packaging with the intent to guarantee appropriate use of the product.</w:t>
      </w:r>
      <w:r w:rsidRPr="00CC532C">
        <w:rPr>
          <w:lang w:val="en-US"/>
        </w:rPr>
        <w:t xml:space="preserve"> </w:t>
      </w:r>
    </w:p>
    <w:p w14:paraId="505570DA" w14:textId="77777777" w:rsidR="00D93B5D" w:rsidRPr="00CC532C" w:rsidRDefault="00D93B5D" w:rsidP="00D93B5D">
      <w:pPr>
        <w:pStyle w:val="3Bodytext"/>
      </w:pPr>
      <w:r w:rsidRPr="00CC532C">
        <w:t>The submission stated that the reformulated Renastart complies with EU and CODEX guidelines with the exception of several micronutrients (potassium, chloride, calcium, phosphorus and vitamin A) which are often required in lower amounts in the dietary management of CKD</w:t>
      </w:r>
      <w:r>
        <w:t xml:space="preserve"> in infants and young children</w:t>
      </w:r>
      <w:r w:rsidRPr="00CC532C">
        <w:t>.</w:t>
      </w:r>
    </w:p>
    <w:p w14:paraId="78D730D6" w14:textId="08DE70BF" w:rsidR="00D93B5D" w:rsidRPr="00CC532C" w:rsidRDefault="00D93B5D" w:rsidP="00D93B5D">
      <w:pPr>
        <w:pStyle w:val="3Bodytext"/>
      </w:pPr>
      <w:r w:rsidRPr="00CC532C">
        <w:t xml:space="preserve">The submission confirmed that Renastart meets the requirements for foods for medical purposes as set out under The Australia New Zealand Food Standards Code — Standard 2.9.5: Food for Special Medical Purposes. The submission also stated that </w:t>
      </w:r>
      <w:r w:rsidRPr="00CC532C">
        <w:lastRenderedPageBreak/>
        <w:t>Renastart complies with Standard 2.9.1: Infant Formula Standards Code</w:t>
      </w:r>
      <w:r>
        <w:t xml:space="preserve"> (the Standard)</w:t>
      </w:r>
      <w:r w:rsidRPr="00CC532C">
        <w:t xml:space="preserve">, with discrepancies. </w:t>
      </w:r>
    </w:p>
    <w:p w14:paraId="04B7AD1F" w14:textId="4DF79864" w:rsidR="00D93B5D" w:rsidRDefault="00D93B5D" w:rsidP="00D93B5D">
      <w:pPr>
        <w:pStyle w:val="3Bodytext"/>
      </w:pPr>
      <w:r w:rsidRPr="00CC532C">
        <w:t>In separate correspondence to the Secretariat, the Sponsor has requested to delist (and remove</w:t>
      </w:r>
      <w:r>
        <w:t xml:space="preserve"> PBS item code 9382T) 100 g sachets. The submission stated it has not sold this form since February 2014.  </w:t>
      </w:r>
    </w:p>
    <w:p w14:paraId="40525652" w14:textId="77777777" w:rsidR="006A12A5" w:rsidRPr="00577C4D" w:rsidRDefault="006A12A5" w:rsidP="0033263D">
      <w:pPr>
        <w:pStyle w:val="2Sections"/>
      </w:pPr>
      <w:r w:rsidRPr="002B5596">
        <w:t>Requested listing</w:t>
      </w:r>
    </w:p>
    <w:p w14:paraId="08DE1BE8" w14:textId="77777777" w:rsidR="00CE01C9" w:rsidRDefault="00234C7C" w:rsidP="00CE01C9">
      <w:pPr>
        <w:pStyle w:val="3Bodytext"/>
        <w:rPr>
          <w:sz w:val="32"/>
          <w:szCs w:val="32"/>
        </w:rPr>
      </w:pPr>
      <w:r w:rsidRPr="001B2BBC">
        <w:t xml:space="preserve">The submission </w:t>
      </w:r>
      <w:r>
        <w:t xml:space="preserve">proposed no changes to the current listings </w:t>
      </w:r>
      <w:r w:rsidR="005B6FFC">
        <w:t>for</w:t>
      </w:r>
      <w:r>
        <w:t xml:space="preserve"> Renastart (PBS item codes </w:t>
      </w:r>
      <w:r w:rsidRPr="00234C7C">
        <w:t>2870C</w:t>
      </w:r>
      <w:r>
        <w:t xml:space="preserve"> and 9382T). </w:t>
      </w:r>
    </w:p>
    <w:p w14:paraId="186D2001" w14:textId="49C0EA02" w:rsidR="000B558D" w:rsidRPr="00CE01C9" w:rsidRDefault="008D7A41" w:rsidP="00CE01C9">
      <w:pPr>
        <w:pStyle w:val="2Sections"/>
      </w:pPr>
      <w:r w:rsidRPr="00CE01C9">
        <w:t>C</w:t>
      </w:r>
      <w:r w:rsidR="00D84934" w:rsidRPr="00CE01C9">
        <w:t>onsideration of the evidence</w:t>
      </w:r>
    </w:p>
    <w:p w14:paraId="362682FD" w14:textId="77777777" w:rsidR="005F1250" w:rsidRPr="00836F75" w:rsidRDefault="005F1250" w:rsidP="00CC0930">
      <w:pPr>
        <w:pStyle w:val="Heading2"/>
        <w:rPr>
          <w:snapToGrid w:val="0"/>
        </w:rPr>
      </w:pPr>
      <w:r w:rsidRPr="00836F75">
        <w:rPr>
          <w:snapToGrid w:val="0"/>
        </w:rPr>
        <w:t>Sponsor hearing</w:t>
      </w:r>
    </w:p>
    <w:p w14:paraId="6B4AB86D" w14:textId="7B6A9541" w:rsidR="005F1250" w:rsidRPr="00836F75" w:rsidRDefault="00C70408" w:rsidP="005F1250">
      <w:pPr>
        <w:widowControl w:val="0"/>
        <w:numPr>
          <w:ilvl w:val="1"/>
          <w:numId w:val="1"/>
        </w:numPr>
        <w:spacing w:after="120"/>
        <w:jc w:val="both"/>
        <w:rPr>
          <w:rFonts w:asciiTheme="minorHAnsi" w:hAnsiTheme="minorHAnsi" w:cs="Arial"/>
          <w:bCs/>
          <w:snapToGrid w:val="0"/>
        </w:rPr>
      </w:pPr>
      <w:r>
        <w:rPr>
          <w:rFonts w:asciiTheme="minorHAnsi" w:hAnsiTheme="minorHAnsi" w:cs="Arial"/>
          <w:bCs/>
          <w:snapToGrid w:val="0"/>
        </w:rPr>
        <w:t xml:space="preserve">There was no hearing for this item as it was a </w:t>
      </w:r>
      <w:r w:rsidR="006F5ACB">
        <w:rPr>
          <w:rFonts w:asciiTheme="minorHAnsi" w:hAnsiTheme="minorHAnsi" w:cs="Arial"/>
          <w:bCs/>
          <w:snapToGrid w:val="0"/>
        </w:rPr>
        <w:t>Committee Secretariat</w:t>
      </w:r>
      <w:r w:rsidR="00CE01C9">
        <w:rPr>
          <w:rFonts w:asciiTheme="minorHAnsi" w:hAnsiTheme="minorHAnsi" w:cs="Arial"/>
          <w:bCs/>
          <w:snapToGrid w:val="0"/>
        </w:rPr>
        <w:t xml:space="preserve"> submission</w:t>
      </w:r>
      <w:r>
        <w:rPr>
          <w:rFonts w:asciiTheme="minorHAnsi" w:hAnsiTheme="minorHAnsi" w:cs="Arial"/>
          <w:bCs/>
          <w:snapToGrid w:val="0"/>
        </w:rPr>
        <w:t>.</w:t>
      </w:r>
    </w:p>
    <w:p w14:paraId="2C922E40" w14:textId="77777777" w:rsidR="005F1250" w:rsidRPr="00F71AFE" w:rsidRDefault="005F1250" w:rsidP="00F71AFE">
      <w:pPr>
        <w:pStyle w:val="Heading2"/>
        <w:rPr>
          <w:snapToGrid w:val="0"/>
        </w:rPr>
      </w:pPr>
      <w:r w:rsidRPr="00F71AFE">
        <w:rPr>
          <w:snapToGrid w:val="0"/>
        </w:rPr>
        <w:t>Consumer comments</w:t>
      </w:r>
    </w:p>
    <w:p w14:paraId="52FD20EF" w14:textId="68C20A99" w:rsidR="005F1250" w:rsidRPr="005F1250" w:rsidRDefault="00C70408" w:rsidP="004A3997">
      <w:pPr>
        <w:widowControl w:val="0"/>
        <w:numPr>
          <w:ilvl w:val="1"/>
          <w:numId w:val="1"/>
        </w:numPr>
        <w:spacing w:after="120"/>
        <w:jc w:val="both"/>
        <w:rPr>
          <w:rFonts w:asciiTheme="minorHAnsi" w:hAnsiTheme="minorHAnsi" w:cs="Arial"/>
          <w:bCs/>
          <w:snapToGrid w:val="0"/>
        </w:rPr>
      </w:pPr>
      <w:r>
        <w:rPr>
          <w:rFonts w:asciiTheme="minorHAnsi" w:hAnsiTheme="minorHAnsi" w:cs="Arial"/>
          <w:bCs/>
          <w:snapToGrid w:val="0"/>
        </w:rPr>
        <w:t>The PBAC noted that no consumer comments were received for this item.</w:t>
      </w:r>
    </w:p>
    <w:p w14:paraId="2D719663" w14:textId="31D4FD10" w:rsidR="00D84934" w:rsidRPr="00937958" w:rsidRDefault="00D84934" w:rsidP="004A3997">
      <w:pPr>
        <w:pStyle w:val="Heading2"/>
      </w:pPr>
      <w:r w:rsidRPr="003C2FB5">
        <w:t>Clinical trials</w:t>
      </w:r>
      <w:r w:rsidR="0099465B">
        <w:t xml:space="preserve"> </w:t>
      </w:r>
    </w:p>
    <w:p w14:paraId="0DC48F8F" w14:textId="2359152D" w:rsidR="0076420C" w:rsidRPr="00E94B80" w:rsidRDefault="00E94B80" w:rsidP="00234C7C">
      <w:pPr>
        <w:pStyle w:val="3Bodytext"/>
      </w:pPr>
      <w:r w:rsidRPr="00E94B80">
        <w:t>As</w:t>
      </w:r>
      <w:r w:rsidR="00234C7C" w:rsidRPr="00E94B80">
        <w:t xml:space="preserve"> a </w:t>
      </w:r>
      <w:r w:rsidR="006F5ACB">
        <w:t xml:space="preserve">Committee Secretariat </w:t>
      </w:r>
      <w:r w:rsidR="00CE01C9">
        <w:t xml:space="preserve">submission </w:t>
      </w:r>
      <w:r w:rsidR="00585CEB">
        <w:t>requesting a formulation change</w:t>
      </w:r>
      <w:r w:rsidR="00234C7C" w:rsidRPr="00E94B80">
        <w:t xml:space="preserve">, no clinical trials were presented in the submission. </w:t>
      </w:r>
    </w:p>
    <w:p w14:paraId="0365997A" w14:textId="5CB020AA" w:rsidR="00234C7C" w:rsidRPr="00937958" w:rsidRDefault="00234C7C" w:rsidP="004A3997">
      <w:pPr>
        <w:pStyle w:val="Heading2"/>
      </w:pPr>
      <w:r>
        <w:t>Other relevant matters</w:t>
      </w:r>
    </w:p>
    <w:p w14:paraId="09162D6B" w14:textId="0587C2C4" w:rsidR="00266AEE" w:rsidRPr="00266AEE" w:rsidRDefault="00266AEE" w:rsidP="003655FC">
      <w:pPr>
        <w:pStyle w:val="3Bodytext"/>
        <w:numPr>
          <w:ilvl w:val="1"/>
          <w:numId w:val="1"/>
        </w:numPr>
      </w:pPr>
      <w:r w:rsidRPr="00266AEE">
        <w:t>The submission requested no changes to the current pricing arrangements for Renastart</w:t>
      </w:r>
      <w:r w:rsidR="005B6FFC">
        <w:t>. The formulation change results in 672</w:t>
      </w:r>
      <w:r w:rsidR="00E6450B">
        <w:t>kJ</w:t>
      </w:r>
      <w:r w:rsidR="005B6FFC">
        <w:t xml:space="preserve"> more being dispensed per max</w:t>
      </w:r>
      <w:r w:rsidR="00E15299">
        <w:t>imum</w:t>
      </w:r>
      <w:r w:rsidR="005B6FFC">
        <w:t xml:space="preserve"> quantity for the 400 g cans</w:t>
      </w:r>
      <w:r w:rsidR="00FA3185">
        <w:t xml:space="preserve"> (</w:t>
      </w:r>
      <w:r w:rsidR="00E6450B">
        <w:t>t</w:t>
      </w:r>
      <w:r w:rsidR="00E15299">
        <w:t xml:space="preserve">he AEMP </w:t>
      </w:r>
      <w:r w:rsidR="00FA3185">
        <w:t xml:space="preserve">for the maximum quantity </w:t>
      </w:r>
      <w:r w:rsidR="00E15299">
        <w:t>currently is $</w:t>
      </w:r>
      <w:r w:rsidR="006B5D6B">
        <w:t>1237</w:t>
      </w:r>
      <w:r w:rsidR="00E15299">
        <w:t>.36</w:t>
      </w:r>
      <w:r w:rsidR="00897D65">
        <w:t>)</w:t>
      </w:r>
      <w:r w:rsidR="00897D65">
        <w:rPr>
          <w:rStyle w:val="FootnoteReference"/>
        </w:rPr>
        <w:footnoteReference w:id="1"/>
      </w:r>
      <w:r w:rsidR="00E15299">
        <w:t xml:space="preserve">. </w:t>
      </w:r>
    </w:p>
    <w:p w14:paraId="498D1901" w14:textId="5B099EF8" w:rsidR="00897D65" w:rsidRDefault="00234C7C" w:rsidP="004A2152">
      <w:pPr>
        <w:pStyle w:val="3Bodytext"/>
      </w:pPr>
      <w:r w:rsidRPr="00585CEB">
        <w:t>The main changes to the nutritional profile</w:t>
      </w:r>
      <w:r w:rsidR="00B557F4">
        <w:t xml:space="preserve"> comparing the old formulation to the new,</w:t>
      </w:r>
      <w:r w:rsidRPr="00585CEB">
        <w:t xml:space="preserve"> include</w:t>
      </w:r>
      <w:r w:rsidR="00897D65">
        <w:t>d</w:t>
      </w:r>
      <w:r w:rsidRPr="00585CEB">
        <w:t xml:space="preserve"> a</w:t>
      </w:r>
      <w:r w:rsidR="00585CEB" w:rsidRPr="00585CEB">
        <w:t>n increase to the levels of choline</w:t>
      </w:r>
      <w:r w:rsidR="00585CEB">
        <w:t>, which was</w:t>
      </w:r>
      <w:r w:rsidR="00585CEB" w:rsidRPr="00585CEB">
        <w:t xml:space="preserve"> </w:t>
      </w:r>
      <w:r w:rsidR="00585CEB">
        <w:t xml:space="preserve">slightly </w:t>
      </w:r>
      <w:r w:rsidR="00585CEB" w:rsidRPr="00585CEB">
        <w:t>above the recommended ran</w:t>
      </w:r>
      <w:r w:rsidR="00B557F4">
        <w:t xml:space="preserve">ge according to the </w:t>
      </w:r>
      <w:r w:rsidR="009E7156">
        <w:t>Standard</w:t>
      </w:r>
      <w:r w:rsidR="00585CEB" w:rsidRPr="00585CEB">
        <w:t xml:space="preserve">. </w:t>
      </w:r>
    </w:p>
    <w:p w14:paraId="5955671A" w14:textId="46061BFA" w:rsidR="004A2152" w:rsidRDefault="004A2152" w:rsidP="004A2152">
      <w:pPr>
        <w:pStyle w:val="3Bodytext"/>
      </w:pPr>
      <w:r>
        <w:t xml:space="preserve">The submission stated Clause 27 of Division 3, Subdivision 2 </w:t>
      </w:r>
      <w:r w:rsidR="00897D65">
        <w:t>of the S</w:t>
      </w:r>
      <w:r w:rsidR="00897D65" w:rsidRPr="00585CEB">
        <w:t>tandard</w:t>
      </w:r>
      <w:r w:rsidR="00897D65">
        <w:t xml:space="preserve"> </w:t>
      </w:r>
      <w:r>
        <w:t>which relates to Infant Formula products for metabolic, immunological, renal, hepatic and malabsorptive conditions</w:t>
      </w:r>
      <w:r w:rsidR="00897D65">
        <w:t>,</w:t>
      </w:r>
      <w:r>
        <w:t xml:space="preserve"> allows an infant formula product to be specifically formulated to satisfy a condition stated above, provided that all other respects comply with the division. The submission state</w:t>
      </w:r>
      <w:r w:rsidR="009E7156">
        <w:t>d</w:t>
      </w:r>
      <w:r>
        <w:t xml:space="preserve"> that Renastart is an infant formula, specially formulated for </w:t>
      </w:r>
      <w:r w:rsidR="00897D65">
        <w:t xml:space="preserve">CKD </w:t>
      </w:r>
      <w:r>
        <w:t xml:space="preserve">(modified electrolyte, modified micronutrients, modified protein, high calorie density).  Although lower in protein and higher in kilojoules than stated as </w:t>
      </w:r>
      <w:r>
        <w:lastRenderedPageBreak/>
        <w:t>a requirement of Clause 31</w:t>
      </w:r>
      <w:r w:rsidR="00897D65">
        <w:t>,</w:t>
      </w:r>
      <w:r>
        <w:t xml:space="preserve"> this variation is acceptable as per Clause 27. </w:t>
      </w:r>
      <w:r w:rsidR="00897D65">
        <w:t>The</w:t>
      </w:r>
      <w:r w:rsidR="00897D65" w:rsidRPr="00897D65">
        <w:t xml:space="preserve"> </w:t>
      </w:r>
      <w:r w:rsidR="00897D65">
        <w:t xml:space="preserve">protein and caloric content was not significantly altered from the old formulation to the new. </w:t>
      </w:r>
    </w:p>
    <w:p w14:paraId="504FC8F7" w14:textId="166C15B5" w:rsidR="0070637E" w:rsidRDefault="004A2152" w:rsidP="00E94B80">
      <w:pPr>
        <w:pStyle w:val="3Bodytext"/>
        <w:numPr>
          <w:ilvl w:val="1"/>
          <w:numId w:val="1"/>
        </w:numPr>
      </w:pPr>
      <w:r>
        <w:t>Other changes included</w:t>
      </w:r>
      <w:r w:rsidR="00585CEB" w:rsidRPr="00585CEB">
        <w:t xml:space="preserve"> minor increases to the levels of iodine, selenium, and chromium</w:t>
      </w:r>
      <w:r w:rsidR="00585CEB">
        <w:t>, as well as a decrease in the levels of aspartic acid and glutamine.</w:t>
      </w:r>
      <w:r w:rsidR="00234C7C" w:rsidRPr="00585CEB">
        <w:t xml:space="preserve"> </w:t>
      </w:r>
    </w:p>
    <w:p w14:paraId="3807BA75" w14:textId="6E6F1B33" w:rsidR="0070637E" w:rsidRPr="001F5732" w:rsidRDefault="000071BF" w:rsidP="000071BF">
      <w:pPr>
        <w:pStyle w:val="Tabletitles"/>
        <w:rPr>
          <w:rFonts w:eastAsiaTheme="minorHAnsi"/>
          <w:lang w:eastAsia="en-US"/>
        </w:rPr>
      </w:pPr>
      <w:r>
        <w:rPr>
          <w:rFonts w:eastAsiaTheme="minorHAnsi"/>
          <w:lang w:eastAsia="en-US"/>
        </w:rPr>
        <w:t xml:space="preserve">Table 1: </w:t>
      </w:r>
      <w:r w:rsidR="003E4FA4" w:rsidRPr="001F5732">
        <w:rPr>
          <w:rFonts w:eastAsiaTheme="minorHAnsi"/>
          <w:lang w:eastAsia="en-US"/>
        </w:rPr>
        <w:t>O</w:t>
      </w:r>
      <w:r w:rsidR="0070637E" w:rsidRPr="001F5732">
        <w:rPr>
          <w:rFonts w:eastAsiaTheme="minorHAnsi"/>
          <w:lang w:eastAsia="en-US"/>
        </w:rPr>
        <w:t>verview of</w:t>
      </w:r>
      <w:r w:rsidR="003E4FA4" w:rsidRPr="001F5732">
        <w:rPr>
          <w:rFonts w:eastAsiaTheme="minorHAnsi"/>
          <w:lang w:eastAsia="en-US"/>
        </w:rPr>
        <w:t xml:space="preserve"> key</w:t>
      </w:r>
      <w:r w:rsidR="0070637E" w:rsidRPr="001F5732">
        <w:rPr>
          <w:rFonts w:eastAsiaTheme="minorHAnsi"/>
          <w:lang w:eastAsia="en-US"/>
        </w:rPr>
        <w:t xml:space="preserve"> Renastart formulation changes</w:t>
      </w:r>
    </w:p>
    <w:tbl>
      <w:tblPr>
        <w:tblStyle w:val="TableGrid"/>
        <w:tblW w:w="5000" w:type="pct"/>
        <w:tblLook w:val="04A0" w:firstRow="1" w:lastRow="0" w:firstColumn="1" w:lastColumn="0" w:noHBand="0" w:noVBand="1"/>
        <w:tblCaption w:val="Table 1"/>
        <w:tblDescription w:val="Overview of key Renastart formulation changes"/>
      </w:tblPr>
      <w:tblGrid>
        <w:gridCol w:w="2545"/>
        <w:gridCol w:w="2157"/>
        <w:gridCol w:w="2157"/>
        <w:gridCol w:w="2157"/>
      </w:tblGrid>
      <w:tr w:rsidR="00595D16" w:rsidRPr="0070637E" w14:paraId="110EA781" w14:textId="28E50BAF" w:rsidTr="006E64A4">
        <w:trPr>
          <w:trHeight w:val="170"/>
          <w:tblHeader/>
        </w:trPr>
        <w:tc>
          <w:tcPr>
            <w:tcW w:w="1411" w:type="pct"/>
          </w:tcPr>
          <w:p w14:paraId="1B88E5BC" w14:textId="77777777" w:rsidR="00595D16" w:rsidRPr="000071BF" w:rsidRDefault="00595D16" w:rsidP="000071BF">
            <w:pPr>
              <w:pStyle w:val="TableText0"/>
              <w:rPr>
                <w:rFonts w:eastAsiaTheme="minorHAnsi"/>
                <w:b/>
                <w:lang w:eastAsia="en-US"/>
              </w:rPr>
            </w:pPr>
            <w:r w:rsidRPr="000071BF">
              <w:rPr>
                <w:rFonts w:eastAsiaTheme="minorHAnsi"/>
                <w:b/>
                <w:lang w:eastAsia="en-US"/>
              </w:rPr>
              <w:t>Type of change/parameter</w:t>
            </w:r>
          </w:p>
          <w:p w14:paraId="6DE21EDB" w14:textId="77777777" w:rsidR="00595D16" w:rsidRPr="000071BF" w:rsidRDefault="00595D16" w:rsidP="000071BF">
            <w:pPr>
              <w:pStyle w:val="TableText0"/>
              <w:rPr>
                <w:rFonts w:eastAsiaTheme="minorHAnsi"/>
                <w:b/>
                <w:lang w:eastAsia="en-US"/>
              </w:rPr>
            </w:pPr>
            <w:r w:rsidRPr="000071BF">
              <w:rPr>
                <w:rFonts w:eastAsiaTheme="minorHAnsi"/>
                <w:b/>
                <w:lang w:eastAsia="en-US"/>
              </w:rPr>
              <w:t xml:space="preserve">(grams per 100kcal) </w:t>
            </w:r>
          </w:p>
        </w:tc>
        <w:tc>
          <w:tcPr>
            <w:tcW w:w="1196" w:type="pct"/>
          </w:tcPr>
          <w:p w14:paraId="16C6B54B" w14:textId="77777777" w:rsidR="00595D16" w:rsidRPr="000071BF" w:rsidRDefault="00595D16" w:rsidP="000071BF">
            <w:pPr>
              <w:pStyle w:val="TableText0"/>
              <w:rPr>
                <w:rFonts w:eastAsiaTheme="minorHAnsi"/>
                <w:b/>
                <w:lang w:eastAsia="en-US"/>
              </w:rPr>
            </w:pPr>
            <w:r w:rsidRPr="000071BF">
              <w:rPr>
                <w:rFonts w:eastAsiaTheme="minorHAnsi"/>
                <w:b/>
                <w:lang w:eastAsia="en-US"/>
              </w:rPr>
              <w:t>Old formulation</w:t>
            </w:r>
          </w:p>
        </w:tc>
        <w:tc>
          <w:tcPr>
            <w:tcW w:w="1196" w:type="pct"/>
          </w:tcPr>
          <w:p w14:paraId="6025A9ED" w14:textId="77777777" w:rsidR="00595D16" w:rsidRPr="000071BF" w:rsidRDefault="00595D16" w:rsidP="000071BF">
            <w:pPr>
              <w:pStyle w:val="TableText0"/>
              <w:rPr>
                <w:rFonts w:eastAsiaTheme="minorHAnsi"/>
                <w:b/>
                <w:lang w:eastAsia="en-US"/>
              </w:rPr>
            </w:pPr>
            <w:r w:rsidRPr="000071BF">
              <w:rPr>
                <w:rFonts w:eastAsiaTheme="minorHAnsi"/>
                <w:b/>
                <w:lang w:eastAsia="en-US"/>
              </w:rPr>
              <w:t>New formulation</w:t>
            </w:r>
          </w:p>
        </w:tc>
        <w:tc>
          <w:tcPr>
            <w:tcW w:w="1196" w:type="pct"/>
          </w:tcPr>
          <w:p w14:paraId="75FDF7E3" w14:textId="187978C8" w:rsidR="00595D16" w:rsidRPr="000071BF" w:rsidRDefault="00595D16" w:rsidP="000071BF">
            <w:pPr>
              <w:pStyle w:val="TableText0"/>
              <w:rPr>
                <w:rFonts w:eastAsiaTheme="minorHAnsi"/>
                <w:b/>
                <w:lang w:eastAsia="en-US"/>
              </w:rPr>
            </w:pPr>
            <w:r w:rsidRPr="000071BF">
              <w:rPr>
                <w:rFonts w:eastAsiaTheme="minorHAnsi"/>
                <w:b/>
                <w:lang w:eastAsia="en-US"/>
              </w:rPr>
              <w:t>Comparator (Kindergen)</w:t>
            </w:r>
          </w:p>
        </w:tc>
      </w:tr>
      <w:tr w:rsidR="00595D16" w:rsidRPr="0070637E" w14:paraId="4C480278" w14:textId="2B1BABF6" w:rsidTr="000071BF">
        <w:trPr>
          <w:trHeight w:val="170"/>
        </w:trPr>
        <w:tc>
          <w:tcPr>
            <w:tcW w:w="1411" w:type="pct"/>
          </w:tcPr>
          <w:p w14:paraId="7A3CA71F" w14:textId="77777777" w:rsidR="00595D16" w:rsidRPr="0070637E" w:rsidRDefault="00595D16" w:rsidP="000071BF">
            <w:pPr>
              <w:pStyle w:val="TableText0"/>
              <w:rPr>
                <w:rFonts w:eastAsiaTheme="minorHAnsi"/>
                <w:lang w:eastAsia="en-US"/>
              </w:rPr>
            </w:pPr>
            <w:r w:rsidRPr="0070637E">
              <w:rPr>
                <w:rFonts w:eastAsiaTheme="minorHAnsi"/>
                <w:lang w:eastAsia="en-US"/>
              </w:rPr>
              <w:t>Energy (kcal/100mL)</w:t>
            </w:r>
          </w:p>
        </w:tc>
        <w:tc>
          <w:tcPr>
            <w:tcW w:w="1196" w:type="pct"/>
          </w:tcPr>
          <w:p w14:paraId="03E4575D" w14:textId="4C35EC1E" w:rsidR="00595D16" w:rsidRPr="0070637E" w:rsidRDefault="00595D16" w:rsidP="000071BF">
            <w:pPr>
              <w:pStyle w:val="TableText0"/>
              <w:rPr>
                <w:rFonts w:eastAsiaTheme="minorHAnsi"/>
                <w:lang w:eastAsia="en-US"/>
              </w:rPr>
            </w:pPr>
            <w:r>
              <w:rPr>
                <w:rFonts w:eastAsiaTheme="minorHAnsi"/>
                <w:lang w:eastAsia="en-US"/>
              </w:rPr>
              <w:t>99</w:t>
            </w:r>
          </w:p>
        </w:tc>
        <w:tc>
          <w:tcPr>
            <w:tcW w:w="1196" w:type="pct"/>
          </w:tcPr>
          <w:p w14:paraId="69F82B14" w14:textId="3E8077E4" w:rsidR="00595D16" w:rsidRPr="0070637E" w:rsidRDefault="00595D16" w:rsidP="000071BF">
            <w:pPr>
              <w:pStyle w:val="TableText0"/>
              <w:rPr>
                <w:rFonts w:eastAsiaTheme="minorHAnsi"/>
                <w:lang w:eastAsia="en-US"/>
              </w:rPr>
            </w:pPr>
            <w:r>
              <w:rPr>
                <w:rFonts w:eastAsiaTheme="minorHAnsi"/>
                <w:lang w:eastAsia="en-US"/>
              </w:rPr>
              <w:t>100</w:t>
            </w:r>
          </w:p>
        </w:tc>
        <w:tc>
          <w:tcPr>
            <w:tcW w:w="1196" w:type="pct"/>
          </w:tcPr>
          <w:p w14:paraId="5FA0D6CE" w14:textId="38B778C8" w:rsidR="00595D16" w:rsidRPr="0070637E" w:rsidRDefault="00595D16" w:rsidP="000071BF">
            <w:pPr>
              <w:pStyle w:val="TableText0"/>
              <w:rPr>
                <w:rFonts w:eastAsiaTheme="minorHAnsi"/>
                <w:lang w:eastAsia="en-US"/>
              </w:rPr>
            </w:pPr>
            <w:r>
              <w:rPr>
                <w:rFonts w:eastAsiaTheme="minorHAnsi"/>
                <w:lang w:eastAsia="en-US"/>
              </w:rPr>
              <w:t>101</w:t>
            </w:r>
          </w:p>
        </w:tc>
      </w:tr>
      <w:tr w:rsidR="00595D16" w:rsidRPr="0070637E" w14:paraId="7BB11D1A" w14:textId="385D7FE4" w:rsidTr="000071BF">
        <w:trPr>
          <w:trHeight w:val="170"/>
        </w:trPr>
        <w:tc>
          <w:tcPr>
            <w:tcW w:w="1411" w:type="pct"/>
          </w:tcPr>
          <w:p w14:paraId="01939714" w14:textId="77777777" w:rsidR="00595D16" w:rsidRPr="0070637E" w:rsidRDefault="00595D16" w:rsidP="000071BF">
            <w:pPr>
              <w:pStyle w:val="TableText0"/>
              <w:rPr>
                <w:rFonts w:eastAsiaTheme="minorHAnsi"/>
                <w:lang w:eastAsia="en-US"/>
              </w:rPr>
            </w:pPr>
            <w:r w:rsidRPr="0070637E">
              <w:rPr>
                <w:rFonts w:eastAsiaTheme="minorHAnsi"/>
                <w:lang w:eastAsia="en-US"/>
              </w:rPr>
              <w:t>Protein</w:t>
            </w:r>
          </w:p>
        </w:tc>
        <w:tc>
          <w:tcPr>
            <w:tcW w:w="1196" w:type="pct"/>
          </w:tcPr>
          <w:p w14:paraId="161799CF" w14:textId="7E2D22C9" w:rsidR="00595D16" w:rsidRPr="0070637E" w:rsidRDefault="00595D16" w:rsidP="000071BF">
            <w:pPr>
              <w:pStyle w:val="TableText0"/>
              <w:rPr>
                <w:rFonts w:eastAsiaTheme="minorHAnsi"/>
                <w:lang w:eastAsia="en-US"/>
              </w:rPr>
            </w:pPr>
            <w:r>
              <w:rPr>
                <w:rFonts w:eastAsiaTheme="minorHAnsi"/>
                <w:lang w:eastAsia="en-US"/>
              </w:rPr>
              <w:t>1.5</w:t>
            </w:r>
          </w:p>
        </w:tc>
        <w:tc>
          <w:tcPr>
            <w:tcW w:w="1196" w:type="pct"/>
          </w:tcPr>
          <w:p w14:paraId="22744EE1" w14:textId="4A28B0B8" w:rsidR="00595D16" w:rsidRPr="0070637E" w:rsidRDefault="00595D16" w:rsidP="000071BF">
            <w:pPr>
              <w:pStyle w:val="TableText0"/>
              <w:rPr>
                <w:rFonts w:eastAsiaTheme="minorHAnsi"/>
                <w:lang w:eastAsia="en-US"/>
              </w:rPr>
            </w:pPr>
            <w:r>
              <w:rPr>
                <w:rFonts w:eastAsiaTheme="minorHAnsi"/>
                <w:lang w:eastAsia="en-US"/>
              </w:rPr>
              <w:t>1.5</w:t>
            </w:r>
          </w:p>
        </w:tc>
        <w:tc>
          <w:tcPr>
            <w:tcW w:w="1196" w:type="pct"/>
          </w:tcPr>
          <w:p w14:paraId="76002C9C" w14:textId="680C992E" w:rsidR="00595D16" w:rsidRPr="0070637E" w:rsidRDefault="00595D16" w:rsidP="000071BF">
            <w:pPr>
              <w:pStyle w:val="TableText0"/>
              <w:rPr>
                <w:rFonts w:eastAsiaTheme="minorHAnsi"/>
                <w:lang w:eastAsia="en-US"/>
              </w:rPr>
            </w:pPr>
            <w:r>
              <w:rPr>
                <w:rFonts w:eastAsiaTheme="minorHAnsi"/>
                <w:lang w:eastAsia="en-US"/>
              </w:rPr>
              <w:t>1.5</w:t>
            </w:r>
          </w:p>
        </w:tc>
      </w:tr>
      <w:tr w:rsidR="00595D16" w:rsidRPr="0070637E" w14:paraId="24CDC1E9" w14:textId="7FBC5441" w:rsidTr="000071BF">
        <w:trPr>
          <w:trHeight w:val="170"/>
        </w:trPr>
        <w:tc>
          <w:tcPr>
            <w:tcW w:w="1411" w:type="pct"/>
            <w:tcBorders>
              <w:bottom w:val="single" w:sz="4" w:space="0" w:color="auto"/>
            </w:tcBorders>
          </w:tcPr>
          <w:p w14:paraId="54B6697A" w14:textId="77777777" w:rsidR="00595D16" w:rsidRPr="0070637E" w:rsidRDefault="00595D16" w:rsidP="000071BF">
            <w:pPr>
              <w:pStyle w:val="TableText0"/>
              <w:rPr>
                <w:rFonts w:eastAsiaTheme="minorHAnsi"/>
                <w:lang w:eastAsia="en-US"/>
              </w:rPr>
            </w:pPr>
            <w:r w:rsidRPr="0070637E">
              <w:rPr>
                <w:rFonts w:eastAsiaTheme="minorHAnsi"/>
                <w:lang w:eastAsia="en-US"/>
              </w:rPr>
              <w:t>Fats (total)</w:t>
            </w:r>
          </w:p>
        </w:tc>
        <w:tc>
          <w:tcPr>
            <w:tcW w:w="1196" w:type="pct"/>
            <w:tcBorders>
              <w:bottom w:val="single" w:sz="4" w:space="0" w:color="auto"/>
            </w:tcBorders>
          </w:tcPr>
          <w:p w14:paraId="74F9510C" w14:textId="0C617BF2" w:rsidR="00595D16" w:rsidRPr="0070637E" w:rsidRDefault="00595D16" w:rsidP="000071BF">
            <w:pPr>
              <w:pStyle w:val="TableText0"/>
              <w:rPr>
                <w:rFonts w:eastAsiaTheme="minorHAnsi"/>
                <w:lang w:eastAsia="en-US"/>
              </w:rPr>
            </w:pPr>
            <w:r>
              <w:rPr>
                <w:rFonts w:eastAsiaTheme="minorHAnsi"/>
                <w:lang w:eastAsia="en-US"/>
              </w:rPr>
              <w:t>4.8</w:t>
            </w:r>
          </w:p>
        </w:tc>
        <w:tc>
          <w:tcPr>
            <w:tcW w:w="1196" w:type="pct"/>
            <w:tcBorders>
              <w:bottom w:val="single" w:sz="4" w:space="0" w:color="auto"/>
            </w:tcBorders>
          </w:tcPr>
          <w:p w14:paraId="1BA7307F" w14:textId="60381FA4" w:rsidR="00595D16" w:rsidRPr="0070637E" w:rsidRDefault="00595D16" w:rsidP="000071BF">
            <w:pPr>
              <w:pStyle w:val="TableText0"/>
              <w:rPr>
                <w:rFonts w:eastAsiaTheme="minorHAnsi"/>
                <w:lang w:eastAsia="en-US"/>
              </w:rPr>
            </w:pPr>
            <w:r>
              <w:rPr>
                <w:rFonts w:eastAsiaTheme="minorHAnsi"/>
                <w:lang w:eastAsia="en-US"/>
              </w:rPr>
              <w:t>4.8</w:t>
            </w:r>
          </w:p>
        </w:tc>
        <w:tc>
          <w:tcPr>
            <w:tcW w:w="1196" w:type="pct"/>
            <w:tcBorders>
              <w:bottom w:val="single" w:sz="4" w:space="0" w:color="auto"/>
            </w:tcBorders>
          </w:tcPr>
          <w:p w14:paraId="76F93DEB" w14:textId="15243DD9" w:rsidR="00595D16" w:rsidRPr="0070637E" w:rsidRDefault="00595D16" w:rsidP="000071BF">
            <w:pPr>
              <w:pStyle w:val="TableText0"/>
              <w:rPr>
                <w:rFonts w:eastAsiaTheme="minorHAnsi"/>
                <w:lang w:eastAsia="en-US"/>
              </w:rPr>
            </w:pPr>
            <w:r>
              <w:rPr>
                <w:rFonts w:eastAsiaTheme="minorHAnsi"/>
                <w:lang w:eastAsia="en-US"/>
              </w:rPr>
              <w:t>5.3</w:t>
            </w:r>
          </w:p>
        </w:tc>
      </w:tr>
      <w:tr w:rsidR="00595D16" w:rsidRPr="0070637E" w14:paraId="64C17F95" w14:textId="30A8EFEE" w:rsidTr="000071BF">
        <w:trPr>
          <w:trHeight w:val="170"/>
        </w:trPr>
        <w:tc>
          <w:tcPr>
            <w:tcW w:w="1411" w:type="pct"/>
            <w:tcBorders>
              <w:top w:val="nil"/>
              <w:left w:val="single" w:sz="4" w:space="0" w:color="auto"/>
              <w:bottom w:val="nil"/>
              <w:right w:val="single" w:sz="4" w:space="0" w:color="auto"/>
            </w:tcBorders>
          </w:tcPr>
          <w:p w14:paraId="7A09FDDA" w14:textId="171E414E" w:rsidR="00595D16" w:rsidRPr="0070637E" w:rsidRDefault="001F5732" w:rsidP="000071BF">
            <w:pPr>
              <w:pStyle w:val="TableText0"/>
              <w:rPr>
                <w:rFonts w:eastAsiaTheme="minorHAnsi"/>
                <w:lang w:eastAsia="en-US"/>
              </w:rPr>
            </w:pPr>
            <w:r w:rsidRPr="0070637E">
              <w:rPr>
                <w:rFonts w:eastAsiaTheme="minorHAnsi"/>
                <w:lang w:eastAsia="en-US"/>
              </w:rPr>
              <w:t>Docosahexaenoic</w:t>
            </w:r>
            <w:r w:rsidR="00595D16" w:rsidRPr="0070637E">
              <w:rPr>
                <w:rFonts w:eastAsiaTheme="minorHAnsi"/>
                <w:lang w:eastAsia="en-US"/>
              </w:rPr>
              <w:t xml:space="preserve"> acid (DHA) </w:t>
            </w:r>
          </w:p>
        </w:tc>
        <w:tc>
          <w:tcPr>
            <w:tcW w:w="1196" w:type="pct"/>
            <w:tcBorders>
              <w:top w:val="nil"/>
              <w:left w:val="single" w:sz="4" w:space="0" w:color="auto"/>
              <w:bottom w:val="nil"/>
            </w:tcBorders>
            <w:vAlign w:val="center"/>
          </w:tcPr>
          <w:p w14:paraId="6C5C9837" w14:textId="2036FAA6" w:rsidR="00595D16" w:rsidRPr="0070637E" w:rsidRDefault="00595D16" w:rsidP="000071BF">
            <w:pPr>
              <w:pStyle w:val="TableText0"/>
              <w:rPr>
                <w:rFonts w:eastAsiaTheme="minorHAnsi"/>
                <w:lang w:eastAsia="en-US"/>
              </w:rPr>
            </w:pPr>
            <w:r>
              <w:rPr>
                <w:rFonts w:eastAsiaTheme="minorHAnsi"/>
                <w:lang w:eastAsia="en-US"/>
              </w:rPr>
              <w:t>16</w:t>
            </w:r>
          </w:p>
        </w:tc>
        <w:tc>
          <w:tcPr>
            <w:tcW w:w="1196" w:type="pct"/>
            <w:tcBorders>
              <w:top w:val="nil"/>
              <w:bottom w:val="nil"/>
            </w:tcBorders>
            <w:vAlign w:val="center"/>
          </w:tcPr>
          <w:p w14:paraId="37487848" w14:textId="36D3ED42" w:rsidR="00595D16" w:rsidRPr="0070637E" w:rsidRDefault="00595D16" w:rsidP="000071BF">
            <w:pPr>
              <w:pStyle w:val="TableText0"/>
              <w:rPr>
                <w:rFonts w:eastAsiaTheme="minorHAnsi"/>
                <w:lang w:eastAsia="en-US"/>
              </w:rPr>
            </w:pPr>
            <w:r>
              <w:rPr>
                <w:rFonts w:eastAsiaTheme="minorHAnsi"/>
                <w:lang w:eastAsia="en-US"/>
              </w:rPr>
              <w:t>23</w:t>
            </w:r>
          </w:p>
        </w:tc>
        <w:tc>
          <w:tcPr>
            <w:tcW w:w="1196" w:type="pct"/>
            <w:tcBorders>
              <w:top w:val="nil"/>
              <w:bottom w:val="nil"/>
            </w:tcBorders>
            <w:vAlign w:val="center"/>
          </w:tcPr>
          <w:p w14:paraId="5C0957E6" w14:textId="742EE15C" w:rsidR="00595D16" w:rsidRPr="0070637E" w:rsidRDefault="00595D16" w:rsidP="000071BF">
            <w:pPr>
              <w:pStyle w:val="TableText0"/>
              <w:rPr>
                <w:rFonts w:eastAsiaTheme="minorHAnsi"/>
                <w:lang w:eastAsia="en-US"/>
              </w:rPr>
            </w:pPr>
            <w:r>
              <w:rPr>
                <w:rFonts w:eastAsiaTheme="minorHAnsi"/>
                <w:lang w:eastAsia="en-US"/>
              </w:rPr>
              <w:t>-</w:t>
            </w:r>
          </w:p>
        </w:tc>
      </w:tr>
      <w:tr w:rsidR="00595D16" w:rsidRPr="0070637E" w14:paraId="78776CA6" w14:textId="6D7DF59C" w:rsidTr="000071BF">
        <w:trPr>
          <w:trHeight w:val="170"/>
        </w:trPr>
        <w:tc>
          <w:tcPr>
            <w:tcW w:w="1411" w:type="pct"/>
            <w:tcBorders>
              <w:top w:val="nil"/>
              <w:left w:val="single" w:sz="4" w:space="0" w:color="auto"/>
              <w:bottom w:val="nil"/>
              <w:right w:val="single" w:sz="4" w:space="0" w:color="auto"/>
            </w:tcBorders>
          </w:tcPr>
          <w:p w14:paraId="6E48723C" w14:textId="77777777" w:rsidR="00595D16" w:rsidRPr="0070637E" w:rsidRDefault="00595D16" w:rsidP="000071BF">
            <w:pPr>
              <w:pStyle w:val="TableText0"/>
              <w:rPr>
                <w:rFonts w:eastAsiaTheme="minorHAnsi"/>
                <w:lang w:eastAsia="en-US"/>
              </w:rPr>
            </w:pPr>
            <w:r w:rsidRPr="0070637E">
              <w:rPr>
                <w:rFonts w:eastAsiaTheme="minorHAnsi"/>
                <w:lang w:eastAsia="en-US"/>
              </w:rPr>
              <w:t>Arachidonic acid (ARA)</w:t>
            </w:r>
          </w:p>
        </w:tc>
        <w:tc>
          <w:tcPr>
            <w:tcW w:w="1196" w:type="pct"/>
            <w:tcBorders>
              <w:top w:val="nil"/>
              <w:left w:val="single" w:sz="4" w:space="0" w:color="auto"/>
              <w:bottom w:val="nil"/>
            </w:tcBorders>
            <w:vAlign w:val="center"/>
          </w:tcPr>
          <w:p w14:paraId="6C535258" w14:textId="493C96E3" w:rsidR="00595D16" w:rsidRPr="0070637E" w:rsidRDefault="00595D16" w:rsidP="000071BF">
            <w:pPr>
              <w:pStyle w:val="TableText0"/>
              <w:rPr>
                <w:rFonts w:eastAsiaTheme="minorHAnsi"/>
                <w:lang w:eastAsia="en-US"/>
              </w:rPr>
            </w:pPr>
            <w:r>
              <w:rPr>
                <w:rFonts w:eastAsiaTheme="minorHAnsi"/>
                <w:lang w:eastAsia="en-US"/>
              </w:rPr>
              <w:t>30</w:t>
            </w:r>
          </w:p>
        </w:tc>
        <w:tc>
          <w:tcPr>
            <w:tcW w:w="1196" w:type="pct"/>
            <w:tcBorders>
              <w:top w:val="nil"/>
              <w:bottom w:val="nil"/>
            </w:tcBorders>
            <w:vAlign w:val="center"/>
          </w:tcPr>
          <w:p w14:paraId="538ADF32" w14:textId="2018499F" w:rsidR="00595D16" w:rsidRPr="0070637E" w:rsidRDefault="00595D16" w:rsidP="000071BF">
            <w:pPr>
              <w:pStyle w:val="TableText0"/>
              <w:rPr>
                <w:rFonts w:eastAsiaTheme="minorHAnsi"/>
                <w:lang w:eastAsia="en-US"/>
              </w:rPr>
            </w:pPr>
            <w:r>
              <w:rPr>
                <w:rFonts w:eastAsiaTheme="minorHAnsi"/>
                <w:lang w:eastAsia="en-US"/>
              </w:rPr>
              <w:t>40</w:t>
            </w:r>
          </w:p>
        </w:tc>
        <w:tc>
          <w:tcPr>
            <w:tcW w:w="1196" w:type="pct"/>
            <w:tcBorders>
              <w:top w:val="nil"/>
              <w:bottom w:val="nil"/>
            </w:tcBorders>
            <w:vAlign w:val="center"/>
          </w:tcPr>
          <w:p w14:paraId="14444076" w14:textId="47ACFD77" w:rsidR="00595D16" w:rsidRPr="0070637E" w:rsidRDefault="00595D16" w:rsidP="000071BF">
            <w:pPr>
              <w:pStyle w:val="TableText0"/>
              <w:rPr>
                <w:rFonts w:eastAsiaTheme="minorHAnsi"/>
                <w:lang w:eastAsia="en-US"/>
              </w:rPr>
            </w:pPr>
            <w:r>
              <w:rPr>
                <w:rFonts w:eastAsiaTheme="minorHAnsi"/>
                <w:lang w:eastAsia="en-US"/>
              </w:rPr>
              <w:t>-</w:t>
            </w:r>
          </w:p>
        </w:tc>
      </w:tr>
      <w:tr w:rsidR="00595D16" w:rsidRPr="0070637E" w14:paraId="29E02B0F" w14:textId="196999CE" w:rsidTr="000071BF">
        <w:trPr>
          <w:trHeight w:val="170"/>
        </w:trPr>
        <w:tc>
          <w:tcPr>
            <w:tcW w:w="1411" w:type="pct"/>
            <w:tcBorders>
              <w:top w:val="nil"/>
              <w:left w:val="single" w:sz="4" w:space="0" w:color="auto"/>
              <w:bottom w:val="nil"/>
              <w:right w:val="single" w:sz="4" w:space="0" w:color="auto"/>
            </w:tcBorders>
          </w:tcPr>
          <w:p w14:paraId="18901F5B" w14:textId="77777777" w:rsidR="00595D16" w:rsidRPr="0070637E" w:rsidRDefault="00595D16" w:rsidP="000071BF">
            <w:pPr>
              <w:pStyle w:val="TableText0"/>
              <w:rPr>
                <w:rFonts w:eastAsiaTheme="minorHAnsi"/>
                <w:lang w:eastAsia="en-US"/>
              </w:rPr>
            </w:pPr>
            <w:r w:rsidRPr="0070637E">
              <w:rPr>
                <w:rFonts w:eastAsiaTheme="minorHAnsi"/>
                <w:lang w:eastAsia="en-US"/>
              </w:rPr>
              <w:t>Linoleic acid</w:t>
            </w:r>
          </w:p>
        </w:tc>
        <w:tc>
          <w:tcPr>
            <w:tcW w:w="1196" w:type="pct"/>
            <w:tcBorders>
              <w:top w:val="nil"/>
              <w:left w:val="single" w:sz="4" w:space="0" w:color="auto"/>
              <w:bottom w:val="nil"/>
            </w:tcBorders>
            <w:vAlign w:val="center"/>
          </w:tcPr>
          <w:p w14:paraId="6C0FB40E" w14:textId="626F3071" w:rsidR="00595D16" w:rsidRPr="0070637E" w:rsidRDefault="00595D16" w:rsidP="000071BF">
            <w:pPr>
              <w:pStyle w:val="TableText0"/>
              <w:rPr>
                <w:rFonts w:eastAsiaTheme="minorHAnsi"/>
                <w:lang w:eastAsia="en-US"/>
              </w:rPr>
            </w:pPr>
            <w:r>
              <w:rPr>
                <w:rFonts w:eastAsiaTheme="minorHAnsi"/>
                <w:lang w:eastAsia="en-US"/>
              </w:rPr>
              <w:t>560</w:t>
            </w:r>
          </w:p>
        </w:tc>
        <w:tc>
          <w:tcPr>
            <w:tcW w:w="1196" w:type="pct"/>
            <w:tcBorders>
              <w:top w:val="nil"/>
              <w:bottom w:val="nil"/>
            </w:tcBorders>
            <w:vAlign w:val="center"/>
          </w:tcPr>
          <w:p w14:paraId="317B80A9" w14:textId="10038B67" w:rsidR="00595D16" w:rsidRPr="0070637E" w:rsidRDefault="00595D16" w:rsidP="000071BF">
            <w:pPr>
              <w:pStyle w:val="TableText0"/>
              <w:rPr>
                <w:rFonts w:eastAsiaTheme="minorHAnsi"/>
                <w:lang w:eastAsia="en-US"/>
              </w:rPr>
            </w:pPr>
            <w:r>
              <w:rPr>
                <w:rFonts w:eastAsiaTheme="minorHAnsi"/>
                <w:lang w:eastAsia="en-US"/>
              </w:rPr>
              <w:t>746</w:t>
            </w:r>
          </w:p>
        </w:tc>
        <w:tc>
          <w:tcPr>
            <w:tcW w:w="1196" w:type="pct"/>
            <w:tcBorders>
              <w:top w:val="nil"/>
              <w:bottom w:val="nil"/>
            </w:tcBorders>
            <w:vAlign w:val="center"/>
          </w:tcPr>
          <w:p w14:paraId="033E2A63" w14:textId="29A09DD4" w:rsidR="00595D16" w:rsidRPr="0070637E" w:rsidRDefault="00595D16" w:rsidP="000071BF">
            <w:pPr>
              <w:pStyle w:val="TableText0"/>
              <w:rPr>
                <w:rFonts w:eastAsiaTheme="minorHAnsi"/>
                <w:lang w:eastAsia="en-US"/>
              </w:rPr>
            </w:pPr>
            <w:r>
              <w:rPr>
                <w:rFonts w:eastAsiaTheme="minorHAnsi"/>
                <w:lang w:eastAsia="en-US"/>
              </w:rPr>
              <w:t>830</w:t>
            </w:r>
          </w:p>
        </w:tc>
      </w:tr>
      <w:tr w:rsidR="00595D16" w:rsidRPr="0070637E" w14:paraId="357CB004" w14:textId="02ECD470" w:rsidTr="000071BF">
        <w:trPr>
          <w:trHeight w:val="170"/>
        </w:trPr>
        <w:tc>
          <w:tcPr>
            <w:tcW w:w="1411" w:type="pct"/>
            <w:tcBorders>
              <w:top w:val="nil"/>
              <w:left w:val="single" w:sz="4" w:space="0" w:color="auto"/>
              <w:bottom w:val="single" w:sz="4" w:space="0" w:color="auto"/>
              <w:right w:val="single" w:sz="4" w:space="0" w:color="auto"/>
            </w:tcBorders>
          </w:tcPr>
          <w:p w14:paraId="17E0972C" w14:textId="3A2F3110" w:rsidR="00595D16" w:rsidRPr="0070637E" w:rsidRDefault="00595D16" w:rsidP="000071BF">
            <w:pPr>
              <w:pStyle w:val="TableText0"/>
              <w:rPr>
                <w:rFonts w:eastAsiaTheme="minorHAnsi"/>
                <w:lang w:eastAsia="en-US"/>
              </w:rPr>
            </w:pPr>
            <w:r w:rsidRPr="0070637E">
              <w:rPr>
                <w:rFonts w:eastAsiaTheme="minorHAnsi"/>
                <w:lang w:eastAsia="en-US"/>
              </w:rPr>
              <w:t>α-</w:t>
            </w:r>
            <w:r w:rsidR="001F5732" w:rsidRPr="0070637E">
              <w:rPr>
                <w:rFonts w:eastAsiaTheme="minorHAnsi"/>
                <w:lang w:eastAsia="en-US"/>
              </w:rPr>
              <w:t>linoleic</w:t>
            </w:r>
            <w:r w:rsidRPr="0070637E">
              <w:rPr>
                <w:rFonts w:eastAsiaTheme="minorHAnsi"/>
                <w:lang w:eastAsia="en-US"/>
              </w:rPr>
              <w:t xml:space="preserve"> acid</w:t>
            </w:r>
          </w:p>
        </w:tc>
        <w:tc>
          <w:tcPr>
            <w:tcW w:w="1196" w:type="pct"/>
            <w:tcBorders>
              <w:top w:val="nil"/>
              <w:left w:val="single" w:sz="4" w:space="0" w:color="auto"/>
              <w:bottom w:val="single" w:sz="4" w:space="0" w:color="auto"/>
            </w:tcBorders>
            <w:vAlign w:val="center"/>
          </w:tcPr>
          <w:p w14:paraId="1E1439B8" w14:textId="4F2737F0" w:rsidR="00595D16" w:rsidRPr="0070637E" w:rsidRDefault="00595D16" w:rsidP="000071BF">
            <w:pPr>
              <w:pStyle w:val="TableText0"/>
              <w:rPr>
                <w:rFonts w:eastAsiaTheme="minorHAnsi"/>
                <w:lang w:eastAsia="en-US"/>
              </w:rPr>
            </w:pPr>
            <w:r>
              <w:rPr>
                <w:rFonts w:eastAsiaTheme="minorHAnsi"/>
                <w:lang w:eastAsia="en-US"/>
              </w:rPr>
              <w:t>60</w:t>
            </w:r>
          </w:p>
        </w:tc>
        <w:tc>
          <w:tcPr>
            <w:tcW w:w="1196" w:type="pct"/>
            <w:tcBorders>
              <w:top w:val="nil"/>
              <w:bottom w:val="single" w:sz="4" w:space="0" w:color="auto"/>
            </w:tcBorders>
            <w:vAlign w:val="center"/>
          </w:tcPr>
          <w:p w14:paraId="08F70D4E" w14:textId="31FD9031" w:rsidR="00595D16" w:rsidRPr="0070637E" w:rsidRDefault="00595D16" w:rsidP="000071BF">
            <w:pPr>
              <w:pStyle w:val="TableText0"/>
              <w:rPr>
                <w:rFonts w:eastAsiaTheme="minorHAnsi"/>
                <w:lang w:eastAsia="en-US"/>
              </w:rPr>
            </w:pPr>
            <w:r>
              <w:rPr>
                <w:rFonts w:eastAsiaTheme="minorHAnsi"/>
                <w:lang w:eastAsia="en-US"/>
              </w:rPr>
              <w:t>60</w:t>
            </w:r>
          </w:p>
        </w:tc>
        <w:tc>
          <w:tcPr>
            <w:tcW w:w="1196" w:type="pct"/>
            <w:tcBorders>
              <w:top w:val="nil"/>
              <w:bottom w:val="single" w:sz="4" w:space="0" w:color="auto"/>
            </w:tcBorders>
            <w:vAlign w:val="center"/>
          </w:tcPr>
          <w:p w14:paraId="529E7034" w14:textId="24D0FAB5" w:rsidR="00595D16" w:rsidRPr="0070637E" w:rsidRDefault="00595D16" w:rsidP="000071BF">
            <w:pPr>
              <w:pStyle w:val="TableText0"/>
              <w:rPr>
                <w:rFonts w:eastAsiaTheme="minorHAnsi"/>
                <w:lang w:eastAsia="en-US"/>
              </w:rPr>
            </w:pPr>
            <w:r>
              <w:rPr>
                <w:rFonts w:eastAsiaTheme="minorHAnsi"/>
                <w:lang w:eastAsia="en-US"/>
              </w:rPr>
              <w:t>79</w:t>
            </w:r>
          </w:p>
        </w:tc>
      </w:tr>
    </w:tbl>
    <w:p w14:paraId="65FC677D" w14:textId="2D07AF68" w:rsidR="0070637E" w:rsidRDefault="0070637E" w:rsidP="000071BF">
      <w:pPr>
        <w:pStyle w:val="TableFooter"/>
      </w:pPr>
      <w:r>
        <w:t xml:space="preserve">Sources: </w:t>
      </w:r>
      <w:r w:rsidR="001F5732">
        <w:t>Summarised</w:t>
      </w:r>
      <w:r w:rsidR="003E4FA4">
        <w:t xml:space="preserve"> from </w:t>
      </w:r>
      <w:r w:rsidR="001F5732">
        <w:t>Pg.</w:t>
      </w:r>
      <w:r>
        <w:t xml:space="preserve"> 10 of the Submission, Appendices 1-4 from the Submission. </w:t>
      </w:r>
    </w:p>
    <w:p w14:paraId="57961D77" w14:textId="77777777" w:rsidR="009E7156" w:rsidRDefault="009E7156" w:rsidP="000071BF">
      <w:pPr>
        <w:pStyle w:val="3Bodytext"/>
        <w:spacing w:before="120"/>
      </w:pPr>
      <w:r>
        <w:t>Renastart was within the S</w:t>
      </w:r>
      <w:r w:rsidRPr="00095DB0">
        <w:t>tandard</w:t>
      </w:r>
      <w:r>
        <w:t>’s</w:t>
      </w:r>
      <w:r w:rsidRPr="00095DB0">
        <w:t xml:space="preserve"> recommendation for total fatty acids (Clause 23</w:t>
      </w:r>
      <w:r>
        <w:t>) and had no change to its content from the old formulation to the new</w:t>
      </w:r>
      <w:r w:rsidRPr="00095DB0">
        <w:t>.</w:t>
      </w:r>
    </w:p>
    <w:p w14:paraId="76E19B30" w14:textId="36999916" w:rsidR="00095DB0" w:rsidRDefault="00095DB0" w:rsidP="00727731">
      <w:pPr>
        <w:pStyle w:val="3Bodytext"/>
      </w:pPr>
      <w:r>
        <w:t xml:space="preserve">The submission noted that Renastart contains no fibre. Renastart also contains </w:t>
      </w:r>
      <w:r w:rsidRPr="00095DB0">
        <w:t>no fluoride complying with the standard recommendation of &lt;17mcg/100kJ (Clause 19 of the standard, Appendix 4</w:t>
      </w:r>
      <w:r w:rsidR="007B13BC">
        <w:t xml:space="preserve"> to the submission</w:t>
      </w:r>
      <w:r w:rsidRPr="00095DB0">
        <w:t>)</w:t>
      </w:r>
      <w:r>
        <w:t xml:space="preserve">. </w:t>
      </w:r>
    </w:p>
    <w:p w14:paraId="56F84958" w14:textId="77777777" w:rsidR="00DF566E" w:rsidRPr="008306F3" w:rsidRDefault="00DF566E" w:rsidP="00DF566E">
      <w:pPr>
        <w:pStyle w:val="Heading2"/>
        <w:spacing w:before="240"/>
      </w:pPr>
      <w:r w:rsidRPr="003C2FB5">
        <w:t>Estimated PBS usage &amp; financial implications</w:t>
      </w:r>
    </w:p>
    <w:p w14:paraId="0E228CDD" w14:textId="10379A71" w:rsidR="00DF566E" w:rsidRPr="00965B5C" w:rsidRDefault="00DF566E" w:rsidP="00DF566E">
      <w:pPr>
        <w:pStyle w:val="3Bodytext"/>
        <w:numPr>
          <w:ilvl w:val="1"/>
          <w:numId w:val="1"/>
        </w:numPr>
        <w:rPr>
          <w:szCs w:val="24"/>
        </w:rPr>
      </w:pPr>
      <w:r w:rsidRPr="00965B5C">
        <w:rPr>
          <w:szCs w:val="24"/>
        </w:rPr>
        <w:t>The submission di</w:t>
      </w:r>
      <w:r>
        <w:rPr>
          <w:szCs w:val="24"/>
        </w:rPr>
        <w:t>d not request a change of the price of Renastart.</w:t>
      </w:r>
    </w:p>
    <w:p w14:paraId="4802CBFC" w14:textId="1FBC9BBC" w:rsidR="00DF566E" w:rsidRDefault="00DF566E" w:rsidP="00DF566E">
      <w:pPr>
        <w:pStyle w:val="3Bodytext"/>
        <w:numPr>
          <w:ilvl w:val="1"/>
          <w:numId w:val="1"/>
        </w:numPr>
        <w:rPr>
          <w:szCs w:val="24"/>
        </w:rPr>
      </w:pPr>
      <w:r w:rsidRPr="00965B5C">
        <w:rPr>
          <w:szCs w:val="24"/>
        </w:rPr>
        <w:t xml:space="preserve">The </w:t>
      </w:r>
      <w:r w:rsidR="004F0CC5">
        <w:rPr>
          <w:szCs w:val="24"/>
        </w:rPr>
        <w:t>Committee Secretariat</w:t>
      </w:r>
      <w:r w:rsidR="004F0CC5" w:rsidRPr="00965B5C">
        <w:rPr>
          <w:szCs w:val="24"/>
        </w:rPr>
        <w:t xml:space="preserve"> </w:t>
      </w:r>
      <w:r w:rsidRPr="00965B5C">
        <w:rPr>
          <w:szCs w:val="24"/>
        </w:rPr>
        <w:t>submission estimated there to be no financial implications to the PBS/changes in PBS usage as the submission</w:t>
      </w:r>
      <w:r>
        <w:rPr>
          <w:szCs w:val="24"/>
        </w:rPr>
        <w:t xml:space="preserve"> did not expect the reformulation would change the existing patient population. </w:t>
      </w:r>
      <w:r w:rsidRPr="00965B5C">
        <w:rPr>
          <w:szCs w:val="24"/>
        </w:rPr>
        <w:t xml:space="preserve"> </w:t>
      </w:r>
    </w:p>
    <w:p w14:paraId="57DF7217" w14:textId="77777777" w:rsidR="00234C7C" w:rsidRDefault="00234C7C" w:rsidP="003655FC">
      <w:pPr>
        <w:pStyle w:val="Heading1"/>
        <w:keepNext/>
        <w:keepLines/>
        <w:widowControl/>
        <w:numPr>
          <w:ilvl w:val="0"/>
          <w:numId w:val="1"/>
        </w:numPr>
        <w:spacing w:before="240" w:after="120"/>
        <w:ind w:left="709" w:hanging="709"/>
        <w:contextualSpacing w:val="0"/>
        <w:jc w:val="left"/>
        <w:rPr>
          <w:rFonts w:asciiTheme="minorHAnsi" w:eastAsiaTheme="majorEastAsia" w:hAnsiTheme="minorHAnsi" w:cstheme="majorBidi"/>
          <w:sz w:val="32"/>
          <w:szCs w:val="28"/>
        </w:rPr>
      </w:pPr>
      <w:r>
        <w:rPr>
          <w:rFonts w:asciiTheme="minorHAnsi" w:eastAsiaTheme="majorEastAsia" w:hAnsiTheme="minorHAnsi" w:cstheme="majorBidi"/>
          <w:sz w:val="32"/>
          <w:szCs w:val="28"/>
        </w:rPr>
        <w:t>NPWP Consideration (and sponsor’s further clarification)</w:t>
      </w:r>
    </w:p>
    <w:p w14:paraId="07315E1C" w14:textId="77777777" w:rsidR="001B7116" w:rsidRDefault="001B7116" w:rsidP="0091402F">
      <w:pPr>
        <w:pStyle w:val="3Bodytext"/>
      </w:pPr>
      <w:r>
        <w:t>The NPWP noted the requested change to formulation for Renastart to meet international guidelines and standards for nutritional content of supplementary products for children and infants.</w:t>
      </w:r>
    </w:p>
    <w:p w14:paraId="65B4CAEC" w14:textId="70362F11" w:rsidR="001B7116" w:rsidRDefault="001B7116" w:rsidP="0091402F">
      <w:pPr>
        <w:pStyle w:val="3Bodytext"/>
      </w:pPr>
      <w:r>
        <w:t xml:space="preserve">The NPWP noted the </w:t>
      </w:r>
      <w:r w:rsidR="0091402F">
        <w:t xml:space="preserve">revised formulation had increased </w:t>
      </w:r>
      <w:r>
        <w:t>the choline content to a more appropriate level</w:t>
      </w:r>
      <w:r w:rsidR="000D3EB1">
        <w:t xml:space="preserve"> </w:t>
      </w:r>
      <w:r w:rsidR="009C1165">
        <w:t>for the indicated population</w:t>
      </w:r>
      <w:r w:rsidR="0091402F">
        <w:t xml:space="preserve"> and</w:t>
      </w:r>
      <w:r w:rsidR="00D83E19">
        <w:t xml:space="preserve"> although </w:t>
      </w:r>
      <w:r w:rsidR="009C1165">
        <w:t xml:space="preserve">this is </w:t>
      </w:r>
      <w:r w:rsidR="00D83E19">
        <w:t>above the Infant Formula Standard 2.9.1</w:t>
      </w:r>
      <w:r w:rsidR="009C1165">
        <w:t xml:space="preserve"> recommended levels</w:t>
      </w:r>
      <w:r w:rsidR="00D83E19">
        <w:t>,</w:t>
      </w:r>
      <w:r w:rsidR="000D3EB1">
        <w:t xml:space="preserve"> was within an acceptable range</w:t>
      </w:r>
      <w:r>
        <w:t xml:space="preserve">. </w:t>
      </w:r>
      <w:r w:rsidR="0091402F">
        <w:t>The NPWP also specifically noted other</w:t>
      </w:r>
      <w:r w:rsidR="00D83E19">
        <w:t xml:space="preserve"> changes to the formulation</w:t>
      </w:r>
      <w:r w:rsidR="0091402F">
        <w:t>,</w:t>
      </w:r>
      <w:r w:rsidR="00D83E19">
        <w:t xml:space="preserve"> including vitamin D and chromium.</w:t>
      </w:r>
    </w:p>
    <w:p w14:paraId="687A66BE" w14:textId="07D5B6D5" w:rsidR="005F1250" w:rsidRDefault="001B7116" w:rsidP="006E64A4">
      <w:pPr>
        <w:pStyle w:val="3Bodytext"/>
        <w:rPr>
          <w:i/>
        </w:rPr>
      </w:pPr>
      <w:r>
        <w:t xml:space="preserve">The NPWP </w:t>
      </w:r>
      <w:r w:rsidR="000D3EB1">
        <w:t>approved of the request to change the formulation a</w:t>
      </w:r>
      <w:r w:rsidR="00D83E19">
        <w:t>nd noted</w:t>
      </w:r>
      <w:r w:rsidR="000D3EB1">
        <w:t xml:space="preserve"> </w:t>
      </w:r>
      <w:r w:rsidR="00D83E19">
        <w:t>it</w:t>
      </w:r>
      <w:r w:rsidR="000D3EB1">
        <w:t xml:space="preserve"> </w:t>
      </w:r>
      <w:r>
        <w:t>had no</w:t>
      </w:r>
      <w:r w:rsidR="000D3EB1">
        <w:t xml:space="preserve"> other</w:t>
      </w:r>
      <w:r>
        <w:t xml:space="preserve"> concerns</w:t>
      </w:r>
      <w:r w:rsidR="000D3EB1">
        <w:t xml:space="preserve"> that </w:t>
      </w:r>
      <w:r w:rsidR="00D83E19">
        <w:t xml:space="preserve">the changes </w:t>
      </w:r>
      <w:r w:rsidR="000D3EB1">
        <w:t>would pose a risk to the health and safety of patients</w:t>
      </w:r>
      <w:r>
        <w:t>.</w:t>
      </w:r>
      <w:r w:rsidR="006E64A4">
        <w:rPr>
          <w:i/>
        </w:rPr>
        <w:t xml:space="preserve"> </w:t>
      </w:r>
      <w:r w:rsidR="005F1250">
        <w:rPr>
          <w:i/>
        </w:rPr>
        <w:t>For more detail on PBAC’s view, see section 6 PBAC outcome.</w:t>
      </w:r>
    </w:p>
    <w:p w14:paraId="15907388" w14:textId="77777777" w:rsidR="00F01EB2" w:rsidRDefault="00F01EB2" w:rsidP="005F1250">
      <w:pPr>
        <w:pStyle w:val="3Bodytext"/>
        <w:numPr>
          <w:ilvl w:val="0"/>
          <w:numId w:val="0"/>
        </w:numPr>
        <w:ind w:left="720"/>
        <w:rPr>
          <w:i/>
        </w:rPr>
      </w:pPr>
    </w:p>
    <w:p w14:paraId="3C03F91E" w14:textId="77777777" w:rsidR="004E1D9B" w:rsidRPr="00D52702" w:rsidRDefault="004E1D9B" w:rsidP="004E1D9B">
      <w:pPr>
        <w:pStyle w:val="2Sections"/>
      </w:pPr>
      <w:r w:rsidRPr="00D52702">
        <w:lastRenderedPageBreak/>
        <w:t>PBAC Outcome</w:t>
      </w:r>
    </w:p>
    <w:p w14:paraId="58A79B43" w14:textId="77B82A9A" w:rsidR="004E1D9B" w:rsidRDefault="00106DDF" w:rsidP="004E1D9B">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recommended continuing the Restricted Benefit listing of </w:t>
      </w:r>
      <w:r w:rsidR="009A5C0D" w:rsidRPr="00CE01C9">
        <w:rPr>
          <w:rFonts w:asciiTheme="minorHAnsi" w:hAnsiTheme="minorHAnsi" w:cs="Arial"/>
          <w:bCs/>
          <w:snapToGrid w:val="0"/>
          <w:lang w:val="en-GB"/>
        </w:rPr>
        <w:t>whey protein formula supplemented with amino acids, long chain polyunsaturated fatty acids, vitamins and minerals, low in protein, phosphate, p</w:t>
      </w:r>
      <w:r w:rsidR="00C24BBE" w:rsidRPr="00CE01C9">
        <w:rPr>
          <w:rFonts w:asciiTheme="minorHAnsi" w:hAnsiTheme="minorHAnsi" w:cs="Arial"/>
          <w:bCs/>
          <w:snapToGrid w:val="0"/>
          <w:lang w:val="en-GB"/>
        </w:rPr>
        <w:t>otassium and lactose</w:t>
      </w:r>
      <w:r w:rsidR="004F0CC5">
        <w:rPr>
          <w:rFonts w:asciiTheme="minorHAnsi" w:hAnsiTheme="minorHAnsi" w:cs="Arial"/>
          <w:bCs/>
          <w:snapToGrid w:val="0"/>
          <w:lang w:val="en-GB"/>
        </w:rPr>
        <w:t>,</w:t>
      </w:r>
      <w:r w:rsidR="00C24BBE" w:rsidRPr="00CE01C9">
        <w:rPr>
          <w:rFonts w:asciiTheme="minorHAnsi" w:hAnsiTheme="minorHAnsi" w:cs="Arial"/>
          <w:bCs/>
          <w:snapToGrid w:val="0"/>
          <w:lang w:val="en-GB"/>
        </w:rPr>
        <w:t xml:space="preserve"> Renastart</w:t>
      </w:r>
      <w:r w:rsidR="009A5C0D" w:rsidRPr="00CE01C9">
        <w:rPr>
          <w:rFonts w:asciiTheme="minorHAnsi" w:hAnsiTheme="minorHAnsi" w:cs="Arial"/>
          <w:bCs/>
          <w:snapToGrid w:val="0"/>
          <w:lang w:val="en-GB"/>
        </w:rPr>
        <w:t>, for the dietary management of chronic kidney disease (CKD) in infants and young children</w:t>
      </w:r>
      <w:r>
        <w:rPr>
          <w:rFonts w:asciiTheme="minorHAnsi" w:hAnsiTheme="minorHAnsi" w:cs="Arial"/>
          <w:bCs/>
          <w:snapToGrid w:val="0"/>
          <w:lang w:val="en-GB"/>
        </w:rPr>
        <w:t xml:space="preserve"> following its reformulation due to changes in European compositional standards. </w:t>
      </w:r>
    </w:p>
    <w:p w14:paraId="57823CDA" w14:textId="4BC32C65" w:rsidR="00106DDF" w:rsidRPr="00525B39" w:rsidRDefault="00106DDF" w:rsidP="004E1D9B">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the NPWP </w:t>
      </w:r>
      <w:r w:rsidR="00686BC5">
        <w:rPr>
          <w:rFonts w:asciiTheme="minorHAnsi" w:hAnsiTheme="minorHAnsi" w:cs="Arial"/>
          <w:bCs/>
          <w:snapToGrid w:val="0"/>
          <w:lang w:val="en-GB"/>
        </w:rPr>
        <w:t>had no concerns that the changes in formulation would pose a risk to the health and safety of patients.</w:t>
      </w:r>
    </w:p>
    <w:p w14:paraId="470A0624" w14:textId="50AD49DF" w:rsidR="004E1D9B" w:rsidRPr="00525B39" w:rsidRDefault="00106DDF" w:rsidP="004E1D9B">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advised that its previous advice for whey protein formula regarding Nurse Practitioner Prescribing, the Early Supply Rule and interchangeability advice under Section 101 (3BA) of the </w:t>
      </w:r>
      <w:r>
        <w:rPr>
          <w:rFonts w:asciiTheme="minorHAnsi" w:hAnsiTheme="minorHAnsi" w:cs="Arial"/>
          <w:bCs/>
          <w:i/>
          <w:snapToGrid w:val="0"/>
          <w:lang w:val="en-GB"/>
        </w:rPr>
        <w:t xml:space="preserve">National Health Act </w:t>
      </w:r>
      <w:r w:rsidRPr="006F5ACB">
        <w:rPr>
          <w:rFonts w:asciiTheme="minorHAnsi" w:hAnsiTheme="minorHAnsi" w:cs="Arial"/>
          <w:bCs/>
          <w:i/>
          <w:snapToGrid w:val="0"/>
          <w:lang w:val="en-GB"/>
        </w:rPr>
        <w:t>1953</w:t>
      </w:r>
      <w:r>
        <w:rPr>
          <w:rFonts w:asciiTheme="minorHAnsi" w:hAnsiTheme="minorHAnsi" w:cs="Arial"/>
          <w:bCs/>
          <w:snapToGrid w:val="0"/>
          <w:lang w:val="en-GB"/>
        </w:rPr>
        <w:t xml:space="preserve"> remained appropriate.</w:t>
      </w:r>
      <w:r w:rsidR="004E1D9B" w:rsidRPr="00525B39">
        <w:rPr>
          <w:rFonts w:asciiTheme="minorHAnsi" w:hAnsiTheme="minorHAnsi" w:cs="Arial"/>
          <w:bCs/>
          <w:snapToGrid w:val="0"/>
          <w:lang w:val="en-GB"/>
        </w:rPr>
        <w:t xml:space="preserve"> </w:t>
      </w:r>
    </w:p>
    <w:p w14:paraId="42BF8F7E" w14:textId="77777777" w:rsidR="00106DDF" w:rsidRPr="00106DDF" w:rsidRDefault="00AB6B7A" w:rsidP="00106DDF">
      <w:pPr>
        <w:widowControl w:val="0"/>
        <w:numPr>
          <w:ilvl w:val="1"/>
          <w:numId w:val="1"/>
        </w:numPr>
        <w:spacing w:after="120"/>
        <w:jc w:val="both"/>
        <w:rPr>
          <w:rFonts w:asciiTheme="minorHAnsi" w:hAnsiTheme="minorHAnsi" w:cs="Arial"/>
          <w:b/>
          <w:bCs/>
          <w:snapToGrid w:val="0"/>
          <w:lang w:val="en-GB"/>
        </w:rPr>
      </w:pPr>
      <w:r>
        <w:rPr>
          <w:rFonts w:asciiTheme="minorHAnsi" w:hAnsiTheme="minorHAnsi" w:cs="Arial"/>
          <w:bCs/>
          <w:snapToGrid w:val="0"/>
          <w:lang w:val="en-GB"/>
        </w:rPr>
        <w:t xml:space="preserve">The PBAC noted that this submission </w:t>
      </w:r>
      <w:r w:rsidR="00106DDF">
        <w:rPr>
          <w:rFonts w:asciiTheme="minorHAnsi" w:hAnsiTheme="minorHAnsi" w:cs="Arial"/>
          <w:bCs/>
          <w:snapToGrid w:val="0"/>
          <w:lang w:val="en-GB"/>
        </w:rPr>
        <w:t>is not eligible for an Independent Review as it received a positive recommendation.</w:t>
      </w:r>
    </w:p>
    <w:p w14:paraId="74A2EC94" w14:textId="6BC3B5D6" w:rsidR="004E1D9B" w:rsidRPr="00525B39" w:rsidRDefault="004E1D9B" w:rsidP="00106DDF">
      <w:pPr>
        <w:widowControl w:val="0"/>
        <w:spacing w:after="12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0DCD1A0A" w14:textId="02E06EDB" w:rsidR="00C24BBE" w:rsidRDefault="007F438C" w:rsidP="00F71AFE">
      <w:pPr>
        <w:jc w:val="both"/>
        <w:rPr>
          <w:rFonts w:asciiTheme="minorHAnsi" w:hAnsiTheme="minorHAnsi" w:cs="Arial"/>
          <w:bCs/>
          <w:snapToGrid w:val="0"/>
          <w:lang w:val="en-GB"/>
        </w:rPr>
      </w:pPr>
      <w:r>
        <w:rPr>
          <w:rFonts w:asciiTheme="minorHAnsi" w:hAnsiTheme="minorHAnsi" w:cs="Arial"/>
          <w:bCs/>
          <w:snapToGrid w:val="0"/>
          <w:lang w:val="en-GB"/>
        </w:rPr>
        <w:t>Recommended</w:t>
      </w:r>
      <w:r w:rsidR="009A5C0D">
        <w:rPr>
          <w:rFonts w:asciiTheme="minorHAnsi" w:hAnsiTheme="minorHAnsi" w:cs="Arial"/>
          <w:bCs/>
          <w:snapToGrid w:val="0"/>
          <w:lang w:val="en-GB"/>
        </w:rPr>
        <w:t>.</w:t>
      </w:r>
    </w:p>
    <w:p w14:paraId="77098359" w14:textId="1A19FCA4" w:rsidR="005B594F" w:rsidRDefault="005B594F">
      <w:pPr>
        <w:rPr>
          <w:rFonts w:asciiTheme="minorHAnsi" w:hAnsiTheme="minorHAnsi" w:cs="Arial"/>
          <w:bCs/>
          <w:snapToGrid w:val="0"/>
          <w:lang w:val="en-GB"/>
        </w:rPr>
      </w:pPr>
    </w:p>
    <w:p w14:paraId="66722805" w14:textId="77777777" w:rsidR="004E1D9B" w:rsidRPr="00525B39" w:rsidRDefault="004E1D9B" w:rsidP="004E1D9B">
      <w:pPr>
        <w:pStyle w:val="2Sections"/>
        <w:rPr>
          <w:i/>
          <w:lang w:val="en-GB"/>
        </w:rPr>
      </w:pPr>
      <w:r w:rsidRPr="00525B39">
        <w:rPr>
          <w:lang w:val="en-GB"/>
        </w:rPr>
        <w:t>Recommended listing</w:t>
      </w:r>
    </w:p>
    <w:p w14:paraId="5C0E453F" w14:textId="77777777" w:rsidR="005B594F" w:rsidRDefault="007F438C" w:rsidP="005B594F">
      <w:pPr>
        <w:widowControl w:val="0"/>
        <w:numPr>
          <w:ilvl w:val="1"/>
          <w:numId w:val="1"/>
        </w:numPr>
        <w:spacing w:after="120"/>
        <w:jc w:val="both"/>
      </w:pPr>
      <w:r>
        <w:rPr>
          <w:rFonts w:asciiTheme="minorHAnsi" w:hAnsiTheme="minorHAnsi" w:cs="Arial"/>
          <w:bCs/>
          <w:snapToGrid w:val="0"/>
        </w:rPr>
        <w:t xml:space="preserve">No change to the existing </w:t>
      </w:r>
      <w:r w:rsidRPr="005B594F">
        <w:rPr>
          <w:rFonts w:asciiTheme="minorHAnsi" w:hAnsiTheme="minorHAnsi" w:cs="Arial"/>
          <w:bCs/>
          <w:snapToGrid w:val="0"/>
        </w:rPr>
        <w:t>listing</w:t>
      </w:r>
      <w:r w:rsidR="005B594F" w:rsidRPr="005B594F">
        <w:rPr>
          <w:rFonts w:asciiTheme="minorHAnsi" w:hAnsiTheme="minorHAnsi" w:cs="Arial"/>
          <w:bCs/>
          <w:snapToGrid w:val="0"/>
        </w:rPr>
        <w:t>.</w:t>
      </w:r>
    </w:p>
    <w:p w14:paraId="745BA096" w14:textId="61498208" w:rsidR="005B594F" w:rsidRPr="005B594F" w:rsidRDefault="005B594F" w:rsidP="00F13770">
      <w:pPr>
        <w:widowControl w:val="0"/>
        <w:spacing w:after="120"/>
        <w:jc w:val="both"/>
      </w:pPr>
      <w:r w:rsidRPr="005B594F">
        <w:rPr>
          <w:rFonts w:asciiTheme="minorHAnsi" w:hAnsiTheme="minorHAnsi" w:cstheme="minorHAnsi"/>
          <w:b/>
          <w:i/>
        </w:rPr>
        <w:t>This restriction may be subject to further review. Should there be any changes made to the restriction the Sponsor will be informed.</w:t>
      </w:r>
    </w:p>
    <w:p w14:paraId="6B1BEA2B" w14:textId="4EFD2077" w:rsidR="005B594F" w:rsidRDefault="005B594F" w:rsidP="005B594F">
      <w:pPr>
        <w:widowControl w:val="0"/>
        <w:spacing w:after="120"/>
        <w:jc w:val="both"/>
      </w:pPr>
    </w:p>
    <w:p w14:paraId="1822FA76" w14:textId="77777777" w:rsidR="00CE4D55" w:rsidRPr="00920A65" w:rsidRDefault="00CE4D55" w:rsidP="00CE4D55">
      <w:pPr>
        <w:pStyle w:val="PBACHeading1"/>
        <w:numPr>
          <w:ilvl w:val="0"/>
          <w:numId w:val="1"/>
        </w:numPr>
        <w:spacing w:before="240" w:after="120"/>
        <w:ind w:left="709" w:hanging="709"/>
        <w:jc w:val="both"/>
        <w:rPr>
          <w:rFonts w:asciiTheme="minorHAnsi" w:hAnsiTheme="minorHAnsi"/>
          <w:sz w:val="32"/>
          <w:szCs w:val="32"/>
        </w:rPr>
      </w:pPr>
      <w:r w:rsidRPr="00920A65">
        <w:rPr>
          <w:rFonts w:asciiTheme="minorHAnsi" w:hAnsiTheme="minorHAnsi"/>
          <w:sz w:val="32"/>
          <w:szCs w:val="32"/>
        </w:rPr>
        <w:t>Context for Decision</w:t>
      </w:r>
    </w:p>
    <w:p w14:paraId="10EF3279" w14:textId="77777777" w:rsidR="00CE4D55" w:rsidRPr="007129F2" w:rsidRDefault="00CE4D55" w:rsidP="00CE4D55">
      <w:pPr>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37008E0" w14:textId="77777777" w:rsidR="00CE4D55" w:rsidRDefault="00CE4D55" w:rsidP="00CE4D55">
      <w:pPr>
        <w:jc w:val="both"/>
        <w:rPr>
          <w:rFonts w:ascii="Calibri" w:hAnsi="Calibri" w:cs="Calibri"/>
        </w:rPr>
      </w:pPr>
    </w:p>
    <w:p w14:paraId="7DD22C3F" w14:textId="003F138B" w:rsidR="00CE4D55" w:rsidRPr="006A3DFF" w:rsidRDefault="00CE4D55" w:rsidP="00CE4D55">
      <w:pPr>
        <w:pStyle w:val="PBACHeading1"/>
        <w:numPr>
          <w:ilvl w:val="0"/>
          <w:numId w:val="1"/>
        </w:numPr>
        <w:spacing w:before="240" w:after="120"/>
        <w:ind w:left="709" w:hanging="709"/>
        <w:jc w:val="both"/>
        <w:rPr>
          <w:rFonts w:asciiTheme="minorHAnsi" w:hAnsiTheme="minorHAnsi"/>
          <w:sz w:val="32"/>
          <w:szCs w:val="32"/>
        </w:rPr>
      </w:pPr>
      <w:r w:rsidRPr="00920A65">
        <w:rPr>
          <w:rFonts w:asciiTheme="minorHAnsi" w:hAnsiTheme="minorHAnsi"/>
          <w:sz w:val="32"/>
          <w:szCs w:val="32"/>
        </w:rPr>
        <w:t>Sponsor’s Comment</w:t>
      </w:r>
    </w:p>
    <w:p w14:paraId="02F86A52" w14:textId="77777777" w:rsidR="00CE4D55" w:rsidRPr="001179AC" w:rsidRDefault="00CE4D55" w:rsidP="00CE4D55">
      <w:pPr>
        <w:spacing w:after="120"/>
        <w:jc w:val="both"/>
        <w:rPr>
          <w:rFonts w:asciiTheme="minorHAnsi" w:hAnsiTheme="minorHAnsi" w:cs="Arial"/>
          <w:bCs/>
        </w:rPr>
      </w:pPr>
      <w:r w:rsidRPr="00C07617">
        <w:rPr>
          <w:rFonts w:asciiTheme="minorHAnsi" w:hAnsiTheme="minorHAnsi" w:cs="Arial"/>
          <w:bCs/>
        </w:rPr>
        <w:t>The sponsor had no comment.</w:t>
      </w:r>
    </w:p>
    <w:p w14:paraId="5FD34E3E" w14:textId="77777777" w:rsidR="00CE4D55" w:rsidRDefault="00CE4D55" w:rsidP="005B594F">
      <w:pPr>
        <w:widowControl w:val="0"/>
        <w:spacing w:after="120"/>
        <w:jc w:val="both"/>
      </w:pPr>
      <w:bookmarkStart w:id="0" w:name="_GoBack"/>
      <w:bookmarkEnd w:id="0"/>
    </w:p>
    <w:sectPr w:rsidR="00CE4D55"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B0C92" w14:textId="77777777" w:rsidR="009E7156" w:rsidRDefault="009E7156">
      <w:r>
        <w:separator/>
      </w:r>
    </w:p>
    <w:p w14:paraId="038E238C" w14:textId="77777777" w:rsidR="009E7156" w:rsidRDefault="009E7156"/>
  </w:endnote>
  <w:endnote w:type="continuationSeparator" w:id="0">
    <w:p w14:paraId="4AA3880E" w14:textId="77777777" w:rsidR="009E7156" w:rsidRDefault="009E7156">
      <w:r>
        <w:continuationSeparator/>
      </w:r>
    </w:p>
    <w:p w14:paraId="7EA76869" w14:textId="77777777" w:rsidR="009E7156" w:rsidRDefault="009E7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E7156" w14:paraId="7AE7B59D" w14:textId="77777777" w:rsidTr="005A3173">
      <w:trPr>
        <w:trHeight w:val="151"/>
      </w:trPr>
      <w:tc>
        <w:tcPr>
          <w:tcW w:w="2250" w:type="pct"/>
          <w:tcBorders>
            <w:top w:val="nil"/>
            <w:left w:val="nil"/>
            <w:bottom w:val="single" w:sz="4" w:space="0" w:color="4F81BD"/>
            <w:right w:val="nil"/>
          </w:tcBorders>
        </w:tcPr>
        <w:p w14:paraId="67C1D142" w14:textId="77777777" w:rsidR="009E7156" w:rsidRPr="005A3173" w:rsidRDefault="009E7156"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1185B349" w14:textId="77777777" w:rsidR="009E7156" w:rsidRPr="005A3173" w:rsidRDefault="009E715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13BB6FC" w14:textId="77777777" w:rsidR="009E7156" w:rsidRPr="005A3173" w:rsidRDefault="009E7156" w:rsidP="005A3173">
          <w:pPr>
            <w:pStyle w:val="Header"/>
            <w:spacing w:line="276" w:lineRule="auto"/>
            <w:rPr>
              <w:rFonts w:ascii="Calibri" w:eastAsia="MS Gothic" w:hAnsi="Calibri"/>
              <w:b/>
              <w:bCs/>
              <w:color w:val="4F81BD"/>
            </w:rPr>
          </w:pPr>
        </w:p>
      </w:tc>
    </w:tr>
    <w:tr w:rsidR="009E7156" w14:paraId="09AEC201" w14:textId="77777777" w:rsidTr="005A3173">
      <w:trPr>
        <w:trHeight w:val="150"/>
      </w:trPr>
      <w:tc>
        <w:tcPr>
          <w:tcW w:w="2250" w:type="pct"/>
          <w:tcBorders>
            <w:top w:val="single" w:sz="4" w:space="0" w:color="4F81BD"/>
            <w:left w:val="nil"/>
            <w:bottom w:val="nil"/>
            <w:right w:val="nil"/>
          </w:tcBorders>
        </w:tcPr>
        <w:p w14:paraId="262F4099" w14:textId="77777777" w:rsidR="009E7156" w:rsidRPr="005A3173" w:rsidRDefault="009E7156" w:rsidP="005A3173">
          <w:pPr>
            <w:pStyle w:val="Header"/>
            <w:spacing w:line="276" w:lineRule="auto"/>
            <w:rPr>
              <w:rFonts w:ascii="Calibri" w:eastAsia="MS Gothic" w:hAnsi="Calibri"/>
              <w:b/>
              <w:bCs/>
              <w:color w:val="4F81BD"/>
            </w:rPr>
          </w:pPr>
        </w:p>
      </w:tc>
      <w:tc>
        <w:tcPr>
          <w:tcW w:w="0" w:type="auto"/>
          <w:vMerge/>
          <w:vAlign w:val="center"/>
          <w:hideMark/>
        </w:tcPr>
        <w:p w14:paraId="7DCDEB18" w14:textId="77777777" w:rsidR="009E7156" w:rsidRPr="005A3173" w:rsidRDefault="009E7156" w:rsidP="005A3173">
          <w:pPr>
            <w:rPr>
              <w:rFonts w:ascii="Calibri" w:hAnsi="Calibri"/>
              <w:color w:val="365F91"/>
              <w:sz w:val="22"/>
              <w:szCs w:val="22"/>
            </w:rPr>
          </w:pPr>
        </w:p>
      </w:tc>
      <w:tc>
        <w:tcPr>
          <w:tcW w:w="2250" w:type="pct"/>
          <w:tcBorders>
            <w:top w:val="single" w:sz="4" w:space="0" w:color="4F81BD"/>
            <w:left w:val="nil"/>
            <w:bottom w:val="nil"/>
            <w:right w:val="nil"/>
          </w:tcBorders>
        </w:tcPr>
        <w:p w14:paraId="5FC0FCCA" w14:textId="77777777" w:rsidR="009E7156" w:rsidRPr="005A3173" w:rsidRDefault="009E7156" w:rsidP="005A3173">
          <w:pPr>
            <w:pStyle w:val="Header"/>
            <w:spacing w:line="276" w:lineRule="auto"/>
            <w:rPr>
              <w:rFonts w:ascii="Calibri" w:eastAsia="MS Gothic" w:hAnsi="Calibri"/>
              <w:b/>
              <w:bCs/>
              <w:color w:val="4F81BD"/>
            </w:rPr>
          </w:pPr>
        </w:p>
      </w:tc>
    </w:tr>
  </w:tbl>
  <w:p w14:paraId="10555411" w14:textId="77777777" w:rsidR="009E7156" w:rsidRDefault="009E7156"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86D064" w14:textId="77777777" w:rsidR="009E7156" w:rsidRDefault="009E7156">
    <w:pPr>
      <w:pStyle w:val="Footer"/>
    </w:pPr>
  </w:p>
  <w:p w14:paraId="32F5595B" w14:textId="77777777" w:rsidR="009E7156" w:rsidRDefault="009E715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91FA4" w14:textId="77777777" w:rsidR="000B5369" w:rsidRDefault="000B5369">
    <w:pPr>
      <w:pStyle w:val="Footer"/>
      <w:jc w:val="center"/>
    </w:pPr>
  </w:p>
  <w:p w14:paraId="3C8AE974" w14:textId="4CA0D58F" w:rsidR="009E7156" w:rsidRPr="000B5369" w:rsidRDefault="006E64A4" w:rsidP="000B5369">
    <w:pPr>
      <w:pStyle w:val="Footer"/>
      <w:jc w:val="center"/>
      <w:rPr>
        <w:rFonts w:asciiTheme="minorHAnsi" w:hAnsiTheme="minorHAnsi" w:cstheme="minorHAnsi"/>
        <w:b/>
      </w:rPr>
    </w:pPr>
    <w:sdt>
      <w:sdtPr>
        <w:rPr>
          <w:rFonts w:asciiTheme="minorHAnsi" w:hAnsiTheme="minorHAnsi" w:cstheme="minorHAnsi"/>
          <w:b/>
        </w:rPr>
        <w:id w:val="-76279425"/>
        <w:docPartObj>
          <w:docPartGallery w:val="Page Numbers (Bottom of Page)"/>
          <w:docPartUnique/>
        </w:docPartObj>
      </w:sdtPr>
      <w:sdtEndPr>
        <w:rPr>
          <w:noProof/>
        </w:rPr>
      </w:sdtEndPr>
      <w:sdtContent>
        <w:r w:rsidR="000B5369" w:rsidRPr="000B5369">
          <w:rPr>
            <w:rFonts w:asciiTheme="minorHAnsi" w:hAnsiTheme="minorHAnsi" w:cstheme="minorHAnsi"/>
            <w:b/>
          </w:rPr>
          <w:fldChar w:fldCharType="begin"/>
        </w:r>
        <w:r w:rsidR="000B5369" w:rsidRPr="000B5369">
          <w:rPr>
            <w:rFonts w:asciiTheme="minorHAnsi" w:hAnsiTheme="minorHAnsi" w:cstheme="minorHAnsi"/>
            <w:b/>
          </w:rPr>
          <w:instrText xml:space="preserve"> PAGE   \* MERGEFORMAT </w:instrText>
        </w:r>
        <w:r w:rsidR="000B5369" w:rsidRPr="000B5369">
          <w:rPr>
            <w:rFonts w:asciiTheme="minorHAnsi" w:hAnsiTheme="minorHAnsi" w:cstheme="minorHAnsi"/>
            <w:b/>
          </w:rPr>
          <w:fldChar w:fldCharType="separate"/>
        </w:r>
        <w:r>
          <w:rPr>
            <w:rFonts w:asciiTheme="minorHAnsi" w:hAnsiTheme="minorHAnsi" w:cstheme="minorHAnsi"/>
            <w:b/>
            <w:noProof/>
          </w:rPr>
          <w:t>4</w:t>
        </w:r>
        <w:r w:rsidR="000B5369" w:rsidRPr="000B5369">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9E7156" w14:paraId="031AA569" w14:textId="77777777" w:rsidTr="005A3173">
      <w:trPr>
        <w:trHeight w:val="151"/>
      </w:trPr>
      <w:tc>
        <w:tcPr>
          <w:tcW w:w="2250" w:type="pct"/>
          <w:tcBorders>
            <w:top w:val="nil"/>
            <w:left w:val="nil"/>
            <w:bottom w:val="single" w:sz="4" w:space="0" w:color="4F81BD"/>
            <w:right w:val="nil"/>
          </w:tcBorders>
        </w:tcPr>
        <w:p w14:paraId="41814DAF" w14:textId="77777777" w:rsidR="009E7156" w:rsidRPr="005A3173" w:rsidRDefault="009E7156"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188E01ED" w14:textId="77777777" w:rsidR="009E7156" w:rsidRPr="005A3173" w:rsidRDefault="009E715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AECA24A" w14:textId="77777777" w:rsidR="009E7156" w:rsidRPr="005A3173" w:rsidRDefault="009E7156" w:rsidP="005A3173">
          <w:pPr>
            <w:pStyle w:val="Header"/>
            <w:spacing w:line="276" w:lineRule="auto"/>
            <w:rPr>
              <w:rFonts w:ascii="Calibri" w:eastAsia="MS Gothic" w:hAnsi="Calibri"/>
              <w:b/>
              <w:bCs/>
              <w:color w:val="4F81BD"/>
            </w:rPr>
          </w:pPr>
        </w:p>
      </w:tc>
    </w:tr>
    <w:tr w:rsidR="009E7156" w14:paraId="1AF3C146" w14:textId="77777777" w:rsidTr="005A3173">
      <w:trPr>
        <w:trHeight w:val="150"/>
      </w:trPr>
      <w:tc>
        <w:tcPr>
          <w:tcW w:w="2250" w:type="pct"/>
          <w:tcBorders>
            <w:top w:val="single" w:sz="4" w:space="0" w:color="4F81BD"/>
            <w:left w:val="nil"/>
            <w:bottom w:val="nil"/>
            <w:right w:val="nil"/>
          </w:tcBorders>
        </w:tcPr>
        <w:p w14:paraId="30486D49" w14:textId="77777777" w:rsidR="009E7156" w:rsidRPr="005A3173" w:rsidRDefault="009E7156" w:rsidP="005A3173">
          <w:pPr>
            <w:pStyle w:val="Header"/>
            <w:spacing w:line="276" w:lineRule="auto"/>
            <w:rPr>
              <w:rFonts w:ascii="Calibri" w:eastAsia="MS Gothic" w:hAnsi="Calibri"/>
              <w:b/>
              <w:bCs/>
              <w:color w:val="4F81BD"/>
            </w:rPr>
          </w:pPr>
        </w:p>
      </w:tc>
      <w:tc>
        <w:tcPr>
          <w:tcW w:w="0" w:type="auto"/>
          <w:vMerge/>
          <w:vAlign w:val="center"/>
          <w:hideMark/>
        </w:tcPr>
        <w:p w14:paraId="65954F94" w14:textId="77777777" w:rsidR="009E7156" w:rsidRPr="005A3173" w:rsidRDefault="009E7156" w:rsidP="005A3173">
          <w:pPr>
            <w:rPr>
              <w:rFonts w:ascii="Calibri" w:hAnsi="Calibri"/>
              <w:color w:val="365F91"/>
              <w:sz w:val="22"/>
              <w:szCs w:val="22"/>
            </w:rPr>
          </w:pPr>
        </w:p>
      </w:tc>
      <w:tc>
        <w:tcPr>
          <w:tcW w:w="2250" w:type="pct"/>
          <w:tcBorders>
            <w:top w:val="single" w:sz="4" w:space="0" w:color="4F81BD"/>
            <w:left w:val="nil"/>
            <w:bottom w:val="nil"/>
            <w:right w:val="nil"/>
          </w:tcBorders>
        </w:tcPr>
        <w:p w14:paraId="2C1ACB3E" w14:textId="77777777" w:rsidR="009E7156" w:rsidRPr="005A3173" w:rsidRDefault="009E7156"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E7156" w14:paraId="4C2C8FBC" w14:textId="77777777" w:rsidTr="005A3173">
      <w:trPr>
        <w:trHeight w:val="151"/>
      </w:trPr>
      <w:tc>
        <w:tcPr>
          <w:tcW w:w="2250" w:type="pct"/>
          <w:tcBorders>
            <w:top w:val="nil"/>
            <w:left w:val="nil"/>
            <w:bottom w:val="single" w:sz="4" w:space="0" w:color="4F81BD"/>
            <w:right w:val="nil"/>
          </w:tcBorders>
        </w:tcPr>
        <w:p w14:paraId="144A534E" w14:textId="77777777" w:rsidR="009E7156" w:rsidRPr="005A3173" w:rsidRDefault="009E7156"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026A85A5" w14:textId="77777777" w:rsidR="009E7156" w:rsidRPr="005A3173" w:rsidRDefault="009E715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B95C828" w14:textId="77777777" w:rsidR="009E7156" w:rsidRPr="005A3173" w:rsidRDefault="009E7156" w:rsidP="005A3173">
          <w:pPr>
            <w:pStyle w:val="Header"/>
            <w:spacing w:line="276" w:lineRule="auto"/>
            <w:rPr>
              <w:rFonts w:ascii="Calibri" w:eastAsia="MS Gothic" w:hAnsi="Calibri"/>
              <w:b/>
              <w:bCs/>
              <w:color w:val="4F81BD"/>
            </w:rPr>
          </w:pPr>
        </w:p>
      </w:tc>
    </w:tr>
    <w:tr w:rsidR="009E7156" w14:paraId="1EFFFA27" w14:textId="77777777" w:rsidTr="005A3173">
      <w:trPr>
        <w:trHeight w:val="150"/>
      </w:trPr>
      <w:tc>
        <w:tcPr>
          <w:tcW w:w="2250" w:type="pct"/>
          <w:tcBorders>
            <w:top w:val="single" w:sz="4" w:space="0" w:color="4F81BD"/>
            <w:left w:val="nil"/>
            <w:bottom w:val="nil"/>
            <w:right w:val="nil"/>
          </w:tcBorders>
        </w:tcPr>
        <w:p w14:paraId="6492EAAC" w14:textId="77777777" w:rsidR="009E7156" w:rsidRPr="005A3173" w:rsidRDefault="009E7156" w:rsidP="005A3173">
          <w:pPr>
            <w:pStyle w:val="Header"/>
            <w:spacing w:line="276" w:lineRule="auto"/>
            <w:rPr>
              <w:rFonts w:ascii="Calibri" w:eastAsia="MS Gothic" w:hAnsi="Calibri"/>
              <w:b/>
              <w:bCs/>
              <w:color w:val="4F81BD"/>
            </w:rPr>
          </w:pPr>
        </w:p>
      </w:tc>
      <w:tc>
        <w:tcPr>
          <w:tcW w:w="0" w:type="auto"/>
          <w:vMerge/>
          <w:vAlign w:val="center"/>
          <w:hideMark/>
        </w:tcPr>
        <w:p w14:paraId="7341BE58" w14:textId="77777777" w:rsidR="009E7156" w:rsidRPr="005A3173" w:rsidRDefault="009E7156" w:rsidP="005A3173">
          <w:pPr>
            <w:rPr>
              <w:rFonts w:ascii="Calibri" w:hAnsi="Calibri"/>
              <w:color w:val="365F91"/>
              <w:sz w:val="22"/>
              <w:szCs w:val="22"/>
            </w:rPr>
          </w:pPr>
        </w:p>
      </w:tc>
      <w:tc>
        <w:tcPr>
          <w:tcW w:w="2250" w:type="pct"/>
          <w:tcBorders>
            <w:top w:val="single" w:sz="4" w:space="0" w:color="4F81BD"/>
            <w:left w:val="nil"/>
            <w:bottom w:val="nil"/>
            <w:right w:val="nil"/>
          </w:tcBorders>
        </w:tcPr>
        <w:p w14:paraId="3C302B75" w14:textId="77777777" w:rsidR="009E7156" w:rsidRPr="005A3173" w:rsidRDefault="009E7156" w:rsidP="005A3173">
          <w:pPr>
            <w:pStyle w:val="Header"/>
            <w:spacing w:line="276" w:lineRule="auto"/>
            <w:rPr>
              <w:rFonts w:ascii="Calibri" w:eastAsia="MS Gothic" w:hAnsi="Calibri"/>
              <w:b/>
              <w:bCs/>
              <w:color w:val="4F81BD"/>
            </w:rPr>
          </w:pPr>
        </w:p>
      </w:tc>
    </w:tr>
  </w:tbl>
  <w:p w14:paraId="5D2C6B0E" w14:textId="77777777" w:rsidR="009E7156" w:rsidRPr="007C0F57" w:rsidRDefault="009E7156"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0C13DD78" w14:textId="77777777" w:rsidR="009E7156" w:rsidRPr="007C0F57" w:rsidRDefault="009E7156" w:rsidP="007C0F57">
    <w:pPr>
      <w:pStyle w:val="Footer"/>
      <w:jc w:val="center"/>
      <w:rPr>
        <w:b/>
        <w:i/>
        <w:sz w:val="20"/>
        <w:szCs w:val="20"/>
      </w:rPr>
    </w:pPr>
    <w:r w:rsidRPr="007C0F57">
      <w:rPr>
        <w:b/>
        <w:i/>
        <w:sz w:val="20"/>
        <w:szCs w:val="20"/>
      </w:rPr>
      <w:t>Commercial-in-Confidence</w:t>
    </w:r>
  </w:p>
  <w:p w14:paraId="7123EEDA" w14:textId="77777777" w:rsidR="009E7156" w:rsidRDefault="009E71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161B" w14:textId="77777777" w:rsidR="009E7156" w:rsidRDefault="009E7156">
      <w:r>
        <w:separator/>
      </w:r>
    </w:p>
    <w:p w14:paraId="1F7BFAE1" w14:textId="77777777" w:rsidR="009E7156" w:rsidRDefault="009E7156"/>
  </w:footnote>
  <w:footnote w:type="continuationSeparator" w:id="0">
    <w:p w14:paraId="254A1251" w14:textId="77777777" w:rsidR="009E7156" w:rsidRDefault="009E7156">
      <w:r>
        <w:continuationSeparator/>
      </w:r>
    </w:p>
    <w:p w14:paraId="25AD7CC7" w14:textId="77777777" w:rsidR="009E7156" w:rsidRDefault="009E7156"/>
  </w:footnote>
  <w:footnote w:id="1">
    <w:p w14:paraId="358D7D68" w14:textId="5A324411" w:rsidR="009E7156" w:rsidRPr="00AF46F8" w:rsidRDefault="009E7156">
      <w:pPr>
        <w:pStyle w:val="FootnoteText"/>
        <w:rPr>
          <w:rFonts w:ascii="Arial Narrow" w:hAnsi="Arial Narrow"/>
        </w:rPr>
      </w:pPr>
      <w:r w:rsidRPr="00AF46F8">
        <w:rPr>
          <w:rStyle w:val="FootnoteReference"/>
          <w:rFonts w:ascii="Arial Narrow" w:hAnsi="Arial Narrow"/>
        </w:rPr>
        <w:footnoteRef/>
      </w:r>
      <w:r w:rsidRPr="00AF46F8">
        <w:rPr>
          <w:rFonts w:ascii="Arial Narrow" w:hAnsi="Arial Narrow"/>
        </w:rPr>
        <w:t xml:space="preserve"> </w:t>
      </w:r>
      <w:r w:rsidRPr="00897D65">
        <w:rPr>
          <w:rFonts w:ascii="Arial Narrow" w:hAnsi="Arial Narrow"/>
        </w:rPr>
        <w:t xml:space="preserve">The AEMP is for dispensing of </w:t>
      </w:r>
      <w:r>
        <w:rPr>
          <w:rFonts w:ascii="Arial Narrow" w:hAnsi="Arial Narrow"/>
        </w:rPr>
        <w:t xml:space="preserve">Renastart </w:t>
      </w:r>
      <w:r w:rsidRPr="00897D65">
        <w:rPr>
          <w:rFonts w:ascii="Arial Narrow" w:hAnsi="Arial Narrow"/>
        </w:rPr>
        <w:t xml:space="preserve">6 x 400 g cans. </w:t>
      </w:r>
      <w:r>
        <w:rPr>
          <w:rFonts w:ascii="Arial Narrow" w:hAnsi="Arial Narrow"/>
        </w:rPr>
        <w:t>The m</w:t>
      </w:r>
      <w:r w:rsidRPr="00897D65">
        <w:rPr>
          <w:rFonts w:ascii="Arial Narrow" w:hAnsi="Arial Narrow"/>
        </w:rPr>
        <w:t>aximum</w:t>
      </w:r>
      <w:r>
        <w:rPr>
          <w:rFonts w:ascii="Arial Narrow" w:hAnsi="Arial Narrow"/>
        </w:rPr>
        <w:t xml:space="preserve"> quantity packs that can be dispensed is 4, therefore the AEMP for the maximum quantity is represented as (6 x 400 g cans) x 4 packs.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E7156" w:rsidRPr="008E0D90" w14:paraId="5BED4405" w14:textId="77777777" w:rsidTr="00A06225">
      <w:trPr>
        <w:trHeight w:val="151"/>
      </w:trPr>
      <w:tc>
        <w:tcPr>
          <w:tcW w:w="2389" w:type="pct"/>
          <w:tcBorders>
            <w:top w:val="nil"/>
            <w:left w:val="nil"/>
            <w:bottom w:val="single" w:sz="4" w:space="0" w:color="4F81BD"/>
            <w:right w:val="nil"/>
          </w:tcBorders>
        </w:tcPr>
        <w:p w14:paraId="56B15E6D" w14:textId="77777777" w:rsidR="009E7156" w:rsidRPr="00A06225" w:rsidRDefault="009E7156">
          <w:pPr>
            <w:pStyle w:val="Header"/>
            <w:spacing w:line="276" w:lineRule="auto"/>
            <w:rPr>
              <w:rFonts w:ascii="Cambria" w:eastAsia="MS Gothic" w:hAnsi="Cambria"/>
              <w:b/>
              <w:bCs/>
              <w:color w:val="4F81BD"/>
            </w:rPr>
          </w:pPr>
        </w:p>
      </w:tc>
      <w:tc>
        <w:tcPr>
          <w:tcW w:w="333" w:type="pct"/>
          <w:vMerge w:val="restart"/>
          <w:noWrap/>
          <w:vAlign w:val="center"/>
          <w:hideMark/>
        </w:tcPr>
        <w:p w14:paraId="6D804E8A" w14:textId="77777777" w:rsidR="009E7156" w:rsidRPr="00A06225" w:rsidRDefault="009E7156"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6E520741" w14:textId="77777777" w:rsidR="009E7156" w:rsidRPr="00A06225" w:rsidRDefault="009E7156">
          <w:pPr>
            <w:pStyle w:val="Header"/>
            <w:spacing w:line="276" w:lineRule="auto"/>
            <w:rPr>
              <w:rFonts w:ascii="Cambria" w:eastAsia="MS Gothic" w:hAnsi="Cambria"/>
              <w:b/>
              <w:bCs/>
              <w:color w:val="4F81BD"/>
            </w:rPr>
          </w:pPr>
        </w:p>
      </w:tc>
    </w:tr>
    <w:tr w:rsidR="009E7156" w:rsidRPr="008E0D90" w14:paraId="1B0F50EB" w14:textId="77777777" w:rsidTr="00A06225">
      <w:trPr>
        <w:trHeight w:val="150"/>
      </w:trPr>
      <w:tc>
        <w:tcPr>
          <w:tcW w:w="2389" w:type="pct"/>
          <w:tcBorders>
            <w:top w:val="single" w:sz="4" w:space="0" w:color="4F81BD"/>
            <w:left w:val="nil"/>
            <w:bottom w:val="nil"/>
            <w:right w:val="nil"/>
          </w:tcBorders>
        </w:tcPr>
        <w:p w14:paraId="385753F3" w14:textId="77777777" w:rsidR="009E7156" w:rsidRPr="00A06225" w:rsidRDefault="009E7156">
          <w:pPr>
            <w:pStyle w:val="Header"/>
            <w:spacing w:line="276" w:lineRule="auto"/>
            <w:rPr>
              <w:rFonts w:ascii="Cambria" w:eastAsia="MS Gothic" w:hAnsi="Cambria"/>
              <w:b/>
              <w:bCs/>
              <w:color w:val="4F81BD"/>
            </w:rPr>
          </w:pPr>
        </w:p>
      </w:tc>
      <w:tc>
        <w:tcPr>
          <w:tcW w:w="0" w:type="auto"/>
          <w:vMerge/>
          <w:vAlign w:val="center"/>
          <w:hideMark/>
        </w:tcPr>
        <w:p w14:paraId="093C6CD8" w14:textId="77777777" w:rsidR="009E7156" w:rsidRPr="00A06225" w:rsidRDefault="009E7156">
          <w:pPr>
            <w:rPr>
              <w:rFonts w:ascii="Cambria" w:hAnsi="Cambria"/>
              <w:color w:val="4F81BD"/>
              <w:sz w:val="22"/>
              <w:szCs w:val="22"/>
            </w:rPr>
          </w:pPr>
        </w:p>
      </w:tc>
      <w:tc>
        <w:tcPr>
          <w:tcW w:w="2278" w:type="pct"/>
          <w:tcBorders>
            <w:top w:val="single" w:sz="4" w:space="0" w:color="4F81BD"/>
            <w:left w:val="nil"/>
            <w:bottom w:val="nil"/>
            <w:right w:val="nil"/>
          </w:tcBorders>
        </w:tcPr>
        <w:p w14:paraId="6E284C98" w14:textId="77777777" w:rsidR="009E7156" w:rsidRPr="00A06225" w:rsidRDefault="009E7156">
          <w:pPr>
            <w:pStyle w:val="Header"/>
            <w:spacing w:line="276" w:lineRule="auto"/>
            <w:rPr>
              <w:rFonts w:ascii="Cambria" w:eastAsia="MS Gothic" w:hAnsi="Cambria"/>
              <w:b/>
              <w:bCs/>
              <w:color w:val="4F81BD"/>
            </w:rPr>
          </w:pPr>
        </w:p>
      </w:tc>
    </w:tr>
  </w:tbl>
  <w:p w14:paraId="359FF7DA" w14:textId="77777777" w:rsidR="009E7156" w:rsidRDefault="009E7156">
    <w:pPr>
      <w:pStyle w:val="Header"/>
    </w:pPr>
  </w:p>
  <w:p w14:paraId="54F42DAD" w14:textId="77777777" w:rsidR="009E7156" w:rsidRDefault="009E715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01A38" w14:textId="3E925120" w:rsidR="000B5369" w:rsidRDefault="00CE4D55" w:rsidP="00CE4D55">
    <w:pPr>
      <w:pStyle w:val="NoSpacing"/>
      <w:jc w:val="center"/>
      <w:rPr>
        <w:rFonts w:asciiTheme="minorHAnsi" w:hAnsiTheme="minorHAnsi" w:cstheme="minorHAnsi"/>
        <w:i/>
        <w:sz w:val="24"/>
        <w:lang w:val="en-US"/>
      </w:rPr>
    </w:pPr>
    <w:r>
      <w:rPr>
        <w:rFonts w:asciiTheme="minorHAnsi" w:hAnsiTheme="minorHAnsi" w:cstheme="minorHAnsi"/>
        <w:i/>
        <w:sz w:val="24"/>
        <w:lang w:val="en-US"/>
      </w:rPr>
      <w:t>Public Summary Document</w:t>
    </w:r>
    <w:r w:rsidR="000B5369" w:rsidRPr="000B5369">
      <w:rPr>
        <w:rFonts w:asciiTheme="minorHAnsi" w:hAnsiTheme="minorHAnsi" w:cstheme="minorHAnsi"/>
        <w:i/>
        <w:sz w:val="24"/>
        <w:lang w:val="en-US"/>
      </w:rPr>
      <w:t xml:space="preserve"> – March 2020 PBAC Meeting </w:t>
    </w:r>
  </w:p>
  <w:p w14:paraId="38358BA2" w14:textId="77777777" w:rsidR="00CE4D55" w:rsidRPr="000B5369" w:rsidRDefault="00CE4D55" w:rsidP="000B5369">
    <w:pPr>
      <w:pStyle w:val="NoSpacing"/>
      <w:jc w:val="center"/>
      <w:rPr>
        <w:rFonts w:asciiTheme="minorHAnsi" w:hAnsiTheme="minorHAnsi" w:cstheme="minorHAnsi"/>
        <w:sz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660980"/>
    <w:multiLevelType w:val="hybridMultilevel"/>
    <w:tmpl w:val="3200A3EA"/>
    <w:lvl w:ilvl="0" w:tplc="7DE0801C">
      <w:start w:val="2"/>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13"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39332A"/>
    <w:multiLevelType w:val="hybridMultilevel"/>
    <w:tmpl w:val="46DA9526"/>
    <w:lvl w:ilvl="0" w:tplc="73E224A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17B0461"/>
    <w:multiLevelType w:val="hybridMultilevel"/>
    <w:tmpl w:val="46FA4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84D033C"/>
    <w:multiLevelType w:val="multilevel"/>
    <w:tmpl w:val="04BC12A8"/>
    <w:lvl w:ilvl="0">
      <w:start w:val="1"/>
      <w:numFmt w:val="decimal"/>
      <w:pStyle w:val="2Sections"/>
      <w:lvlText w:val="%1"/>
      <w:lvlJc w:val="left"/>
      <w:pPr>
        <w:ind w:left="720" w:hanging="720"/>
      </w:pPr>
      <w:rPr>
        <w:rFonts w:hint="default"/>
        <w:b/>
        <w:i w:val="0"/>
        <w:color w:val="000000" w:themeColor="text1"/>
      </w:rPr>
    </w:lvl>
    <w:lvl w:ilvl="1">
      <w:start w:val="1"/>
      <w:numFmt w:val="decimal"/>
      <w:pStyle w:val="Bodytextitalics"/>
      <w:lvlText w:val="%1.%2"/>
      <w:lvlJc w:val="left"/>
      <w:pPr>
        <w:ind w:left="720" w:hanging="720"/>
      </w:pPr>
      <w:rPr>
        <w:rFonts w:asciiTheme="minorHAnsi" w:hAnsiTheme="minorHAnsi" w:cstheme="minorHAnsi" w:hint="default"/>
        <w:b w:val="0"/>
        <w:i w:val="0"/>
        <w:color w:val="000000" w:themeColor="text1"/>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1"/>
  </w:num>
  <w:num w:numId="2">
    <w:abstractNumId w:val="0"/>
  </w:num>
  <w:num w:numId="3">
    <w:abstractNumId w:val="21"/>
  </w:num>
  <w:num w:numId="4">
    <w:abstractNumId w:val="16"/>
  </w:num>
  <w:num w:numId="5">
    <w:abstractNumId w:val="11"/>
  </w:num>
  <w:num w:numId="6">
    <w:abstractNumId w:val="14"/>
  </w:num>
  <w:num w:numId="7">
    <w:abstractNumId w:val="22"/>
  </w:num>
  <w:num w:numId="8">
    <w:abstractNumId w:val="18"/>
  </w:num>
  <w:num w:numId="9">
    <w:abstractNumId w:val="20"/>
  </w:num>
  <w:num w:numId="10">
    <w:abstractNumId w:val="13"/>
  </w:num>
  <w:num w:numId="11">
    <w:abstractNumId w:val="17"/>
  </w:num>
  <w:num w:numId="12">
    <w:abstractNumId w:val="19"/>
  </w:num>
  <w:num w:numId="13">
    <w:abstractNumId w:val="10"/>
    <w:lvlOverride w:ilvl="0">
      <w:startOverride w:val="1"/>
    </w:lvlOverride>
  </w:num>
  <w:num w:numId="14">
    <w:abstractNumId w:val="10"/>
  </w:num>
  <w:num w:numId="15">
    <w:abstractNumId w:val="10"/>
    <w:lvlOverride w:ilvl="0">
      <w:startOverride w:val="1"/>
    </w:lvlOverride>
  </w:num>
  <w:num w:numId="16">
    <w:abstractNumId w:val="12"/>
  </w:num>
  <w:num w:numId="17">
    <w:abstractNumId w:val="10"/>
    <w:lvlOverride w:ilvl="0">
      <w:startOverride w:val="4"/>
    </w:lvlOverride>
  </w:num>
  <w:num w:numId="18">
    <w:abstractNumId w:val="2"/>
  </w:num>
  <w:num w:numId="19">
    <w:abstractNumId w:val="9"/>
  </w:num>
  <w:num w:numId="20">
    <w:abstractNumId w:val="21"/>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4"/>
  </w:num>
  <w:num w:numId="35">
    <w:abstractNumId w:val="8"/>
  </w:num>
  <w:num w:numId="36">
    <w:abstractNumId w:val="15"/>
  </w:num>
  <w:num w:numId="37">
    <w:abstractNumId w:val="3"/>
  </w:num>
  <w:num w:numId="38">
    <w:abstractNumId w:val="1"/>
  </w:num>
  <w:num w:numId="39">
    <w:abstractNumId w:val="6"/>
  </w:num>
  <w:num w:numId="40">
    <w:abstractNumId w:val="7"/>
  </w:num>
  <w:num w:numId="4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35C6"/>
    <w:rsid w:val="000071BF"/>
    <w:rsid w:val="00011A59"/>
    <w:rsid w:val="00016A41"/>
    <w:rsid w:val="000214D1"/>
    <w:rsid w:val="0002464A"/>
    <w:rsid w:val="0003106B"/>
    <w:rsid w:val="00034905"/>
    <w:rsid w:val="000421A1"/>
    <w:rsid w:val="0004240E"/>
    <w:rsid w:val="00045E26"/>
    <w:rsid w:val="000471E3"/>
    <w:rsid w:val="000514B5"/>
    <w:rsid w:val="00051E0D"/>
    <w:rsid w:val="000535BF"/>
    <w:rsid w:val="00060E64"/>
    <w:rsid w:val="00063E39"/>
    <w:rsid w:val="00066755"/>
    <w:rsid w:val="00071B82"/>
    <w:rsid w:val="000763D5"/>
    <w:rsid w:val="00077143"/>
    <w:rsid w:val="00082169"/>
    <w:rsid w:val="000918CB"/>
    <w:rsid w:val="00091B06"/>
    <w:rsid w:val="000951C4"/>
    <w:rsid w:val="00095ADA"/>
    <w:rsid w:val="00095DB0"/>
    <w:rsid w:val="000969AD"/>
    <w:rsid w:val="000A3AA2"/>
    <w:rsid w:val="000A44B2"/>
    <w:rsid w:val="000B44C3"/>
    <w:rsid w:val="000B5369"/>
    <w:rsid w:val="000B558D"/>
    <w:rsid w:val="000C27AA"/>
    <w:rsid w:val="000C5F95"/>
    <w:rsid w:val="000C6996"/>
    <w:rsid w:val="000D09E9"/>
    <w:rsid w:val="000D23BA"/>
    <w:rsid w:val="000D3EB1"/>
    <w:rsid w:val="000D77D8"/>
    <w:rsid w:val="000E681E"/>
    <w:rsid w:val="000F0003"/>
    <w:rsid w:val="000F3384"/>
    <w:rsid w:val="000F4E6A"/>
    <w:rsid w:val="000F7354"/>
    <w:rsid w:val="00102202"/>
    <w:rsid w:val="00104227"/>
    <w:rsid w:val="00106DDF"/>
    <w:rsid w:val="001107BF"/>
    <w:rsid w:val="00113649"/>
    <w:rsid w:val="00123A8C"/>
    <w:rsid w:val="0012417C"/>
    <w:rsid w:val="0012749D"/>
    <w:rsid w:val="00142395"/>
    <w:rsid w:val="00142714"/>
    <w:rsid w:val="001452ED"/>
    <w:rsid w:val="00147D84"/>
    <w:rsid w:val="001549C1"/>
    <w:rsid w:val="00162D4E"/>
    <w:rsid w:val="00163329"/>
    <w:rsid w:val="00164623"/>
    <w:rsid w:val="001652DE"/>
    <w:rsid w:val="00165B64"/>
    <w:rsid w:val="00180713"/>
    <w:rsid w:val="001830CE"/>
    <w:rsid w:val="0018643B"/>
    <w:rsid w:val="00191B42"/>
    <w:rsid w:val="00196307"/>
    <w:rsid w:val="001A33EA"/>
    <w:rsid w:val="001A4C4F"/>
    <w:rsid w:val="001A76FB"/>
    <w:rsid w:val="001A7938"/>
    <w:rsid w:val="001B017F"/>
    <w:rsid w:val="001B2BBC"/>
    <w:rsid w:val="001B3FFE"/>
    <w:rsid w:val="001B5129"/>
    <w:rsid w:val="001B7116"/>
    <w:rsid w:val="001C0B4C"/>
    <w:rsid w:val="001C1195"/>
    <w:rsid w:val="001D0B16"/>
    <w:rsid w:val="001D1F5F"/>
    <w:rsid w:val="001E06D2"/>
    <w:rsid w:val="001F1850"/>
    <w:rsid w:val="001F3189"/>
    <w:rsid w:val="001F5732"/>
    <w:rsid w:val="00203FAC"/>
    <w:rsid w:val="00213CFB"/>
    <w:rsid w:val="0021553C"/>
    <w:rsid w:val="0021557B"/>
    <w:rsid w:val="002174FD"/>
    <w:rsid w:val="00217BE1"/>
    <w:rsid w:val="002217A0"/>
    <w:rsid w:val="00234252"/>
    <w:rsid w:val="00234C7C"/>
    <w:rsid w:val="002353A4"/>
    <w:rsid w:val="00237AC6"/>
    <w:rsid w:val="00244490"/>
    <w:rsid w:val="00253499"/>
    <w:rsid w:val="002551A4"/>
    <w:rsid w:val="00257664"/>
    <w:rsid w:val="00265151"/>
    <w:rsid w:val="00266509"/>
    <w:rsid w:val="00266AEE"/>
    <w:rsid w:val="00271BA1"/>
    <w:rsid w:val="002762FA"/>
    <w:rsid w:val="00277505"/>
    <w:rsid w:val="002823B6"/>
    <w:rsid w:val="00282B98"/>
    <w:rsid w:val="0029246E"/>
    <w:rsid w:val="00294274"/>
    <w:rsid w:val="0029458F"/>
    <w:rsid w:val="002A0E04"/>
    <w:rsid w:val="002A104C"/>
    <w:rsid w:val="002A3D8B"/>
    <w:rsid w:val="002A494D"/>
    <w:rsid w:val="002A4960"/>
    <w:rsid w:val="002B0AE0"/>
    <w:rsid w:val="002B1AE6"/>
    <w:rsid w:val="002B1D51"/>
    <w:rsid w:val="002B2DE8"/>
    <w:rsid w:val="002B30F8"/>
    <w:rsid w:val="002B388A"/>
    <w:rsid w:val="002B5596"/>
    <w:rsid w:val="002C212F"/>
    <w:rsid w:val="002C7485"/>
    <w:rsid w:val="002D283A"/>
    <w:rsid w:val="002D4543"/>
    <w:rsid w:val="002E3153"/>
    <w:rsid w:val="002E5292"/>
    <w:rsid w:val="002E6EEA"/>
    <w:rsid w:val="002E72CA"/>
    <w:rsid w:val="002F600D"/>
    <w:rsid w:val="00300AD6"/>
    <w:rsid w:val="00300B1B"/>
    <w:rsid w:val="003019D0"/>
    <w:rsid w:val="003064AF"/>
    <w:rsid w:val="00317C6C"/>
    <w:rsid w:val="00320CD3"/>
    <w:rsid w:val="00326E79"/>
    <w:rsid w:val="003301B1"/>
    <w:rsid w:val="00331189"/>
    <w:rsid w:val="0033263D"/>
    <w:rsid w:val="0033518A"/>
    <w:rsid w:val="003367EF"/>
    <w:rsid w:val="00341AE4"/>
    <w:rsid w:val="003476EE"/>
    <w:rsid w:val="00357CD4"/>
    <w:rsid w:val="003655FC"/>
    <w:rsid w:val="003736C9"/>
    <w:rsid w:val="00377C79"/>
    <w:rsid w:val="00384988"/>
    <w:rsid w:val="003872CF"/>
    <w:rsid w:val="00394420"/>
    <w:rsid w:val="0039782C"/>
    <w:rsid w:val="003A2C2D"/>
    <w:rsid w:val="003A5B4A"/>
    <w:rsid w:val="003B23C5"/>
    <w:rsid w:val="003B2A75"/>
    <w:rsid w:val="003B6124"/>
    <w:rsid w:val="003C093A"/>
    <w:rsid w:val="003C1ECF"/>
    <w:rsid w:val="003C2FB5"/>
    <w:rsid w:val="003D24C5"/>
    <w:rsid w:val="003D4AC4"/>
    <w:rsid w:val="003D63B7"/>
    <w:rsid w:val="003E468B"/>
    <w:rsid w:val="003E4FA4"/>
    <w:rsid w:val="003E62BD"/>
    <w:rsid w:val="003F0C3A"/>
    <w:rsid w:val="003F1EBE"/>
    <w:rsid w:val="003F3228"/>
    <w:rsid w:val="003F5C8C"/>
    <w:rsid w:val="003F73AE"/>
    <w:rsid w:val="003F775A"/>
    <w:rsid w:val="00400E55"/>
    <w:rsid w:val="0040128E"/>
    <w:rsid w:val="0040216B"/>
    <w:rsid w:val="004252EC"/>
    <w:rsid w:val="00430783"/>
    <w:rsid w:val="00430D39"/>
    <w:rsid w:val="004465BD"/>
    <w:rsid w:val="00461A44"/>
    <w:rsid w:val="00462803"/>
    <w:rsid w:val="00466ADA"/>
    <w:rsid w:val="004702BB"/>
    <w:rsid w:val="0047494B"/>
    <w:rsid w:val="00476245"/>
    <w:rsid w:val="00477A9B"/>
    <w:rsid w:val="00483035"/>
    <w:rsid w:val="00485940"/>
    <w:rsid w:val="004904B9"/>
    <w:rsid w:val="004A2152"/>
    <w:rsid w:val="004A2484"/>
    <w:rsid w:val="004A3997"/>
    <w:rsid w:val="004A5A85"/>
    <w:rsid w:val="004A71D1"/>
    <w:rsid w:val="004A7C5B"/>
    <w:rsid w:val="004B2E98"/>
    <w:rsid w:val="004B5640"/>
    <w:rsid w:val="004C1BD7"/>
    <w:rsid w:val="004C31FE"/>
    <w:rsid w:val="004C524C"/>
    <w:rsid w:val="004C691D"/>
    <w:rsid w:val="004C6C07"/>
    <w:rsid w:val="004D1A6F"/>
    <w:rsid w:val="004D4FF6"/>
    <w:rsid w:val="004E1D9B"/>
    <w:rsid w:val="004E692D"/>
    <w:rsid w:val="004E7D87"/>
    <w:rsid w:val="004F0CC5"/>
    <w:rsid w:val="004F2553"/>
    <w:rsid w:val="00501554"/>
    <w:rsid w:val="00502AFE"/>
    <w:rsid w:val="00503AD7"/>
    <w:rsid w:val="00504E0C"/>
    <w:rsid w:val="005109D4"/>
    <w:rsid w:val="00514CD7"/>
    <w:rsid w:val="00520D6A"/>
    <w:rsid w:val="00522DB6"/>
    <w:rsid w:val="0052792D"/>
    <w:rsid w:val="005319B2"/>
    <w:rsid w:val="00532402"/>
    <w:rsid w:val="00532C74"/>
    <w:rsid w:val="0053348F"/>
    <w:rsid w:val="00534E2E"/>
    <w:rsid w:val="00544552"/>
    <w:rsid w:val="0055286A"/>
    <w:rsid w:val="00555745"/>
    <w:rsid w:val="00557D4F"/>
    <w:rsid w:val="0056484E"/>
    <w:rsid w:val="00575EA8"/>
    <w:rsid w:val="005764CD"/>
    <w:rsid w:val="00577C4D"/>
    <w:rsid w:val="00580532"/>
    <w:rsid w:val="00581932"/>
    <w:rsid w:val="00585CEB"/>
    <w:rsid w:val="00595D16"/>
    <w:rsid w:val="005963BB"/>
    <w:rsid w:val="005A3173"/>
    <w:rsid w:val="005A3223"/>
    <w:rsid w:val="005A3DA3"/>
    <w:rsid w:val="005A52C4"/>
    <w:rsid w:val="005B594F"/>
    <w:rsid w:val="005B6FFC"/>
    <w:rsid w:val="005D03AB"/>
    <w:rsid w:val="005D5017"/>
    <w:rsid w:val="005D63FA"/>
    <w:rsid w:val="005E1333"/>
    <w:rsid w:val="005E3136"/>
    <w:rsid w:val="005E3ECD"/>
    <w:rsid w:val="005E507D"/>
    <w:rsid w:val="005F1250"/>
    <w:rsid w:val="005F76D5"/>
    <w:rsid w:val="00601A91"/>
    <w:rsid w:val="00602BA3"/>
    <w:rsid w:val="00605B63"/>
    <w:rsid w:val="00606EED"/>
    <w:rsid w:val="00612E34"/>
    <w:rsid w:val="00614159"/>
    <w:rsid w:val="006156F0"/>
    <w:rsid w:val="00615EF5"/>
    <w:rsid w:val="00616C5F"/>
    <w:rsid w:val="00616DAC"/>
    <w:rsid w:val="00617C00"/>
    <w:rsid w:val="00621CB4"/>
    <w:rsid w:val="006263BF"/>
    <w:rsid w:val="0062748A"/>
    <w:rsid w:val="00630A2C"/>
    <w:rsid w:val="0063682E"/>
    <w:rsid w:val="00642DA8"/>
    <w:rsid w:val="006436CD"/>
    <w:rsid w:val="00651169"/>
    <w:rsid w:val="00653D69"/>
    <w:rsid w:val="006552E6"/>
    <w:rsid w:val="00657C63"/>
    <w:rsid w:val="006670BE"/>
    <w:rsid w:val="006671E2"/>
    <w:rsid w:val="00670A76"/>
    <w:rsid w:val="006711AA"/>
    <w:rsid w:val="00672B57"/>
    <w:rsid w:val="00675622"/>
    <w:rsid w:val="006767E5"/>
    <w:rsid w:val="0067747D"/>
    <w:rsid w:val="00681CA4"/>
    <w:rsid w:val="00683878"/>
    <w:rsid w:val="00686BC5"/>
    <w:rsid w:val="0069039D"/>
    <w:rsid w:val="006906DB"/>
    <w:rsid w:val="00691E6C"/>
    <w:rsid w:val="00693DFB"/>
    <w:rsid w:val="0069501D"/>
    <w:rsid w:val="00696129"/>
    <w:rsid w:val="00697CF2"/>
    <w:rsid w:val="006A12A5"/>
    <w:rsid w:val="006A3DFF"/>
    <w:rsid w:val="006A5E20"/>
    <w:rsid w:val="006B0D94"/>
    <w:rsid w:val="006B485D"/>
    <w:rsid w:val="006B5D6B"/>
    <w:rsid w:val="006C334C"/>
    <w:rsid w:val="006C504E"/>
    <w:rsid w:val="006C708E"/>
    <w:rsid w:val="006D14E7"/>
    <w:rsid w:val="006D4444"/>
    <w:rsid w:val="006D6493"/>
    <w:rsid w:val="006D6EC7"/>
    <w:rsid w:val="006E1BCD"/>
    <w:rsid w:val="006E64A4"/>
    <w:rsid w:val="006F5125"/>
    <w:rsid w:val="006F557F"/>
    <w:rsid w:val="006F5ACB"/>
    <w:rsid w:val="006F733D"/>
    <w:rsid w:val="00702B6F"/>
    <w:rsid w:val="0070637E"/>
    <w:rsid w:val="00706878"/>
    <w:rsid w:val="00706A2F"/>
    <w:rsid w:val="0070718E"/>
    <w:rsid w:val="007079CB"/>
    <w:rsid w:val="0071340B"/>
    <w:rsid w:val="007174BB"/>
    <w:rsid w:val="0072025D"/>
    <w:rsid w:val="00727731"/>
    <w:rsid w:val="0073137C"/>
    <w:rsid w:val="007353D3"/>
    <w:rsid w:val="0074156B"/>
    <w:rsid w:val="00746CA3"/>
    <w:rsid w:val="007555E8"/>
    <w:rsid w:val="0076420C"/>
    <w:rsid w:val="00771D07"/>
    <w:rsid w:val="00774E2C"/>
    <w:rsid w:val="007753C2"/>
    <w:rsid w:val="007838B8"/>
    <w:rsid w:val="007915BA"/>
    <w:rsid w:val="007923C8"/>
    <w:rsid w:val="00794AD2"/>
    <w:rsid w:val="007B13BC"/>
    <w:rsid w:val="007B3DDC"/>
    <w:rsid w:val="007B3F2C"/>
    <w:rsid w:val="007B72A6"/>
    <w:rsid w:val="007C0F57"/>
    <w:rsid w:val="007C40B6"/>
    <w:rsid w:val="007C729F"/>
    <w:rsid w:val="007D15A2"/>
    <w:rsid w:val="007E1D28"/>
    <w:rsid w:val="007F0021"/>
    <w:rsid w:val="007F2641"/>
    <w:rsid w:val="007F3A75"/>
    <w:rsid w:val="007F438C"/>
    <w:rsid w:val="007F7C36"/>
    <w:rsid w:val="00806796"/>
    <w:rsid w:val="00811CC0"/>
    <w:rsid w:val="008151D6"/>
    <w:rsid w:val="00821527"/>
    <w:rsid w:val="008268BB"/>
    <w:rsid w:val="00826F6D"/>
    <w:rsid w:val="008306F3"/>
    <w:rsid w:val="00830E40"/>
    <w:rsid w:val="00834450"/>
    <w:rsid w:val="00855FD6"/>
    <w:rsid w:val="00856DDD"/>
    <w:rsid w:val="00860C2C"/>
    <w:rsid w:val="00863E68"/>
    <w:rsid w:val="008647B5"/>
    <w:rsid w:val="00875DCB"/>
    <w:rsid w:val="00882085"/>
    <w:rsid w:val="00883188"/>
    <w:rsid w:val="0088511F"/>
    <w:rsid w:val="00897D58"/>
    <w:rsid w:val="00897D65"/>
    <w:rsid w:val="00897F22"/>
    <w:rsid w:val="008A0B39"/>
    <w:rsid w:val="008A1956"/>
    <w:rsid w:val="008A4937"/>
    <w:rsid w:val="008A50F1"/>
    <w:rsid w:val="008A59D9"/>
    <w:rsid w:val="008A6819"/>
    <w:rsid w:val="008B2EC0"/>
    <w:rsid w:val="008D1B5C"/>
    <w:rsid w:val="008D3C82"/>
    <w:rsid w:val="008D447E"/>
    <w:rsid w:val="008D7A41"/>
    <w:rsid w:val="008E2C72"/>
    <w:rsid w:val="008E3680"/>
    <w:rsid w:val="008E5870"/>
    <w:rsid w:val="008F1434"/>
    <w:rsid w:val="008F26F1"/>
    <w:rsid w:val="008F54C3"/>
    <w:rsid w:val="008F7355"/>
    <w:rsid w:val="009023DC"/>
    <w:rsid w:val="009067B7"/>
    <w:rsid w:val="0091402F"/>
    <w:rsid w:val="00926560"/>
    <w:rsid w:val="00930937"/>
    <w:rsid w:val="009324A6"/>
    <w:rsid w:val="00933E6C"/>
    <w:rsid w:val="00937958"/>
    <w:rsid w:val="00941602"/>
    <w:rsid w:val="00942160"/>
    <w:rsid w:val="0095146F"/>
    <w:rsid w:val="00957944"/>
    <w:rsid w:val="009602C5"/>
    <w:rsid w:val="00962223"/>
    <w:rsid w:val="00966D0D"/>
    <w:rsid w:val="0096783C"/>
    <w:rsid w:val="009722B3"/>
    <w:rsid w:val="00974C21"/>
    <w:rsid w:val="00977BF3"/>
    <w:rsid w:val="009803E4"/>
    <w:rsid w:val="00980B0E"/>
    <w:rsid w:val="009836A3"/>
    <w:rsid w:val="009847E0"/>
    <w:rsid w:val="009855A8"/>
    <w:rsid w:val="009913F4"/>
    <w:rsid w:val="0099465B"/>
    <w:rsid w:val="009949EE"/>
    <w:rsid w:val="009A0CDD"/>
    <w:rsid w:val="009A3168"/>
    <w:rsid w:val="009A5C0D"/>
    <w:rsid w:val="009A61CA"/>
    <w:rsid w:val="009B0C64"/>
    <w:rsid w:val="009B0F67"/>
    <w:rsid w:val="009B693F"/>
    <w:rsid w:val="009C1165"/>
    <w:rsid w:val="009C3A45"/>
    <w:rsid w:val="009C703C"/>
    <w:rsid w:val="009D206E"/>
    <w:rsid w:val="009D3CAA"/>
    <w:rsid w:val="009D6532"/>
    <w:rsid w:val="009E40E1"/>
    <w:rsid w:val="009E7156"/>
    <w:rsid w:val="009F0EFA"/>
    <w:rsid w:val="009F4E46"/>
    <w:rsid w:val="009F5B65"/>
    <w:rsid w:val="009F5F2E"/>
    <w:rsid w:val="00A06225"/>
    <w:rsid w:val="00A128E6"/>
    <w:rsid w:val="00A144D3"/>
    <w:rsid w:val="00A22AC3"/>
    <w:rsid w:val="00A24947"/>
    <w:rsid w:val="00A2744D"/>
    <w:rsid w:val="00A32305"/>
    <w:rsid w:val="00A34E6C"/>
    <w:rsid w:val="00A36398"/>
    <w:rsid w:val="00A37C8D"/>
    <w:rsid w:val="00A4020E"/>
    <w:rsid w:val="00A40FB5"/>
    <w:rsid w:val="00A42826"/>
    <w:rsid w:val="00A5273B"/>
    <w:rsid w:val="00A53A9D"/>
    <w:rsid w:val="00A55FEE"/>
    <w:rsid w:val="00A62C1A"/>
    <w:rsid w:val="00A6426D"/>
    <w:rsid w:val="00A665C1"/>
    <w:rsid w:val="00A70622"/>
    <w:rsid w:val="00A70977"/>
    <w:rsid w:val="00A70D58"/>
    <w:rsid w:val="00A71AF3"/>
    <w:rsid w:val="00A744F9"/>
    <w:rsid w:val="00A77613"/>
    <w:rsid w:val="00A8390C"/>
    <w:rsid w:val="00A84A77"/>
    <w:rsid w:val="00A86AE0"/>
    <w:rsid w:val="00A928BD"/>
    <w:rsid w:val="00A97DE9"/>
    <w:rsid w:val="00AA12CD"/>
    <w:rsid w:val="00AA4D1C"/>
    <w:rsid w:val="00AB5856"/>
    <w:rsid w:val="00AB6B7A"/>
    <w:rsid w:val="00AC193C"/>
    <w:rsid w:val="00AC4DE5"/>
    <w:rsid w:val="00AC5206"/>
    <w:rsid w:val="00AD4322"/>
    <w:rsid w:val="00AE11A5"/>
    <w:rsid w:val="00AE13E2"/>
    <w:rsid w:val="00AE22D3"/>
    <w:rsid w:val="00AE5A49"/>
    <w:rsid w:val="00AF46F8"/>
    <w:rsid w:val="00AF62DF"/>
    <w:rsid w:val="00AF68CC"/>
    <w:rsid w:val="00AF70D7"/>
    <w:rsid w:val="00B008F5"/>
    <w:rsid w:val="00B07CFB"/>
    <w:rsid w:val="00B1059E"/>
    <w:rsid w:val="00B10F04"/>
    <w:rsid w:val="00B170A5"/>
    <w:rsid w:val="00B176C8"/>
    <w:rsid w:val="00B205AA"/>
    <w:rsid w:val="00B22E84"/>
    <w:rsid w:val="00B233AD"/>
    <w:rsid w:val="00B23E25"/>
    <w:rsid w:val="00B25F75"/>
    <w:rsid w:val="00B26B3F"/>
    <w:rsid w:val="00B2778F"/>
    <w:rsid w:val="00B33635"/>
    <w:rsid w:val="00B3586F"/>
    <w:rsid w:val="00B3697E"/>
    <w:rsid w:val="00B43E90"/>
    <w:rsid w:val="00B467DC"/>
    <w:rsid w:val="00B511CD"/>
    <w:rsid w:val="00B557F4"/>
    <w:rsid w:val="00B56118"/>
    <w:rsid w:val="00B6773F"/>
    <w:rsid w:val="00B760FB"/>
    <w:rsid w:val="00B767AB"/>
    <w:rsid w:val="00B801BA"/>
    <w:rsid w:val="00B84D5C"/>
    <w:rsid w:val="00B868CB"/>
    <w:rsid w:val="00B940E3"/>
    <w:rsid w:val="00BA2DA8"/>
    <w:rsid w:val="00BA347C"/>
    <w:rsid w:val="00BB69F5"/>
    <w:rsid w:val="00BB7EC3"/>
    <w:rsid w:val="00BC4B9A"/>
    <w:rsid w:val="00BD02C3"/>
    <w:rsid w:val="00BD784C"/>
    <w:rsid w:val="00BE020A"/>
    <w:rsid w:val="00BF092C"/>
    <w:rsid w:val="00BF27A0"/>
    <w:rsid w:val="00BF4CB6"/>
    <w:rsid w:val="00BF716F"/>
    <w:rsid w:val="00C00DA7"/>
    <w:rsid w:val="00C12768"/>
    <w:rsid w:val="00C12D70"/>
    <w:rsid w:val="00C21B09"/>
    <w:rsid w:val="00C24BBE"/>
    <w:rsid w:val="00C2673A"/>
    <w:rsid w:val="00C27B58"/>
    <w:rsid w:val="00C35996"/>
    <w:rsid w:val="00C433CD"/>
    <w:rsid w:val="00C4747E"/>
    <w:rsid w:val="00C5342C"/>
    <w:rsid w:val="00C53B2B"/>
    <w:rsid w:val="00C60272"/>
    <w:rsid w:val="00C603D4"/>
    <w:rsid w:val="00C6256A"/>
    <w:rsid w:val="00C67274"/>
    <w:rsid w:val="00C70408"/>
    <w:rsid w:val="00C710E2"/>
    <w:rsid w:val="00C71C3F"/>
    <w:rsid w:val="00C7409E"/>
    <w:rsid w:val="00C76E76"/>
    <w:rsid w:val="00C77891"/>
    <w:rsid w:val="00C91449"/>
    <w:rsid w:val="00C92D10"/>
    <w:rsid w:val="00CA48D9"/>
    <w:rsid w:val="00CB1193"/>
    <w:rsid w:val="00CB4767"/>
    <w:rsid w:val="00CB493D"/>
    <w:rsid w:val="00CC0930"/>
    <w:rsid w:val="00CC3B97"/>
    <w:rsid w:val="00CC532C"/>
    <w:rsid w:val="00CE01C9"/>
    <w:rsid w:val="00CE10C4"/>
    <w:rsid w:val="00CE27B5"/>
    <w:rsid w:val="00CE4D55"/>
    <w:rsid w:val="00CE6DAF"/>
    <w:rsid w:val="00CF410A"/>
    <w:rsid w:val="00D0321E"/>
    <w:rsid w:val="00D03ADF"/>
    <w:rsid w:val="00D07A8A"/>
    <w:rsid w:val="00D1455A"/>
    <w:rsid w:val="00D22093"/>
    <w:rsid w:val="00D31150"/>
    <w:rsid w:val="00D3138B"/>
    <w:rsid w:val="00D3280C"/>
    <w:rsid w:val="00D3406A"/>
    <w:rsid w:val="00D441F1"/>
    <w:rsid w:val="00D4572C"/>
    <w:rsid w:val="00D469B2"/>
    <w:rsid w:val="00D65658"/>
    <w:rsid w:val="00D72B6F"/>
    <w:rsid w:val="00D741EB"/>
    <w:rsid w:val="00D7679C"/>
    <w:rsid w:val="00D820F3"/>
    <w:rsid w:val="00D83605"/>
    <w:rsid w:val="00D83E19"/>
    <w:rsid w:val="00D846EC"/>
    <w:rsid w:val="00D84934"/>
    <w:rsid w:val="00D91271"/>
    <w:rsid w:val="00D919F5"/>
    <w:rsid w:val="00D93B5D"/>
    <w:rsid w:val="00D944D0"/>
    <w:rsid w:val="00D94F03"/>
    <w:rsid w:val="00DA0D14"/>
    <w:rsid w:val="00DA0F5B"/>
    <w:rsid w:val="00DA1FC9"/>
    <w:rsid w:val="00DA2CB5"/>
    <w:rsid w:val="00DA4BAC"/>
    <w:rsid w:val="00DB0151"/>
    <w:rsid w:val="00DC2C3E"/>
    <w:rsid w:val="00DC4880"/>
    <w:rsid w:val="00DE6D27"/>
    <w:rsid w:val="00DF217D"/>
    <w:rsid w:val="00DF248A"/>
    <w:rsid w:val="00DF26A7"/>
    <w:rsid w:val="00DF3277"/>
    <w:rsid w:val="00DF566E"/>
    <w:rsid w:val="00DF7919"/>
    <w:rsid w:val="00E0207E"/>
    <w:rsid w:val="00E03912"/>
    <w:rsid w:val="00E15299"/>
    <w:rsid w:val="00E15627"/>
    <w:rsid w:val="00E164B3"/>
    <w:rsid w:val="00E16910"/>
    <w:rsid w:val="00E175E5"/>
    <w:rsid w:val="00E24E09"/>
    <w:rsid w:val="00E27234"/>
    <w:rsid w:val="00E30CA7"/>
    <w:rsid w:val="00E42BDB"/>
    <w:rsid w:val="00E57EEB"/>
    <w:rsid w:val="00E62D94"/>
    <w:rsid w:val="00E6450B"/>
    <w:rsid w:val="00E64F37"/>
    <w:rsid w:val="00E65E54"/>
    <w:rsid w:val="00E661C7"/>
    <w:rsid w:val="00E75415"/>
    <w:rsid w:val="00E80155"/>
    <w:rsid w:val="00E81E0D"/>
    <w:rsid w:val="00E81F28"/>
    <w:rsid w:val="00E848C0"/>
    <w:rsid w:val="00E91B96"/>
    <w:rsid w:val="00E93D1E"/>
    <w:rsid w:val="00E941A1"/>
    <w:rsid w:val="00E94B80"/>
    <w:rsid w:val="00E95CE3"/>
    <w:rsid w:val="00EA252F"/>
    <w:rsid w:val="00EA2825"/>
    <w:rsid w:val="00EA7EDE"/>
    <w:rsid w:val="00EB0B63"/>
    <w:rsid w:val="00EB1936"/>
    <w:rsid w:val="00EB37BE"/>
    <w:rsid w:val="00EB5088"/>
    <w:rsid w:val="00EC282A"/>
    <w:rsid w:val="00ED0BE5"/>
    <w:rsid w:val="00ED1644"/>
    <w:rsid w:val="00ED2593"/>
    <w:rsid w:val="00ED5782"/>
    <w:rsid w:val="00ED7D9C"/>
    <w:rsid w:val="00EF0069"/>
    <w:rsid w:val="00EF44A0"/>
    <w:rsid w:val="00EF4FED"/>
    <w:rsid w:val="00F007C6"/>
    <w:rsid w:val="00F0172E"/>
    <w:rsid w:val="00F01EB2"/>
    <w:rsid w:val="00F050BD"/>
    <w:rsid w:val="00F05657"/>
    <w:rsid w:val="00F13770"/>
    <w:rsid w:val="00F209E2"/>
    <w:rsid w:val="00F25578"/>
    <w:rsid w:val="00F258E5"/>
    <w:rsid w:val="00F25B9C"/>
    <w:rsid w:val="00F26CC6"/>
    <w:rsid w:val="00F300BC"/>
    <w:rsid w:val="00F3263C"/>
    <w:rsid w:val="00F3334E"/>
    <w:rsid w:val="00F36CCB"/>
    <w:rsid w:val="00F374E5"/>
    <w:rsid w:val="00F37B93"/>
    <w:rsid w:val="00F43AF2"/>
    <w:rsid w:val="00F47915"/>
    <w:rsid w:val="00F5007E"/>
    <w:rsid w:val="00F50EC4"/>
    <w:rsid w:val="00F52232"/>
    <w:rsid w:val="00F550CF"/>
    <w:rsid w:val="00F57A6D"/>
    <w:rsid w:val="00F638CC"/>
    <w:rsid w:val="00F64C9E"/>
    <w:rsid w:val="00F64CC1"/>
    <w:rsid w:val="00F71AFE"/>
    <w:rsid w:val="00F72317"/>
    <w:rsid w:val="00F80475"/>
    <w:rsid w:val="00F8247A"/>
    <w:rsid w:val="00F925E7"/>
    <w:rsid w:val="00F9629A"/>
    <w:rsid w:val="00F97EFC"/>
    <w:rsid w:val="00FA1BDD"/>
    <w:rsid w:val="00FA3185"/>
    <w:rsid w:val="00FA4DD5"/>
    <w:rsid w:val="00FA5883"/>
    <w:rsid w:val="00FA6055"/>
    <w:rsid w:val="00FB322F"/>
    <w:rsid w:val="00FB442F"/>
    <w:rsid w:val="00FC1929"/>
    <w:rsid w:val="00FC5B46"/>
    <w:rsid w:val="00FD2EE8"/>
    <w:rsid w:val="00FD6D8E"/>
    <w:rsid w:val="00FE0E94"/>
    <w:rsid w:val="00FE2AC2"/>
    <w:rsid w:val="00FE3CD9"/>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71C0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4A3997"/>
    <w:pPr>
      <w:keepNext/>
      <w:keepLines/>
      <w:spacing w:before="12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3"/>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4A3997"/>
    <w:rPr>
      <w:rFonts w:asciiTheme="minorHAnsi" w:eastAsiaTheme="majorEastAsia" w:hAnsiTheme="minorHAnsi" w:cstheme="majorBidi"/>
      <w:b/>
      <w:i/>
      <w:sz w:val="28"/>
      <w:szCs w:val="28"/>
      <w:lang w:eastAsia="en-US"/>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234C7C"/>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234C7C"/>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ilvl w:val="0"/>
        <w:numId w:val="4"/>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numPr>
        <w:numId w:val="5"/>
      </w:numPr>
      <w:ind w:left="425" w:hanging="425"/>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234C7C"/>
    <w:pPr>
      <w:numPr>
        <w:ilvl w:val="1"/>
        <w:numId w:val="3"/>
      </w:numPr>
      <w:jc w:val="both"/>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13"/>
      </w:numPr>
      <w:spacing w:before="60" w:after="60" w:line="300" w:lineRule="atLeast"/>
      <w:ind w:right="567"/>
    </w:pPr>
    <w:rPr>
      <w:rFonts w:ascii="Tahoma" w:hAnsi="Tahoma"/>
      <w:sz w:val="22"/>
      <w:szCs w:val="20"/>
    </w:rPr>
  </w:style>
  <w:style w:type="paragraph" w:customStyle="1" w:styleId="subsection2">
    <w:name w:val="subsection2"/>
    <w:basedOn w:val="Normal"/>
    <w:link w:val="subsection2Char"/>
    <w:qFormat/>
    <w:rsid w:val="004A3997"/>
    <w:pPr>
      <w:spacing w:after="120"/>
      <w:ind w:left="66"/>
    </w:pPr>
    <w:rPr>
      <w:rFonts w:asciiTheme="minorHAnsi" w:hAnsiTheme="minorHAnsi"/>
      <w:b/>
      <w:i/>
    </w:rPr>
  </w:style>
  <w:style w:type="character" w:customStyle="1" w:styleId="subsection2Char">
    <w:name w:val="subsection2 Char"/>
    <w:basedOn w:val="DefaultParagraphFont"/>
    <w:link w:val="subsection2"/>
    <w:rsid w:val="004A3997"/>
    <w:rPr>
      <w:rFonts w:asciiTheme="minorHAnsi" w:hAnsiTheme="minorHAnsi"/>
      <w:b/>
      <w:i/>
      <w:sz w:val="24"/>
      <w:szCs w:val="24"/>
    </w:rPr>
  </w:style>
  <w:style w:type="paragraph" w:styleId="FootnoteText">
    <w:name w:val="footnote text"/>
    <w:basedOn w:val="Normal"/>
    <w:link w:val="FootnoteTextChar"/>
    <w:semiHidden/>
    <w:unhideWhenUsed/>
    <w:rsid w:val="00FA3185"/>
    <w:rPr>
      <w:sz w:val="20"/>
      <w:szCs w:val="20"/>
    </w:rPr>
  </w:style>
  <w:style w:type="character" w:customStyle="1" w:styleId="FootnoteTextChar">
    <w:name w:val="Footnote Text Char"/>
    <w:basedOn w:val="DefaultParagraphFont"/>
    <w:link w:val="FootnoteText"/>
    <w:semiHidden/>
    <w:rsid w:val="00FA3185"/>
  </w:style>
  <w:style w:type="character" w:styleId="FootnoteReference">
    <w:name w:val="footnote reference"/>
    <w:basedOn w:val="DefaultParagraphFont"/>
    <w:semiHidden/>
    <w:unhideWhenUsed/>
    <w:rsid w:val="00FA31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B9BCD-C1E3-41D0-AC46-25B2CE2D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A92F5AA4.dotm</Template>
  <TotalTime>0</TotalTime>
  <Pages>4</Pages>
  <Words>1254</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2020-06-17T05:23:00Z</dcterms:created>
  <dcterms:modified xsi:type="dcterms:W3CDTF">2020-06-17T05:26:00Z</dcterms:modified>
</cp:coreProperties>
</file>