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B4C2" w14:textId="1B975865" w:rsidR="00BF27A0" w:rsidRPr="00282E05" w:rsidRDefault="002B2FA1" w:rsidP="003F30E1">
      <w:pPr>
        <w:pStyle w:val="1-MainHeading"/>
        <w:ind w:left="1440" w:hanging="1440"/>
      </w:pPr>
      <w:r w:rsidRPr="00282E05">
        <w:rPr>
          <w:rFonts w:eastAsia="Calibri"/>
          <w:lang w:eastAsia="en-US"/>
        </w:rPr>
        <w:t>14.03</w:t>
      </w:r>
      <w:r w:rsidR="00412FA1">
        <w:rPr>
          <w:rFonts w:eastAsia="Calibri"/>
          <w:lang w:eastAsia="en-US"/>
        </w:rPr>
        <w:t>(</w:t>
      </w:r>
      <w:r w:rsidRPr="00282E05">
        <w:rPr>
          <w:rFonts w:eastAsia="Calibri"/>
          <w:lang w:eastAsia="en-US"/>
        </w:rPr>
        <w:t>a</w:t>
      </w:r>
      <w:r w:rsidR="00412FA1">
        <w:rPr>
          <w:rFonts w:eastAsia="Calibri"/>
          <w:lang w:eastAsia="en-US"/>
        </w:rPr>
        <w:t>)</w:t>
      </w:r>
      <w:r w:rsidRPr="00282E05">
        <w:rPr>
          <w:rFonts w:eastAsia="Calibri"/>
          <w:lang w:eastAsia="en-US"/>
        </w:rPr>
        <w:tab/>
      </w:r>
      <w:r w:rsidRPr="00282E05">
        <w:t xml:space="preserve">ADALIMUMAB </w:t>
      </w:r>
      <w:r w:rsidRPr="00282E05">
        <w:br/>
        <w:t xml:space="preserve">Injection 40 mg in 0.8 mL pre-filled syringe, </w:t>
      </w:r>
      <w:r w:rsidR="003F30E1">
        <w:br/>
      </w:r>
      <w:r w:rsidRPr="00282E05">
        <w:t xml:space="preserve">Injection 40 mg in 0.8 mL single dose autoinjector, </w:t>
      </w:r>
      <w:r w:rsidRPr="00282E05">
        <w:br/>
        <w:t>Hadlima®</w:t>
      </w:r>
      <w:proofErr w:type="gramStart"/>
      <w:r w:rsidRPr="00282E05">
        <w:t>,</w:t>
      </w:r>
      <w:proofErr w:type="gramEnd"/>
      <w:r w:rsidR="003F30E1">
        <w:br/>
      </w:r>
      <w:r w:rsidRPr="00282E05">
        <w:t>Merck Sharp &amp; Dohme (Australia) Pty Ltd</w:t>
      </w:r>
    </w:p>
    <w:p w14:paraId="0596616F" w14:textId="77777777" w:rsidR="008A50F1" w:rsidRPr="00282E05" w:rsidRDefault="00CE10C4" w:rsidP="008F0213">
      <w:pPr>
        <w:pStyle w:val="2-SectionHeading"/>
      </w:pPr>
      <w:r w:rsidRPr="00282E05">
        <w:t xml:space="preserve">Purpose of </w:t>
      </w:r>
      <w:r w:rsidR="0004240E" w:rsidRPr="00282E05">
        <w:t>Application</w:t>
      </w:r>
      <w:r w:rsidR="00034905" w:rsidRPr="00282E05">
        <w:t xml:space="preserve"> </w:t>
      </w:r>
    </w:p>
    <w:p w14:paraId="3E7C394F" w14:textId="5EBEB2DE" w:rsidR="009A1E2B" w:rsidRPr="000C7E8C" w:rsidRDefault="00455015" w:rsidP="000C7E8C">
      <w:pPr>
        <w:pStyle w:val="3Bodytext"/>
      </w:pPr>
      <w:r w:rsidRPr="000C7E8C">
        <w:t xml:space="preserve">The minor submission requested </w:t>
      </w:r>
      <w:r w:rsidR="009915B3" w:rsidRPr="000C7E8C">
        <w:t>the listing of Hadlima</w:t>
      </w:r>
      <w:r w:rsidRPr="000C7E8C">
        <w:t xml:space="preserve">®, an adalimumab biosimilar, for the remaining indications for which Humira® (adalimumab) is currently listed on the </w:t>
      </w:r>
      <w:r w:rsidR="00C57654" w:rsidRPr="007129F2">
        <w:rPr>
          <w:rFonts w:cs="Arial"/>
          <w:bCs/>
          <w:lang w:val="en-GB"/>
        </w:rPr>
        <w:t>Pharm</w:t>
      </w:r>
      <w:r w:rsidR="00C57654">
        <w:rPr>
          <w:rFonts w:cs="Arial"/>
          <w:bCs/>
          <w:lang w:val="en-GB"/>
        </w:rPr>
        <w:t>aceutical Benefits Scheme (PBS)</w:t>
      </w:r>
      <w:r w:rsidR="002B2FA1" w:rsidRPr="000C7E8C">
        <w:t>.</w:t>
      </w:r>
    </w:p>
    <w:p w14:paraId="34CA006F" w14:textId="77777777" w:rsidR="00A01432" w:rsidRPr="00282E05" w:rsidRDefault="00A01432" w:rsidP="006F0A71">
      <w:pPr>
        <w:pStyle w:val="2-SectionHeading"/>
      </w:pPr>
      <w:r w:rsidRPr="00282E05">
        <w:t xml:space="preserve">Background </w:t>
      </w:r>
    </w:p>
    <w:p w14:paraId="4C4AFCF8" w14:textId="77777777" w:rsidR="00A01432" w:rsidRPr="00282E05" w:rsidRDefault="00A01432" w:rsidP="000C7E8C">
      <w:pPr>
        <w:pStyle w:val="4-SubsectionHeading"/>
        <w:rPr>
          <w:lang w:eastAsia="en-US"/>
        </w:rPr>
      </w:pPr>
      <w:r w:rsidRPr="00282E05">
        <w:rPr>
          <w:lang w:eastAsia="en-US"/>
        </w:rPr>
        <w:t>Registration status</w:t>
      </w:r>
    </w:p>
    <w:p w14:paraId="09F555AA" w14:textId="6F063FAC" w:rsidR="000B2674" w:rsidRPr="00282E05" w:rsidRDefault="005A6BB6" w:rsidP="000C7E8C">
      <w:pPr>
        <w:pStyle w:val="3Bodytext"/>
      </w:pPr>
      <w:r w:rsidRPr="00282E05">
        <w:t>Hadlima was</w:t>
      </w:r>
      <w:r w:rsidR="00A72B33">
        <w:t xml:space="preserve"> </w:t>
      </w:r>
      <w:r w:rsidRPr="00282E05">
        <w:t xml:space="preserve">approved by the </w:t>
      </w:r>
      <w:r w:rsidR="00C4007C" w:rsidRPr="00282E05">
        <w:t>Therapeutics Goods Administration (TGA)</w:t>
      </w:r>
      <w:r w:rsidRPr="00282E05">
        <w:t xml:space="preserve"> for </w:t>
      </w:r>
      <w:proofErr w:type="gramStart"/>
      <w:r w:rsidRPr="00282E05">
        <w:t>rheumatoid</w:t>
      </w:r>
      <w:proofErr w:type="gramEnd"/>
      <w:r w:rsidRPr="00282E05">
        <w:t xml:space="preserve"> arthritis </w:t>
      </w:r>
      <w:r w:rsidR="00A72B33">
        <w:t xml:space="preserve">(RA) </w:t>
      </w:r>
      <w:r w:rsidRPr="00282E05">
        <w:t xml:space="preserve">on 24 January 2018, and was determined to be a biosimilar to the reference brand Humira. </w:t>
      </w:r>
      <w:r w:rsidR="000B2674" w:rsidRPr="00282E05">
        <w:t xml:space="preserve">At that time, </w:t>
      </w:r>
      <w:r w:rsidR="00A72B33">
        <w:t>RA</w:t>
      </w:r>
      <w:r w:rsidR="000B2674" w:rsidRPr="00282E05">
        <w:t xml:space="preserve"> was the only TGA-approved indication for </w:t>
      </w:r>
      <w:r w:rsidR="00AB0B77" w:rsidRPr="00282E05">
        <w:t>Hadlima</w:t>
      </w:r>
      <w:r w:rsidR="000B2674" w:rsidRPr="00282E05">
        <w:t xml:space="preserve">. </w:t>
      </w:r>
    </w:p>
    <w:p w14:paraId="4E4FFEED" w14:textId="07FD4F61" w:rsidR="000B2674" w:rsidRPr="00282E05" w:rsidRDefault="001223E1" w:rsidP="000C7E8C">
      <w:pPr>
        <w:pStyle w:val="3Bodytext"/>
      </w:pPr>
      <w:r w:rsidRPr="00282E05">
        <w:t>On 28 January 2020, t</w:t>
      </w:r>
      <w:r w:rsidR="000B2674" w:rsidRPr="00282E05">
        <w:t xml:space="preserve">he </w:t>
      </w:r>
      <w:r w:rsidR="00C4007C" w:rsidRPr="00282E05">
        <w:t>TGA</w:t>
      </w:r>
      <w:r w:rsidR="000B2674" w:rsidRPr="00282E05">
        <w:t xml:space="preserve"> approved H</w:t>
      </w:r>
      <w:r w:rsidR="00AB0B77" w:rsidRPr="00282E05">
        <w:t>adlima</w:t>
      </w:r>
      <w:r w:rsidR="000B2674" w:rsidRPr="00282E05">
        <w:t xml:space="preserve"> for 8 additional indications for which Humira is PBS-listed: </w:t>
      </w:r>
    </w:p>
    <w:p w14:paraId="5C6416F3" w14:textId="0407417E" w:rsidR="000B2674" w:rsidRPr="000C7E8C" w:rsidRDefault="000B2674"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Crohn disease</w:t>
      </w:r>
    </w:p>
    <w:p w14:paraId="15B47F25" w14:textId="3816C3D8" w:rsidR="000B2674" w:rsidRPr="000C7E8C" w:rsidRDefault="000B2674"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Complex refractory Fistulising Crohn disease</w:t>
      </w:r>
    </w:p>
    <w:p w14:paraId="487E7819" w14:textId="77777777" w:rsidR="000B2674" w:rsidRPr="000C7E8C" w:rsidRDefault="000B2674"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Moderate to severe ulcerative colitis</w:t>
      </w:r>
    </w:p>
    <w:p w14:paraId="36D21FC3" w14:textId="77777777" w:rsidR="000B2674" w:rsidRPr="000C7E8C" w:rsidRDefault="000B2674"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Moderate to severe hidradenitis suppurativa</w:t>
      </w:r>
    </w:p>
    <w:p w14:paraId="36195D06" w14:textId="77777777" w:rsidR="000B2674" w:rsidRPr="000C7E8C" w:rsidRDefault="000B2674"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active juvenile idiopathic arthritis</w:t>
      </w:r>
    </w:p>
    <w:p w14:paraId="06127936" w14:textId="77777777" w:rsidR="000B2674" w:rsidRPr="000C7E8C" w:rsidRDefault="000B2674"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psoriatic arthritis</w:t>
      </w:r>
    </w:p>
    <w:p w14:paraId="0DC0D1C8" w14:textId="77777777" w:rsidR="000B2674" w:rsidRPr="000C7E8C" w:rsidRDefault="000B2674" w:rsidP="000C7E8C">
      <w:pPr>
        <w:pStyle w:val="ListParagraph"/>
        <w:widowControl w:val="0"/>
        <w:numPr>
          <w:ilvl w:val="1"/>
          <w:numId w:val="9"/>
        </w:numPr>
        <w:contextualSpacing/>
        <w:jc w:val="both"/>
        <w:rPr>
          <w:rFonts w:ascii="Calibri" w:eastAsiaTheme="minorHAnsi" w:hAnsi="Calibri" w:cstheme="minorBidi"/>
          <w:snapToGrid/>
          <w:szCs w:val="22"/>
        </w:rPr>
      </w:pPr>
      <w:r w:rsidRPr="00282E05">
        <w:rPr>
          <w:rFonts w:eastAsiaTheme="minorHAnsi" w:cstheme="minorBidi"/>
          <w:snapToGrid/>
          <w:szCs w:val="22"/>
        </w:rPr>
        <w:t>Ankylosing spondylitis</w:t>
      </w:r>
    </w:p>
    <w:p w14:paraId="5E4E12E3" w14:textId="44DB85BD" w:rsidR="00A01432" w:rsidRPr="00282E05" w:rsidRDefault="000B2674" w:rsidP="000C7E8C">
      <w:pPr>
        <w:pStyle w:val="ListParagraph"/>
        <w:widowControl w:val="0"/>
        <w:numPr>
          <w:ilvl w:val="1"/>
          <w:numId w:val="9"/>
        </w:numPr>
        <w:contextualSpacing/>
        <w:jc w:val="both"/>
      </w:pPr>
      <w:r w:rsidRPr="000C7E8C">
        <w:rPr>
          <w:rFonts w:ascii="Calibri" w:eastAsiaTheme="minorHAnsi" w:hAnsi="Calibri" w:cstheme="minorBidi"/>
          <w:snapToGrid/>
          <w:szCs w:val="22"/>
        </w:rPr>
        <w:t>Sever</w:t>
      </w:r>
      <w:r w:rsidRPr="00282E05">
        <w:rPr>
          <w:rFonts w:eastAsiaTheme="minorHAnsi" w:cstheme="minorBidi"/>
          <w:snapToGrid/>
          <w:szCs w:val="22"/>
        </w:rPr>
        <w:t>e chronic plaque psoriasis</w:t>
      </w:r>
      <w:r w:rsidR="00A72B33">
        <w:rPr>
          <w:rFonts w:eastAsiaTheme="minorHAnsi" w:cstheme="minorBidi"/>
          <w:snapToGrid/>
          <w:szCs w:val="22"/>
        </w:rPr>
        <w:t xml:space="preserve">. </w:t>
      </w:r>
    </w:p>
    <w:p w14:paraId="25AFB508" w14:textId="77777777" w:rsidR="00A01432" w:rsidRPr="00282E05" w:rsidRDefault="00A01432" w:rsidP="000C7E8C">
      <w:pPr>
        <w:pStyle w:val="4-SubsectionHeading"/>
        <w:rPr>
          <w:lang w:eastAsia="en-US"/>
        </w:rPr>
      </w:pPr>
      <w:r w:rsidRPr="00282E05">
        <w:rPr>
          <w:lang w:eastAsia="en-US"/>
        </w:rPr>
        <w:t xml:space="preserve">Previous PBAC consideration </w:t>
      </w:r>
    </w:p>
    <w:p w14:paraId="60C0C474" w14:textId="2CF9057F" w:rsidR="00A01432" w:rsidRPr="00282E05" w:rsidRDefault="002F1A14" w:rsidP="000C7E8C">
      <w:pPr>
        <w:pStyle w:val="3Bodytext"/>
      </w:pPr>
      <w:r w:rsidRPr="00282E05">
        <w:t>At its July 2018 meetin</w:t>
      </w:r>
      <w:r w:rsidR="00A01432" w:rsidRPr="00282E05">
        <w:t>g</w:t>
      </w:r>
      <w:r w:rsidRPr="00282E05">
        <w:t xml:space="preserve">, the PBAC recommended </w:t>
      </w:r>
      <w:r w:rsidR="00366C7C" w:rsidRPr="00282E05">
        <w:t>the biosimilar brand o</w:t>
      </w:r>
      <w:r w:rsidR="009915B3" w:rsidRPr="00282E05">
        <w:t>f adalimumab (Hadlima)</w:t>
      </w:r>
      <w:r w:rsidR="00366C7C" w:rsidRPr="00282E05">
        <w:t xml:space="preserve"> for the RA indication for which the reference product Humira is currently PBS listed. </w:t>
      </w:r>
    </w:p>
    <w:p w14:paraId="0F8737AD" w14:textId="4F78A3D0" w:rsidR="00EF0EC1" w:rsidRPr="00A37E1A" w:rsidRDefault="00D31088" w:rsidP="000C7E8C">
      <w:pPr>
        <w:pStyle w:val="3Bodytext"/>
        <w:rPr>
          <w:snapToGrid w:val="0"/>
        </w:rPr>
      </w:pPr>
      <w:r w:rsidRPr="00A37E1A">
        <w:rPr>
          <w:snapToGrid w:val="0"/>
        </w:rPr>
        <w:t>The PBAC</w:t>
      </w:r>
      <w:r w:rsidR="009A1E2B" w:rsidRPr="00A37E1A">
        <w:rPr>
          <w:snapToGrid w:val="0"/>
        </w:rPr>
        <w:t xml:space="preserve"> then</w:t>
      </w:r>
      <w:r w:rsidRPr="00A37E1A">
        <w:rPr>
          <w:snapToGrid w:val="0"/>
        </w:rPr>
        <w:t xml:space="preserve"> noted that </w:t>
      </w:r>
      <w:r w:rsidR="00A72B33">
        <w:rPr>
          <w:snapToGrid w:val="0"/>
        </w:rPr>
        <w:t>RA</w:t>
      </w:r>
      <w:r w:rsidRPr="00A37E1A">
        <w:rPr>
          <w:snapToGrid w:val="0"/>
        </w:rPr>
        <w:t xml:space="preserve"> </w:t>
      </w:r>
      <w:r w:rsidR="00AB0B77" w:rsidRPr="00A37E1A">
        <w:rPr>
          <w:snapToGrid w:val="0"/>
        </w:rPr>
        <w:t>was</w:t>
      </w:r>
      <w:r w:rsidRPr="00A37E1A">
        <w:rPr>
          <w:snapToGrid w:val="0"/>
        </w:rPr>
        <w:t xml:space="preserve"> the only TGA-approved indication for Hadlima</w:t>
      </w:r>
      <w:r w:rsidR="00AB0B77" w:rsidRPr="00A37E1A">
        <w:rPr>
          <w:snapToGrid w:val="0"/>
        </w:rPr>
        <w:t xml:space="preserve"> at the time of the initial application</w:t>
      </w:r>
      <w:r w:rsidRPr="00A37E1A">
        <w:rPr>
          <w:snapToGrid w:val="0"/>
        </w:rPr>
        <w:t xml:space="preserve"> and that the </w:t>
      </w:r>
      <w:r w:rsidR="001F2986" w:rsidRPr="00A37E1A">
        <w:rPr>
          <w:snapToGrid w:val="0"/>
        </w:rPr>
        <w:t>S</w:t>
      </w:r>
      <w:r w:rsidRPr="00A37E1A">
        <w:rPr>
          <w:snapToGrid w:val="0"/>
        </w:rPr>
        <w:t>ponsor had not sought to have Hadlima TGA-registered for the remaining Humira-</w:t>
      </w:r>
      <w:r w:rsidR="009915B3" w:rsidRPr="00A37E1A">
        <w:rPr>
          <w:snapToGrid w:val="0"/>
        </w:rPr>
        <w:t>registered</w:t>
      </w:r>
      <w:r w:rsidRPr="00A37E1A">
        <w:rPr>
          <w:snapToGrid w:val="0"/>
        </w:rPr>
        <w:t xml:space="preserve"> indications at this time</w:t>
      </w:r>
      <w:r w:rsidR="00282E05">
        <w:rPr>
          <w:snapToGrid w:val="0"/>
        </w:rPr>
        <w:t xml:space="preserve">. </w:t>
      </w:r>
      <w:r w:rsidRPr="00A37E1A">
        <w:rPr>
          <w:snapToGrid w:val="0"/>
        </w:rPr>
        <w:t xml:space="preserve">The PBAC foreshadowed that if Hadlima is TGA registered for any or all of the remaining Humira </w:t>
      </w:r>
      <w:r w:rsidRPr="00A37E1A">
        <w:rPr>
          <w:snapToGrid w:val="0"/>
        </w:rPr>
        <w:lastRenderedPageBreak/>
        <w:t>ind</w:t>
      </w:r>
      <w:r w:rsidR="0082128D">
        <w:rPr>
          <w:snapToGrid w:val="0"/>
        </w:rPr>
        <w:t>ications in the future and the s</w:t>
      </w:r>
      <w:r w:rsidRPr="00A37E1A">
        <w:rPr>
          <w:snapToGrid w:val="0"/>
        </w:rPr>
        <w:t>ponsor requests PBS listing for those indications, the submission would require minimal review</w:t>
      </w:r>
      <w:r w:rsidR="00282E05">
        <w:rPr>
          <w:snapToGrid w:val="0"/>
        </w:rPr>
        <w:t xml:space="preserve">. </w:t>
      </w:r>
    </w:p>
    <w:p w14:paraId="7FCC5D51" w14:textId="0637A3B5" w:rsidR="000B2674" w:rsidRPr="00282E05" w:rsidRDefault="009915B3" w:rsidP="000C7E8C">
      <w:pPr>
        <w:pStyle w:val="3Bodytext"/>
        <w:rPr>
          <w:rFonts w:cs="Arial"/>
          <w:bCs/>
          <w:snapToGrid w:val="0"/>
        </w:rPr>
      </w:pPr>
      <w:r w:rsidRPr="00282E05">
        <w:t>At that time, t</w:t>
      </w:r>
      <w:r w:rsidR="000B2674" w:rsidRPr="00282E05">
        <w:t>he PBAC advised that, under Section 101(4AA</w:t>
      </w:r>
      <w:r w:rsidR="0082128D">
        <w:t xml:space="preserve">CD) of the </w:t>
      </w:r>
      <w:r w:rsidR="0082128D" w:rsidRPr="0082128D">
        <w:rPr>
          <w:i/>
        </w:rPr>
        <w:t xml:space="preserve">National Health Act </w:t>
      </w:r>
      <w:r w:rsidR="000B2674" w:rsidRPr="0082128D">
        <w:rPr>
          <w:i/>
        </w:rPr>
        <w:t>1953</w:t>
      </w:r>
      <w:r w:rsidR="000B2674" w:rsidRPr="00282E05">
        <w:t>, in the Schedule of Pharmaceutical Benefits, for respective PBS-listed indications for each brand, Hadlima, Amgevita®</w:t>
      </w:r>
      <w:r w:rsidR="00EF0EC1" w:rsidRPr="00282E05">
        <w:t>, Hyrimoz</w:t>
      </w:r>
      <w:r w:rsidR="009B0649" w:rsidRPr="00282E05">
        <w:t>®</w:t>
      </w:r>
      <w:r w:rsidR="000B2674" w:rsidRPr="00282E05">
        <w:t xml:space="preserve"> and Humira pre-filled syringes should be treated as equivalent (‘a’ flagged) to each other</w:t>
      </w:r>
      <w:r w:rsidR="00150339" w:rsidRPr="00282E05">
        <w:t xml:space="preserve"> for the purpose of substitution. Similarly,</w:t>
      </w:r>
      <w:r w:rsidR="000B2674" w:rsidRPr="00282E05">
        <w:t xml:space="preserve"> </w:t>
      </w:r>
      <w:r w:rsidR="00150339" w:rsidRPr="00282E05">
        <w:t xml:space="preserve">the PBAC advised that </w:t>
      </w:r>
      <w:r w:rsidR="000B2674" w:rsidRPr="00282E05">
        <w:t>Hadlima, Amgevita and Humira cartridges should be ‘a’ flagged</w:t>
      </w:r>
      <w:r w:rsidR="00EF0EC1" w:rsidRPr="00282E05">
        <w:rPr>
          <w:rFonts w:cs="Arial"/>
          <w:bCs/>
          <w:snapToGrid w:val="0"/>
        </w:rPr>
        <w:t xml:space="preserve">. </w:t>
      </w:r>
    </w:p>
    <w:p w14:paraId="74034AAB" w14:textId="71E1D59A" w:rsidR="000B2674" w:rsidRPr="00282E05" w:rsidRDefault="000B2674" w:rsidP="000C7E8C">
      <w:pPr>
        <w:pStyle w:val="3Bodytext"/>
      </w:pPr>
      <w:r w:rsidRPr="00282E05">
        <w:t xml:space="preserve">The PBAC advised that there would be no clinical or other concerns about appropriate use of medicines if the policy decision were made to apply the following uptake drivers to the RA indication: </w:t>
      </w:r>
    </w:p>
    <w:p w14:paraId="3D546BB2" w14:textId="4E290C1C" w:rsidR="000B2674" w:rsidRPr="000C7E8C" w:rsidRDefault="000B2674" w:rsidP="000C7E8C">
      <w:pPr>
        <w:pStyle w:val="ListParagraph"/>
        <w:widowControl w:val="0"/>
        <w:numPr>
          <w:ilvl w:val="1"/>
          <w:numId w:val="9"/>
        </w:numPr>
        <w:contextualSpacing/>
        <w:jc w:val="both"/>
        <w:rPr>
          <w:rFonts w:ascii="Calibri" w:eastAsiaTheme="minorHAnsi" w:hAnsi="Calibri" w:cstheme="minorBidi"/>
          <w:snapToGrid/>
          <w:szCs w:val="22"/>
        </w:rPr>
      </w:pPr>
      <w:r w:rsidRPr="00282E05">
        <w:rPr>
          <w:rFonts w:eastAsiaTheme="minorHAnsi" w:cstheme="minorBidi"/>
          <w:snapToGrid/>
          <w:szCs w:val="22"/>
        </w:rPr>
        <w:t xml:space="preserve">change to the prescribing software that gives preference to biosimilar for patients </w:t>
      </w:r>
      <w:r w:rsidRPr="000C7E8C">
        <w:rPr>
          <w:rFonts w:ascii="Calibri" w:eastAsiaTheme="minorHAnsi" w:hAnsi="Calibri" w:cstheme="minorBidi"/>
          <w:snapToGrid/>
          <w:szCs w:val="22"/>
        </w:rPr>
        <w:t xml:space="preserve">naïve to treatment with adalimumab; </w:t>
      </w:r>
      <w:r w:rsidR="008E3340" w:rsidRPr="000C7E8C">
        <w:rPr>
          <w:rFonts w:ascii="Calibri" w:eastAsiaTheme="minorHAnsi" w:hAnsi="Calibri" w:cstheme="minorBidi"/>
          <w:snapToGrid/>
          <w:szCs w:val="22"/>
        </w:rPr>
        <w:t>and</w:t>
      </w:r>
    </w:p>
    <w:p w14:paraId="79C20552" w14:textId="5BEF65A4" w:rsidR="005C6BEB" w:rsidRPr="000C7E8C" w:rsidRDefault="000B2674" w:rsidP="000C7E8C">
      <w:pPr>
        <w:pStyle w:val="ListParagraph"/>
        <w:widowControl w:val="0"/>
        <w:numPr>
          <w:ilvl w:val="1"/>
          <w:numId w:val="9"/>
        </w:numPr>
        <w:contextualSpacing/>
        <w:jc w:val="both"/>
        <w:rPr>
          <w:rFonts w:ascii="Calibri" w:eastAsiaTheme="minorHAnsi" w:hAnsi="Calibri" w:cstheme="minorBidi"/>
          <w:snapToGrid/>
          <w:szCs w:val="22"/>
        </w:rPr>
      </w:pPr>
      <w:proofErr w:type="gramStart"/>
      <w:r w:rsidRPr="000C7E8C">
        <w:rPr>
          <w:rFonts w:ascii="Calibri" w:eastAsiaTheme="minorHAnsi" w:hAnsi="Calibri" w:cstheme="minorBidi"/>
          <w:snapToGrid/>
          <w:szCs w:val="22"/>
        </w:rPr>
        <w:t>lower</w:t>
      </w:r>
      <w:proofErr w:type="gramEnd"/>
      <w:r w:rsidRPr="000C7E8C">
        <w:rPr>
          <w:rFonts w:ascii="Calibri" w:eastAsiaTheme="minorHAnsi" w:hAnsi="Calibri" w:cstheme="minorBidi"/>
          <w:snapToGrid/>
          <w:szCs w:val="22"/>
        </w:rPr>
        <w:t xml:space="preserve"> the authority level to streamlined authority for patients continuing (i.e</w:t>
      </w:r>
      <w:r w:rsidR="009A1E2B" w:rsidRPr="000C7E8C">
        <w:rPr>
          <w:rFonts w:ascii="Calibri" w:eastAsiaTheme="minorHAnsi" w:hAnsi="Calibri" w:cstheme="minorBidi"/>
          <w:snapToGrid/>
          <w:szCs w:val="22"/>
        </w:rPr>
        <w:t>.</w:t>
      </w:r>
      <w:r w:rsidRPr="000C7E8C">
        <w:rPr>
          <w:rFonts w:ascii="Calibri" w:eastAsiaTheme="minorHAnsi" w:hAnsi="Calibri" w:cstheme="minorBidi"/>
          <w:snapToGrid/>
          <w:szCs w:val="22"/>
        </w:rPr>
        <w:t xml:space="preserve"> subsequent continuing) on biosimilar adalimumab.</w:t>
      </w:r>
    </w:p>
    <w:p w14:paraId="11E302EE" w14:textId="4B6DFEDA" w:rsidR="00FF287A" w:rsidRPr="00282E05" w:rsidRDefault="005C6BEB" w:rsidP="000C7E8C">
      <w:pPr>
        <w:ind w:left="720"/>
        <w:rPr>
          <w:i/>
        </w:rPr>
      </w:pPr>
      <w:r w:rsidRPr="00282E05">
        <w:rPr>
          <w:i/>
        </w:rPr>
        <w:t>For more detail on PBAC’s view, see section 5 PBAC outcome.</w:t>
      </w:r>
    </w:p>
    <w:p w14:paraId="4C732A79" w14:textId="77777777" w:rsidR="00B17EE5" w:rsidRPr="00282E05" w:rsidRDefault="00B17EE5" w:rsidP="00917D69">
      <w:pPr>
        <w:pStyle w:val="2-SectionHeading"/>
      </w:pPr>
      <w:r w:rsidRPr="00282E05">
        <w:t>Requested listing</w:t>
      </w:r>
    </w:p>
    <w:p w14:paraId="29C3DE7A" w14:textId="63737A2F" w:rsidR="00B17EE5" w:rsidRPr="00282E05" w:rsidRDefault="00B17EE5" w:rsidP="000C7E8C">
      <w:pPr>
        <w:pStyle w:val="3Bodytext"/>
      </w:pPr>
      <w:r w:rsidRPr="00282E05">
        <w:t xml:space="preserve">The submission requested the </w:t>
      </w:r>
      <w:r w:rsidR="00DB4176" w:rsidRPr="00282E05">
        <w:t>listing of Hadlima for the following indications</w:t>
      </w:r>
      <w:r w:rsidR="009A1E2B" w:rsidRPr="00282E05">
        <w:t xml:space="preserve"> under the same conditions as the reference biologic</w:t>
      </w:r>
      <w:r w:rsidR="00DB4176" w:rsidRPr="00282E05">
        <w:t>:</w:t>
      </w:r>
    </w:p>
    <w:p w14:paraId="39EE73BF" w14:textId="77777777" w:rsidR="0038200A" w:rsidRPr="000C7E8C" w:rsidRDefault="0038200A"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Crohn disease</w:t>
      </w:r>
    </w:p>
    <w:p w14:paraId="0BDB3909" w14:textId="77777777" w:rsidR="0038200A" w:rsidRPr="000C7E8C" w:rsidRDefault="0038200A"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Complex refractory Fistulising Crohn disease</w:t>
      </w:r>
    </w:p>
    <w:p w14:paraId="7427CF28" w14:textId="77777777" w:rsidR="0038200A" w:rsidRPr="000C7E8C" w:rsidRDefault="0038200A"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Moderate to severe ulcerative colitis</w:t>
      </w:r>
    </w:p>
    <w:p w14:paraId="364316E9" w14:textId="77777777" w:rsidR="0038200A" w:rsidRPr="000C7E8C" w:rsidRDefault="0038200A"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Moderate to severe hidradenitis suppurativa</w:t>
      </w:r>
    </w:p>
    <w:p w14:paraId="46D2B958" w14:textId="77777777" w:rsidR="0038200A" w:rsidRPr="000C7E8C" w:rsidRDefault="0038200A"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active juvenile idiopathic arthritis</w:t>
      </w:r>
    </w:p>
    <w:p w14:paraId="1D1D3080" w14:textId="77777777" w:rsidR="0038200A" w:rsidRPr="000C7E8C" w:rsidRDefault="0038200A"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psoriatic arthritis</w:t>
      </w:r>
    </w:p>
    <w:p w14:paraId="03DA5594" w14:textId="77777777" w:rsidR="0038200A" w:rsidRPr="000C7E8C" w:rsidRDefault="0038200A"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Ankylosing spondylitis</w:t>
      </w:r>
    </w:p>
    <w:p w14:paraId="792FCB4E" w14:textId="2947138D" w:rsidR="00455CE0" w:rsidRPr="000C7E8C" w:rsidRDefault="0038200A"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chronic plaque psoriasis</w:t>
      </w:r>
      <w:r w:rsidR="00C57654">
        <w:rPr>
          <w:rFonts w:ascii="Calibri" w:eastAsiaTheme="minorHAnsi" w:hAnsi="Calibri" w:cstheme="minorBidi"/>
          <w:snapToGrid/>
          <w:szCs w:val="22"/>
        </w:rPr>
        <w:t xml:space="preserve">. </w:t>
      </w:r>
    </w:p>
    <w:p w14:paraId="7F4F1EBE" w14:textId="05A29D1B" w:rsidR="006C1B1D" w:rsidRPr="00282E05" w:rsidRDefault="00DB4176" w:rsidP="000C7E8C">
      <w:pPr>
        <w:pStyle w:val="3Bodytext"/>
      </w:pPr>
      <w:r w:rsidRPr="00282E05">
        <w:t xml:space="preserve">Consistent with its July 2018 recommendation for </w:t>
      </w:r>
      <w:r w:rsidR="000573FC" w:rsidRPr="00282E05">
        <w:t>RA</w:t>
      </w:r>
      <w:r w:rsidRPr="00282E05">
        <w:t>, the submission requested the application of biosimilar uptake drivers to Hadlima for these additional indications, including ‘a’ flagging with other brands of adalimumab, streamlined authorities for subsequent continuing treatment and the inclusion of an administrative note encouraging the use of biosimilar brands for treatment-naïve patients.</w:t>
      </w:r>
    </w:p>
    <w:p w14:paraId="2947A0F8" w14:textId="27BD924C" w:rsidR="005C6BEB" w:rsidRPr="00282E05" w:rsidRDefault="005C6BEB" w:rsidP="000C7E8C">
      <w:pPr>
        <w:ind w:left="720"/>
        <w:rPr>
          <w:rFonts w:eastAsiaTheme="minorHAnsi"/>
        </w:rPr>
      </w:pPr>
      <w:r w:rsidRPr="00282E05">
        <w:rPr>
          <w:i/>
        </w:rPr>
        <w:t>For more detail on PBAC’s view, see section 5 PBAC outcome.</w:t>
      </w:r>
    </w:p>
    <w:p w14:paraId="186D2001" w14:textId="79C69088" w:rsidR="000B558D" w:rsidRPr="00282E05" w:rsidRDefault="008D7A41" w:rsidP="000C7E8C">
      <w:pPr>
        <w:pStyle w:val="2-SectionHeading"/>
      </w:pPr>
      <w:r w:rsidRPr="00282E05">
        <w:t>C</w:t>
      </w:r>
      <w:r w:rsidR="00D84934" w:rsidRPr="00282E05">
        <w:t>onsideration of the evidence</w:t>
      </w:r>
    </w:p>
    <w:p w14:paraId="08FE07A4" w14:textId="77777777" w:rsidR="005C6BEB" w:rsidRPr="00282E05" w:rsidRDefault="005C6BEB" w:rsidP="005C6BEB">
      <w:pPr>
        <w:pStyle w:val="4-SubsectionHeading"/>
        <w:rPr>
          <w:lang w:eastAsia="en-US"/>
        </w:rPr>
      </w:pPr>
      <w:r w:rsidRPr="00282E05">
        <w:rPr>
          <w:lang w:eastAsia="en-US"/>
        </w:rPr>
        <w:t>Sponsor hearing</w:t>
      </w:r>
    </w:p>
    <w:p w14:paraId="5ED2285B" w14:textId="4E789326" w:rsidR="005C6BEB" w:rsidRPr="00282E05" w:rsidRDefault="005C6BEB" w:rsidP="000C7E8C">
      <w:pPr>
        <w:pStyle w:val="3Bodytext"/>
        <w:rPr>
          <w:snapToGrid w:val="0"/>
        </w:rPr>
      </w:pPr>
      <w:r w:rsidRPr="00282E05">
        <w:rPr>
          <w:snapToGrid w:val="0"/>
        </w:rPr>
        <w:t>There was no hearing for this item as it was a minor submission.</w:t>
      </w:r>
    </w:p>
    <w:p w14:paraId="3F631874" w14:textId="77777777" w:rsidR="005C6BEB" w:rsidRPr="00282E05" w:rsidRDefault="005C6BEB" w:rsidP="005C6BEB">
      <w:pPr>
        <w:pStyle w:val="4-SubsectionHeading"/>
        <w:rPr>
          <w:lang w:eastAsia="en-US"/>
        </w:rPr>
      </w:pPr>
      <w:r w:rsidRPr="00282E05">
        <w:rPr>
          <w:lang w:eastAsia="en-US"/>
        </w:rPr>
        <w:lastRenderedPageBreak/>
        <w:t>Consumer comments</w:t>
      </w:r>
    </w:p>
    <w:p w14:paraId="51A3B5BB" w14:textId="38875546" w:rsidR="005C6BEB" w:rsidRPr="00282E05" w:rsidRDefault="005C6BEB" w:rsidP="000C7E8C">
      <w:pPr>
        <w:pStyle w:val="3Bodytext"/>
      </w:pPr>
      <w:r w:rsidRPr="00282E05">
        <w:rPr>
          <w:snapToGrid w:val="0"/>
        </w:rPr>
        <w:t>The PBAC noted that no consumer comments were received for this item.</w:t>
      </w:r>
    </w:p>
    <w:p w14:paraId="5064842A" w14:textId="77777777" w:rsidR="005A3173" w:rsidRPr="00282E05" w:rsidRDefault="005A3173" w:rsidP="00917D69">
      <w:pPr>
        <w:pStyle w:val="4-SubsectionHeading"/>
        <w:rPr>
          <w:lang w:eastAsia="en-US"/>
        </w:rPr>
      </w:pPr>
      <w:r w:rsidRPr="00282E05">
        <w:rPr>
          <w:lang w:eastAsia="en-US"/>
        </w:rPr>
        <w:t>Estimated PBS usage &amp; financial implications</w:t>
      </w:r>
    </w:p>
    <w:p w14:paraId="0DA1DEBB" w14:textId="70467740" w:rsidR="00844338" w:rsidRPr="00282E05" w:rsidRDefault="00FF2801" w:rsidP="000C7E8C">
      <w:pPr>
        <w:pStyle w:val="3Bodytext"/>
      </w:pPr>
      <w:r w:rsidRPr="00282E05">
        <w:t>The minor submission estimated</w:t>
      </w:r>
      <w:r w:rsidR="007C6C19" w:rsidRPr="00282E05">
        <w:t xml:space="preserve"> substantial savings to the PBS following the listing of Hadlima</w:t>
      </w:r>
      <w:r w:rsidR="00A172D3" w:rsidRPr="00282E05">
        <w:t>,</w:t>
      </w:r>
      <w:r w:rsidR="007C6C19" w:rsidRPr="00282E05">
        <w:t xml:space="preserve"> </w:t>
      </w:r>
      <w:r w:rsidR="00A172D3" w:rsidRPr="00282E05">
        <w:t>as</w:t>
      </w:r>
      <w:r w:rsidR="007C6C19" w:rsidRPr="00282E05">
        <w:t xml:space="preserve"> the first adalimumab biosimilar listing </w:t>
      </w:r>
      <w:r w:rsidR="00A172D3" w:rsidRPr="00282E05">
        <w:t>would trigger a</w:t>
      </w:r>
      <w:r w:rsidR="007C6C19" w:rsidRPr="00282E05">
        <w:t xml:space="preserve"> 25% statutory price reduction. </w:t>
      </w:r>
      <w:r w:rsidR="00DB1897" w:rsidRPr="00282E05">
        <w:t xml:space="preserve">However, Hyrimoz was recommended in March 2020 and may be the first </w:t>
      </w:r>
      <w:r w:rsidR="00C41882" w:rsidRPr="00282E05">
        <w:t>adalimumab</w:t>
      </w:r>
      <w:r w:rsidR="00DB1897" w:rsidRPr="00282E05">
        <w:t xml:space="preserve"> biosimilar listed. </w:t>
      </w:r>
      <w:r w:rsidR="007C6C19" w:rsidRPr="00282E05">
        <w:t>The submission requested an AEMP of $790.62 (current published Humira AEMP minus 25%) with a DPMQ of $895.86; however noted the final price was subject to finalisation post-recommendation as adalimumab is subject to a Special Pricing Arrangement.</w:t>
      </w:r>
      <w:r w:rsidR="00C00DA7" w:rsidRPr="00282E05">
        <w:t xml:space="preserve"> </w:t>
      </w:r>
    </w:p>
    <w:p w14:paraId="085F25E9" w14:textId="460F95AC" w:rsidR="005C6BEB" w:rsidRPr="00282E05" w:rsidRDefault="00E43D88" w:rsidP="000C7E8C">
      <w:pPr>
        <w:pStyle w:val="Bodytextitalics"/>
        <w:ind w:left="709"/>
      </w:pPr>
      <w:r w:rsidRPr="00282E05">
        <w:t>For more detail on PBAC’s view, see section 5 PBAC outcome.</w:t>
      </w:r>
    </w:p>
    <w:p w14:paraId="1C00A801" w14:textId="77777777" w:rsidR="005C6BEB" w:rsidRPr="00282E05" w:rsidRDefault="005C6BEB" w:rsidP="00913B27">
      <w:pPr>
        <w:pStyle w:val="Heading1"/>
        <w:keepLines/>
        <w:numPr>
          <w:ilvl w:val="0"/>
          <w:numId w:val="3"/>
        </w:numPr>
        <w:spacing w:before="240"/>
        <w:ind w:left="709" w:hanging="709"/>
        <w:rPr>
          <w:sz w:val="32"/>
          <w:szCs w:val="32"/>
        </w:rPr>
      </w:pPr>
      <w:r w:rsidRPr="00282E05">
        <w:rPr>
          <w:sz w:val="32"/>
          <w:szCs w:val="32"/>
        </w:rPr>
        <w:t>PBAC Outcome</w:t>
      </w:r>
    </w:p>
    <w:p w14:paraId="2091A82B" w14:textId="7E0E6541" w:rsidR="00E43D88" w:rsidRPr="00A37E1A" w:rsidRDefault="006532BE" w:rsidP="000C7E8C">
      <w:pPr>
        <w:pStyle w:val="3Bodytext"/>
        <w:rPr>
          <w:snapToGrid w:val="0"/>
        </w:rPr>
      </w:pPr>
      <w:r w:rsidRPr="00A37E1A">
        <w:rPr>
          <w:snapToGrid w:val="0"/>
        </w:rPr>
        <w:t>The PBAC recommended</w:t>
      </w:r>
      <w:r w:rsidR="00B60618" w:rsidRPr="00A37E1A">
        <w:rPr>
          <w:snapToGrid w:val="0"/>
        </w:rPr>
        <w:t xml:space="preserve"> extending the recommendation for</w:t>
      </w:r>
      <w:r w:rsidRPr="00A37E1A">
        <w:rPr>
          <w:snapToGrid w:val="0"/>
        </w:rPr>
        <w:t xml:space="preserve"> the Hadlima brand of adalimumab (as a biosimilar of</w:t>
      </w:r>
      <w:r w:rsidR="00B60618" w:rsidRPr="00A37E1A">
        <w:rPr>
          <w:snapToGrid w:val="0"/>
        </w:rPr>
        <w:t xml:space="preserve"> the</w:t>
      </w:r>
      <w:r w:rsidRPr="00A37E1A">
        <w:rPr>
          <w:snapToGrid w:val="0"/>
        </w:rPr>
        <w:t xml:space="preserve"> Humira</w:t>
      </w:r>
      <w:r w:rsidR="00B60618" w:rsidRPr="00A37E1A">
        <w:rPr>
          <w:snapToGrid w:val="0"/>
        </w:rPr>
        <w:t xml:space="preserve"> reference biologic</w:t>
      </w:r>
      <w:r w:rsidRPr="00A37E1A">
        <w:rPr>
          <w:snapToGrid w:val="0"/>
        </w:rPr>
        <w:t>) for the remaining indications for which Humira is PBS-listed</w:t>
      </w:r>
      <w:r w:rsidR="005D3BBF" w:rsidRPr="00A37E1A">
        <w:rPr>
          <w:snapToGrid w:val="0"/>
        </w:rPr>
        <w:t>:</w:t>
      </w:r>
    </w:p>
    <w:p w14:paraId="5B2BE0B4" w14:textId="77777777" w:rsidR="002331B1" w:rsidRPr="000C7E8C" w:rsidRDefault="002331B1"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Crohn disease</w:t>
      </w:r>
    </w:p>
    <w:p w14:paraId="3D5840B8" w14:textId="77777777" w:rsidR="002331B1" w:rsidRPr="000C7E8C" w:rsidRDefault="002331B1"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Complex refractory Fistulising Crohn disease</w:t>
      </w:r>
    </w:p>
    <w:p w14:paraId="7DB798D3" w14:textId="77777777" w:rsidR="002331B1" w:rsidRPr="000C7E8C" w:rsidRDefault="002331B1"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Moderate to severe ulcerative colitis</w:t>
      </w:r>
    </w:p>
    <w:p w14:paraId="076EC985" w14:textId="77777777" w:rsidR="002331B1" w:rsidRPr="000C7E8C" w:rsidRDefault="002331B1"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Moderate to severe hidradenitis suppurativa</w:t>
      </w:r>
    </w:p>
    <w:p w14:paraId="4035B853" w14:textId="77777777" w:rsidR="002331B1" w:rsidRPr="000C7E8C" w:rsidRDefault="002331B1"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active juvenile idiopathic arthritis</w:t>
      </w:r>
    </w:p>
    <w:p w14:paraId="67ED2D27" w14:textId="77777777" w:rsidR="002331B1" w:rsidRPr="000C7E8C" w:rsidRDefault="002331B1"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psoriatic arthritis</w:t>
      </w:r>
    </w:p>
    <w:p w14:paraId="10EA2BAE" w14:textId="77777777" w:rsidR="002331B1" w:rsidRPr="000C7E8C" w:rsidRDefault="002331B1"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Ankylosing spondylitis</w:t>
      </w:r>
    </w:p>
    <w:p w14:paraId="2260B2A2" w14:textId="35477D6C" w:rsidR="002331B1" w:rsidRPr="000C7E8C" w:rsidRDefault="002331B1" w:rsidP="000C7E8C">
      <w:pPr>
        <w:pStyle w:val="ListParagraph"/>
        <w:widowControl w:val="0"/>
        <w:numPr>
          <w:ilvl w:val="1"/>
          <w:numId w:val="9"/>
        </w:numPr>
        <w:contextualSpacing/>
        <w:jc w:val="both"/>
        <w:rPr>
          <w:rFonts w:ascii="Calibri" w:eastAsiaTheme="minorHAnsi" w:hAnsi="Calibri" w:cstheme="minorBidi"/>
          <w:snapToGrid/>
          <w:szCs w:val="22"/>
        </w:rPr>
      </w:pPr>
      <w:r w:rsidRPr="000C7E8C">
        <w:rPr>
          <w:rFonts w:ascii="Calibri" w:eastAsiaTheme="minorHAnsi" w:hAnsi="Calibri" w:cstheme="minorBidi"/>
          <w:snapToGrid/>
          <w:szCs w:val="22"/>
        </w:rPr>
        <w:t>Severe chronic plaque psoriasis</w:t>
      </w:r>
      <w:r w:rsidR="00C57654">
        <w:rPr>
          <w:rFonts w:ascii="Calibri" w:eastAsiaTheme="minorHAnsi" w:hAnsi="Calibri" w:cstheme="minorBidi"/>
          <w:snapToGrid/>
          <w:szCs w:val="22"/>
        </w:rPr>
        <w:t>.</w:t>
      </w:r>
    </w:p>
    <w:p w14:paraId="4ED8CBBE" w14:textId="5032842E" w:rsidR="005D3BBF" w:rsidRPr="00282E05" w:rsidRDefault="005D3BBF" w:rsidP="000C7E8C">
      <w:pPr>
        <w:pStyle w:val="3Bodytext"/>
      </w:pPr>
      <w:r w:rsidRPr="00282E05">
        <w:t>The PBAC recalled that at its July 2018 meeting, the Committee recommended Hadlima for the RA</w:t>
      </w:r>
      <w:r w:rsidR="009915B3" w:rsidRPr="00282E05">
        <w:t xml:space="preserve"> indication</w:t>
      </w:r>
      <w:r w:rsidRPr="00282E05">
        <w:t xml:space="preserve"> and </w:t>
      </w:r>
      <w:r w:rsidRPr="00A37E1A">
        <w:rPr>
          <w:rFonts w:cs="Arial"/>
          <w:bCs/>
          <w:snapToGrid w:val="0"/>
        </w:rPr>
        <w:t>foreshadowed that if Hadlima is TGA registered for any or all of the remaining Humira indications in the future and the Sponsor requests PBS listing for those indications, the submission would require minimal review</w:t>
      </w:r>
      <w:r w:rsidR="00282E05">
        <w:rPr>
          <w:rFonts w:cs="Arial"/>
          <w:bCs/>
          <w:snapToGrid w:val="0"/>
        </w:rPr>
        <w:t xml:space="preserve">. </w:t>
      </w:r>
    </w:p>
    <w:p w14:paraId="2F4B98FC" w14:textId="32E4C96C" w:rsidR="002331B1" w:rsidRPr="00282E05" w:rsidRDefault="00B631F8" w:rsidP="000C7E8C">
      <w:pPr>
        <w:pStyle w:val="3Bodytext"/>
      </w:pPr>
      <w:r w:rsidRPr="00282E05">
        <w:t xml:space="preserve">The PBAC noted that Hadlima is available </w:t>
      </w:r>
      <w:r w:rsidR="0024414F" w:rsidRPr="00282E05">
        <w:t>either as</w:t>
      </w:r>
      <w:r w:rsidRPr="00282E05">
        <w:t xml:space="preserve"> a single-use, pre-filled syringe, or as a single-use, auto-injector (Hadlima PushTouch</w:t>
      </w:r>
      <w:r w:rsidRPr="00282E05">
        <w:rPr>
          <w:rFonts w:cstheme="minorHAnsi"/>
        </w:rPr>
        <w:t>™</w:t>
      </w:r>
      <w:r w:rsidRPr="00282E05">
        <w:t xml:space="preserve">). It is not available in a vial or other </w:t>
      </w:r>
      <w:r w:rsidR="0024414F" w:rsidRPr="00282E05">
        <w:t>form, which</w:t>
      </w:r>
      <w:r w:rsidRPr="00282E05">
        <w:t xml:space="preserve"> would allow dosing of less than 40 mg. As such, per the Humira Product Information, no suitable </w:t>
      </w:r>
      <w:r w:rsidR="008D399A">
        <w:t xml:space="preserve">20 mg </w:t>
      </w:r>
      <w:r w:rsidRPr="00282E05">
        <w:t>form of Hadlima</w:t>
      </w:r>
      <w:r w:rsidR="009066A3">
        <w:t xml:space="preserve"> </w:t>
      </w:r>
      <w:r w:rsidRPr="00282E05">
        <w:t>will be available for paediatric patients weighing less than 30 kg for juvenile idiopathic arthritis or 40 kg for paediatric plaque psoriasis and maintenance of paediatric Crohn’s disease.</w:t>
      </w:r>
    </w:p>
    <w:p w14:paraId="040EA4C1" w14:textId="5768152E" w:rsidR="00A746F7" w:rsidRPr="00A37E1A" w:rsidRDefault="00A746F7" w:rsidP="000C7E8C">
      <w:pPr>
        <w:pStyle w:val="3Bodytext"/>
        <w:rPr>
          <w:rFonts w:cs="Arial"/>
          <w:bCs/>
          <w:snapToGrid w:val="0"/>
        </w:rPr>
      </w:pPr>
      <w:r w:rsidRPr="00282E05">
        <w:rPr>
          <w:rFonts w:cs="Arial"/>
          <w:bCs/>
          <w:snapToGrid w:val="0"/>
        </w:rPr>
        <w:t>The PBAC recalled that the Committee recommended the listing of two other</w:t>
      </w:r>
      <w:r w:rsidR="00463212">
        <w:rPr>
          <w:rFonts w:cs="Arial"/>
          <w:bCs/>
          <w:snapToGrid w:val="0"/>
        </w:rPr>
        <w:t xml:space="preserve"> brands of adalimumab (Amgevita</w:t>
      </w:r>
      <w:r w:rsidRPr="00282E05">
        <w:rPr>
          <w:rFonts w:cs="Arial"/>
          <w:bCs/>
          <w:snapToGrid w:val="0"/>
        </w:rPr>
        <w:t xml:space="preserve"> in July 2018 and Hyrimoz</w:t>
      </w:r>
      <w:r w:rsidRPr="00282E05">
        <w:rPr>
          <w:rFonts w:cs="Arial"/>
          <w:bCs/>
          <w:snapToGrid w:val="0"/>
          <w:vertAlign w:val="superscript"/>
        </w:rPr>
        <w:t>®</w:t>
      </w:r>
      <w:r w:rsidRPr="00282E05">
        <w:rPr>
          <w:rFonts w:cs="Arial"/>
          <w:bCs/>
          <w:snapToGrid w:val="0"/>
        </w:rPr>
        <w:t xml:space="preserve"> in March 2020), and noted that these brands had not yet been listed on the PBS.</w:t>
      </w:r>
    </w:p>
    <w:p w14:paraId="070F83F9" w14:textId="3583E3D3" w:rsidR="002331B1" w:rsidRPr="00282E05" w:rsidRDefault="002331B1" w:rsidP="000C7E8C">
      <w:pPr>
        <w:pStyle w:val="3Bodytext"/>
        <w:rPr>
          <w:rFonts w:cs="Arial"/>
          <w:bCs/>
          <w:snapToGrid w:val="0"/>
        </w:rPr>
      </w:pPr>
      <w:r w:rsidRPr="00282E05">
        <w:rPr>
          <w:rFonts w:cs="Arial"/>
          <w:bCs/>
          <w:snapToGrid w:val="0"/>
        </w:rPr>
        <w:lastRenderedPageBreak/>
        <w:t xml:space="preserve">The PBAC advised that, under Section 101(4AACD) of the </w:t>
      </w:r>
      <w:r w:rsidRPr="00282E05">
        <w:rPr>
          <w:rFonts w:cs="Arial"/>
          <w:bCs/>
          <w:i/>
          <w:snapToGrid w:val="0"/>
        </w:rPr>
        <w:t>National Health Act 1953</w:t>
      </w:r>
      <w:r w:rsidRPr="00282E05">
        <w:rPr>
          <w:rFonts w:cs="Arial"/>
          <w:bCs/>
          <w:snapToGrid w:val="0"/>
        </w:rPr>
        <w:t xml:space="preserve">, in the Schedule of Pharmaceutical Benefits, </w:t>
      </w:r>
      <w:r w:rsidR="007B208D" w:rsidRPr="00282E05">
        <w:rPr>
          <w:rFonts w:cs="Arial"/>
          <w:bCs/>
          <w:snapToGrid w:val="0"/>
        </w:rPr>
        <w:t>the pre-filled syringe forms of the four brands</w:t>
      </w:r>
      <w:r w:rsidRPr="00282E05">
        <w:rPr>
          <w:rFonts w:cs="Arial"/>
          <w:bCs/>
          <w:snapToGrid w:val="0"/>
        </w:rPr>
        <w:t xml:space="preserve"> should be treated as equivalent to each other</w:t>
      </w:r>
      <w:r w:rsidR="007B208D" w:rsidRPr="00282E05">
        <w:rPr>
          <w:rFonts w:cs="Arial"/>
          <w:bCs/>
          <w:snapToGrid w:val="0"/>
        </w:rPr>
        <w:t>;</w:t>
      </w:r>
      <w:r w:rsidRPr="00282E05">
        <w:rPr>
          <w:rFonts w:cs="Arial"/>
          <w:bCs/>
          <w:snapToGrid w:val="0"/>
        </w:rPr>
        <w:t xml:space="preserve"> and </w:t>
      </w:r>
      <w:r w:rsidR="007B208D" w:rsidRPr="00282E05">
        <w:rPr>
          <w:rFonts w:cs="Arial"/>
          <w:bCs/>
          <w:snapToGrid w:val="0"/>
        </w:rPr>
        <w:t xml:space="preserve">that the pre-filled pen forms of the four brands </w:t>
      </w:r>
      <w:r w:rsidRPr="00282E05">
        <w:rPr>
          <w:rFonts w:cs="Arial"/>
          <w:bCs/>
          <w:snapToGrid w:val="0"/>
        </w:rPr>
        <w:t>should be treated equivalent to each other for the purpose</w:t>
      </w:r>
      <w:r w:rsidR="007B208D" w:rsidRPr="00282E05">
        <w:rPr>
          <w:rFonts w:cs="Arial"/>
          <w:bCs/>
          <w:snapToGrid w:val="0"/>
        </w:rPr>
        <w:t>s</w:t>
      </w:r>
      <w:r w:rsidRPr="00282E05">
        <w:rPr>
          <w:rFonts w:cs="Arial"/>
          <w:bCs/>
          <w:snapToGrid w:val="0"/>
        </w:rPr>
        <w:t xml:space="preserve"> of substitution (i.e., ‘a’ flagged in Schedule with a NOTE stating PBS of one form and PBS of another form are equivalent for the purpose of substitution). </w:t>
      </w:r>
    </w:p>
    <w:p w14:paraId="18D467D1" w14:textId="4B1DC183" w:rsidR="005D3BBF" w:rsidRPr="00282E05" w:rsidRDefault="005D3BBF" w:rsidP="000C7E8C">
      <w:pPr>
        <w:pStyle w:val="3Bodytext"/>
      </w:pPr>
      <w:r w:rsidRPr="00A37E1A">
        <w:rPr>
          <w:rFonts w:cs="Arial"/>
          <w:bCs/>
          <w:snapToGrid w:val="0"/>
        </w:rPr>
        <w:t>The PBAC noted that</w:t>
      </w:r>
      <w:r w:rsidR="00447305">
        <w:rPr>
          <w:rFonts w:cs="Arial"/>
          <w:bCs/>
          <w:snapToGrid w:val="0"/>
        </w:rPr>
        <w:t xml:space="preserve"> when the first biosimilar adalimumab is listed (which may not be Hadlima)</w:t>
      </w:r>
      <w:r w:rsidR="00C41882">
        <w:rPr>
          <w:rFonts w:cs="Arial"/>
          <w:bCs/>
          <w:snapToGrid w:val="0"/>
        </w:rPr>
        <w:t>,</w:t>
      </w:r>
      <w:r w:rsidRPr="00A37E1A">
        <w:rPr>
          <w:rFonts w:cs="Arial"/>
          <w:bCs/>
        </w:rPr>
        <w:t xml:space="preserve"> the restrictions for all brands of adalimumab </w:t>
      </w:r>
      <w:r w:rsidR="00BB713A" w:rsidRPr="00A37E1A">
        <w:rPr>
          <w:rFonts w:cs="Arial"/>
          <w:bCs/>
        </w:rPr>
        <w:t>would</w:t>
      </w:r>
      <w:r w:rsidRPr="00A37E1A">
        <w:rPr>
          <w:rFonts w:cs="Arial"/>
          <w:bCs/>
        </w:rPr>
        <w:t xml:space="preserve"> be changed</w:t>
      </w:r>
      <w:r w:rsidR="00447305">
        <w:rPr>
          <w:rFonts w:cs="Arial"/>
          <w:bCs/>
        </w:rPr>
        <w:t xml:space="preserve"> to facilitate the listing of biosimilar forms, similar to that which has been implemented for infliximab and etanercept.</w:t>
      </w:r>
      <w:r w:rsidRPr="00A37E1A">
        <w:rPr>
          <w:rFonts w:cs="Arial"/>
          <w:bCs/>
          <w:snapToGrid w:val="0"/>
        </w:rPr>
        <w:t xml:space="preserve"> </w:t>
      </w:r>
      <w:r w:rsidRPr="00282E05">
        <w:t xml:space="preserve">The PBAC agreed that the following biosimilar uptake drivers should be applied to </w:t>
      </w:r>
      <w:r w:rsidR="00981E47" w:rsidRPr="00282E05">
        <w:t>Hadlima</w:t>
      </w:r>
      <w:r w:rsidRPr="00282E05">
        <w:t>, consistent with its previous recommendations regarding the application of these drivers to other biosimilar brands of adalimumab:</w:t>
      </w:r>
    </w:p>
    <w:p w14:paraId="279F7712" w14:textId="77777777" w:rsidR="005D3BBF" w:rsidRPr="00282E05" w:rsidRDefault="005D3BBF" w:rsidP="005D3BBF">
      <w:pPr>
        <w:pStyle w:val="ListParagraph"/>
        <w:widowControl w:val="0"/>
        <w:numPr>
          <w:ilvl w:val="1"/>
          <w:numId w:val="9"/>
        </w:numPr>
        <w:contextualSpacing/>
        <w:jc w:val="both"/>
        <w:rPr>
          <w:rFonts w:ascii="Calibri" w:eastAsiaTheme="minorHAnsi" w:hAnsi="Calibri" w:cstheme="minorBidi"/>
          <w:snapToGrid/>
          <w:szCs w:val="22"/>
        </w:rPr>
      </w:pPr>
      <w:r w:rsidRPr="00282E05">
        <w:rPr>
          <w:rFonts w:ascii="Calibri" w:eastAsiaTheme="minorHAnsi" w:hAnsi="Calibri" w:cstheme="minorBidi"/>
          <w:snapToGrid/>
          <w:szCs w:val="22"/>
        </w:rPr>
        <w:t xml:space="preserve">Retain the initial 1 an 2 restrictions as Authority Required (written) benefits; </w:t>
      </w:r>
    </w:p>
    <w:p w14:paraId="2BA7C595" w14:textId="77777777" w:rsidR="005D3BBF" w:rsidRPr="00282E05" w:rsidRDefault="005D3BBF" w:rsidP="005D3BBF">
      <w:pPr>
        <w:pStyle w:val="ListParagraph"/>
        <w:widowControl w:val="0"/>
        <w:numPr>
          <w:ilvl w:val="1"/>
          <w:numId w:val="9"/>
        </w:numPr>
        <w:contextualSpacing/>
        <w:jc w:val="both"/>
        <w:rPr>
          <w:rFonts w:ascii="Calibri" w:eastAsiaTheme="minorHAnsi" w:hAnsi="Calibri" w:cstheme="minorBidi"/>
          <w:snapToGrid/>
          <w:szCs w:val="22"/>
        </w:rPr>
      </w:pPr>
      <w:r w:rsidRPr="00282E05">
        <w:rPr>
          <w:rFonts w:ascii="Calibri" w:eastAsiaTheme="minorHAnsi" w:hAnsi="Calibri" w:cstheme="minorBidi"/>
          <w:snapToGrid/>
          <w:szCs w:val="22"/>
        </w:rPr>
        <w:t>Split the continuation criteria into ‘first continuing’ and ‘subsequent continuing’, to allow for the subsequent continuing restriction for the biosimilar to be Streamlined Authority while subsequent continuing restriction for the reference biological medicine will remain as a written authority; and</w:t>
      </w:r>
    </w:p>
    <w:p w14:paraId="57D0E95B" w14:textId="3CDDD536" w:rsidR="005C694D" w:rsidRPr="00282E05" w:rsidRDefault="005D3BBF" w:rsidP="00131023">
      <w:pPr>
        <w:pStyle w:val="ListParagraph"/>
        <w:widowControl w:val="0"/>
        <w:numPr>
          <w:ilvl w:val="1"/>
          <w:numId w:val="9"/>
        </w:numPr>
        <w:jc w:val="both"/>
        <w:rPr>
          <w:rFonts w:ascii="Calibri" w:eastAsiaTheme="minorHAnsi" w:hAnsi="Calibri" w:cstheme="minorBidi"/>
          <w:snapToGrid/>
          <w:szCs w:val="22"/>
        </w:rPr>
      </w:pPr>
      <w:r w:rsidRPr="00282E05">
        <w:rPr>
          <w:rFonts w:ascii="Calibri" w:eastAsiaTheme="minorHAnsi" w:hAnsi="Calibri" w:cstheme="minorBidi"/>
          <w:snapToGrid/>
          <w:szCs w:val="22"/>
        </w:rPr>
        <w:t>The application of the following Administrative Note encouraging the use of biosimilar brands for treatment of naïve patients</w:t>
      </w:r>
      <w:r w:rsidR="00131023" w:rsidRPr="00282E05">
        <w:rPr>
          <w:rFonts w:ascii="Calibri" w:eastAsiaTheme="minorHAnsi" w:hAnsi="Calibri" w:cstheme="minorBidi"/>
          <w:snapToGrid/>
          <w:szCs w:val="22"/>
        </w:rPr>
        <w:t xml:space="preserve"> (see recommended listing)</w:t>
      </w:r>
      <w:r w:rsidRPr="00282E05">
        <w:rPr>
          <w:rFonts w:ascii="Calibri" w:eastAsiaTheme="minorHAnsi" w:hAnsi="Calibri" w:cstheme="minorBidi"/>
          <w:snapToGrid/>
          <w:szCs w:val="22"/>
        </w:rPr>
        <w:t>.</w:t>
      </w:r>
    </w:p>
    <w:p w14:paraId="1B8A8E95" w14:textId="0D83A860" w:rsidR="00F9455C" w:rsidRPr="00F9455C" w:rsidRDefault="00F9455C" w:rsidP="000C7E8C">
      <w:pPr>
        <w:pStyle w:val="3Bodytext"/>
        <w:rPr>
          <w:snapToGrid w:val="0"/>
        </w:rPr>
      </w:pPr>
      <w:r w:rsidRPr="00F9455C">
        <w:rPr>
          <w:snapToGrid w:val="0"/>
        </w:rPr>
        <w:t xml:space="preserve">The PBAC noted that its recommendation was on a cost-minimisation basis and advised that, because Hadlima is not expected to provide a substantial and clinically relevant improvement in efficacy, or reduction of toxicity, over Humira, or not expected to address a high and urgent unmet clinical need given the presence of an alternative therapy, the criteria prescribed by the </w:t>
      </w:r>
      <w:r w:rsidRPr="00BE5DDA">
        <w:rPr>
          <w:i/>
          <w:snapToGrid w:val="0"/>
        </w:rPr>
        <w:t>National Health (Pharmaceuticals and Vaccines – Cost Recovery) Regulations 2009</w:t>
      </w:r>
      <w:r w:rsidRPr="00F9455C">
        <w:rPr>
          <w:snapToGrid w:val="0"/>
        </w:rPr>
        <w:t xml:space="preserve"> for Pricing Pathway A were not met.</w:t>
      </w:r>
    </w:p>
    <w:p w14:paraId="6881920C" w14:textId="77777777" w:rsidR="00B631F8" w:rsidRPr="00A37E1A" w:rsidRDefault="00B631F8" w:rsidP="000C7E8C">
      <w:pPr>
        <w:pStyle w:val="3Bodytext"/>
        <w:rPr>
          <w:snapToGrid w:val="0"/>
        </w:rPr>
      </w:pPr>
      <w:r w:rsidRPr="00A37E1A">
        <w:rPr>
          <w:snapToGrid w:val="0"/>
        </w:rPr>
        <w:t>The PBAC noted that this submission is not eligible for an Independent Review as it received a positive recommendation.</w:t>
      </w:r>
    </w:p>
    <w:p w14:paraId="692ED44E" w14:textId="77777777" w:rsidR="005C6BEB" w:rsidRPr="00A37E1A" w:rsidRDefault="005C6BEB" w:rsidP="005C6BEB">
      <w:pPr>
        <w:spacing w:before="240"/>
        <w:rPr>
          <w:rFonts w:asciiTheme="minorHAnsi" w:hAnsiTheme="minorHAnsi" w:cs="Arial"/>
          <w:b/>
          <w:bCs/>
          <w:snapToGrid w:val="0"/>
        </w:rPr>
      </w:pPr>
      <w:r w:rsidRPr="00A37E1A">
        <w:rPr>
          <w:rFonts w:asciiTheme="minorHAnsi" w:hAnsiTheme="minorHAnsi" w:cs="Arial"/>
          <w:b/>
          <w:bCs/>
          <w:snapToGrid w:val="0"/>
        </w:rPr>
        <w:t>Outcome:</w:t>
      </w:r>
    </w:p>
    <w:p w14:paraId="6E90C5AF" w14:textId="677406FE" w:rsidR="005C6BEB" w:rsidRPr="00C41882" w:rsidRDefault="005C6BEB" w:rsidP="00C41882">
      <w:pPr>
        <w:rPr>
          <w:rFonts w:asciiTheme="minorHAnsi" w:hAnsiTheme="minorHAnsi" w:cs="Arial"/>
          <w:bCs/>
          <w:snapToGrid w:val="0"/>
        </w:rPr>
      </w:pPr>
      <w:r w:rsidRPr="00A37E1A">
        <w:rPr>
          <w:rFonts w:asciiTheme="minorHAnsi" w:hAnsiTheme="minorHAnsi" w:cs="Arial"/>
          <w:bCs/>
          <w:snapToGrid w:val="0"/>
        </w:rPr>
        <w:t>Recommended</w:t>
      </w:r>
    </w:p>
    <w:p w14:paraId="238D471E" w14:textId="77777777" w:rsidR="005C6BEB" w:rsidRPr="00A37E1A" w:rsidRDefault="005C6BEB" w:rsidP="000C7E8C">
      <w:pPr>
        <w:pStyle w:val="2-SectionHeading"/>
      </w:pPr>
      <w:r w:rsidRPr="00A37E1A">
        <w:t>Recommended listing</w:t>
      </w:r>
    </w:p>
    <w:p w14:paraId="61DA20F9" w14:textId="7B28C454" w:rsidR="00981E47" w:rsidRPr="00282E05" w:rsidRDefault="00981E47" w:rsidP="000C7E8C">
      <w:pPr>
        <w:pStyle w:val="3Bodytext"/>
        <w:rPr>
          <w:snapToGrid w:val="0"/>
          <w:lang w:eastAsia="en-US"/>
        </w:rPr>
      </w:pPr>
      <w:r w:rsidRPr="00282E05">
        <w:rPr>
          <w:snapToGrid w:val="0"/>
          <w:lang w:eastAsia="en-US"/>
        </w:rPr>
        <w:t xml:space="preserve">Add new brand with schedule equivalence (‘a’ flag) for the same indications as for Humira. </w:t>
      </w:r>
      <w:r w:rsidR="009066A3">
        <w:rPr>
          <w:snapToGrid w:val="0"/>
          <w:lang w:eastAsia="en-US"/>
        </w:rPr>
        <w:t>As there is no 20 mg form, Hadlima will not be listed under items 10389T, 10396E, 10422M, 11121H, 11127P, 9661L or 9678J.</w:t>
      </w:r>
    </w:p>
    <w:p w14:paraId="50A12ECF" w14:textId="77777777" w:rsidR="00981E47" w:rsidRPr="00282E05" w:rsidRDefault="00981E47" w:rsidP="000C7E8C">
      <w:pPr>
        <w:pStyle w:val="3Bodytext"/>
      </w:pPr>
      <w:r w:rsidRPr="00282E05">
        <w:rPr>
          <w:rFonts w:cs="Arial"/>
          <w:bCs/>
          <w:snapToGrid w:val="0"/>
          <w:lang w:eastAsia="en-US"/>
        </w:rPr>
        <w:t xml:space="preserve">Restrictions to be </w:t>
      </w:r>
      <w:r w:rsidRPr="00282E05">
        <w:t>consistent with its previous recommendations regarding the application of these drivers to other biosimilar brands of adalimumab:</w:t>
      </w:r>
    </w:p>
    <w:p w14:paraId="528DADD7" w14:textId="77777777" w:rsidR="00981E47" w:rsidRPr="00282E05" w:rsidRDefault="00981E47" w:rsidP="00981E47">
      <w:pPr>
        <w:pStyle w:val="ListParagraph"/>
        <w:widowControl w:val="0"/>
        <w:numPr>
          <w:ilvl w:val="1"/>
          <w:numId w:val="9"/>
        </w:numPr>
        <w:contextualSpacing/>
        <w:jc w:val="both"/>
        <w:rPr>
          <w:rFonts w:ascii="Calibri" w:eastAsiaTheme="minorHAnsi" w:hAnsi="Calibri" w:cstheme="minorBidi"/>
          <w:snapToGrid/>
          <w:szCs w:val="22"/>
        </w:rPr>
      </w:pPr>
      <w:r w:rsidRPr="00282E05">
        <w:rPr>
          <w:rFonts w:ascii="Calibri" w:eastAsiaTheme="minorHAnsi" w:hAnsi="Calibri" w:cstheme="minorBidi"/>
          <w:snapToGrid/>
          <w:szCs w:val="22"/>
        </w:rPr>
        <w:t xml:space="preserve">Retain the initial 1 an 2 restrictions as Authority Required (written) benefits; </w:t>
      </w:r>
    </w:p>
    <w:p w14:paraId="2052E780" w14:textId="77777777" w:rsidR="00981E47" w:rsidRPr="00282E05" w:rsidRDefault="00981E47" w:rsidP="00981E47">
      <w:pPr>
        <w:pStyle w:val="ListParagraph"/>
        <w:widowControl w:val="0"/>
        <w:numPr>
          <w:ilvl w:val="1"/>
          <w:numId w:val="9"/>
        </w:numPr>
        <w:contextualSpacing/>
        <w:jc w:val="both"/>
        <w:rPr>
          <w:rFonts w:ascii="Calibri" w:eastAsiaTheme="minorHAnsi" w:hAnsi="Calibri" w:cstheme="minorBidi"/>
          <w:snapToGrid/>
          <w:szCs w:val="22"/>
        </w:rPr>
      </w:pPr>
      <w:r w:rsidRPr="00282E05">
        <w:rPr>
          <w:rFonts w:ascii="Calibri" w:eastAsiaTheme="minorHAnsi" w:hAnsi="Calibri" w:cstheme="minorBidi"/>
          <w:snapToGrid/>
          <w:szCs w:val="22"/>
        </w:rPr>
        <w:t xml:space="preserve">Split the continuation criteria into ‘first continuing’ and ‘subsequent continuing’, to allow for the subsequent continuing restriction for the </w:t>
      </w:r>
      <w:r w:rsidRPr="00282E05">
        <w:rPr>
          <w:rFonts w:ascii="Calibri" w:eastAsiaTheme="minorHAnsi" w:hAnsi="Calibri" w:cstheme="minorBidi"/>
          <w:snapToGrid/>
          <w:szCs w:val="22"/>
        </w:rPr>
        <w:lastRenderedPageBreak/>
        <w:t>biosimilar to be Streamlined Authority while subsequent continuing restriction for the reference biological medicine will remain as a written authority; and</w:t>
      </w:r>
    </w:p>
    <w:p w14:paraId="1403A3A8" w14:textId="7D56B1A8" w:rsidR="003D101A" w:rsidRPr="000C7E8C" w:rsidRDefault="00981E47" w:rsidP="000C7E8C">
      <w:pPr>
        <w:pStyle w:val="ListParagraph"/>
        <w:widowControl w:val="0"/>
        <w:numPr>
          <w:ilvl w:val="1"/>
          <w:numId w:val="9"/>
        </w:numPr>
        <w:jc w:val="both"/>
        <w:rPr>
          <w:bCs/>
        </w:rPr>
      </w:pPr>
      <w:r w:rsidRPr="00282E05">
        <w:rPr>
          <w:rFonts w:ascii="Calibri" w:eastAsiaTheme="minorHAnsi" w:hAnsi="Calibri" w:cstheme="minorBidi"/>
          <w:snapToGrid/>
          <w:szCs w:val="22"/>
        </w:rPr>
        <w:t>The application of the following Administrative Note encouraging the use of biosimilar brands for treatment of naïve patients.</w:t>
      </w:r>
      <w:r w:rsidRPr="00282E05">
        <w:rPr>
          <w:bCs/>
        </w:rPr>
        <w:t xml:space="preserve"> </w:t>
      </w:r>
    </w:p>
    <w:p w14:paraId="1B7F4BD4" w14:textId="4373865B" w:rsidR="004A1895" w:rsidRPr="00282E05" w:rsidRDefault="004A1895" w:rsidP="00AF3A75">
      <w:pPr>
        <w:rPr>
          <w:b/>
        </w:rPr>
      </w:pPr>
      <w:r w:rsidRPr="00282E05">
        <w:rPr>
          <w:b/>
        </w:rPr>
        <w:t xml:space="preserve">Note </w:t>
      </w:r>
    </w:p>
    <w:p w14:paraId="7D8CD216" w14:textId="60F239F3" w:rsidR="004A1895" w:rsidRPr="00282E05" w:rsidRDefault="004A1895" w:rsidP="00AF3A75">
      <w:pPr>
        <w:rPr>
          <w:b/>
        </w:rPr>
      </w:pPr>
      <w:r w:rsidRPr="00282E05">
        <w:rPr>
          <w:b/>
        </w:rPr>
        <w:t xml:space="preserve">Biosimilar prescribing policy </w:t>
      </w:r>
    </w:p>
    <w:p w14:paraId="47A60674" w14:textId="77777777" w:rsidR="005C694D" w:rsidRPr="00282E05" w:rsidRDefault="005C694D" w:rsidP="00AF3A75">
      <w:pPr>
        <w:rPr>
          <w:b/>
        </w:rPr>
      </w:pPr>
    </w:p>
    <w:p w14:paraId="1E64A089" w14:textId="555803E7" w:rsidR="004A1895" w:rsidRPr="00282E05" w:rsidRDefault="004A1895" w:rsidP="00AF3A75">
      <w:pPr>
        <w:rPr>
          <w:rFonts w:cstheme="minorHAnsi"/>
        </w:rPr>
      </w:pPr>
      <w:r w:rsidRPr="00282E05">
        <w:rPr>
          <w:rFonts w:cstheme="minorHAnsi"/>
        </w:rPr>
        <w:t>Prescribing of the biosimilar brand H</w:t>
      </w:r>
      <w:r w:rsidR="00A72B33">
        <w:rPr>
          <w:rFonts w:cstheme="minorHAnsi"/>
        </w:rPr>
        <w:t>adlima</w:t>
      </w:r>
      <w:r w:rsidRPr="00282E05">
        <w:rPr>
          <w:rFonts w:cstheme="minorHAnsi"/>
        </w:rPr>
        <w:t xml:space="preserve"> is encouraged for treatment naïve patients. </w:t>
      </w:r>
    </w:p>
    <w:p w14:paraId="5559F18C" w14:textId="77777777" w:rsidR="005C694D" w:rsidRPr="00282E05" w:rsidRDefault="005C694D" w:rsidP="00AF3A75">
      <w:pPr>
        <w:rPr>
          <w:rFonts w:cstheme="minorHAnsi"/>
        </w:rPr>
      </w:pPr>
    </w:p>
    <w:p w14:paraId="78252378" w14:textId="4D73A678" w:rsidR="0003128B" w:rsidRDefault="004A1895" w:rsidP="000C7E8C">
      <w:pPr>
        <w:rPr>
          <w:rFonts w:cstheme="minorHAnsi"/>
        </w:rPr>
      </w:pPr>
      <w:r w:rsidRPr="00282E05">
        <w:rPr>
          <w:rFonts w:cstheme="minorHAnsi"/>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hyperlink r:id="rId8" w:tooltip="Biosimilar Awareness Initiative webpage" w:history="1">
        <w:r w:rsidRPr="00282E05">
          <w:rPr>
            <w:rFonts w:cstheme="minorHAnsi"/>
          </w:rPr>
          <w:t>www.health.gov.au/biosimilars</w:t>
        </w:r>
      </w:hyperlink>
      <w:bookmarkStart w:id="0" w:name="_GoBack"/>
      <w:bookmarkEnd w:id="0"/>
      <w:r w:rsidRPr="00282E05">
        <w:rPr>
          <w:rFonts w:cstheme="minorHAnsi"/>
        </w:rPr>
        <w:t>).</w:t>
      </w:r>
    </w:p>
    <w:p w14:paraId="53BB6733" w14:textId="486ACD28" w:rsidR="00AE4E9B" w:rsidRDefault="00AE4E9B" w:rsidP="000C7E8C">
      <w:pPr>
        <w:rPr>
          <w:rFonts w:cstheme="minorHAnsi"/>
        </w:rPr>
      </w:pPr>
    </w:p>
    <w:p w14:paraId="444D57BD" w14:textId="77777777" w:rsidR="00AE4E9B" w:rsidRPr="000C7E8C" w:rsidRDefault="00AE4E9B" w:rsidP="000C7E8C">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1003"/>
        <w:gridCol w:w="858"/>
        <w:gridCol w:w="860"/>
        <w:gridCol w:w="716"/>
        <w:gridCol w:w="1574"/>
      </w:tblGrid>
      <w:tr w:rsidR="0003128B" w:rsidRPr="009A610D" w14:paraId="23BCA3FB" w14:textId="77777777" w:rsidTr="000C7E8C">
        <w:trPr>
          <w:cantSplit/>
          <w:trHeight w:val="471"/>
        </w:trPr>
        <w:tc>
          <w:tcPr>
            <w:tcW w:w="2221" w:type="pct"/>
          </w:tcPr>
          <w:p w14:paraId="5145C44D" w14:textId="77777777" w:rsidR="0003128B" w:rsidRPr="009A610D" w:rsidRDefault="0003128B" w:rsidP="002E51D9">
            <w:pPr>
              <w:keepNext/>
              <w:ind w:left="-108"/>
              <w:rPr>
                <w:rFonts w:ascii="Arial Narrow" w:hAnsi="Arial Narrow" w:cs="Arial"/>
                <w:b/>
                <w:sz w:val="18"/>
                <w:szCs w:val="18"/>
              </w:rPr>
            </w:pPr>
            <w:r w:rsidRPr="009A610D">
              <w:rPr>
                <w:rFonts w:ascii="Arial Narrow" w:hAnsi="Arial Narrow" w:cs="Arial"/>
                <w:b/>
                <w:sz w:val="18"/>
                <w:szCs w:val="18"/>
              </w:rPr>
              <w:lastRenderedPageBreak/>
              <w:t>Name, Restriction,</w:t>
            </w:r>
          </w:p>
          <w:p w14:paraId="7C88A0F3" w14:textId="77777777" w:rsidR="0003128B" w:rsidRPr="009A610D" w:rsidRDefault="0003128B" w:rsidP="002E51D9">
            <w:pPr>
              <w:keepNext/>
              <w:ind w:left="-108"/>
              <w:rPr>
                <w:rFonts w:ascii="Arial Narrow" w:hAnsi="Arial Narrow" w:cs="Arial"/>
                <w:b/>
                <w:sz w:val="18"/>
                <w:szCs w:val="18"/>
              </w:rPr>
            </w:pPr>
            <w:r w:rsidRPr="009A610D">
              <w:rPr>
                <w:rFonts w:ascii="Arial Narrow" w:hAnsi="Arial Narrow" w:cs="Arial"/>
                <w:b/>
                <w:sz w:val="18"/>
                <w:szCs w:val="18"/>
              </w:rPr>
              <w:t>Manner of administration and form</w:t>
            </w:r>
          </w:p>
        </w:tc>
        <w:tc>
          <w:tcPr>
            <w:tcW w:w="556" w:type="pct"/>
          </w:tcPr>
          <w:p w14:paraId="20938875" w14:textId="77777777" w:rsidR="0003128B" w:rsidRPr="003F470D" w:rsidRDefault="0003128B" w:rsidP="002E51D9">
            <w:pPr>
              <w:keepNext/>
              <w:ind w:left="-108"/>
              <w:jc w:val="center"/>
              <w:rPr>
                <w:rFonts w:ascii="Arial Narrow" w:hAnsi="Arial Narrow" w:cs="Arial"/>
                <w:b/>
                <w:sz w:val="18"/>
                <w:szCs w:val="18"/>
              </w:rPr>
            </w:pPr>
            <w:r w:rsidRPr="003F470D">
              <w:rPr>
                <w:rFonts w:ascii="Arial Narrow" w:hAnsi="Arial Narrow" w:cs="Arial"/>
                <w:b/>
                <w:sz w:val="18"/>
                <w:szCs w:val="18"/>
              </w:rPr>
              <w:t>PBS item code</w:t>
            </w:r>
          </w:p>
        </w:tc>
        <w:tc>
          <w:tcPr>
            <w:tcW w:w="476" w:type="pct"/>
          </w:tcPr>
          <w:p w14:paraId="56E6C5D9" w14:textId="77777777" w:rsidR="0003128B" w:rsidRPr="009A610D" w:rsidRDefault="0003128B" w:rsidP="002E51D9">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477" w:type="pct"/>
          </w:tcPr>
          <w:p w14:paraId="6E40EB66" w14:textId="77777777" w:rsidR="0003128B" w:rsidRPr="009A610D" w:rsidRDefault="0003128B" w:rsidP="002E51D9">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397" w:type="pct"/>
          </w:tcPr>
          <w:p w14:paraId="4B939287" w14:textId="77777777" w:rsidR="0003128B" w:rsidRPr="009A610D" w:rsidRDefault="0003128B" w:rsidP="002E51D9">
            <w:pPr>
              <w:keepNext/>
              <w:ind w:left="-108"/>
              <w:jc w:val="center"/>
              <w:rPr>
                <w:rFonts w:ascii="Arial Narrow" w:hAnsi="Arial Narrow" w:cs="Arial"/>
                <w:b/>
                <w:sz w:val="18"/>
                <w:szCs w:val="18"/>
              </w:rPr>
            </w:pPr>
            <w:r w:rsidRPr="009A610D">
              <w:rPr>
                <w:rFonts w:ascii="Arial Narrow" w:hAnsi="Arial Narrow" w:cs="Arial"/>
                <w:b/>
                <w:sz w:val="18"/>
                <w:szCs w:val="18"/>
              </w:rPr>
              <w:t>№.of</w:t>
            </w:r>
          </w:p>
          <w:p w14:paraId="7769233A" w14:textId="77777777" w:rsidR="0003128B" w:rsidRPr="009A610D" w:rsidRDefault="0003128B" w:rsidP="002E51D9">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873" w:type="pct"/>
          </w:tcPr>
          <w:p w14:paraId="17794E46" w14:textId="77777777" w:rsidR="0003128B" w:rsidRPr="009A610D" w:rsidRDefault="0003128B" w:rsidP="002E51D9">
            <w:pPr>
              <w:keepNext/>
              <w:rPr>
                <w:rFonts w:ascii="Arial Narrow" w:hAnsi="Arial Narrow" w:cs="Arial"/>
                <w:b/>
                <w:sz w:val="18"/>
                <w:szCs w:val="18"/>
                <w:lang w:val="fr-FR"/>
              </w:rPr>
            </w:pPr>
            <w:r>
              <w:rPr>
                <w:rFonts w:ascii="Arial Narrow" w:hAnsi="Arial Narrow" w:cs="Arial"/>
                <w:b/>
                <w:sz w:val="18"/>
                <w:szCs w:val="18"/>
              </w:rPr>
              <w:t>Available brands</w:t>
            </w:r>
          </w:p>
        </w:tc>
      </w:tr>
      <w:tr w:rsidR="0003128B" w:rsidRPr="009A610D" w14:paraId="385301E5" w14:textId="77777777" w:rsidTr="000C7E8C">
        <w:trPr>
          <w:cantSplit/>
          <w:trHeight w:val="761"/>
        </w:trPr>
        <w:tc>
          <w:tcPr>
            <w:tcW w:w="2221" w:type="pct"/>
          </w:tcPr>
          <w:p w14:paraId="16EB91C7" w14:textId="77777777" w:rsidR="0003128B" w:rsidRPr="00120A12"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66443E9B" w14:textId="77777777" w:rsidR="0003128B" w:rsidRDefault="0003128B" w:rsidP="002E51D9">
            <w:pPr>
              <w:keepNext/>
              <w:ind w:left="-108"/>
              <w:rPr>
                <w:rFonts w:ascii="Arial Narrow" w:hAnsi="Arial Narrow" w:cs="Arial"/>
                <w:sz w:val="18"/>
                <w:szCs w:val="18"/>
              </w:rPr>
            </w:pPr>
          </w:p>
          <w:p w14:paraId="6322ACCE" w14:textId="77777777" w:rsidR="0003128B" w:rsidRPr="003803A0" w:rsidRDefault="0003128B" w:rsidP="002E51D9">
            <w:pPr>
              <w:keepNext/>
              <w:ind w:left="-108"/>
              <w:rPr>
                <w:rFonts w:ascii="Arial Narrow" w:hAnsi="Arial Narrow" w:cs="Arial"/>
                <w:sz w:val="18"/>
                <w:szCs w:val="18"/>
              </w:rPr>
            </w:pPr>
            <w:r>
              <w:rPr>
                <w:rFonts w:ascii="Arial Narrow" w:hAnsi="Arial Narrow" w:cs="Arial"/>
                <w:sz w:val="18"/>
                <w:szCs w:val="18"/>
              </w:rPr>
              <w:t>adalimumab</w:t>
            </w:r>
            <w:r w:rsidRPr="009A610D">
              <w:rPr>
                <w:rFonts w:ascii="Arial Narrow" w:hAnsi="Arial Narrow" w:cs="Arial"/>
                <w:sz w:val="18"/>
                <w:szCs w:val="18"/>
              </w:rPr>
              <w:t xml:space="preserve"> </w:t>
            </w:r>
            <w:r w:rsidRPr="0086040C">
              <w:rPr>
                <w:rFonts w:ascii="Arial Narrow" w:hAnsi="Arial Narrow" w:cs="Arial"/>
                <w:sz w:val="18"/>
                <w:szCs w:val="18"/>
              </w:rPr>
              <w:t>40 mg/0.8 mL injection</w:t>
            </w:r>
            <w:r>
              <w:rPr>
                <w:rFonts w:ascii="Arial Narrow" w:hAnsi="Arial Narrow" w:cs="Arial"/>
                <w:sz w:val="18"/>
                <w:szCs w:val="18"/>
              </w:rPr>
              <w:t xml:space="preserve">, </w:t>
            </w:r>
            <w:r w:rsidRPr="0086040C">
              <w:rPr>
                <w:rFonts w:ascii="Arial Narrow" w:hAnsi="Arial Narrow" w:cs="Arial"/>
                <w:sz w:val="18"/>
                <w:szCs w:val="18"/>
              </w:rPr>
              <w:t>2 x 0.8 mL syringes</w:t>
            </w:r>
          </w:p>
        </w:tc>
        <w:tc>
          <w:tcPr>
            <w:tcW w:w="556" w:type="pct"/>
          </w:tcPr>
          <w:p w14:paraId="444C3546"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10399H</w:t>
            </w:r>
          </w:p>
          <w:p w14:paraId="3AA4A17C"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9662M</w:t>
            </w:r>
          </w:p>
          <w:p w14:paraId="58D3F0D4"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9679K</w:t>
            </w:r>
          </w:p>
        </w:tc>
        <w:tc>
          <w:tcPr>
            <w:tcW w:w="476" w:type="pct"/>
          </w:tcPr>
          <w:p w14:paraId="55CAEC9A" w14:textId="77777777" w:rsidR="0003128B" w:rsidRPr="009A610D"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64E3A5E3" w14:textId="77777777" w:rsidR="0003128B" w:rsidRPr="009A610D"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0C5FDC6B" w14:textId="77777777" w:rsidR="0003128B" w:rsidRPr="009A610D" w:rsidRDefault="0003128B" w:rsidP="002E51D9">
            <w:pPr>
              <w:keepNext/>
              <w:ind w:left="-108"/>
              <w:jc w:val="center"/>
              <w:rPr>
                <w:rFonts w:ascii="Arial Narrow" w:hAnsi="Arial Narrow" w:cs="Arial"/>
                <w:sz w:val="18"/>
                <w:szCs w:val="18"/>
              </w:rPr>
            </w:pPr>
            <w:r>
              <w:rPr>
                <w:rFonts w:ascii="Arial Narrow" w:hAnsi="Arial Narrow" w:cs="Arial"/>
                <w:sz w:val="18"/>
                <w:szCs w:val="18"/>
              </w:rPr>
              <w:t>0</w:t>
            </w:r>
          </w:p>
          <w:p w14:paraId="5497BE60" w14:textId="77777777" w:rsidR="0003128B" w:rsidRPr="009A610D" w:rsidRDefault="0003128B" w:rsidP="002E51D9">
            <w:pPr>
              <w:keepNext/>
              <w:rPr>
                <w:rFonts w:ascii="Arial Narrow" w:hAnsi="Arial Narrow" w:cs="Arial"/>
                <w:sz w:val="18"/>
                <w:szCs w:val="18"/>
              </w:rPr>
            </w:pPr>
          </w:p>
        </w:tc>
        <w:tc>
          <w:tcPr>
            <w:tcW w:w="873" w:type="pct"/>
          </w:tcPr>
          <w:p w14:paraId="5C6F49FB"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34760B9C"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2FA828F4"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6137E4D7" w14:textId="77777777" w:rsidR="0003128B" w:rsidRPr="009A610D"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r w:rsidR="0003128B" w:rsidRPr="009A610D" w14:paraId="5AB8A736" w14:textId="77777777" w:rsidTr="000C7E8C">
        <w:trPr>
          <w:cantSplit/>
          <w:trHeight w:val="761"/>
        </w:trPr>
        <w:tc>
          <w:tcPr>
            <w:tcW w:w="2221" w:type="pct"/>
          </w:tcPr>
          <w:p w14:paraId="637C7658" w14:textId="77777777" w:rsidR="0003128B" w:rsidRPr="00120A12"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38D50B1A" w14:textId="77777777" w:rsidR="0003128B" w:rsidRDefault="0003128B" w:rsidP="002E51D9">
            <w:pPr>
              <w:keepNext/>
              <w:ind w:left="-108"/>
              <w:rPr>
                <w:rFonts w:ascii="Arial Narrow" w:hAnsi="Arial Narrow" w:cs="Arial"/>
                <w:sz w:val="18"/>
                <w:szCs w:val="18"/>
              </w:rPr>
            </w:pPr>
          </w:p>
          <w:p w14:paraId="6017A4F5" w14:textId="77777777" w:rsidR="0003128B" w:rsidDel="0086040C" w:rsidRDefault="0003128B" w:rsidP="002E51D9">
            <w:pPr>
              <w:keepNext/>
              <w:ind w:left="-108"/>
              <w:rPr>
                <w:rFonts w:ascii="Arial Narrow" w:hAnsi="Arial Narrow" w:cs="Arial"/>
                <w:sz w:val="18"/>
                <w:szCs w:val="18"/>
              </w:rPr>
            </w:pPr>
            <w:r>
              <w:rPr>
                <w:rFonts w:ascii="Arial Narrow" w:hAnsi="Arial Narrow" w:cs="Arial"/>
                <w:sz w:val="18"/>
                <w:szCs w:val="18"/>
              </w:rPr>
              <w:t>adalimumab</w:t>
            </w:r>
            <w:r w:rsidRPr="009A610D">
              <w:rPr>
                <w:rFonts w:ascii="Arial Narrow" w:hAnsi="Arial Narrow" w:cs="Arial"/>
                <w:sz w:val="18"/>
                <w:szCs w:val="18"/>
              </w:rPr>
              <w:t xml:space="preserve"> </w:t>
            </w:r>
            <w:r w:rsidRPr="0086040C">
              <w:rPr>
                <w:rFonts w:ascii="Arial Narrow" w:hAnsi="Arial Narrow" w:cs="Arial"/>
                <w:sz w:val="18"/>
                <w:szCs w:val="18"/>
              </w:rPr>
              <w:t>40 mg/0.8 mL injection</w:t>
            </w:r>
            <w:r>
              <w:rPr>
                <w:rFonts w:ascii="Arial Narrow" w:hAnsi="Arial Narrow" w:cs="Arial"/>
                <w:sz w:val="18"/>
                <w:szCs w:val="18"/>
              </w:rPr>
              <w:t xml:space="preserve">, </w:t>
            </w:r>
            <w:r w:rsidRPr="0086040C">
              <w:rPr>
                <w:rFonts w:ascii="Arial Narrow" w:hAnsi="Arial Narrow" w:cs="Arial"/>
                <w:sz w:val="18"/>
                <w:szCs w:val="18"/>
              </w:rPr>
              <w:t>2 x 0.8 mL syringes</w:t>
            </w:r>
          </w:p>
        </w:tc>
        <w:tc>
          <w:tcPr>
            <w:tcW w:w="556" w:type="pct"/>
          </w:tcPr>
          <w:p w14:paraId="062033E8"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10419J</w:t>
            </w:r>
          </w:p>
          <w:p w14:paraId="1C740A26"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10944B</w:t>
            </w:r>
          </w:p>
          <w:p w14:paraId="2AB6167E"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8963R</w:t>
            </w:r>
          </w:p>
          <w:p w14:paraId="2689AC94"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9188N</w:t>
            </w:r>
          </w:p>
        </w:tc>
        <w:tc>
          <w:tcPr>
            <w:tcW w:w="476" w:type="pct"/>
          </w:tcPr>
          <w:p w14:paraId="0AAE6437" w14:textId="77777777" w:rsidR="0003128B"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5F47392B"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4A690063" w14:textId="77777777" w:rsidR="0003128B" w:rsidRPr="009A610D"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873" w:type="pct"/>
          </w:tcPr>
          <w:p w14:paraId="3940A0AB"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7F609DA1"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388C1DB4"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725C51BD" w14:textId="77777777" w:rsidR="0003128B"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r w:rsidR="0003128B" w:rsidRPr="009A610D" w14:paraId="20123018" w14:textId="77777777" w:rsidTr="000C7E8C">
        <w:trPr>
          <w:cantSplit/>
          <w:trHeight w:val="761"/>
        </w:trPr>
        <w:tc>
          <w:tcPr>
            <w:tcW w:w="2221" w:type="pct"/>
          </w:tcPr>
          <w:p w14:paraId="78F39DA7" w14:textId="77777777" w:rsidR="0003128B" w:rsidRPr="00120A12"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34F4041C" w14:textId="77777777" w:rsidR="0003128B" w:rsidRDefault="0003128B" w:rsidP="002E51D9">
            <w:pPr>
              <w:keepNext/>
              <w:ind w:left="-108"/>
              <w:rPr>
                <w:rFonts w:ascii="Arial Narrow" w:hAnsi="Arial Narrow" w:cs="Arial"/>
                <w:sz w:val="18"/>
                <w:szCs w:val="18"/>
              </w:rPr>
            </w:pPr>
          </w:p>
          <w:p w14:paraId="104E6424" w14:textId="77777777" w:rsidR="0003128B" w:rsidDel="0086040C" w:rsidRDefault="0003128B" w:rsidP="002E51D9">
            <w:pPr>
              <w:keepNext/>
              <w:ind w:left="-108"/>
              <w:rPr>
                <w:rFonts w:ascii="Arial Narrow" w:hAnsi="Arial Narrow" w:cs="Arial"/>
                <w:sz w:val="18"/>
                <w:szCs w:val="18"/>
              </w:rPr>
            </w:pPr>
            <w:r>
              <w:rPr>
                <w:rFonts w:ascii="Arial Narrow" w:hAnsi="Arial Narrow" w:cs="Arial"/>
                <w:sz w:val="18"/>
                <w:szCs w:val="18"/>
              </w:rPr>
              <w:t>adalimumab</w:t>
            </w:r>
            <w:r w:rsidRPr="009A610D">
              <w:rPr>
                <w:rFonts w:ascii="Arial Narrow" w:hAnsi="Arial Narrow" w:cs="Arial"/>
                <w:sz w:val="18"/>
                <w:szCs w:val="18"/>
              </w:rPr>
              <w:t xml:space="preserve"> </w:t>
            </w:r>
            <w:r w:rsidRPr="0086040C">
              <w:rPr>
                <w:rFonts w:ascii="Arial Narrow" w:hAnsi="Arial Narrow" w:cs="Arial"/>
                <w:sz w:val="18"/>
                <w:szCs w:val="18"/>
              </w:rPr>
              <w:t>40 mg/0.8 mL injection</w:t>
            </w:r>
            <w:r>
              <w:rPr>
                <w:rFonts w:ascii="Arial Narrow" w:hAnsi="Arial Narrow" w:cs="Arial"/>
                <w:sz w:val="18"/>
                <w:szCs w:val="18"/>
              </w:rPr>
              <w:t xml:space="preserve">, </w:t>
            </w:r>
            <w:r w:rsidRPr="0086040C">
              <w:rPr>
                <w:rFonts w:ascii="Arial Narrow" w:hAnsi="Arial Narrow" w:cs="Arial"/>
                <w:sz w:val="18"/>
                <w:szCs w:val="18"/>
              </w:rPr>
              <w:t>2 x 0.8 mL syringes</w:t>
            </w:r>
          </w:p>
        </w:tc>
        <w:tc>
          <w:tcPr>
            <w:tcW w:w="556" w:type="pct"/>
          </w:tcPr>
          <w:p w14:paraId="2A6474DF"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5281Y</w:t>
            </w:r>
          </w:p>
          <w:p w14:paraId="6AE466E6"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8738W</w:t>
            </w:r>
          </w:p>
          <w:p w14:paraId="574C883B"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9033K</w:t>
            </w:r>
          </w:p>
          <w:p w14:paraId="2E1310E2"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9077R</w:t>
            </w:r>
          </w:p>
        </w:tc>
        <w:tc>
          <w:tcPr>
            <w:tcW w:w="476" w:type="pct"/>
          </w:tcPr>
          <w:p w14:paraId="2C7B7296" w14:textId="77777777" w:rsidR="0003128B"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16E7BF15"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539A5342" w14:textId="77777777" w:rsidR="0003128B" w:rsidRPr="009A610D" w:rsidRDefault="0003128B" w:rsidP="002E51D9">
            <w:pPr>
              <w:keepNext/>
              <w:ind w:left="-108"/>
              <w:jc w:val="center"/>
              <w:rPr>
                <w:rFonts w:ascii="Arial Narrow" w:hAnsi="Arial Narrow" w:cs="Arial"/>
                <w:sz w:val="18"/>
                <w:szCs w:val="18"/>
              </w:rPr>
            </w:pPr>
            <w:r>
              <w:rPr>
                <w:rFonts w:ascii="Arial Narrow" w:hAnsi="Arial Narrow" w:cs="Arial"/>
                <w:sz w:val="18"/>
                <w:szCs w:val="18"/>
              </w:rPr>
              <w:t>3</w:t>
            </w:r>
          </w:p>
        </w:tc>
        <w:tc>
          <w:tcPr>
            <w:tcW w:w="873" w:type="pct"/>
          </w:tcPr>
          <w:p w14:paraId="6278E184"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52707D4A"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40834EC8"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087232C4" w14:textId="77777777" w:rsidR="0003128B"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r w:rsidR="0003128B" w:rsidRPr="009A610D" w14:paraId="095899EB" w14:textId="77777777" w:rsidTr="000C7E8C">
        <w:trPr>
          <w:cantSplit/>
          <w:trHeight w:val="347"/>
        </w:trPr>
        <w:tc>
          <w:tcPr>
            <w:tcW w:w="2221" w:type="pct"/>
          </w:tcPr>
          <w:p w14:paraId="74CBC69B" w14:textId="77777777" w:rsidR="0003128B" w:rsidRPr="00120A12"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488F29DC" w14:textId="77777777" w:rsidR="0003128B" w:rsidRDefault="0003128B" w:rsidP="002E51D9">
            <w:pPr>
              <w:keepNext/>
              <w:ind w:left="-108"/>
              <w:rPr>
                <w:rFonts w:ascii="Arial Narrow" w:hAnsi="Arial Narrow" w:cs="Arial"/>
                <w:sz w:val="18"/>
                <w:szCs w:val="18"/>
              </w:rPr>
            </w:pPr>
          </w:p>
          <w:p w14:paraId="3745B902" w14:textId="77777777" w:rsidR="0003128B" w:rsidRDefault="0003128B" w:rsidP="002E51D9">
            <w:pPr>
              <w:keepNext/>
              <w:ind w:left="-108"/>
              <w:rPr>
                <w:rFonts w:ascii="Arial Narrow" w:hAnsi="Arial Narrow" w:cs="Arial"/>
                <w:sz w:val="18"/>
                <w:szCs w:val="18"/>
              </w:rPr>
            </w:pPr>
            <w:r>
              <w:rPr>
                <w:rFonts w:ascii="Arial Narrow" w:hAnsi="Arial Narrow" w:cs="Arial"/>
                <w:sz w:val="18"/>
                <w:szCs w:val="18"/>
              </w:rPr>
              <w:t>adalimumab</w:t>
            </w:r>
            <w:r w:rsidRPr="009A610D">
              <w:rPr>
                <w:rFonts w:ascii="Arial Narrow" w:hAnsi="Arial Narrow" w:cs="Arial"/>
                <w:sz w:val="18"/>
                <w:szCs w:val="18"/>
              </w:rPr>
              <w:t xml:space="preserve"> </w:t>
            </w:r>
            <w:r w:rsidRPr="0086040C">
              <w:rPr>
                <w:rFonts w:ascii="Arial Narrow" w:hAnsi="Arial Narrow" w:cs="Arial"/>
                <w:sz w:val="18"/>
                <w:szCs w:val="18"/>
              </w:rPr>
              <w:t>40 mg/0.8 mL injection</w:t>
            </w:r>
            <w:r>
              <w:rPr>
                <w:rFonts w:ascii="Arial Narrow" w:hAnsi="Arial Narrow" w:cs="Arial"/>
                <w:sz w:val="18"/>
                <w:szCs w:val="18"/>
              </w:rPr>
              <w:t xml:space="preserve">, </w:t>
            </w:r>
            <w:r w:rsidRPr="0086040C">
              <w:rPr>
                <w:rFonts w:ascii="Arial Narrow" w:hAnsi="Arial Narrow" w:cs="Arial"/>
                <w:sz w:val="18"/>
                <w:szCs w:val="18"/>
              </w:rPr>
              <w:t>2 x 0.8 mL syringes</w:t>
            </w:r>
            <w:r w:rsidDel="0086040C">
              <w:rPr>
                <w:rFonts w:ascii="Arial Narrow" w:hAnsi="Arial Narrow" w:cs="Arial"/>
                <w:sz w:val="18"/>
                <w:szCs w:val="18"/>
              </w:rPr>
              <w:t xml:space="preserve"> </w:t>
            </w:r>
          </w:p>
        </w:tc>
        <w:tc>
          <w:tcPr>
            <w:tcW w:w="556" w:type="pct"/>
          </w:tcPr>
          <w:p w14:paraId="08D764A3"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9425C</w:t>
            </w:r>
          </w:p>
        </w:tc>
        <w:tc>
          <w:tcPr>
            <w:tcW w:w="476" w:type="pct"/>
          </w:tcPr>
          <w:p w14:paraId="4A3C6BB3" w14:textId="77777777" w:rsidR="0003128B"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0AFC8B7F"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158035F8" w14:textId="77777777" w:rsidR="0003128B" w:rsidRPr="009A610D" w:rsidRDefault="0003128B" w:rsidP="002E51D9">
            <w:pPr>
              <w:keepNext/>
              <w:ind w:left="-108"/>
              <w:jc w:val="center"/>
              <w:rPr>
                <w:rFonts w:ascii="Arial Narrow" w:hAnsi="Arial Narrow" w:cs="Arial"/>
                <w:sz w:val="18"/>
                <w:szCs w:val="18"/>
              </w:rPr>
            </w:pPr>
            <w:r>
              <w:rPr>
                <w:rFonts w:ascii="Arial Narrow" w:hAnsi="Arial Narrow" w:cs="Arial"/>
                <w:sz w:val="18"/>
                <w:szCs w:val="18"/>
              </w:rPr>
              <w:t>4</w:t>
            </w:r>
          </w:p>
        </w:tc>
        <w:tc>
          <w:tcPr>
            <w:tcW w:w="873" w:type="pct"/>
          </w:tcPr>
          <w:p w14:paraId="72A332B9"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79DDD5EB"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4E649C2B"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04C80AF2" w14:textId="77777777" w:rsidR="0003128B"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r w:rsidR="0003128B" w:rsidRPr="009A610D" w14:paraId="04A74A0C" w14:textId="77777777" w:rsidTr="000C7E8C">
        <w:trPr>
          <w:cantSplit/>
          <w:trHeight w:val="347"/>
        </w:trPr>
        <w:tc>
          <w:tcPr>
            <w:tcW w:w="2221" w:type="pct"/>
          </w:tcPr>
          <w:p w14:paraId="27158219" w14:textId="77777777" w:rsidR="0003128B" w:rsidRPr="00120A12"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7F2CB59F" w14:textId="77777777" w:rsidR="0003128B" w:rsidRDefault="0003128B" w:rsidP="002E51D9">
            <w:pPr>
              <w:keepNext/>
              <w:ind w:left="-108"/>
              <w:rPr>
                <w:rFonts w:ascii="Arial Narrow" w:hAnsi="Arial Narrow" w:cs="Arial"/>
                <w:sz w:val="18"/>
                <w:szCs w:val="18"/>
              </w:rPr>
            </w:pPr>
          </w:p>
          <w:p w14:paraId="71408BF8" w14:textId="77777777" w:rsidR="0003128B" w:rsidRDefault="0003128B" w:rsidP="002E51D9">
            <w:pPr>
              <w:keepNext/>
              <w:ind w:left="-108"/>
              <w:rPr>
                <w:rFonts w:ascii="Arial Narrow" w:hAnsi="Arial Narrow" w:cs="Arial"/>
                <w:sz w:val="18"/>
                <w:szCs w:val="18"/>
              </w:rPr>
            </w:pPr>
            <w:r>
              <w:rPr>
                <w:rFonts w:ascii="Arial Narrow" w:hAnsi="Arial Narrow" w:cs="Arial"/>
                <w:sz w:val="18"/>
                <w:szCs w:val="18"/>
              </w:rPr>
              <w:t>adalimumab</w:t>
            </w:r>
            <w:r w:rsidRPr="009A610D">
              <w:rPr>
                <w:rFonts w:ascii="Arial Narrow" w:hAnsi="Arial Narrow" w:cs="Arial"/>
                <w:sz w:val="18"/>
                <w:szCs w:val="18"/>
              </w:rPr>
              <w:t xml:space="preserve"> </w:t>
            </w:r>
            <w:r w:rsidRPr="0086040C">
              <w:rPr>
                <w:rFonts w:ascii="Arial Narrow" w:hAnsi="Arial Narrow" w:cs="Arial"/>
                <w:sz w:val="18"/>
                <w:szCs w:val="18"/>
              </w:rPr>
              <w:t>40 mg/0.8 mL injection</w:t>
            </w:r>
            <w:r>
              <w:rPr>
                <w:rFonts w:ascii="Arial Narrow" w:hAnsi="Arial Narrow" w:cs="Arial"/>
                <w:sz w:val="18"/>
                <w:szCs w:val="18"/>
              </w:rPr>
              <w:t xml:space="preserve">, </w:t>
            </w:r>
            <w:r w:rsidRPr="0086040C">
              <w:rPr>
                <w:rFonts w:ascii="Arial Narrow" w:hAnsi="Arial Narrow" w:cs="Arial"/>
                <w:sz w:val="18"/>
                <w:szCs w:val="18"/>
              </w:rPr>
              <w:t>2 x 0.8 mL syringes</w:t>
            </w:r>
          </w:p>
        </w:tc>
        <w:tc>
          <w:tcPr>
            <w:tcW w:w="556" w:type="pct"/>
          </w:tcPr>
          <w:p w14:paraId="5446A8FF"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10412B</w:t>
            </w:r>
          </w:p>
          <w:p w14:paraId="35CE1AE0"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10960W</w:t>
            </w:r>
          </w:p>
          <w:p w14:paraId="3EE9CDDB"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5283C</w:t>
            </w:r>
          </w:p>
          <w:p w14:paraId="2A8B132A"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8741C</w:t>
            </w:r>
          </w:p>
          <w:p w14:paraId="346B0C79"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8964T</w:t>
            </w:r>
          </w:p>
          <w:p w14:paraId="09CA4C1C"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9034L</w:t>
            </w:r>
          </w:p>
          <w:p w14:paraId="30D692F5"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9078T</w:t>
            </w:r>
          </w:p>
          <w:p w14:paraId="32D0911A"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9189P</w:t>
            </w:r>
          </w:p>
          <w:p w14:paraId="065B72F5"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9427E</w:t>
            </w:r>
          </w:p>
        </w:tc>
        <w:tc>
          <w:tcPr>
            <w:tcW w:w="476" w:type="pct"/>
          </w:tcPr>
          <w:p w14:paraId="7D55D2AE" w14:textId="77777777" w:rsidR="0003128B"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60804775"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34424339"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5</w:t>
            </w:r>
          </w:p>
        </w:tc>
        <w:tc>
          <w:tcPr>
            <w:tcW w:w="873" w:type="pct"/>
          </w:tcPr>
          <w:p w14:paraId="6D19B4E0"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0E3CE70B"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5178599A"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1112432A" w14:textId="77777777" w:rsidR="0003128B"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r w:rsidR="0003128B" w:rsidRPr="009A610D" w14:paraId="52F69D8C" w14:textId="77777777" w:rsidTr="000C7E8C">
        <w:trPr>
          <w:cantSplit/>
          <w:trHeight w:val="347"/>
        </w:trPr>
        <w:tc>
          <w:tcPr>
            <w:tcW w:w="2221" w:type="pct"/>
          </w:tcPr>
          <w:p w14:paraId="20D07325" w14:textId="77777777" w:rsidR="0003128B"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77DE2289" w14:textId="77777777" w:rsidR="0003128B" w:rsidRPr="00120A12" w:rsidRDefault="0003128B" w:rsidP="002E51D9">
            <w:pPr>
              <w:keepNext/>
              <w:ind w:left="-108"/>
              <w:rPr>
                <w:rFonts w:ascii="Arial Narrow" w:hAnsi="Arial Narrow" w:cs="Arial"/>
                <w:sz w:val="18"/>
                <w:szCs w:val="18"/>
              </w:rPr>
            </w:pPr>
          </w:p>
          <w:p w14:paraId="1FDFE8A5" w14:textId="77777777" w:rsidR="0003128B" w:rsidRDefault="0003128B" w:rsidP="002E51D9">
            <w:pPr>
              <w:keepNext/>
              <w:ind w:left="-108"/>
              <w:rPr>
                <w:rFonts w:ascii="Arial Narrow" w:hAnsi="Arial Narrow" w:cs="Arial"/>
                <w:sz w:val="18"/>
                <w:szCs w:val="18"/>
              </w:rPr>
            </w:pPr>
            <w:r w:rsidRPr="0086040C">
              <w:rPr>
                <w:rFonts w:ascii="Arial Narrow" w:hAnsi="Arial Narrow" w:cs="Arial"/>
                <w:sz w:val="18"/>
                <w:szCs w:val="18"/>
              </w:rPr>
              <w:t>adalimumab 40 mg/0.8 mL injection, 2 x 0.8 mL injection devices</w:t>
            </w:r>
          </w:p>
        </w:tc>
        <w:tc>
          <w:tcPr>
            <w:tcW w:w="556" w:type="pct"/>
          </w:tcPr>
          <w:p w14:paraId="6BECB39E"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9680L</w:t>
            </w:r>
          </w:p>
          <w:p w14:paraId="72B39EA5"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9663N</w:t>
            </w:r>
          </w:p>
          <w:p w14:paraId="6FDA0FA8"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10400J</w:t>
            </w:r>
          </w:p>
        </w:tc>
        <w:tc>
          <w:tcPr>
            <w:tcW w:w="476" w:type="pct"/>
          </w:tcPr>
          <w:p w14:paraId="1B9799A4" w14:textId="77777777" w:rsidR="0003128B"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21EDFAED"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41C0217A"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0</w:t>
            </w:r>
          </w:p>
        </w:tc>
        <w:tc>
          <w:tcPr>
            <w:tcW w:w="873" w:type="pct"/>
          </w:tcPr>
          <w:p w14:paraId="02D114D3"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2A188B6A"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0AA93429"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1842BA6D" w14:textId="77777777" w:rsidR="0003128B"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r w:rsidR="0003128B" w:rsidRPr="009A610D" w14:paraId="080BE7AC" w14:textId="77777777" w:rsidTr="000C7E8C">
        <w:trPr>
          <w:cantSplit/>
          <w:trHeight w:val="347"/>
        </w:trPr>
        <w:tc>
          <w:tcPr>
            <w:tcW w:w="2221" w:type="pct"/>
          </w:tcPr>
          <w:p w14:paraId="5A06D54E" w14:textId="77777777" w:rsidR="0003128B"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5331FC2F" w14:textId="77777777" w:rsidR="0003128B" w:rsidRPr="00120A12" w:rsidRDefault="0003128B" w:rsidP="002E51D9">
            <w:pPr>
              <w:keepNext/>
              <w:ind w:left="-108"/>
              <w:rPr>
                <w:rFonts w:ascii="Arial Narrow" w:hAnsi="Arial Narrow" w:cs="Arial"/>
                <w:sz w:val="18"/>
                <w:szCs w:val="18"/>
              </w:rPr>
            </w:pPr>
          </w:p>
          <w:p w14:paraId="3FA471AA" w14:textId="77777777" w:rsidR="0003128B" w:rsidRDefault="0003128B" w:rsidP="002E51D9">
            <w:pPr>
              <w:keepNext/>
              <w:ind w:left="-108"/>
              <w:rPr>
                <w:rFonts w:ascii="Arial Narrow" w:hAnsi="Arial Narrow" w:cs="Arial"/>
                <w:sz w:val="18"/>
                <w:szCs w:val="18"/>
              </w:rPr>
            </w:pPr>
            <w:r w:rsidRPr="0086040C">
              <w:rPr>
                <w:rFonts w:ascii="Arial Narrow" w:hAnsi="Arial Narrow" w:cs="Arial"/>
                <w:sz w:val="18"/>
                <w:szCs w:val="18"/>
              </w:rPr>
              <w:t>adalimumab 40 mg/0.8 mL injection, 2 x 0.8 mL injection devices</w:t>
            </w:r>
          </w:p>
        </w:tc>
        <w:tc>
          <w:tcPr>
            <w:tcW w:w="556" w:type="pct"/>
          </w:tcPr>
          <w:p w14:paraId="22A95163"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10413C</w:t>
            </w:r>
          </w:p>
          <w:p w14:paraId="54A41982"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10955N</w:t>
            </w:r>
          </w:p>
          <w:p w14:paraId="36736233"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8965W</w:t>
            </w:r>
          </w:p>
          <w:p w14:paraId="038B0D6E"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9190Q</w:t>
            </w:r>
          </w:p>
        </w:tc>
        <w:tc>
          <w:tcPr>
            <w:tcW w:w="476" w:type="pct"/>
          </w:tcPr>
          <w:p w14:paraId="088EF2B5" w14:textId="77777777" w:rsidR="0003128B"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6F01B0A4"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2EE267D5"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873" w:type="pct"/>
          </w:tcPr>
          <w:p w14:paraId="3EB631B8"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6E9E236D"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43C206A8"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058630D4" w14:textId="77777777" w:rsidR="0003128B"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r w:rsidR="0003128B" w:rsidRPr="009A610D" w14:paraId="75DF4A2E" w14:textId="77777777" w:rsidTr="000C7E8C">
        <w:trPr>
          <w:cantSplit/>
          <w:trHeight w:val="347"/>
        </w:trPr>
        <w:tc>
          <w:tcPr>
            <w:tcW w:w="2221" w:type="pct"/>
          </w:tcPr>
          <w:p w14:paraId="4BC35CDE" w14:textId="77777777" w:rsidR="0003128B"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20CE9102" w14:textId="77777777" w:rsidR="0003128B" w:rsidRPr="00120A12" w:rsidRDefault="0003128B" w:rsidP="002E51D9">
            <w:pPr>
              <w:keepNext/>
              <w:ind w:left="-108"/>
              <w:rPr>
                <w:rFonts w:ascii="Arial Narrow" w:hAnsi="Arial Narrow" w:cs="Arial"/>
                <w:sz w:val="18"/>
                <w:szCs w:val="18"/>
              </w:rPr>
            </w:pPr>
          </w:p>
          <w:p w14:paraId="2F9DC3D5" w14:textId="77777777" w:rsidR="0003128B" w:rsidRDefault="0003128B" w:rsidP="002E51D9">
            <w:pPr>
              <w:keepNext/>
              <w:ind w:left="-108"/>
              <w:rPr>
                <w:rFonts w:ascii="Arial Narrow" w:hAnsi="Arial Narrow" w:cs="Arial"/>
                <w:sz w:val="18"/>
                <w:szCs w:val="18"/>
              </w:rPr>
            </w:pPr>
            <w:r w:rsidRPr="0086040C">
              <w:rPr>
                <w:rFonts w:ascii="Arial Narrow" w:hAnsi="Arial Narrow" w:cs="Arial"/>
                <w:sz w:val="18"/>
                <w:szCs w:val="18"/>
              </w:rPr>
              <w:t>adalimumab 40 mg/0.8 mL injection, 2 x 0.8 mL injection devices</w:t>
            </w:r>
          </w:p>
        </w:tc>
        <w:tc>
          <w:tcPr>
            <w:tcW w:w="556" w:type="pct"/>
          </w:tcPr>
          <w:p w14:paraId="526E8E81"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5282B</w:t>
            </w:r>
          </w:p>
          <w:p w14:paraId="765DD9AE"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9099X</w:t>
            </w:r>
          </w:p>
          <w:p w14:paraId="0974DADB"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9101B</w:t>
            </w:r>
          </w:p>
          <w:p w14:paraId="62FCB3BC"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9103D</w:t>
            </w:r>
          </w:p>
        </w:tc>
        <w:tc>
          <w:tcPr>
            <w:tcW w:w="476" w:type="pct"/>
          </w:tcPr>
          <w:p w14:paraId="13882BA2" w14:textId="77777777" w:rsidR="0003128B"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69FEB4C0"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6B690DDA"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3</w:t>
            </w:r>
          </w:p>
        </w:tc>
        <w:tc>
          <w:tcPr>
            <w:tcW w:w="873" w:type="pct"/>
          </w:tcPr>
          <w:p w14:paraId="384557CF"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57468487"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47571133"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723BA96A" w14:textId="77777777" w:rsidR="0003128B"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r w:rsidR="0003128B" w:rsidRPr="009A610D" w14:paraId="6B1EE23D" w14:textId="77777777" w:rsidTr="000C7E8C">
        <w:trPr>
          <w:cantSplit/>
          <w:trHeight w:val="347"/>
        </w:trPr>
        <w:tc>
          <w:tcPr>
            <w:tcW w:w="2221" w:type="pct"/>
          </w:tcPr>
          <w:p w14:paraId="122DBE86" w14:textId="77777777" w:rsidR="0003128B"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7FF2DF3C" w14:textId="77777777" w:rsidR="0003128B" w:rsidRPr="00120A12" w:rsidRDefault="0003128B" w:rsidP="002E51D9">
            <w:pPr>
              <w:keepNext/>
              <w:ind w:left="-108"/>
              <w:rPr>
                <w:rFonts w:ascii="Arial Narrow" w:hAnsi="Arial Narrow" w:cs="Arial"/>
                <w:sz w:val="18"/>
                <w:szCs w:val="18"/>
              </w:rPr>
            </w:pPr>
          </w:p>
          <w:p w14:paraId="236B08B8" w14:textId="77777777" w:rsidR="0003128B" w:rsidRDefault="0003128B" w:rsidP="002E51D9">
            <w:pPr>
              <w:keepNext/>
              <w:ind w:left="-108"/>
              <w:rPr>
                <w:rFonts w:ascii="Arial Narrow" w:hAnsi="Arial Narrow" w:cs="Arial"/>
                <w:sz w:val="18"/>
                <w:szCs w:val="18"/>
              </w:rPr>
            </w:pPr>
            <w:r w:rsidRPr="0086040C">
              <w:rPr>
                <w:rFonts w:ascii="Arial Narrow" w:hAnsi="Arial Narrow" w:cs="Arial"/>
                <w:sz w:val="18"/>
                <w:szCs w:val="18"/>
              </w:rPr>
              <w:t>adalimumab 40 mg/0.8 mL injection, 2 x 0.8 mL injection devices</w:t>
            </w:r>
          </w:p>
        </w:tc>
        <w:tc>
          <w:tcPr>
            <w:tcW w:w="556" w:type="pct"/>
          </w:tcPr>
          <w:p w14:paraId="5C3A4180"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9426D</w:t>
            </w:r>
          </w:p>
        </w:tc>
        <w:tc>
          <w:tcPr>
            <w:tcW w:w="476" w:type="pct"/>
          </w:tcPr>
          <w:p w14:paraId="41EFB05B" w14:textId="77777777" w:rsidR="0003128B"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234D5945"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6966671C"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4</w:t>
            </w:r>
          </w:p>
        </w:tc>
        <w:tc>
          <w:tcPr>
            <w:tcW w:w="873" w:type="pct"/>
          </w:tcPr>
          <w:p w14:paraId="188E7C1C"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2D3BF6F8"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707E55CB"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39AE3473" w14:textId="77777777" w:rsidR="0003128B"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r w:rsidR="0003128B" w:rsidRPr="009A610D" w14:paraId="1034CAB7" w14:textId="77777777" w:rsidTr="000C7E8C">
        <w:trPr>
          <w:cantSplit/>
          <w:trHeight w:val="347"/>
        </w:trPr>
        <w:tc>
          <w:tcPr>
            <w:tcW w:w="2221" w:type="pct"/>
          </w:tcPr>
          <w:p w14:paraId="1ADA1C6C" w14:textId="77777777" w:rsidR="0003128B" w:rsidRDefault="0003128B" w:rsidP="002E51D9">
            <w:pPr>
              <w:keepNext/>
              <w:ind w:left="-108"/>
              <w:rPr>
                <w:rFonts w:ascii="Arial Narrow" w:hAnsi="Arial Narrow" w:cs="Arial"/>
                <w:sz w:val="18"/>
                <w:szCs w:val="18"/>
              </w:rPr>
            </w:pPr>
            <w:r>
              <w:rPr>
                <w:rFonts w:ascii="Arial Narrow" w:hAnsi="Arial Narrow" w:cs="Arial"/>
                <w:sz w:val="18"/>
                <w:szCs w:val="18"/>
              </w:rPr>
              <w:t>ADALIMUMAB</w:t>
            </w:r>
          </w:p>
          <w:p w14:paraId="3C812231" w14:textId="77777777" w:rsidR="0003128B" w:rsidRPr="00120A12" w:rsidRDefault="0003128B" w:rsidP="002E51D9">
            <w:pPr>
              <w:keepNext/>
              <w:ind w:left="-108"/>
              <w:rPr>
                <w:rFonts w:ascii="Arial Narrow" w:hAnsi="Arial Narrow" w:cs="Arial"/>
                <w:sz w:val="18"/>
                <w:szCs w:val="18"/>
              </w:rPr>
            </w:pPr>
          </w:p>
          <w:p w14:paraId="41098C2A" w14:textId="77777777" w:rsidR="0003128B" w:rsidRDefault="0003128B" w:rsidP="002E51D9">
            <w:pPr>
              <w:keepNext/>
              <w:ind w:left="-108"/>
              <w:rPr>
                <w:rFonts w:ascii="Arial Narrow" w:hAnsi="Arial Narrow" w:cs="Arial"/>
                <w:sz w:val="18"/>
                <w:szCs w:val="18"/>
              </w:rPr>
            </w:pPr>
            <w:r w:rsidRPr="0086040C">
              <w:rPr>
                <w:rFonts w:ascii="Arial Narrow" w:hAnsi="Arial Narrow" w:cs="Arial"/>
                <w:sz w:val="18"/>
                <w:szCs w:val="18"/>
              </w:rPr>
              <w:t>adalimumab 40 mg/0.8 mL injection, 2 x 0.8 mL injection devices</w:t>
            </w:r>
          </w:p>
        </w:tc>
        <w:tc>
          <w:tcPr>
            <w:tcW w:w="556" w:type="pct"/>
          </w:tcPr>
          <w:p w14:paraId="26530359"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10420K</w:t>
            </w:r>
          </w:p>
          <w:p w14:paraId="59B429DF"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10961X</w:t>
            </w:r>
          </w:p>
          <w:p w14:paraId="6FB74738"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5284D</w:t>
            </w:r>
          </w:p>
          <w:p w14:paraId="65342F2B"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8966X</w:t>
            </w:r>
          </w:p>
          <w:p w14:paraId="1E028055"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9100Y</w:t>
            </w:r>
          </w:p>
          <w:p w14:paraId="6101EC15"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9102C</w:t>
            </w:r>
          </w:p>
          <w:p w14:paraId="21CACC1B"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9104E</w:t>
            </w:r>
          </w:p>
          <w:p w14:paraId="7C04DF8D"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9191R</w:t>
            </w:r>
          </w:p>
          <w:p w14:paraId="620129D1" w14:textId="77777777" w:rsidR="0003128B" w:rsidRPr="003F470D" w:rsidRDefault="0003128B" w:rsidP="002E51D9">
            <w:pPr>
              <w:keepNext/>
              <w:ind w:left="-108"/>
              <w:jc w:val="center"/>
              <w:rPr>
                <w:rFonts w:ascii="Arial Narrow" w:hAnsi="Arial Narrow" w:cs="Arial"/>
                <w:sz w:val="18"/>
                <w:szCs w:val="18"/>
              </w:rPr>
            </w:pPr>
            <w:r w:rsidRPr="003F470D">
              <w:rPr>
                <w:rFonts w:ascii="Arial Narrow" w:hAnsi="Arial Narrow" w:cs="Arial"/>
                <w:sz w:val="18"/>
                <w:szCs w:val="18"/>
              </w:rPr>
              <w:t>9428F</w:t>
            </w:r>
          </w:p>
        </w:tc>
        <w:tc>
          <w:tcPr>
            <w:tcW w:w="476" w:type="pct"/>
          </w:tcPr>
          <w:p w14:paraId="61AE3208" w14:textId="77777777" w:rsidR="0003128B" w:rsidRDefault="0003128B" w:rsidP="002E51D9">
            <w:pPr>
              <w:keepNext/>
              <w:jc w:val="center"/>
              <w:rPr>
                <w:rFonts w:ascii="Arial Narrow" w:hAnsi="Arial Narrow" w:cs="Arial"/>
                <w:sz w:val="18"/>
                <w:szCs w:val="18"/>
              </w:rPr>
            </w:pPr>
            <w:r>
              <w:rPr>
                <w:rFonts w:ascii="Arial Narrow" w:hAnsi="Arial Narrow" w:cs="Arial"/>
                <w:sz w:val="18"/>
                <w:szCs w:val="18"/>
              </w:rPr>
              <w:t>1</w:t>
            </w:r>
          </w:p>
        </w:tc>
        <w:tc>
          <w:tcPr>
            <w:tcW w:w="477" w:type="pct"/>
          </w:tcPr>
          <w:p w14:paraId="72C24774"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2</w:t>
            </w:r>
          </w:p>
        </w:tc>
        <w:tc>
          <w:tcPr>
            <w:tcW w:w="397" w:type="pct"/>
          </w:tcPr>
          <w:p w14:paraId="223C1239" w14:textId="77777777" w:rsidR="0003128B" w:rsidRDefault="0003128B" w:rsidP="002E51D9">
            <w:pPr>
              <w:keepNext/>
              <w:ind w:left="-108"/>
              <w:jc w:val="center"/>
              <w:rPr>
                <w:rFonts w:ascii="Arial Narrow" w:hAnsi="Arial Narrow" w:cs="Arial"/>
                <w:sz w:val="18"/>
                <w:szCs w:val="18"/>
              </w:rPr>
            </w:pPr>
            <w:r>
              <w:rPr>
                <w:rFonts w:ascii="Arial Narrow" w:hAnsi="Arial Narrow" w:cs="Arial"/>
                <w:sz w:val="18"/>
                <w:szCs w:val="18"/>
              </w:rPr>
              <w:t>5</w:t>
            </w:r>
          </w:p>
        </w:tc>
        <w:tc>
          <w:tcPr>
            <w:tcW w:w="873" w:type="pct"/>
          </w:tcPr>
          <w:p w14:paraId="7593C987" w14:textId="77777777" w:rsidR="0003128B" w:rsidRDefault="0003128B" w:rsidP="002E51D9">
            <w:pPr>
              <w:keepNext/>
              <w:rPr>
                <w:rFonts w:ascii="Arial Narrow" w:hAnsi="Arial Narrow" w:cs="Arial"/>
                <w:sz w:val="18"/>
                <w:szCs w:val="18"/>
                <w:vertAlign w:val="superscript"/>
              </w:rPr>
            </w:pPr>
            <w:r>
              <w:rPr>
                <w:rFonts w:ascii="Arial Narrow" w:hAnsi="Arial Narrow" w:cs="Arial"/>
                <w:sz w:val="18"/>
                <w:szCs w:val="18"/>
              </w:rPr>
              <w:t>Humira</w:t>
            </w:r>
            <w:r w:rsidRPr="00647620">
              <w:rPr>
                <w:rFonts w:ascii="Arial Narrow" w:eastAsia="Calibri" w:hAnsi="Arial Narrow" w:cs="Arial"/>
                <w:sz w:val="18"/>
                <w:szCs w:val="18"/>
                <w:vertAlign w:val="superscript"/>
                <w:lang w:eastAsia="en-US"/>
              </w:rPr>
              <w:t xml:space="preserve"> a</w:t>
            </w:r>
          </w:p>
          <w:p w14:paraId="41A7426B" w14:textId="77777777" w:rsidR="0003128B" w:rsidRDefault="0003128B" w:rsidP="002E51D9">
            <w:pPr>
              <w:keepNext/>
              <w:rPr>
                <w:rFonts w:ascii="Arial Narrow" w:hAnsi="Arial Narrow" w:cs="Arial"/>
                <w:sz w:val="18"/>
                <w:szCs w:val="18"/>
              </w:rPr>
            </w:pPr>
            <w:r>
              <w:rPr>
                <w:rFonts w:ascii="Arial Narrow" w:hAnsi="Arial Narrow" w:cs="Arial"/>
                <w:sz w:val="18"/>
                <w:szCs w:val="18"/>
              </w:rPr>
              <w:t>Hadlima</w:t>
            </w:r>
            <w:r w:rsidRPr="00647620">
              <w:rPr>
                <w:rFonts w:ascii="Arial Narrow" w:eastAsia="Calibri" w:hAnsi="Arial Narrow" w:cs="Arial"/>
                <w:sz w:val="18"/>
                <w:szCs w:val="18"/>
                <w:vertAlign w:val="superscript"/>
                <w:lang w:eastAsia="en-US"/>
              </w:rPr>
              <w:t xml:space="preserve"> a</w:t>
            </w:r>
          </w:p>
          <w:p w14:paraId="48ABDECF" w14:textId="77777777" w:rsidR="0003128B" w:rsidRDefault="0003128B" w:rsidP="002E51D9">
            <w:pPr>
              <w:keepNext/>
              <w:rPr>
                <w:rFonts w:ascii="Arial Narrow" w:hAnsi="Arial Narrow" w:cs="Arial"/>
                <w:sz w:val="18"/>
                <w:szCs w:val="18"/>
              </w:rPr>
            </w:pPr>
            <w:r>
              <w:rPr>
                <w:rFonts w:ascii="Arial Narrow" w:hAnsi="Arial Narrow" w:cs="Arial"/>
                <w:sz w:val="18"/>
                <w:szCs w:val="18"/>
              </w:rPr>
              <w:t>Hyrimoz</w:t>
            </w:r>
            <w:r w:rsidRPr="00647620">
              <w:rPr>
                <w:rFonts w:ascii="Arial Narrow" w:eastAsia="Calibri" w:hAnsi="Arial Narrow" w:cs="Arial"/>
                <w:sz w:val="18"/>
                <w:szCs w:val="18"/>
                <w:vertAlign w:val="superscript"/>
                <w:lang w:eastAsia="en-US"/>
              </w:rPr>
              <w:t xml:space="preserve"> a</w:t>
            </w:r>
          </w:p>
          <w:p w14:paraId="048F802C" w14:textId="77777777" w:rsidR="0003128B" w:rsidRDefault="0003128B" w:rsidP="002E51D9">
            <w:pPr>
              <w:keepNext/>
              <w:rPr>
                <w:rFonts w:ascii="Arial Narrow" w:hAnsi="Arial Narrow" w:cs="Arial"/>
                <w:sz w:val="18"/>
                <w:szCs w:val="18"/>
              </w:rPr>
            </w:pPr>
            <w:r>
              <w:rPr>
                <w:rFonts w:ascii="Arial Narrow" w:hAnsi="Arial Narrow" w:cs="Arial"/>
                <w:sz w:val="18"/>
                <w:szCs w:val="18"/>
              </w:rPr>
              <w:t>Amgevita</w:t>
            </w:r>
            <w:r w:rsidRPr="00647620">
              <w:rPr>
                <w:rFonts w:ascii="Arial Narrow" w:eastAsia="Calibri" w:hAnsi="Arial Narrow" w:cs="Arial"/>
                <w:sz w:val="18"/>
                <w:szCs w:val="18"/>
                <w:vertAlign w:val="superscript"/>
                <w:lang w:eastAsia="en-US"/>
              </w:rPr>
              <w:t xml:space="preserve"> a</w:t>
            </w:r>
          </w:p>
        </w:tc>
      </w:tr>
    </w:tbl>
    <w:p w14:paraId="3E3F419F" w14:textId="77777777" w:rsidR="0003128B" w:rsidRPr="00282E05" w:rsidRDefault="0003128B" w:rsidP="0003128B">
      <w:pPr>
        <w:pStyle w:val="ListBullet"/>
        <w:numPr>
          <w:ilvl w:val="0"/>
          <w:numId w:val="0"/>
        </w:numPr>
        <w:ind w:left="360" w:hanging="360"/>
      </w:pPr>
    </w:p>
    <w:p w14:paraId="0D9199A7" w14:textId="64ED9354" w:rsidR="00EA252F" w:rsidRDefault="00A319C8" w:rsidP="00384AE2">
      <w:pPr>
        <w:rPr>
          <w:rFonts w:asciiTheme="minorHAnsi" w:hAnsiTheme="minorHAnsi" w:cstheme="minorHAnsi"/>
          <w:b/>
          <w:i/>
        </w:rPr>
      </w:pPr>
      <w:r w:rsidRPr="00282E05">
        <w:rPr>
          <w:rFonts w:asciiTheme="minorHAnsi" w:hAnsiTheme="minorHAnsi" w:cstheme="minorHAnsi"/>
          <w:b/>
          <w:i/>
        </w:rPr>
        <w:t>This restriction may be subject to further review. Should there be any changes made to the restriction the Sponsor will be informed.</w:t>
      </w:r>
      <w:bookmarkStart w:id="1" w:name="Headings"/>
      <w:bookmarkEnd w:id="1"/>
    </w:p>
    <w:p w14:paraId="617C345D" w14:textId="2FA62189" w:rsidR="009C0D2B" w:rsidRDefault="009C0D2B">
      <w:pPr>
        <w:jc w:val="left"/>
        <w:rPr>
          <w:rFonts w:asciiTheme="minorHAnsi" w:hAnsiTheme="minorHAnsi" w:cstheme="minorHAnsi"/>
          <w:b/>
          <w:i/>
        </w:rPr>
      </w:pPr>
      <w:r>
        <w:rPr>
          <w:rFonts w:asciiTheme="minorHAnsi" w:hAnsiTheme="minorHAnsi" w:cstheme="minorHAnsi"/>
          <w:b/>
          <w:i/>
        </w:rPr>
        <w:br w:type="page"/>
      </w:r>
    </w:p>
    <w:p w14:paraId="136159AB" w14:textId="77777777" w:rsidR="00AE4E9B" w:rsidRDefault="00AE4E9B" w:rsidP="00384AE2">
      <w:pPr>
        <w:rPr>
          <w:rFonts w:asciiTheme="minorHAnsi" w:hAnsiTheme="minorHAnsi" w:cstheme="minorHAnsi"/>
          <w:b/>
          <w:i/>
        </w:rPr>
      </w:pPr>
    </w:p>
    <w:p w14:paraId="02DAC428" w14:textId="77777777" w:rsidR="00AE4E9B" w:rsidRDefault="00AE4E9B" w:rsidP="00AE4E9B">
      <w:pPr>
        <w:pStyle w:val="2Sections"/>
        <w:numPr>
          <w:ilvl w:val="0"/>
          <w:numId w:val="1"/>
        </w:numPr>
        <w:rPr>
          <w:color w:val="1F497D"/>
        </w:rPr>
      </w:pPr>
      <w:r w:rsidRPr="00C07617">
        <w:t>Context for Decision</w:t>
      </w:r>
    </w:p>
    <w:p w14:paraId="1DA3EDCD" w14:textId="6EDD5F3F" w:rsidR="00AE4E9B" w:rsidRDefault="00AE4E9B" w:rsidP="00AE4E9B">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E6CBA14" w14:textId="77777777" w:rsidR="00AE4E9B" w:rsidRPr="00C07617" w:rsidRDefault="00AE4E9B" w:rsidP="00AE4E9B">
      <w:pPr>
        <w:pStyle w:val="2Sections"/>
        <w:numPr>
          <w:ilvl w:val="0"/>
          <w:numId w:val="1"/>
        </w:numPr>
        <w:rPr>
          <w:b w:val="0"/>
        </w:rPr>
      </w:pPr>
      <w:r>
        <w:t>Sponsor’s Comment</w:t>
      </w:r>
    </w:p>
    <w:p w14:paraId="25B65F24" w14:textId="77777777" w:rsidR="00AE4E9B" w:rsidRPr="00850B8A" w:rsidRDefault="00AE4E9B" w:rsidP="00AE4E9B">
      <w:pPr>
        <w:spacing w:after="120"/>
        <w:rPr>
          <w:rFonts w:asciiTheme="minorHAnsi" w:hAnsiTheme="minorHAnsi" w:cs="Arial"/>
          <w:bCs/>
        </w:rPr>
      </w:pPr>
      <w:r w:rsidRPr="00C07617">
        <w:rPr>
          <w:rFonts w:asciiTheme="minorHAnsi" w:hAnsiTheme="minorHAnsi" w:cs="Arial"/>
          <w:bCs/>
        </w:rPr>
        <w:t>The sponsor had no comment.</w:t>
      </w:r>
    </w:p>
    <w:p w14:paraId="3288572E" w14:textId="68A696CC" w:rsidR="00AE4E9B" w:rsidRPr="00DE15BA" w:rsidRDefault="00AE4E9B" w:rsidP="00384AE2">
      <w:pPr>
        <w:rPr>
          <w:rFonts w:asciiTheme="minorHAnsi" w:hAnsiTheme="minorHAnsi" w:cstheme="minorHAnsi"/>
          <w:b/>
          <w:i/>
        </w:rPr>
      </w:pPr>
    </w:p>
    <w:sectPr w:rsidR="00AE4E9B" w:rsidRPr="00DE15BA"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3F3F82" w:rsidRDefault="003F3F82">
      <w:r>
        <w:separator/>
      </w:r>
    </w:p>
    <w:p w14:paraId="038E238C" w14:textId="77777777" w:rsidR="003F3F82" w:rsidRDefault="003F3F82"/>
  </w:endnote>
  <w:endnote w:type="continuationSeparator" w:id="0">
    <w:p w14:paraId="4AA3880E" w14:textId="77777777" w:rsidR="003F3F82" w:rsidRDefault="003F3F82">
      <w:r>
        <w:continuationSeparator/>
      </w:r>
    </w:p>
    <w:p w14:paraId="7EA76869" w14:textId="77777777" w:rsidR="003F3F82" w:rsidRDefault="003F3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F3F82" w14:paraId="7AE7B59D" w14:textId="77777777" w:rsidTr="005A3173">
      <w:trPr>
        <w:trHeight w:val="151"/>
      </w:trPr>
      <w:tc>
        <w:tcPr>
          <w:tcW w:w="2250" w:type="pct"/>
          <w:tcBorders>
            <w:top w:val="nil"/>
            <w:left w:val="nil"/>
            <w:bottom w:val="single" w:sz="4" w:space="0" w:color="4F81BD"/>
            <w:right w:val="nil"/>
          </w:tcBorders>
        </w:tcPr>
        <w:p w14:paraId="67C1D142" w14:textId="77777777" w:rsidR="003F3F82" w:rsidRPr="005A3173" w:rsidRDefault="003F3F82"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3F3F82" w:rsidRPr="005A3173" w:rsidRDefault="003F3F8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3F3F82" w:rsidRPr="005A3173" w:rsidRDefault="003F3F82" w:rsidP="005A3173">
          <w:pPr>
            <w:pStyle w:val="Header"/>
            <w:spacing w:line="276" w:lineRule="auto"/>
            <w:rPr>
              <w:rFonts w:eastAsia="MS Gothic"/>
              <w:b/>
              <w:bCs/>
              <w:color w:val="4F81BD"/>
            </w:rPr>
          </w:pPr>
        </w:p>
      </w:tc>
    </w:tr>
    <w:tr w:rsidR="003F3F82" w14:paraId="09AEC201" w14:textId="77777777" w:rsidTr="005A3173">
      <w:trPr>
        <w:trHeight w:val="150"/>
      </w:trPr>
      <w:tc>
        <w:tcPr>
          <w:tcW w:w="2250" w:type="pct"/>
          <w:tcBorders>
            <w:top w:val="single" w:sz="4" w:space="0" w:color="4F81BD"/>
            <w:left w:val="nil"/>
            <w:bottom w:val="nil"/>
            <w:right w:val="nil"/>
          </w:tcBorders>
        </w:tcPr>
        <w:p w14:paraId="262F4099" w14:textId="77777777" w:rsidR="003F3F82" w:rsidRPr="005A3173" w:rsidRDefault="003F3F82" w:rsidP="005A3173">
          <w:pPr>
            <w:pStyle w:val="Header"/>
            <w:spacing w:line="276" w:lineRule="auto"/>
            <w:rPr>
              <w:rFonts w:eastAsia="MS Gothic"/>
              <w:b/>
              <w:bCs/>
              <w:color w:val="4F81BD"/>
            </w:rPr>
          </w:pPr>
        </w:p>
      </w:tc>
      <w:tc>
        <w:tcPr>
          <w:tcW w:w="0" w:type="auto"/>
          <w:vMerge/>
          <w:vAlign w:val="center"/>
          <w:hideMark/>
        </w:tcPr>
        <w:p w14:paraId="7DCDEB18" w14:textId="77777777" w:rsidR="003F3F82" w:rsidRPr="005A3173" w:rsidRDefault="003F3F82" w:rsidP="005A3173">
          <w:pPr>
            <w:rPr>
              <w:color w:val="365F91"/>
              <w:sz w:val="22"/>
              <w:szCs w:val="22"/>
            </w:rPr>
          </w:pPr>
        </w:p>
      </w:tc>
      <w:tc>
        <w:tcPr>
          <w:tcW w:w="2250" w:type="pct"/>
          <w:tcBorders>
            <w:top w:val="single" w:sz="4" w:space="0" w:color="4F81BD"/>
            <w:left w:val="nil"/>
            <w:bottom w:val="nil"/>
            <w:right w:val="nil"/>
          </w:tcBorders>
        </w:tcPr>
        <w:p w14:paraId="5FC0FCCA" w14:textId="77777777" w:rsidR="003F3F82" w:rsidRPr="005A3173" w:rsidRDefault="003F3F82" w:rsidP="005A3173">
          <w:pPr>
            <w:pStyle w:val="Header"/>
            <w:spacing w:line="276" w:lineRule="auto"/>
            <w:rPr>
              <w:rFonts w:eastAsia="MS Gothic"/>
              <w:b/>
              <w:bCs/>
              <w:color w:val="4F81BD"/>
            </w:rPr>
          </w:pPr>
        </w:p>
      </w:tc>
    </w:tr>
  </w:tbl>
  <w:p w14:paraId="10555411" w14:textId="77777777" w:rsidR="003F3F82" w:rsidRDefault="003F3F8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3F3F82" w:rsidRDefault="003F3F82">
    <w:pPr>
      <w:pStyle w:val="Footer"/>
    </w:pPr>
  </w:p>
  <w:p w14:paraId="32F5595B" w14:textId="77777777" w:rsidR="003F3F82" w:rsidRDefault="003F3F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C854" w14:textId="77777777" w:rsidR="003F3F82" w:rsidRDefault="003F3F82" w:rsidP="00E27234">
    <w:pPr>
      <w:pStyle w:val="PBACFooter"/>
      <w:rPr>
        <w:rFonts w:asciiTheme="minorHAnsi" w:hAnsiTheme="minorHAnsi" w:cstheme="minorHAnsi"/>
        <w:sz w:val="24"/>
      </w:rPr>
    </w:pPr>
  </w:p>
  <w:p w14:paraId="12413FC5" w14:textId="58FBF1BE" w:rsidR="003F3F82" w:rsidRPr="005C6BEB" w:rsidRDefault="005C6BEB" w:rsidP="005C6BEB">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0376D8">
      <w:rPr>
        <w:rFonts w:cs="Arial"/>
        <w:b/>
        <w:noProof/>
      </w:rPr>
      <w:t>1</w:t>
    </w:r>
    <w:r w:rsidRPr="00836F75">
      <w:rPr>
        <w:rFonts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3F3F82" w14:paraId="031AA569" w14:textId="77777777" w:rsidTr="005A3173">
      <w:trPr>
        <w:trHeight w:val="151"/>
      </w:trPr>
      <w:tc>
        <w:tcPr>
          <w:tcW w:w="2250" w:type="pct"/>
          <w:tcBorders>
            <w:top w:val="nil"/>
            <w:left w:val="nil"/>
            <w:bottom w:val="single" w:sz="4" w:space="0" w:color="4F81BD"/>
            <w:right w:val="nil"/>
          </w:tcBorders>
        </w:tcPr>
        <w:p w14:paraId="41814DAF" w14:textId="77777777" w:rsidR="003F3F82" w:rsidRPr="005A3173" w:rsidRDefault="003F3F82"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3F3F82" w:rsidRPr="005A3173" w:rsidRDefault="003F3F8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3F3F82" w:rsidRPr="005A3173" w:rsidRDefault="003F3F82" w:rsidP="005A3173">
          <w:pPr>
            <w:pStyle w:val="Header"/>
            <w:spacing w:line="276" w:lineRule="auto"/>
            <w:rPr>
              <w:rFonts w:eastAsia="MS Gothic"/>
              <w:b/>
              <w:bCs/>
              <w:color w:val="4F81BD"/>
            </w:rPr>
          </w:pPr>
        </w:p>
      </w:tc>
    </w:tr>
    <w:tr w:rsidR="003F3F82" w14:paraId="1AF3C146" w14:textId="77777777" w:rsidTr="005A3173">
      <w:trPr>
        <w:trHeight w:val="150"/>
      </w:trPr>
      <w:tc>
        <w:tcPr>
          <w:tcW w:w="2250" w:type="pct"/>
          <w:tcBorders>
            <w:top w:val="single" w:sz="4" w:space="0" w:color="4F81BD"/>
            <w:left w:val="nil"/>
            <w:bottom w:val="nil"/>
            <w:right w:val="nil"/>
          </w:tcBorders>
        </w:tcPr>
        <w:p w14:paraId="30486D49" w14:textId="77777777" w:rsidR="003F3F82" w:rsidRPr="005A3173" w:rsidRDefault="003F3F82" w:rsidP="005A3173">
          <w:pPr>
            <w:pStyle w:val="Header"/>
            <w:spacing w:line="276" w:lineRule="auto"/>
            <w:rPr>
              <w:rFonts w:eastAsia="MS Gothic"/>
              <w:b/>
              <w:bCs/>
              <w:color w:val="4F81BD"/>
            </w:rPr>
          </w:pPr>
        </w:p>
      </w:tc>
      <w:tc>
        <w:tcPr>
          <w:tcW w:w="0" w:type="auto"/>
          <w:vMerge/>
          <w:vAlign w:val="center"/>
          <w:hideMark/>
        </w:tcPr>
        <w:p w14:paraId="65954F94" w14:textId="77777777" w:rsidR="003F3F82" w:rsidRPr="005A3173" w:rsidRDefault="003F3F82" w:rsidP="005A3173">
          <w:pPr>
            <w:rPr>
              <w:color w:val="365F91"/>
              <w:sz w:val="22"/>
              <w:szCs w:val="22"/>
            </w:rPr>
          </w:pPr>
        </w:p>
      </w:tc>
      <w:tc>
        <w:tcPr>
          <w:tcW w:w="2250" w:type="pct"/>
          <w:tcBorders>
            <w:top w:val="single" w:sz="4" w:space="0" w:color="4F81BD"/>
            <w:left w:val="nil"/>
            <w:bottom w:val="nil"/>
            <w:right w:val="nil"/>
          </w:tcBorders>
        </w:tcPr>
        <w:p w14:paraId="2C1ACB3E" w14:textId="77777777" w:rsidR="003F3F82" w:rsidRPr="005A3173" w:rsidRDefault="003F3F82"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F3F82" w14:paraId="4C2C8FBC" w14:textId="77777777" w:rsidTr="005A3173">
      <w:trPr>
        <w:trHeight w:val="151"/>
      </w:trPr>
      <w:tc>
        <w:tcPr>
          <w:tcW w:w="2250" w:type="pct"/>
          <w:tcBorders>
            <w:top w:val="nil"/>
            <w:left w:val="nil"/>
            <w:bottom w:val="single" w:sz="4" w:space="0" w:color="4F81BD"/>
            <w:right w:val="nil"/>
          </w:tcBorders>
        </w:tcPr>
        <w:p w14:paraId="144A534E" w14:textId="77777777" w:rsidR="003F3F82" w:rsidRPr="005A3173" w:rsidRDefault="003F3F82"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3F3F82" w:rsidRPr="005A3173" w:rsidRDefault="003F3F8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3F3F82" w:rsidRPr="005A3173" w:rsidRDefault="003F3F82" w:rsidP="005A3173">
          <w:pPr>
            <w:pStyle w:val="Header"/>
            <w:spacing w:line="276" w:lineRule="auto"/>
            <w:rPr>
              <w:rFonts w:eastAsia="MS Gothic"/>
              <w:b/>
              <w:bCs/>
              <w:color w:val="4F81BD"/>
            </w:rPr>
          </w:pPr>
        </w:p>
      </w:tc>
    </w:tr>
    <w:tr w:rsidR="003F3F82" w14:paraId="1EFFFA27" w14:textId="77777777" w:rsidTr="005A3173">
      <w:trPr>
        <w:trHeight w:val="150"/>
      </w:trPr>
      <w:tc>
        <w:tcPr>
          <w:tcW w:w="2250" w:type="pct"/>
          <w:tcBorders>
            <w:top w:val="single" w:sz="4" w:space="0" w:color="4F81BD"/>
            <w:left w:val="nil"/>
            <w:bottom w:val="nil"/>
            <w:right w:val="nil"/>
          </w:tcBorders>
        </w:tcPr>
        <w:p w14:paraId="6492EAAC" w14:textId="77777777" w:rsidR="003F3F82" w:rsidRPr="005A3173" w:rsidRDefault="003F3F82" w:rsidP="005A3173">
          <w:pPr>
            <w:pStyle w:val="Header"/>
            <w:spacing w:line="276" w:lineRule="auto"/>
            <w:rPr>
              <w:rFonts w:eastAsia="MS Gothic"/>
              <w:b/>
              <w:bCs/>
              <w:color w:val="4F81BD"/>
            </w:rPr>
          </w:pPr>
        </w:p>
      </w:tc>
      <w:tc>
        <w:tcPr>
          <w:tcW w:w="0" w:type="auto"/>
          <w:vMerge/>
          <w:vAlign w:val="center"/>
          <w:hideMark/>
        </w:tcPr>
        <w:p w14:paraId="7341BE58" w14:textId="77777777" w:rsidR="003F3F82" w:rsidRPr="005A3173" w:rsidRDefault="003F3F82" w:rsidP="005A3173">
          <w:pPr>
            <w:rPr>
              <w:color w:val="365F91"/>
              <w:sz w:val="22"/>
              <w:szCs w:val="22"/>
            </w:rPr>
          </w:pPr>
        </w:p>
      </w:tc>
      <w:tc>
        <w:tcPr>
          <w:tcW w:w="2250" w:type="pct"/>
          <w:tcBorders>
            <w:top w:val="single" w:sz="4" w:space="0" w:color="4F81BD"/>
            <w:left w:val="nil"/>
            <w:bottom w:val="nil"/>
            <w:right w:val="nil"/>
          </w:tcBorders>
        </w:tcPr>
        <w:p w14:paraId="3C302B75" w14:textId="77777777" w:rsidR="003F3F82" w:rsidRPr="005A3173" w:rsidRDefault="003F3F82" w:rsidP="005A3173">
          <w:pPr>
            <w:pStyle w:val="Header"/>
            <w:spacing w:line="276" w:lineRule="auto"/>
            <w:rPr>
              <w:rFonts w:eastAsia="MS Gothic"/>
              <w:b/>
              <w:bCs/>
              <w:color w:val="4F81BD"/>
            </w:rPr>
          </w:pPr>
        </w:p>
      </w:tc>
    </w:tr>
  </w:tbl>
  <w:p w14:paraId="5D2C6B0E" w14:textId="77777777" w:rsidR="003F3F82" w:rsidRPr="0056326D" w:rsidRDefault="003F3F82" w:rsidP="007C0F57">
    <w:pPr>
      <w:pStyle w:val="Footer"/>
      <w:jc w:val="center"/>
      <w:rPr>
        <w:sz w:val="20"/>
        <w:szCs w:val="20"/>
      </w:rPr>
    </w:pPr>
    <w:r w:rsidRPr="0056326D">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56326D">
      <w:rPr>
        <w:sz w:val="20"/>
        <w:szCs w:val="20"/>
      </w:rPr>
      <w:t>BAC Meeting</w:t>
    </w:r>
  </w:p>
  <w:p w14:paraId="0C13DD78" w14:textId="77777777" w:rsidR="003F3F82" w:rsidRPr="0056326D" w:rsidRDefault="003F3F82" w:rsidP="007C0F57">
    <w:pPr>
      <w:pStyle w:val="Footer"/>
      <w:jc w:val="center"/>
      <w:rPr>
        <w:sz w:val="20"/>
        <w:szCs w:val="20"/>
      </w:rPr>
    </w:pPr>
    <w:r w:rsidRPr="0056326D">
      <w:rPr>
        <w:sz w:val="20"/>
        <w:szCs w:val="20"/>
      </w:rPr>
      <w:t>Commercial-in-Confidence</w:t>
    </w:r>
  </w:p>
  <w:p w14:paraId="7123EEDA" w14:textId="77777777" w:rsidR="003F3F82" w:rsidRDefault="003F3F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3F3F82" w:rsidRDefault="003F3F82">
      <w:r>
        <w:separator/>
      </w:r>
    </w:p>
    <w:p w14:paraId="1F7BFAE1" w14:textId="77777777" w:rsidR="003F3F82" w:rsidRDefault="003F3F82"/>
  </w:footnote>
  <w:footnote w:type="continuationSeparator" w:id="0">
    <w:p w14:paraId="254A1251" w14:textId="77777777" w:rsidR="003F3F82" w:rsidRDefault="003F3F82">
      <w:r>
        <w:continuationSeparator/>
      </w:r>
    </w:p>
    <w:p w14:paraId="25AD7CC7" w14:textId="77777777" w:rsidR="003F3F82" w:rsidRDefault="003F3F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3F3F82"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3F3F82" w:rsidRPr="00A06225" w:rsidRDefault="003F3F82">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3F3F82" w:rsidRPr="00A06225" w:rsidRDefault="003F3F8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3F3F82" w:rsidRPr="00A06225" w:rsidRDefault="003F3F82">
          <w:pPr>
            <w:pStyle w:val="Header"/>
            <w:spacing w:line="276" w:lineRule="auto"/>
            <w:rPr>
              <w:rFonts w:ascii="Cambria" w:eastAsia="MS Gothic" w:hAnsi="Cambria"/>
              <w:b/>
              <w:bCs/>
              <w:color w:val="4F81BD"/>
            </w:rPr>
          </w:pPr>
        </w:p>
      </w:tc>
    </w:tr>
    <w:tr w:rsidR="003F3F82"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3F3F82" w:rsidRPr="00A06225" w:rsidRDefault="003F3F82">
          <w:pPr>
            <w:pStyle w:val="Header"/>
            <w:spacing w:line="276" w:lineRule="auto"/>
            <w:rPr>
              <w:rFonts w:ascii="Cambria" w:eastAsia="MS Gothic" w:hAnsi="Cambria"/>
              <w:b/>
              <w:bCs/>
              <w:color w:val="4F81BD"/>
            </w:rPr>
          </w:pPr>
        </w:p>
      </w:tc>
      <w:tc>
        <w:tcPr>
          <w:tcW w:w="0" w:type="auto"/>
          <w:vMerge/>
          <w:vAlign w:val="center"/>
          <w:hideMark/>
        </w:tcPr>
        <w:p w14:paraId="093C6CD8" w14:textId="77777777" w:rsidR="003F3F82" w:rsidRPr="00A06225" w:rsidRDefault="003F3F82">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3F3F82" w:rsidRPr="00A06225" w:rsidRDefault="003F3F82">
          <w:pPr>
            <w:pStyle w:val="Header"/>
            <w:spacing w:line="276" w:lineRule="auto"/>
            <w:rPr>
              <w:rFonts w:ascii="Cambria" w:eastAsia="MS Gothic" w:hAnsi="Cambria"/>
              <w:b/>
              <w:bCs/>
              <w:color w:val="4F81BD"/>
            </w:rPr>
          </w:pPr>
        </w:p>
      </w:tc>
    </w:tr>
  </w:tbl>
  <w:p w14:paraId="359FF7DA" w14:textId="77777777" w:rsidR="003F3F82" w:rsidRDefault="003F3F82">
    <w:pPr>
      <w:pStyle w:val="Header"/>
    </w:pPr>
  </w:p>
  <w:p w14:paraId="54F42DAD" w14:textId="77777777" w:rsidR="003F3F82" w:rsidRDefault="003F3F8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C5035" w14:textId="77777777" w:rsidR="00AE4E9B" w:rsidRPr="006723A6" w:rsidRDefault="00AE4E9B" w:rsidP="00AE4E9B">
    <w:pPr>
      <w:pStyle w:val="MinorOVRHeader"/>
      <w:jc w:val="center"/>
      <w:rPr>
        <w:rFonts w:cstheme="minorHAnsi"/>
        <w:i/>
      </w:rPr>
    </w:pPr>
    <w:r w:rsidRPr="006723A6">
      <w:rPr>
        <w:rFonts w:cstheme="minorHAnsi"/>
        <w:i/>
      </w:rPr>
      <w:t>Public Summary Document – July 2020 PBAC Meeting</w:t>
    </w:r>
  </w:p>
  <w:p w14:paraId="5C5BC219" w14:textId="77777777" w:rsidR="003F3F82" w:rsidRPr="00DE15BA" w:rsidRDefault="003F3F82" w:rsidP="00A128E6">
    <w:pPr>
      <w:pStyle w:val="NoSpacing"/>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23D0654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8613F0"/>
    <w:multiLevelType w:val="hybridMultilevel"/>
    <w:tmpl w:val="136E9F3C"/>
    <w:lvl w:ilvl="0" w:tplc="8D30DEF6">
      <w:start w:val="1"/>
      <w:numFmt w:val="bullet"/>
      <w:lvlText w:val=""/>
      <w:lvlJc w:val="right"/>
      <w:pPr>
        <w:ind w:left="720" w:hanging="360"/>
      </w:pPr>
      <w:rPr>
        <w:rFonts w:ascii="Symbol" w:hAnsi="Symbol" w:hint="default"/>
      </w:rPr>
    </w:lvl>
    <w:lvl w:ilvl="1" w:tplc="8D30DEF6">
      <w:start w:val="1"/>
      <w:numFmt w:val="bullet"/>
      <w:lvlText w:val=""/>
      <w:lvlJc w:val="righ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84D033C"/>
    <w:multiLevelType w:val="multilevel"/>
    <w:tmpl w:val="7766E9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14"/>
  </w:num>
  <w:num w:numId="4">
    <w:abstractNumId w:val="13"/>
  </w:num>
  <w:num w:numId="5">
    <w:abstractNumId w:val="10"/>
  </w:num>
  <w:num w:numId="6">
    <w:abstractNumId w:val="1"/>
  </w:num>
  <w:num w:numId="7">
    <w:abstractNumId w:val="14"/>
  </w:num>
  <w:num w:numId="8">
    <w:abstractNumId w:val="8"/>
  </w:num>
  <w:num w:numId="9">
    <w:abstractNumId w:val="4"/>
  </w:num>
  <w:num w:numId="10">
    <w:abstractNumId w:val="11"/>
  </w:num>
  <w:num w:numId="11">
    <w:abstractNumId w:val="12"/>
  </w:num>
  <w:num w:numId="12">
    <w:abstractNumId w:val="3"/>
  </w:num>
  <w:num w:numId="13">
    <w:abstractNumId w:val="2"/>
  </w:num>
  <w:num w:numId="14">
    <w:abstractNumId w:val="7"/>
  </w:num>
  <w:num w:numId="15">
    <w:abstractNumId w:val="9"/>
  </w:num>
  <w:num w:numId="16">
    <w:abstractNumId w:val="6"/>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3106B"/>
    <w:rsid w:val="0003128B"/>
    <w:rsid w:val="00032907"/>
    <w:rsid w:val="00034905"/>
    <w:rsid w:val="000376D8"/>
    <w:rsid w:val="000421A1"/>
    <w:rsid w:val="0004240E"/>
    <w:rsid w:val="00045E26"/>
    <w:rsid w:val="000514B5"/>
    <w:rsid w:val="000573FC"/>
    <w:rsid w:val="00060E64"/>
    <w:rsid w:val="00066755"/>
    <w:rsid w:val="0007305E"/>
    <w:rsid w:val="000763D5"/>
    <w:rsid w:val="00077143"/>
    <w:rsid w:val="00082169"/>
    <w:rsid w:val="000918CB"/>
    <w:rsid w:val="00091B06"/>
    <w:rsid w:val="000951C4"/>
    <w:rsid w:val="00095ADA"/>
    <w:rsid w:val="000962E4"/>
    <w:rsid w:val="000969AD"/>
    <w:rsid w:val="000A3AA2"/>
    <w:rsid w:val="000A44B2"/>
    <w:rsid w:val="000A52F6"/>
    <w:rsid w:val="000B101D"/>
    <w:rsid w:val="000B2674"/>
    <w:rsid w:val="000B44C3"/>
    <w:rsid w:val="000B558D"/>
    <w:rsid w:val="000C3BF1"/>
    <w:rsid w:val="000C5F95"/>
    <w:rsid w:val="000C6996"/>
    <w:rsid w:val="000C7E8C"/>
    <w:rsid w:val="000D09E9"/>
    <w:rsid w:val="000D113F"/>
    <w:rsid w:val="000D23BA"/>
    <w:rsid w:val="000D27E7"/>
    <w:rsid w:val="000E551D"/>
    <w:rsid w:val="000E5EA1"/>
    <w:rsid w:val="000E681E"/>
    <w:rsid w:val="000F0003"/>
    <w:rsid w:val="000F3384"/>
    <w:rsid w:val="000F4E6A"/>
    <w:rsid w:val="000F7354"/>
    <w:rsid w:val="00101ABE"/>
    <w:rsid w:val="00102202"/>
    <w:rsid w:val="00104227"/>
    <w:rsid w:val="001107BF"/>
    <w:rsid w:val="00113649"/>
    <w:rsid w:val="001223E1"/>
    <w:rsid w:val="0012417C"/>
    <w:rsid w:val="0012492C"/>
    <w:rsid w:val="00126B3B"/>
    <w:rsid w:val="0012749D"/>
    <w:rsid w:val="00131023"/>
    <w:rsid w:val="00142395"/>
    <w:rsid w:val="00142714"/>
    <w:rsid w:val="001452ED"/>
    <w:rsid w:val="00147D84"/>
    <w:rsid w:val="00150339"/>
    <w:rsid w:val="001549C1"/>
    <w:rsid w:val="00162BDD"/>
    <w:rsid w:val="00162D4E"/>
    <w:rsid w:val="00163329"/>
    <w:rsid w:val="00164623"/>
    <w:rsid w:val="001652DE"/>
    <w:rsid w:val="00165B64"/>
    <w:rsid w:val="00180713"/>
    <w:rsid w:val="00180720"/>
    <w:rsid w:val="001830CE"/>
    <w:rsid w:val="0018643B"/>
    <w:rsid w:val="00196307"/>
    <w:rsid w:val="001A33EA"/>
    <w:rsid w:val="001A4C4F"/>
    <w:rsid w:val="001A76FB"/>
    <w:rsid w:val="001B017F"/>
    <w:rsid w:val="001B2BBC"/>
    <w:rsid w:val="001B3A40"/>
    <w:rsid w:val="001B3FFE"/>
    <w:rsid w:val="001B5129"/>
    <w:rsid w:val="001C0B4C"/>
    <w:rsid w:val="001C1195"/>
    <w:rsid w:val="001C2E42"/>
    <w:rsid w:val="001D1F5F"/>
    <w:rsid w:val="001E06D2"/>
    <w:rsid w:val="001F005B"/>
    <w:rsid w:val="001F1850"/>
    <w:rsid w:val="001F2986"/>
    <w:rsid w:val="001F3189"/>
    <w:rsid w:val="00203FAC"/>
    <w:rsid w:val="00213CFB"/>
    <w:rsid w:val="0021553C"/>
    <w:rsid w:val="0021557B"/>
    <w:rsid w:val="002174FD"/>
    <w:rsid w:val="00217BE1"/>
    <w:rsid w:val="002331B1"/>
    <w:rsid w:val="00234252"/>
    <w:rsid w:val="00237AC6"/>
    <w:rsid w:val="0024414F"/>
    <w:rsid w:val="00244490"/>
    <w:rsid w:val="00245B9C"/>
    <w:rsid w:val="00246669"/>
    <w:rsid w:val="00253499"/>
    <w:rsid w:val="002551A4"/>
    <w:rsid w:val="00257664"/>
    <w:rsid w:val="00265151"/>
    <w:rsid w:val="00266509"/>
    <w:rsid w:val="00271BA1"/>
    <w:rsid w:val="00274573"/>
    <w:rsid w:val="002762FA"/>
    <w:rsid w:val="00277505"/>
    <w:rsid w:val="002823B6"/>
    <w:rsid w:val="00282E05"/>
    <w:rsid w:val="00294274"/>
    <w:rsid w:val="0029458F"/>
    <w:rsid w:val="002A0E04"/>
    <w:rsid w:val="002A104C"/>
    <w:rsid w:val="002A1EF7"/>
    <w:rsid w:val="002A2F66"/>
    <w:rsid w:val="002A494D"/>
    <w:rsid w:val="002A4960"/>
    <w:rsid w:val="002B0AE0"/>
    <w:rsid w:val="002B1AE6"/>
    <w:rsid w:val="002B1D51"/>
    <w:rsid w:val="002B2DE8"/>
    <w:rsid w:val="002B2FA1"/>
    <w:rsid w:val="002B30F8"/>
    <w:rsid w:val="002B388A"/>
    <w:rsid w:val="002B5596"/>
    <w:rsid w:val="002C212F"/>
    <w:rsid w:val="002C3137"/>
    <w:rsid w:val="002C7485"/>
    <w:rsid w:val="002D283A"/>
    <w:rsid w:val="002D4543"/>
    <w:rsid w:val="002E3153"/>
    <w:rsid w:val="002E5292"/>
    <w:rsid w:val="002E72CA"/>
    <w:rsid w:val="002F1A14"/>
    <w:rsid w:val="002F600D"/>
    <w:rsid w:val="00300AD6"/>
    <w:rsid w:val="00300B1B"/>
    <w:rsid w:val="003019D0"/>
    <w:rsid w:val="003064AF"/>
    <w:rsid w:val="00310B68"/>
    <w:rsid w:val="00317C6C"/>
    <w:rsid w:val="00320CD3"/>
    <w:rsid w:val="00326E79"/>
    <w:rsid w:val="003301B1"/>
    <w:rsid w:val="00331189"/>
    <w:rsid w:val="0033263D"/>
    <w:rsid w:val="0033518A"/>
    <w:rsid w:val="003367EF"/>
    <w:rsid w:val="00341AE4"/>
    <w:rsid w:val="003476EE"/>
    <w:rsid w:val="00347D04"/>
    <w:rsid w:val="003541DD"/>
    <w:rsid w:val="00354F65"/>
    <w:rsid w:val="00356E5B"/>
    <w:rsid w:val="00366C7C"/>
    <w:rsid w:val="003736C9"/>
    <w:rsid w:val="00373E4B"/>
    <w:rsid w:val="0038200A"/>
    <w:rsid w:val="00384988"/>
    <w:rsid w:val="00384AE2"/>
    <w:rsid w:val="003872CF"/>
    <w:rsid w:val="0039782C"/>
    <w:rsid w:val="003A5B4A"/>
    <w:rsid w:val="003A5D95"/>
    <w:rsid w:val="003B23C5"/>
    <w:rsid w:val="003B2A75"/>
    <w:rsid w:val="003B6124"/>
    <w:rsid w:val="003C093A"/>
    <w:rsid w:val="003C1ECF"/>
    <w:rsid w:val="003C2504"/>
    <w:rsid w:val="003C2FB5"/>
    <w:rsid w:val="003D101A"/>
    <w:rsid w:val="003D24C5"/>
    <w:rsid w:val="003D4AC4"/>
    <w:rsid w:val="003D63B7"/>
    <w:rsid w:val="003D74C5"/>
    <w:rsid w:val="003E1827"/>
    <w:rsid w:val="003E468B"/>
    <w:rsid w:val="003E4E04"/>
    <w:rsid w:val="003E62BD"/>
    <w:rsid w:val="003F0C3A"/>
    <w:rsid w:val="003F30E1"/>
    <w:rsid w:val="003F3228"/>
    <w:rsid w:val="003F3F82"/>
    <w:rsid w:val="003F5C8C"/>
    <w:rsid w:val="003F63CE"/>
    <w:rsid w:val="003F775A"/>
    <w:rsid w:val="00400E55"/>
    <w:rsid w:val="0040128E"/>
    <w:rsid w:val="0040216B"/>
    <w:rsid w:val="00412FA1"/>
    <w:rsid w:val="0041713E"/>
    <w:rsid w:val="004252EC"/>
    <w:rsid w:val="00430D39"/>
    <w:rsid w:val="00436BC9"/>
    <w:rsid w:val="00442EB5"/>
    <w:rsid w:val="00445623"/>
    <w:rsid w:val="004465BD"/>
    <w:rsid w:val="00446938"/>
    <w:rsid w:val="00447305"/>
    <w:rsid w:val="00455015"/>
    <w:rsid w:val="004558EB"/>
    <w:rsid w:val="00455CE0"/>
    <w:rsid w:val="00461A44"/>
    <w:rsid w:val="00463212"/>
    <w:rsid w:val="00466ADA"/>
    <w:rsid w:val="004702BB"/>
    <w:rsid w:val="0047494B"/>
    <w:rsid w:val="00476245"/>
    <w:rsid w:val="00477A9B"/>
    <w:rsid w:val="00483035"/>
    <w:rsid w:val="00485940"/>
    <w:rsid w:val="004904B9"/>
    <w:rsid w:val="004A1895"/>
    <w:rsid w:val="004A2484"/>
    <w:rsid w:val="004A5A85"/>
    <w:rsid w:val="004A71D1"/>
    <w:rsid w:val="004A7C5B"/>
    <w:rsid w:val="004B1845"/>
    <w:rsid w:val="004B2E98"/>
    <w:rsid w:val="004B5640"/>
    <w:rsid w:val="004C03D0"/>
    <w:rsid w:val="004C1BD7"/>
    <w:rsid w:val="004C31FE"/>
    <w:rsid w:val="004C3BEA"/>
    <w:rsid w:val="004C524C"/>
    <w:rsid w:val="004C5FFA"/>
    <w:rsid w:val="004C691D"/>
    <w:rsid w:val="004C6C07"/>
    <w:rsid w:val="004D4FF6"/>
    <w:rsid w:val="004E60F3"/>
    <w:rsid w:val="004E692D"/>
    <w:rsid w:val="004E7D87"/>
    <w:rsid w:val="004F2553"/>
    <w:rsid w:val="00501554"/>
    <w:rsid w:val="00502AFE"/>
    <w:rsid w:val="00503AD7"/>
    <w:rsid w:val="00504E0C"/>
    <w:rsid w:val="005109D4"/>
    <w:rsid w:val="00514CD7"/>
    <w:rsid w:val="00520D6A"/>
    <w:rsid w:val="00520D7D"/>
    <w:rsid w:val="00522DB6"/>
    <w:rsid w:val="00523206"/>
    <w:rsid w:val="0052792D"/>
    <w:rsid w:val="005319B2"/>
    <w:rsid w:val="00532402"/>
    <w:rsid w:val="00532C74"/>
    <w:rsid w:val="00534E2E"/>
    <w:rsid w:val="00544552"/>
    <w:rsid w:val="00545130"/>
    <w:rsid w:val="0055286A"/>
    <w:rsid w:val="00555745"/>
    <w:rsid w:val="00557D4F"/>
    <w:rsid w:val="00562CAB"/>
    <w:rsid w:val="0056326D"/>
    <w:rsid w:val="0056484E"/>
    <w:rsid w:val="005764CD"/>
    <w:rsid w:val="00577C4D"/>
    <w:rsid w:val="00580532"/>
    <w:rsid w:val="00581932"/>
    <w:rsid w:val="005963BB"/>
    <w:rsid w:val="005A3173"/>
    <w:rsid w:val="005A3223"/>
    <w:rsid w:val="005A3DA3"/>
    <w:rsid w:val="005A52C4"/>
    <w:rsid w:val="005A6BB6"/>
    <w:rsid w:val="005C4F73"/>
    <w:rsid w:val="005C5352"/>
    <w:rsid w:val="005C694D"/>
    <w:rsid w:val="005C6BEB"/>
    <w:rsid w:val="005D03AB"/>
    <w:rsid w:val="005D3BBF"/>
    <w:rsid w:val="005D5017"/>
    <w:rsid w:val="005D63FA"/>
    <w:rsid w:val="005E0D82"/>
    <w:rsid w:val="005E1333"/>
    <w:rsid w:val="005E3136"/>
    <w:rsid w:val="005E507D"/>
    <w:rsid w:val="00601A91"/>
    <w:rsid w:val="00602BA3"/>
    <w:rsid w:val="00605B63"/>
    <w:rsid w:val="00605F9A"/>
    <w:rsid w:val="00606EED"/>
    <w:rsid w:val="00612E34"/>
    <w:rsid w:val="00614159"/>
    <w:rsid w:val="00616C5F"/>
    <w:rsid w:val="00616DAC"/>
    <w:rsid w:val="00617C00"/>
    <w:rsid w:val="006263BF"/>
    <w:rsid w:val="0062748A"/>
    <w:rsid w:val="00630A2C"/>
    <w:rsid w:val="00634B76"/>
    <w:rsid w:val="0063682E"/>
    <w:rsid w:val="00642DA8"/>
    <w:rsid w:val="006436CD"/>
    <w:rsid w:val="006504F1"/>
    <w:rsid w:val="00651169"/>
    <w:rsid w:val="006532BE"/>
    <w:rsid w:val="00653D69"/>
    <w:rsid w:val="006552E6"/>
    <w:rsid w:val="00655794"/>
    <w:rsid w:val="00657C63"/>
    <w:rsid w:val="006670BE"/>
    <w:rsid w:val="00670A76"/>
    <w:rsid w:val="006711AA"/>
    <w:rsid w:val="00672B57"/>
    <w:rsid w:val="00673F1F"/>
    <w:rsid w:val="00675622"/>
    <w:rsid w:val="0067747D"/>
    <w:rsid w:val="00680F49"/>
    <w:rsid w:val="006818D5"/>
    <w:rsid w:val="00681CA4"/>
    <w:rsid w:val="0069039D"/>
    <w:rsid w:val="006906DB"/>
    <w:rsid w:val="00691E6C"/>
    <w:rsid w:val="00693DFB"/>
    <w:rsid w:val="0069501D"/>
    <w:rsid w:val="00696129"/>
    <w:rsid w:val="00697CF2"/>
    <w:rsid w:val="006A12A5"/>
    <w:rsid w:val="006A4B52"/>
    <w:rsid w:val="006A5E20"/>
    <w:rsid w:val="006B0D94"/>
    <w:rsid w:val="006B41EB"/>
    <w:rsid w:val="006B485D"/>
    <w:rsid w:val="006C1B1D"/>
    <w:rsid w:val="006C334C"/>
    <w:rsid w:val="006C708E"/>
    <w:rsid w:val="006D14E7"/>
    <w:rsid w:val="006D4444"/>
    <w:rsid w:val="006D6493"/>
    <w:rsid w:val="006D6EC7"/>
    <w:rsid w:val="006E1BCD"/>
    <w:rsid w:val="006E2DB3"/>
    <w:rsid w:val="006F0A71"/>
    <w:rsid w:val="006F40C2"/>
    <w:rsid w:val="006F50EA"/>
    <w:rsid w:val="006F5125"/>
    <w:rsid w:val="006F733D"/>
    <w:rsid w:val="00702B6F"/>
    <w:rsid w:val="00706A2F"/>
    <w:rsid w:val="0070718E"/>
    <w:rsid w:val="00710259"/>
    <w:rsid w:val="0071031F"/>
    <w:rsid w:val="007129BF"/>
    <w:rsid w:val="0071340B"/>
    <w:rsid w:val="00715BBB"/>
    <w:rsid w:val="007174BB"/>
    <w:rsid w:val="0072025D"/>
    <w:rsid w:val="0073137C"/>
    <w:rsid w:val="007353D3"/>
    <w:rsid w:val="0074156B"/>
    <w:rsid w:val="00747092"/>
    <w:rsid w:val="007555E8"/>
    <w:rsid w:val="0076420C"/>
    <w:rsid w:val="00771D07"/>
    <w:rsid w:val="00773BE3"/>
    <w:rsid w:val="00774E2C"/>
    <w:rsid w:val="007753C2"/>
    <w:rsid w:val="007838B8"/>
    <w:rsid w:val="007915BA"/>
    <w:rsid w:val="007923B0"/>
    <w:rsid w:val="007B208D"/>
    <w:rsid w:val="007B3DDC"/>
    <w:rsid w:val="007B72A6"/>
    <w:rsid w:val="007C0F57"/>
    <w:rsid w:val="007C40B6"/>
    <w:rsid w:val="007C6C19"/>
    <w:rsid w:val="007C729F"/>
    <w:rsid w:val="007D503D"/>
    <w:rsid w:val="007E1D28"/>
    <w:rsid w:val="007F0021"/>
    <w:rsid w:val="007F2641"/>
    <w:rsid w:val="007F7C36"/>
    <w:rsid w:val="00806796"/>
    <w:rsid w:val="00807AC1"/>
    <w:rsid w:val="00811CC0"/>
    <w:rsid w:val="008151D6"/>
    <w:rsid w:val="0082128D"/>
    <w:rsid w:val="00821527"/>
    <w:rsid w:val="008268BB"/>
    <w:rsid w:val="00826F6D"/>
    <w:rsid w:val="008306F3"/>
    <w:rsid w:val="00830E40"/>
    <w:rsid w:val="00835C62"/>
    <w:rsid w:val="00840B33"/>
    <w:rsid w:val="00844338"/>
    <w:rsid w:val="00847EC0"/>
    <w:rsid w:val="00855FD6"/>
    <w:rsid w:val="00856DDD"/>
    <w:rsid w:val="0086040C"/>
    <w:rsid w:val="00863E68"/>
    <w:rsid w:val="008647B5"/>
    <w:rsid w:val="00875DCB"/>
    <w:rsid w:val="00882085"/>
    <w:rsid w:val="00883188"/>
    <w:rsid w:val="00897D58"/>
    <w:rsid w:val="00897F22"/>
    <w:rsid w:val="008A0B39"/>
    <w:rsid w:val="008A1956"/>
    <w:rsid w:val="008A4937"/>
    <w:rsid w:val="008A50F1"/>
    <w:rsid w:val="008A59D9"/>
    <w:rsid w:val="008A6819"/>
    <w:rsid w:val="008B2EC0"/>
    <w:rsid w:val="008D1B5C"/>
    <w:rsid w:val="008D212A"/>
    <w:rsid w:val="008D399A"/>
    <w:rsid w:val="008D3C82"/>
    <w:rsid w:val="008D4266"/>
    <w:rsid w:val="008D447E"/>
    <w:rsid w:val="008D7A41"/>
    <w:rsid w:val="008E2C72"/>
    <w:rsid w:val="008E3340"/>
    <w:rsid w:val="008E3680"/>
    <w:rsid w:val="008E5870"/>
    <w:rsid w:val="008F0213"/>
    <w:rsid w:val="008F1434"/>
    <w:rsid w:val="008F54C3"/>
    <w:rsid w:val="008F7355"/>
    <w:rsid w:val="009023DC"/>
    <w:rsid w:val="009027C5"/>
    <w:rsid w:val="009066A3"/>
    <w:rsid w:val="009067B7"/>
    <w:rsid w:val="00910BE8"/>
    <w:rsid w:val="009116CF"/>
    <w:rsid w:val="00913B27"/>
    <w:rsid w:val="00917D69"/>
    <w:rsid w:val="00926560"/>
    <w:rsid w:val="00930937"/>
    <w:rsid w:val="009324A6"/>
    <w:rsid w:val="00933E6C"/>
    <w:rsid w:val="0093642E"/>
    <w:rsid w:val="00937958"/>
    <w:rsid w:val="00941602"/>
    <w:rsid w:val="00942160"/>
    <w:rsid w:val="0095146F"/>
    <w:rsid w:val="00957944"/>
    <w:rsid w:val="009602C5"/>
    <w:rsid w:val="00962223"/>
    <w:rsid w:val="00966D0D"/>
    <w:rsid w:val="0096783C"/>
    <w:rsid w:val="009722B3"/>
    <w:rsid w:val="00974C21"/>
    <w:rsid w:val="00975948"/>
    <w:rsid w:val="00977BF3"/>
    <w:rsid w:val="009803E4"/>
    <w:rsid w:val="00980B0E"/>
    <w:rsid w:val="00981E47"/>
    <w:rsid w:val="009836A3"/>
    <w:rsid w:val="009855A8"/>
    <w:rsid w:val="009913F4"/>
    <w:rsid w:val="009915B3"/>
    <w:rsid w:val="0099465B"/>
    <w:rsid w:val="009A0CDD"/>
    <w:rsid w:val="009A1252"/>
    <w:rsid w:val="009A1E2B"/>
    <w:rsid w:val="009A3168"/>
    <w:rsid w:val="009A61CA"/>
    <w:rsid w:val="009A6E36"/>
    <w:rsid w:val="009B0649"/>
    <w:rsid w:val="009B071A"/>
    <w:rsid w:val="009B0C64"/>
    <w:rsid w:val="009B0F67"/>
    <w:rsid w:val="009C0D2B"/>
    <w:rsid w:val="009C703C"/>
    <w:rsid w:val="009D206E"/>
    <w:rsid w:val="009D3CAA"/>
    <w:rsid w:val="009D6532"/>
    <w:rsid w:val="009E2E8E"/>
    <w:rsid w:val="009E40E1"/>
    <w:rsid w:val="009F0EFA"/>
    <w:rsid w:val="009F4E46"/>
    <w:rsid w:val="009F5B65"/>
    <w:rsid w:val="009F5F2E"/>
    <w:rsid w:val="00A01432"/>
    <w:rsid w:val="00A06225"/>
    <w:rsid w:val="00A128E6"/>
    <w:rsid w:val="00A144D3"/>
    <w:rsid w:val="00A172D3"/>
    <w:rsid w:val="00A22AC3"/>
    <w:rsid w:val="00A23F3F"/>
    <w:rsid w:val="00A24067"/>
    <w:rsid w:val="00A2744D"/>
    <w:rsid w:val="00A319C8"/>
    <w:rsid w:val="00A32D3C"/>
    <w:rsid w:val="00A34E6C"/>
    <w:rsid w:val="00A36398"/>
    <w:rsid w:val="00A37C8D"/>
    <w:rsid w:val="00A37E1A"/>
    <w:rsid w:val="00A4020E"/>
    <w:rsid w:val="00A40FB5"/>
    <w:rsid w:val="00A42826"/>
    <w:rsid w:val="00A429B3"/>
    <w:rsid w:val="00A5273B"/>
    <w:rsid w:val="00A53A9D"/>
    <w:rsid w:val="00A5482B"/>
    <w:rsid w:val="00A55FEE"/>
    <w:rsid w:val="00A57422"/>
    <w:rsid w:val="00A57B2E"/>
    <w:rsid w:val="00A62C1A"/>
    <w:rsid w:val="00A6426D"/>
    <w:rsid w:val="00A665C1"/>
    <w:rsid w:val="00A673A4"/>
    <w:rsid w:val="00A70622"/>
    <w:rsid w:val="00A70977"/>
    <w:rsid w:val="00A70D58"/>
    <w:rsid w:val="00A72B33"/>
    <w:rsid w:val="00A744F9"/>
    <w:rsid w:val="00A746F7"/>
    <w:rsid w:val="00A77613"/>
    <w:rsid w:val="00A81851"/>
    <w:rsid w:val="00A8390C"/>
    <w:rsid w:val="00A86AE0"/>
    <w:rsid w:val="00A928BD"/>
    <w:rsid w:val="00A97DE9"/>
    <w:rsid w:val="00AA12CD"/>
    <w:rsid w:val="00AA4D1C"/>
    <w:rsid w:val="00AA52FD"/>
    <w:rsid w:val="00AB0B77"/>
    <w:rsid w:val="00AB45AB"/>
    <w:rsid w:val="00AB5856"/>
    <w:rsid w:val="00AC193C"/>
    <w:rsid w:val="00AC4DE5"/>
    <w:rsid w:val="00AC5206"/>
    <w:rsid w:val="00AD4322"/>
    <w:rsid w:val="00AD6400"/>
    <w:rsid w:val="00AE11A5"/>
    <w:rsid w:val="00AE13E2"/>
    <w:rsid w:val="00AE22D3"/>
    <w:rsid w:val="00AE4E9B"/>
    <w:rsid w:val="00AE5A49"/>
    <w:rsid w:val="00AF02E2"/>
    <w:rsid w:val="00AF3A75"/>
    <w:rsid w:val="00AF62DF"/>
    <w:rsid w:val="00AF68CC"/>
    <w:rsid w:val="00AF70D7"/>
    <w:rsid w:val="00B06478"/>
    <w:rsid w:val="00B07CFB"/>
    <w:rsid w:val="00B1059E"/>
    <w:rsid w:val="00B16273"/>
    <w:rsid w:val="00B170A5"/>
    <w:rsid w:val="00B176C8"/>
    <w:rsid w:val="00B17EE5"/>
    <w:rsid w:val="00B205AA"/>
    <w:rsid w:val="00B22E84"/>
    <w:rsid w:val="00B233AD"/>
    <w:rsid w:val="00B23E25"/>
    <w:rsid w:val="00B25F75"/>
    <w:rsid w:val="00B26B3F"/>
    <w:rsid w:val="00B2778F"/>
    <w:rsid w:val="00B33635"/>
    <w:rsid w:val="00B42AF4"/>
    <w:rsid w:val="00B43E90"/>
    <w:rsid w:val="00B467DC"/>
    <w:rsid w:val="00B56118"/>
    <w:rsid w:val="00B60618"/>
    <w:rsid w:val="00B631F8"/>
    <w:rsid w:val="00B6773F"/>
    <w:rsid w:val="00B70EB3"/>
    <w:rsid w:val="00B7525E"/>
    <w:rsid w:val="00B760FB"/>
    <w:rsid w:val="00B767AB"/>
    <w:rsid w:val="00B77D51"/>
    <w:rsid w:val="00B801BA"/>
    <w:rsid w:val="00B82710"/>
    <w:rsid w:val="00B84D5C"/>
    <w:rsid w:val="00BA2DA8"/>
    <w:rsid w:val="00BA347C"/>
    <w:rsid w:val="00BB51EA"/>
    <w:rsid w:val="00BB5C49"/>
    <w:rsid w:val="00BB69F5"/>
    <w:rsid w:val="00BB713A"/>
    <w:rsid w:val="00BB7EC3"/>
    <w:rsid w:val="00BC4B9A"/>
    <w:rsid w:val="00BD02C3"/>
    <w:rsid w:val="00BD7483"/>
    <w:rsid w:val="00BD784C"/>
    <w:rsid w:val="00BE020A"/>
    <w:rsid w:val="00BE13DF"/>
    <w:rsid w:val="00BE528F"/>
    <w:rsid w:val="00BE5DDA"/>
    <w:rsid w:val="00BF092C"/>
    <w:rsid w:val="00BF0C98"/>
    <w:rsid w:val="00BF27A0"/>
    <w:rsid w:val="00BF4CB6"/>
    <w:rsid w:val="00C00DA7"/>
    <w:rsid w:val="00C04CDE"/>
    <w:rsid w:val="00C12768"/>
    <w:rsid w:val="00C12D70"/>
    <w:rsid w:val="00C21B09"/>
    <w:rsid w:val="00C2673A"/>
    <w:rsid w:val="00C27B58"/>
    <w:rsid w:val="00C33D70"/>
    <w:rsid w:val="00C35996"/>
    <w:rsid w:val="00C4007C"/>
    <w:rsid w:val="00C41882"/>
    <w:rsid w:val="00C4747E"/>
    <w:rsid w:val="00C5151E"/>
    <w:rsid w:val="00C5342C"/>
    <w:rsid w:val="00C53B2B"/>
    <w:rsid w:val="00C57654"/>
    <w:rsid w:val="00C60272"/>
    <w:rsid w:val="00C603D4"/>
    <w:rsid w:val="00C6256A"/>
    <w:rsid w:val="00C668E7"/>
    <w:rsid w:val="00C710E2"/>
    <w:rsid w:val="00C71C3F"/>
    <w:rsid w:val="00C73323"/>
    <w:rsid w:val="00C7409E"/>
    <w:rsid w:val="00C76E76"/>
    <w:rsid w:val="00C77891"/>
    <w:rsid w:val="00C91449"/>
    <w:rsid w:val="00C92D10"/>
    <w:rsid w:val="00C95A5E"/>
    <w:rsid w:val="00CA48D9"/>
    <w:rsid w:val="00CB1193"/>
    <w:rsid w:val="00CB4767"/>
    <w:rsid w:val="00CB493D"/>
    <w:rsid w:val="00CB5A51"/>
    <w:rsid w:val="00CC3B97"/>
    <w:rsid w:val="00CE10C4"/>
    <w:rsid w:val="00CE27B5"/>
    <w:rsid w:val="00CE6DAF"/>
    <w:rsid w:val="00CF410A"/>
    <w:rsid w:val="00D0321E"/>
    <w:rsid w:val="00D07A8A"/>
    <w:rsid w:val="00D1455A"/>
    <w:rsid w:val="00D22093"/>
    <w:rsid w:val="00D31088"/>
    <w:rsid w:val="00D31150"/>
    <w:rsid w:val="00D3138B"/>
    <w:rsid w:val="00D3280C"/>
    <w:rsid w:val="00D3406A"/>
    <w:rsid w:val="00D40B11"/>
    <w:rsid w:val="00D441F1"/>
    <w:rsid w:val="00D4572C"/>
    <w:rsid w:val="00D469B2"/>
    <w:rsid w:val="00D50D71"/>
    <w:rsid w:val="00D515D5"/>
    <w:rsid w:val="00D51A62"/>
    <w:rsid w:val="00D54B09"/>
    <w:rsid w:val="00D65658"/>
    <w:rsid w:val="00D72B6F"/>
    <w:rsid w:val="00D741EB"/>
    <w:rsid w:val="00D7679C"/>
    <w:rsid w:val="00D820F3"/>
    <w:rsid w:val="00D83605"/>
    <w:rsid w:val="00D84934"/>
    <w:rsid w:val="00D85823"/>
    <w:rsid w:val="00D91271"/>
    <w:rsid w:val="00D919F5"/>
    <w:rsid w:val="00D94F03"/>
    <w:rsid w:val="00DA0D14"/>
    <w:rsid w:val="00DA1FC9"/>
    <w:rsid w:val="00DA2CB5"/>
    <w:rsid w:val="00DA4BAC"/>
    <w:rsid w:val="00DB0151"/>
    <w:rsid w:val="00DB1897"/>
    <w:rsid w:val="00DB4176"/>
    <w:rsid w:val="00DC2C3E"/>
    <w:rsid w:val="00DC4880"/>
    <w:rsid w:val="00DE15BA"/>
    <w:rsid w:val="00DE395A"/>
    <w:rsid w:val="00DE6D27"/>
    <w:rsid w:val="00DF01F8"/>
    <w:rsid w:val="00DF217D"/>
    <w:rsid w:val="00DF26A7"/>
    <w:rsid w:val="00DF3277"/>
    <w:rsid w:val="00DF7919"/>
    <w:rsid w:val="00E0207E"/>
    <w:rsid w:val="00E03912"/>
    <w:rsid w:val="00E05703"/>
    <w:rsid w:val="00E078D9"/>
    <w:rsid w:val="00E15627"/>
    <w:rsid w:val="00E164B3"/>
    <w:rsid w:val="00E16910"/>
    <w:rsid w:val="00E24E09"/>
    <w:rsid w:val="00E27234"/>
    <w:rsid w:val="00E40F31"/>
    <w:rsid w:val="00E42BDB"/>
    <w:rsid w:val="00E43D88"/>
    <w:rsid w:val="00E45E2C"/>
    <w:rsid w:val="00E57EEB"/>
    <w:rsid w:val="00E62D94"/>
    <w:rsid w:val="00E64F37"/>
    <w:rsid w:val="00E65E54"/>
    <w:rsid w:val="00E661C7"/>
    <w:rsid w:val="00E80155"/>
    <w:rsid w:val="00E8134B"/>
    <w:rsid w:val="00E81E0D"/>
    <w:rsid w:val="00E81F28"/>
    <w:rsid w:val="00E848C0"/>
    <w:rsid w:val="00E90FE8"/>
    <w:rsid w:val="00E91B96"/>
    <w:rsid w:val="00E93D1E"/>
    <w:rsid w:val="00E941A1"/>
    <w:rsid w:val="00E95CE3"/>
    <w:rsid w:val="00EA252F"/>
    <w:rsid w:val="00EA2825"/>
    <w:rsid w:val="00EA6518"/>
    <w:rsid w:val="00EA6628"/>
    <w:rsid w:val="00EA7466"/>
    <w:rsid w:val="00EA7EDE"/>
    <w:rsid w:val="00EB0B63"/>
    <w:rsid w:val="00EB1936"/>
    <w:rsid w:val="00EB37BE"/>
    <w:rsid w:val="00EB5088"/>
    <w:rsid w:val="00ED1644"/>
    <w:rsid w:val="00ED2593"/>
    <w:rsid w:val="00ED7D55"/>
    <w:rsid w:val="00ED7D9C"/>
    <w:rsid w:val="00EE0BAE"/>
    <w:rsid w:val="00EE31A2"/>
    <w:rsid w:val="00EF0069"/>
    <w:rsid w:val="00EF0EC1"/>
    <w:rsid w:val="00EF44A0"/>
    <w:rsid w:val="00EF4FED"/>
    <w:rsid w:val="00EF6FB3"/>
    <w:rsid w:val="00F007C6"/>
    <w:rsid w:val="00F0172E"/>
    <w:rsid w:val="00F050BD"/>
    <w:rsid w:val="00F05657"/>
    <w:rsid w:val="00F07D59"/>
    <w:rsid w:val="00F17ED6"/>
    <w:rsid w:val="00F207B0"/>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5007E"/>
    <w:rsid w:val="00F50EC4"/>
    <w:rsid w:val="00F52232"/>
    <w:rsid w:val="00F550CF"/>
    <w:rsid w:val="00F57A6D"/>
    <w:rsid w:val="00F638CC"/>
    <w:rsid w:val="00F64C9E"/>
    <w:rsid w:val="00F64CC1"/>
    <w:rsid w:val="00F72317"/>
    <w:rsid w:val="00F80475"/>
    <w:rsid w:val="00F8247A"/>
    <w:rsid w:val="00F82E5C"/>
    <w:rsid w:val="00F9455C"/>
    <w:rsid w:val="00F9629A"/>
    <w:rsid w:val="00F97EFC"/>
    <w:rsid w:val="00FA1BDD"/>
    <w:rsid w:val="00FA305C"/>
    <w:rsid w:val="00FA4DD5"/>
    <w:rsid w:val="00FA5883"/>
    <w:rsid w:val="00FA6055"/>
    <w:rsid w:val="00FB0B39"/>
    <w:rsid w:val="00FB322F"/>
    <w:rsid w:val="00FB442F"/>
    <w:rsid w:val="00FC1929"/>
    <w:rsid w:val="00FC5B46"/>
    <w:rsid w:val="00FD6D8E"/>
    <w:rsid w:val="00FE0663"/>
    <w:rsid w:val="00FE0E94"/>
    <w:rsid w:val="00FE3CD9"/>
    <w:rsid w:val="00FF00BD"/>
    <w:rsid w:val="00FF1ED4"/>
    <w:rsid w:val="00FF2801"/>
    <w:rsid w:val="00FF2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0C7E8C"/>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0C7E8C"/>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customStyle="1" w:styleId="Default">
    <w:name w:val="Default"/>
    <w:rsid w:val="002F1A14"/>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D31088"/>
    <w:rPr>
      <w:i/>
      <w:iCs/>
    </w:rPr>
  </w:style>
  <w:style w:type="paragraph" w:styleId="FootnoteText">
    <w:name w:val="footnote text"/>
    <w:basedOn w:val="Normal"/>
    <w:link w:val="FootnoteTextChar"/>
    <w:rsid w:val="00D31088"/>
    <w:pPr>
      <w:jc w:val="left"/>
    </w:pPr>
    <w:rPr>
      <w:rFonts w:ascii="Times New Roman" w:hAnsi="Times New Roman"/>
      <w:sz w:val="20"/>
      <w:szCs w:val="20"/>
    </w:rPr>
  </w:style>
  <w:style w:type="character" w:customStyle="1" w:styleId="FootnoteTextChar">
    <w:name w:val="Footnote Text Char"/>
    <w:basedOn w:val="DefaultParagraphFont"/>
    <w:link w:val="FootnoteText"/>
    <w:rsid w:val="00D31088"/>
  </w:style>
  <w:style w:type="character" w:styleId="FootnoteReference">
    <w:name w:val="footnote reference"/>
    <w:basedOn w:val="DefaultParagraphFont"/>
    <w:rsid w:val="00D31088"/>
    <w:rPr>
      <w:vertAlign w:val="superscript"/>
    </w:rPr>
  </w:style>
  <w:style w:type="paragraph" w:styleId="NormalWeb">
    <w:name w:val="Normal (Web)"/>
    <w:basedOn w:val="Normal"/>
    <w:uiPriority w:val="99"/>
    <w:rsid w:val="00D31088"/>
    <w:pPr>
      <w:spacing w:before="100" w:after="100"/>
      <w:jc w:val="left"/>
    </w:pPr>
    <w:rPr>
      <w:rFonts w:ascii="Times New Roman" w:hAnsi="Times New Roman"/>
      <w:szCs w:val="20"/>
      <w:lang w:val="en-GB" w:eastAsia="en-US"/>
    </w:rPr>
  </w:style>
  <w:style w:type="paragraph" w:customStyle="1" w:styleId="PBACheading10">
    <w:name w:val="PBAC heading 1"/>
    <w:qFormat/>
    <w:rsid w:val="00D31088"/>
    <w:pPr>
      <w:ind w:left="720" w:hanging="720"/>
      <w:outlineLvl w:val="0"/>
    </w:pPr>
    <w:rPr>
      <w:rFonts w:ascii="Arial" w:hAnsi="Arial" w:cs="Arial"/>
      <w:b/>
      <w:snapToGrid w:val="0"/>
      <w:sz w:val="22"/>
      <w:szCs w:val="22"/>
      <w:lang w:eastAsia="en-US"/>
    </w:rPr>
  </w:style>
  <w:style w:type="character" w:customStyle="1" w:styleId="item-code2">
    <w:name w:val="item-code2"/>
    <w:basedOn w:val="DefaultParagraphFont"/>
    <w:rsid w:val="000573F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9985161">
      <w:bodyDiv w:val="1"/>
      <w:marLeft w:val="0"/>
      <w:marRight w:val="0"/>
      <w:marTop w:val="0"/>
      <w:marBottom w:val="0"/>
      <w:divBdr>
        <w:top w:val="none" w:sz="0" w:space="0" w:color="auto"/>
        <w:left w:val="none" w:sz="0" w:space="0" w:color="auto"/>
        <w:bottom w:val="none" w:sz="0" w:space="0" w:color="auto"/>
        <w:right w:val="none" w:sz="0" w:space="0" w:color="auto"/>
      </w:divBdr>
    </w:div>
    <w:div w:id="146944861">
      <w:bodyDiv w:val="1"/>
      <w:marLeft w:val="0"/>
      <w:marRight w:val="0"/>
      <w:marTop w:val="0"/>
      <w:marBottom w:val="0"/>
      <w:divBdr>
        <w:top w:val="none" w:sz="0" w:space="0" w:color="auto"/>
        <w:left w:val="none" w:sz="0" w:space="0" w:color="auto"/>
        <w:bottom w:val="none" w:sz="0" w:space="0" w:color="auto"/>
        <w:right w:val="none" w:sz="0" w:space="0" w:color="auto"/>
      </w:divBdr>
    </w:div>
    <w:div w:id="492180959">
      <w:bodyDiv w:val="1"/>
      <w:marLeft w:val="0"/>
      <w:marRight w:val="0"/>
      <w:marTop w:val="0"/>
      <w:marBottom w:val="0"/>
      <w:divBdr>
        <w:top w:val="none" w:sz="0" w:space="0" w:color="auto"/>
        <w:left w:val="none" w:sz="0" w:space="0" w:color="auto"/>
        <w:bottom w:val="none" w:sz="0" w:space="0" w:color="auto"/>
        <w:right w:val="none" w:sz="0" w:space="0" w:color="auto"/>
      </w:divBdr>
    </w:div>
    <w:div w:id="528835069">
      <w:bodyDiv w:val="1"/>
      <w:marLeft w:val="0"/>
      <w:marRight w:val="0"/>
      <w:marTop w:val="0"/>
      <w:marBottom w:val="0"/>
      <w:divBdr>
        <w:top w:val="none" w:sz="0" w:space="0" w:color="auto"/>
        <w:left w:val="none" w:sz="0" w:space="0" w:color="auto"/>
        <w:bottom w:val="none" w:sz="0" w:space="0" w:color="auto"/>
        <w:right w:val="none" w:sz="0" w:space="0" w:color="auto"/>
      </w:divBdr>
    </w:div>
    <w:div w:id="566845459">
      <w:bodyDiv w:val="1"/>
      <w:marLeft w:val="0"/>
      <w:marRight w:val="0"/>
      <w:marTop w:val="0"/>
      <w:marBottom w:val="0"/>
      <w:divBdr>
        <w:top w:val="none" w:sz="0" w:space="0" w:color="auto"/>
        <w:left w:val="none" w:sz="0" w:space="0" w:color="auto"/>
        <w:bottom w:val="none" w:sz="0" w:space="0" w:color="auto"/>
        <w:right w:val="none" w:sz="0" w:space="0" w:color="auto"/>
      </w:divBdr>
    </w:div>
    <w:div w:id="67098534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29896281">
      <w:bodyDiv w:val="1"/>
      <w:marLeft w:val="0"/>
      <w:marRight w:val="0"/>
      <w:marTop w:val="0"/>
      <w:marBottom w:val="0"/>
      <w:divBdr>
        <w:top w:val="none" w:sz="0" w:space="0" w:color="auto"/>
        <w:left w:val="none" w:sz="0" w:space="0" w:color="auto"/>
        <w:bottom w:val="none" w:sz="0" w:space="0" w:color="auto"/>
        <w:right w:val="none" w:sz="0" w:space="0" w:color="auto"/>
      </w:divBdr>
    </w:div>
    <w:div w:id="1014305241">
      <w:bodyDiv w:val="1"/>
      <w:marLeft w:val="0"/>
      <w:marRight w:val="0"/>
      <w:marTop w:val="0"/>
      <w:marBottom w:val="0"/>
      <w:divBdr>
        <w:top w:val="none" w:sz="0" w:space="0" w:color="auto"/>
        <w:left w:val="none" w:sz="0" w:space="0" w:color="auto"/>
        <w:bottom w:val="none" w:sz="0" w:space="0" w:color="auto"/>
        <w:right w:val="none" w:sz="0" w:space="0" w:color="auto"/>
      </w:divBdr>
    </w:div>
    <w:div w:id="1132361490">
      <w:bodyDiv w:val="1"/>
      <w:marLeft w:val="0"/>
      <w:marRight w:val="0"/>
      <w:marTop w:val="0"/>
      <w:marBottom w:val="0"/>
      <w:divBdr>
        <w:top w:val="none" w:sz="0" w:space="0" w:color="auto"/>
        <w:left w:val="none" w:sz="0" w:space="0" w:color="auto"/>
        <w:bottom w:val="none" w:sz="0" w:space="0" w:color="auto"/>
        <w:right w:val="none" w:sz="0" w:space="0" w:color="auto"/>
      </w:divBdr>
    </w:div>
    <w:div w:id="1138188734">
      <w:bodyDiv w:val="1"/>
      <w:marLeft w:val="0"/>
      <w:marRight w:val="0"/>
      <w:marTop w:val="0"/>
      <w:marBottom w:val="0"/>
      <w:divBdr>
        <w:top w:val="none" w:sz="0" w:space="0" w:color="auto"/>
        <w:left w:val="none" w:sz="0" w:space="0" w:color="auto"/>
        <w:bottom w:val="none" w:sz="0" w:space="0" w:color="auto"/>
        <w:right w:val="none" w:sz="0" w:space="0" w:color="auto"/>
      </w:divBdr>
    </w:div>
    <w:div w:id="1624457214">
      <w:bodyDiv w:val="1"/>
      <w:marLeft w:val="0"/>
      <w:marRight w:val="0"/>
      <w:marTop w:val="0"/>
      <w:marBottom w:val="0"/>
      <w:divBdr>
        <w:top w:val="none" w:sz="0" w:space="0" w:color="auto"/>
        <w:left w:val="none" w:sz="0" w:space="0" w:color="auto"/>
        <w:bottom w:val="none" w:sz="0" w:space="0" w:color="auto"/>
        <w:right w:val="none" w:sz="0" w:space="0" w:color="auto"/>
      </w:divBdr>
    </w:div>
    <w:div w:id="164967504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12944168">
      <w:bodyDiv w:val="1"/>
      <w:marLeft w:val="0"/>
      <w:marRight w:val="0"/>
      <w:marTop w:val="0"/>
      <w:marBottom w:val="0"/>
      <w:divBdr>
        <w:top w:val="none" w:sz="0" w:space="0" w:color="auto"/>
        <w:left w:val="none" w:sz="0" w:space="0" w:color="auto"/>
        <w:bottom w:val="none" w:sz="0" w:space="0" w:color="auto"/>
        <w:right w:val="none" w:sz="0" w:space="0" w:color="auto"/>
      </w:divBdr>
    </w:div>
    <w:div w:id="184296809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1523762">
      <w:bodyDiv w:val="1"/>
      <w:marLeft w:val="0"/>
      <w:marRight w:val="0"/>
      <w:marTop w:val="0"/>
      <w:marBottom w:val="0"/>
      <w:divBdr>
        <w:top w:val="none" w:sz="0" w:space="0" w:color="auto"/>
        <w:left w:val="none" w:sz="0" w:space="0" w:color="auto"/>
        <w:bottom w:val="none" w:sz="0" w:space="0" w:color="auto"/>
        <w:right w:val="none" w:sz="0" w:space="0" w:color="auto"/>
      </w:divBdr>
    </w:div>
    <w:div w:id="20419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biosimila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FA29-88A2-4520-84EB-4182C222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2020-07-30T06:54:00Z</dcterms:created>
  <dcterms:modified xsi:type="dcterms:W3CDTF">2020-10-26T22:48:00Z</dcterms:modified>
</cp:coreProperties>
</file>