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Default="00356E18" w:rsidP="0001325E">
      <w:pPr>
        <w:ind w:left="720" w:hanging="720"/>
        <w:jc w:val="left"/>
        <w:outlineLvl w:val="0"/>
        <w:rPr>
          <w:b/>
          <w:sz w:val="36"/>
          <w:szCs w:val="36"/>
        </w:rPr>
      </w:pPr>
      <w:r>
        <w:rPr>
          <w:b/>
          <w:sz w:val="36"/>
          <w:szCs w:val="36"/>
        </w:rPr>
        <w:t>7</w:t>
      </w:r>
      <w:r w:rsidR="00B535F6" w:rsidRPr="00356E18">
        <w:rPr>
          <w:b/>
          <w:sz w:val="36"/>
          <w:szCs w:val="36"/>
        </w:rPr>
        <w:t>.01</w:t>
      </w:r>
      <w:r w:rsidR="00150527">
        <w:rPr>
          <w:b/>
          <w:sz w:val="36"/>
          <w:szCs w:val="36"/>
        </w:rPr>
        <w:tab/>
        <w:t>BELIMUMAB</w:t>
      </w:r>
      <w:r w:rsidR="00B60939" w:rsidRPr="00ED7E3E">
        <w:rPr>
          <w:b/>
          <w:sz w:val="36"/>
          <w:szCs w:val="36"/>
        </w:rPr>
        <w:t xml:space="preserve">, </w:t>
      </w:r>
      <w:r w:rsidR="0001325E">
        <w:rPr>
          <w:b/>
          <w:sz w:val="36"/>
          <w:szCs w:val="36"/>
        </w:rPr>
        <w:br/>
        <w:t>Injection 200 mg in 1 mL pre-filled pen</w:t>
      </w:r>
      <w:r w:rsidR="00B60939" w:rsidRPr="00ED7E3E">
        <w:rPr>
          <w:b/>
          <w:sz w:val="36"/>
          <w:szCs w:val="36"/>
        </w:rPr>
        <w:t xml:space="preserve">, </w:t>
      </w:r>
      <w:r w:rsidR="0001325E">
        <w:rPr>
          <w:b/>
          <w:sz w:val="36"/>
          <w:szCs w:val="36"/>
        </w:rPr>
        <w:br/>
      </w:r>
      <w:r w:rsidR="00150527">
        <w:rPr>
          <w:b/>
          <w:sz w:val="36"/>
          <w:szCs w:val="36"/>
        </w:rPr>
        <w:t>Benlysta</w:t>
      </w:r>
      <w:r w:rsidR="00B60939" w:rsidRPr="00ED7E3E">
        <w:rPr>
          <w:b/>
          <w:sz w:val="36"/>
          <w:szCs w:val="36"/>
          <w:vertAlign w:val="superscript"/>
        </w:rPr>
        <w:t>®</w:t>
      </w:r>
      <w:r w:rsidR="00B60939" w:rsidRPr="00ED7E3E">
        <w:rPr>
          <w:b/>
          <w:sz w:val="36"/>
          <w:szCs w:val="36"/>
        </w:rPr>
        <w:t xml:space="preserve">, </w:t>
      </w:r>
      <w:r w:rsidR="0001325E">
        <w:rPr>
          <w:b/>
          <w:sz w:val="36"/>
          <w:szCs w:val="36"/>
        </w:rPr>
        <w:br/>
      </w:r>
      <w:r w:rsidR="00C46CA1" w:rsidRPr="00C46CA1">
        <w:rPr>
          <w:b/>
          <w:sz w:val="36"/>
          <w:szCs w:val="36"/>
        </w:rPr>
        <w:t>GlaxoSmithKline</w:t>
      </w:r>
      <w:r w:rsidR="0001325E">
        <w:rPr>
          <w:b/>
          <w:sz w:val="36"/>
          <w:szCs w:val="36"/>
        </w:rPr>
        <w:t xml:space="preserve"> Australia Pty Ltd</w:t>
      </w:r>
    </w:p>
    <w:p w:rsidR="004507C2" w:rsidRDefault="004507C2" w:rsidP="000B5630">
      <w:pPr>
        <w:ind w:left="720" w:hanging="720"/>
        <w:jc w:val="left"/>
        <w:rPr>
          <w:rFonts w:asciiTheme="minorHAnsi" w:hAnsiTheme="minorHAnsi"/>
          <w:b/>
          <w:sz w:val="28"/>
          <w:szCs w:val="28"/>
        </w:rPr>
      </w:pPr>
    </w:p>
    <w:p w:rsidR="00172AD3" w:rsidRPr="00ED7E3E" w:rsidRDefault="00172AD3" w:rsidP="00172AD3">
      <w:pPr>
        <w:pStyle w:val="PBACHeading1"/>
      </w:pPr>
      <w:bookmarkStart w:id="0" w:name="_Toc40113242"/>
      <w:r w:rsidRPr="00ED7E3E">
        <w:t>Purpose of Application</w:t>
      </w:r>
      <w:bookmarkEnd w:id="0"/>
    </w:p>
    <w:p w:rsidR="00172AD3" w:rsidRPr="00ED7E3E" w:rsidRDefault="00172AD3" w:rsidP="00172AD3"/>
    <w:p w:rsidR="009B283F" w:rsidRDefault="00172AD3" w:rsidP="00DA711E">
      <w:pPr>
        <w:pStyle w:val="ListParagraph"/>
        <w:widowControl/>
        <w:numPr>
          <w:ilvl w:val="1"/>
          <w:numId w:val="1"/>
        </w:numPr>
      </w:pPr>
      <w:r w:rsidRPr="00BE1C7D">
        <w:t xml:space="preserve">The </w:t>
      </w:r>
      <w:r w:rsidR="003B6BAC" w:rsidRPr="00BE1C7D">
        <w:t>re</w:t>
      </w:r>
      <w:r w:rsidRPr="00BE1C7D">
        <w:t xml:space="preserve">submission requested a Section 100 </w:t>
      </w:r>
      <w:r w:rsidR="003B6BAC" w:rsidRPr="00BE1C7D">
        <w:t xml:space="preserve">Highly Specialised Drugs </w:t>
      </w:r>
      <w:r w:rsidR="006B0E0A">
        <w:t xml:space="preserve">Program </w:t>
      </w:r>
      <w:r w:rsidR="003B6BAC" w:rsidRPr="00BE1C7D">
        <w:t>(S100 HSD</w:t>
      </w:r>
      <w:r w:rsidR="006B0E0A">
        <w:t>P</w:t>
      </w:r>
      <w:r w:rsidR="003B6BAC" w:rsidRPr="00BE1C7D">
        <w:t xml:space="preserve">) </w:t>
      </w:r>
      <w:r w:rsidRPr="00BE1C7D">
        <w:t xml:space="preserve">Authority Required listing for </w:t>
      </w:r>
      <w:bookmarkStart w:id="1" w:name="_GoBack"/>
      <w:r w:rsidRPr="00BE1C7D">
        <w:t>belimumab</w:t>
      </w:r>
      <w:bookmarkEnd w:id="1"/>
      <w:r w:rsidRPr="00BE1C7D">
        <w:t xml:space="preserve"> as add-on therapy for the treatment of active auto-antibody positive systemic lupus erythematosus (SLE) with a high degree of disease activity, despite defined ongoing standard of care (SOC).</w:t>
      </w:r>
    </w:p>
    <w:p w:rsidR="00172AD3" w:rsidRPr="00BE1C7D" w:rsidRDefault="00172AD3" w:rsidP="00DA711E">
      <w:pPr>
        <w:pStyle w:val="ListParagraph"/>
        <w:widowControl/>
        <w:numPr>
          <w:ilvl w:val="1"/>
          <w:numId w:val="1"/>
        </w:numPr>
      </w:pPr>
      <w:r w:rsidRPr="00BE1C7D">
        <w:t xml:space="preserve">This is the </w:t>
      </w:r>
      <w:r w:rsidR="00800D0D" w:rsidRPr="00BE1C7D">
        <w:t>second</w:t>
      </w:r>
      <w:r w:rsidRPr="00BE1C7D">
        <w:t xml:space="preserve"> consideration of belimumab by the PBAC.</w:t>
      </w:r>
      <w:r w:rsidR="00800D0D" w:rsidRPr="00BE1C7D">
        <w:t xml:space="preserve"> The PBAC previously considered belimumab in November 2019. </w:t>
      </w:r>
      <w:r w:rsidR="00E635C8" w:rsidRPr="00BE1C7D">
        <w:t>Data</w:t>
      </w:r>
      <w:r w:rsidR="00133ED7" w:rsidRPr="00BE1C7D">
        <w:t xml:space="preserve"> previously considered by the PBAC </w:t>
      </w:r>
      <w:r w:rsidR="00684670" w:rsidRPr="00BE1C7D">
        <w:t>is</w:t>
      </w:r>
      <w:r w:rsidR="00133ED7" w:rsidRPr="00BE1C7D">
        <w:t xml:space="preserve"> highlighted in blue throughout the</w:t>
      </w:r>
      <w:r w:rsidR="008625A6">
        <w:t xml:space="preserve"> </w:t>
      </w:r>
      <w:r w:rsidR="00FE6C89">
        <w:t>document</w:t>
      </w:r>
      <w:r w:rsidR="00133ED7" w:rsidRPr="00FE6C89">
        <w:t>.</w:t>
      </w:r>
    </w:p>
    <w:p w:rsidR="00172AD3" w:rsidRPr="00ED7E3E" w:rsidRDefault="00172AD3" w:rsidP="00DA711E">
      <w:pPr>
        <w:pStyle w:val="ListParagraph"/>
        <w:widowControl/>
        <w:numPr>
          <w:ilvl w:val="1"/>
          <w:numId w:val="1"/>
        </w:numPr>
        <w:spacing w:after="120"/>
      </w:pPr>
      <w:r w:rsidRPr="00ED7E3E">
        <w:t>The basis for the requested listing was co</w:t>
      </w:r>
      <w:r w:rsidR="004917D7">
        <w:t>st-utility analyses versus SOC</w:t>
      </w:r>
      <w:r w:rsidR="00D50A40">
        <w:t xml:space="preserve"> (Table 1)</w:t>
      </w:r>
      <w:r w:rsidR="004917D7">
        <w:t>.</w:t>
      </w:r>
    </w:p>
    <w:p w:rsidR="00172AD3" w:rsidRPr="00ED7E3E" w:rsidRDefault="00172AD3" w:rsidP="00D50A40">
      <w:pPr>
        <w:keepNext/>
        <w:keepLines/>
        <w:rPr>
          <w:rStyle w:val="CommentReference"/>
        </w:rPr>
      </w:pPr>
      <w:r>
        <w:rPr>
          <w:rStyle w:val="CommentReference"/>
        </w:rPr>
        <w:t>Table 1</w:t>
      </w:r>
      <w:r w:rsidRPr="00ED7E3E">
        <w:rPr>
          <w:rStyle w:val="CommentReference"/>
        </w:rPr>
        <w:t xml:space="preserve">: Key components of the clinical issue addressed by the </w:t>
      </w:r>
      <w:r w:rsidR="00841EA7">
        <w:rPr>
          <w:rStyle w:val="CommentReference"/>
        </w:rPr>
        <w:t>re</w:t>
      </w:r>
      <w:r w:rsidRPr="00ED7E3E">
        <w:rPr>
          <w:rStyle w:val="CommentReference"/>
        </w:rPr>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CC3999" w:rsidRPr="00432313" w:rsidTr="00E635C8">
        <w:tc>
          <w:tcPr>
            <w:tcW w:w="1668" w:type="dxa"/>
            <w:shd w:val="clear" w:color="auto" w:fill="auto"/>
            <w:vAlign w:val="center"/>
          </w:tcPr>
          <w:p w:rsidR="00CC3999" w:rsidRPr="00432313" w:rsidRDefault="00CC3999" w:rsidP="00D50A40">
            <w:pPr>
              <w:pStyle w:val="Tabletext"/>
              <w:keepNext/>
              <w:keepLines/>
              <w:rPr>
                <w:b/>
              </w:rPr>
            </w:pPr>
            <w:r w:rsidRPr="00432313">
              <w:rPr>
                <w:b/>
              </w:rPr>
              <w:t>Component</w:t>
            </w:r>
          </w:p>
        </w:tc>
        <w:tc>
          <w:tcPr>
            <w:tcW w:w="7488" w:type="dxa"/>
            <w:shd w:val="clear" w:color="auto" w:fill="auto"/>
            <w:vAlign w:val="center"/>
          </w:tcPr>
          <w:p w:rsidR="00CC3999" w:rsidRPr="00432313" w:rsidRDefault="00CC3999" w:rsidP="00D50A40">
            <w:pPr>
              <w:pStyle w:val="Tabletext"/>
              <w:keepNext/>
              <w:keepLines/>
              <w:jc w:val="center"/>
              <w:rPr>
                <w:b/>
              </w:rPr>
            </w:pPr>
            <w:r w:rsidRPr="00432313">
              <w:rPr>
                <w:b/>
              </w:rPr>
              <w:t>Description</w:t>
            </w:r>
          </w:p>
        </w:tc>
      </w:tr>
      <w:tr w:rsidR="00CC3999" w:rsidRPr="00432313" w:rsidTr="00E635C8">
        <w:tc>
          <w:tcPr>
            <w:tcW w:w="1668" w:type="dxa"/>
            <w:shd w:val="clear" w:color="auto" w:fill="auto"/>
            <w:vAlign w:val="center"/>
          </w:tcPr>
          <w:p w:rsidR="00CC3999" w:rsidRPr="00432313" w:rsidRDefault="00CC3999" w:rsidP="00D50A40">
            <w:pPr>
              <w:pStyle w:val="Tabletext"/>
              <w:keepNext/>
              <w:keepLines/>
            </w:pPr>
            <w:r w:rsidRPr="00432313">
              <w:t>Population</w:t>
            </w:r>
          </w:p>
        </w:tc>
        <w:tc>
          <w:tcPr>
            <w:tcW w:w="7488" w:type="dxa"/>
            <w:shd w:val="clear" w:color="auto" w:fill="auto"/>
            <w:vAlign w:val="center"/>
          </w:tcPr>
          <w:p w:rsidR="00CC3999" w:rsidRPr="00432313" w:rsidRDefault="00CC3999" w:rsidP="00D50A40">
            <w:pPr>
              <w:pStyle w:val="Tabletext"/>
              <w:keepNext/>
              <w:keepLines/>
            </w:pPr>
            <w:r w:rsidRPr="00432313">
              <w:t>Adult patients with active SLE with a high degree of disease activity despite standard therapy</w:t>
            </w:r>
          </w:p>
        </w:tc>
      </w:tr>
      <w:tr w:rsidR="00CC3999" w:rsidRPr="00432313" w:rsidTr="00E635C8">
        <w:tc>
          <w:tcPr>
            <w:tcW w:w="1668" w:type="dxa"/>
            <w:shd w:val="clear" w:color="auto" w:fill="auto"/>
            <w:vAlign w:val="center"/>
          </w:tcPr>
          <w:p w:rsidR="00CC3999" w:rsidRPr="00432313" w:rsidRDefault="00CC3999" w:rsidP="00D50A40">
            <w:pPr>
              <w:pStyle w:val="Tabletext"/>
              <w:keepNext/>
              <w:keepLines/>
            </w:pPr>
            <w:r w:rsidRPr="00432313">
              <w:t>Intervention</w:t>
            </w:r>
          </w:p>
        </w:tc>
        <w:tc>
          <w:tcPr>
            <w:tcW w:w="7488" w:type="dxa"/>
            <w:shd w:val="clear" w:color="auto" w:fill="auto"/>
            <w:vAlign w:val="center"/>
          </w:tcPr>
          <w:p w:rsidR="00CC3999" w:rsidRPr="00432313" w:rsidRDefault="00CC3999" w:rsidP="00D50A40">
            <w:pPr>
              <w:pStyle w:val="Tabletext"/>
              <w:keepNext/>
              <w:keepLines/>
            </w:pPr>
            <w:r w:rsidRPr="00432313">
              <w:t>Belimumab 200 mg subcutaneous injection once weekly</w:t>
            </w:r>
          </w:p>
        </w:tc>
      </w:tr>
      <w:tr w:rsidR="00CC3999" w:rsidRPr="00432313" w:rsidTr="00E635C8">
        <w:tc>
          <w:tcPr>
            <w:tcW w:w="1668" w:type="dxa"/>
            <w:shd w:val="clear" w:color="auto" w:fill="auto"/>
            <w:vAlign w:val="center"/>
          </w:tcPr>
          <w:p w:rsidR="00CC3999" w:rsidRPr="00432313" w:rsidRDefault="00CC3999" w:rsidP="00D50A40">
            <w:pPr>
              <w:pStyle w:val="Tabletext"/>
              <w:keepNext/>
              <w:keepLines/>
            </w:pPr>
            <w:r w:rsidRPr="00432313">
              <w:t>Comparator</w:t>
            </w:r>
          </w:p>
        </w:tc>
        <w:tc>
          <w:tcPr>
            <w:tcW w:w="7488" w:type="dxa"/>
            <w:shd w:val="clear" w:color="auto" w:fill="auto"/>
            <w:vAlign w:val="center"/>
          </w:tcPr>
          <w:p w:rsidR="00CC3999" w:rsidRPr="00432313" w:rsidRDefault="00CC3999" w:rsidP="00D50A40">
            <w:pPr>
              <w:pStyle w:val="Tabletext"/>
              <w:keepNext/>
              <w:keepLines/>
            </w:pPr>
            <w:r w:rsidRPr="00432313">
              <w:t xml:space="preserve">Placebo </w:t>
            </w:r>
          </w:p>
        </w:tc>
      </w:tr>
      <w:tr w:rsidR="00CC3999" w:rsidRPr="00432313" w:rsidTr="00E635C8">
        <w:tc>
          <w:tcPr>
            <w:tcW w:w="1668" w:type="dxa"/>
            <w:shd w:val="clear" w:color="auto" w:fill="auto"/>
            <w:vAlign w:val="center"/>
          </w:tcPr>
          <w:p w:rsidR="00CC3999" w:rsidRPr="00432313" w:rsidRDefault="00CC3999" w:rsidP="00D50A40">
            <w:pPr>
              <w:pStyle w:val="Tabletext"/>
              <w:keepNext/>
              <w:keepLines/>
            </w:pPr>
            <w:r w:rsidRPr="00432313">
              <w:t>Outcomes</w:t>
            </w:r>
          </w:p>
        </w:tc>
        <w:tc>
          <w:tcPr>
            <w:tcW w:w="7488" w:type="dxa"/>
            <w:shd w:val="clear" w:color="auto" w:fill="auto"/>
            <w:vAlign w:val="center"/>
          </w:tcPr>
          <w:p w:rsidR="00CC3999" w:rsidRPr="00432313" w:rsidRDefault="00CC3999" w:rsidP="00D50A40">
            <w:pPr>
              <w:pStyle w:val="Tabletext"/>
              <w:keepNext/>
              <w:keepLines/>
            </w:pPr>
            <w:r w:rsidRPr="00432313">
              <w:t>SLE Responder Index (SRI) (a composite outcome consisting of SELENA-SLEDAI, PGA, BILAG), SFI flare, Prednisone use, SDI, HRQoL (FACIT Fatigue), Adverse events</w:t>
            </w:r>
          </w:p>
        </w:tc>
      </w:tr>
      <w:tr w:rsidR="00CC3999" w:rsidRPr="00432313" w:rsidTr="00E635C8">
        <w:tc>
          <w:tcPr>
            <w:tcW w:w="1668" w:type="dxa"/>
            <w:shd w:val="clear" w:color="auto" w:fill="auto"/>
            <w:vAlign w:val="center"/>
          </w:tcPr>
          <w:p w:rsidR="00CC3999" w:rsidRPr="00432313" w:rsidRDefault="00CC3999" w:rsidP="00D50A40">
            <w:pPr>
              <w:pStyle w:val="Tabletext"/>
              <w:keepNext/>
              <w:keepLines/>
            </w:pPr>
            <w:r w:rsidRPr="00432313">
              <w:t>Clinical claim</w:t>
            </w:r>
          </w:p>
        </w:tc>
        <w:tc>
          <w:tcPr>
            <w:tcW w:w="7488" w:type="dxa"/>
            <w:vAlign w:val="center"/>
          </w:tcPr>
          <w:p w:rsidR="00CC3999" w:rsidRPr="00432313" w:rsidRDefault="00CC3999" w:rsidP="00D50A40">
            <w:pPr>
              <w:pStyle w:val="Tabletext"/>
              <w:keepNext/>
              <w:keepLines/>
            </w:pPr>
            <w:r w:rsidRPr="00432313">
              <w:t>Superior effectiveness</w:t>
            </w:r>
          </w:p>
          <w:p w:rsidR="00CC3999" w:rsidRPr="00432313" w:rsidRDefault="00CC3999" w:rsidP="00D50A40">
            <w:pPr>
              <w:pStyle w:val="Tabletext"/>
              <w:keepNext/>
              <w:keepLines/>
            </w:pPr>
            <w:r w:rsidRPr="00432313">
              <w:t>Inferior safety</w:t>
            </w:r>
          </w:p>
        </w:tc>
      </w:tr>
    </w:tbl>
    <w:p w:rsidR="00CC3999" w:rsidRPr="00432313" w:rsidRDefault="00CC3999" w:rsidP="00D50A40">
      <w:pPr>
        <w:pStyle w:val="TableFooter"/>
        <w:keepNext/>
        <w:keepLines/>
      </w:pPr>
      <w:r w:rsidRPr="00432313">
        <w:t>Abbreviations: BILAG, British Isles Lupus Assessment Group; FACIT, Functional Assessment of Chronic Illness Therapy; HRQoL, health-related quality of life; PGA, Physician Global Assessment; SC, subcutaneous; SDI, Systemic Lupus International Collaborating Clinics (SLICC)/ACR Damage Index; SELENA-SLEDAI, Safety of Estrogens in Lupus Erythematosus National Assessment version of the Systemic Lupus Erythematosus Disease Activity Index. SFI, SLE Flare Index; SLE, systemic lupus erythematosus; SoC, standard of care; SRI, Systemic Lupus Erythematosus Responder Index</w:t>
      </w:r>
    </w:p>
    <w:p w:rsidR="00CC3999" w:rsidRDefault="00CC3999" w:rsidP="00D50A40">
      <w:pPr>
        <w:pStyle w:val="TableFooter"/>
        <w:keepNext/>
        <w:keepLines/>
      </w:pPr>
      <w:r w:rsidRPr="00F92BB7">
        <w:t>Source: Table 8, p3 of the resubmission.</w:t>
      </w:r>
    </w:p>
    <w:p w:rsidR="004661B2" w:rsidRDefault="004661B2" w:rsidP="00D50A40">
      <w:pPr>
        <w:pStyle w:val="TableFooter"/>
        <w:keepNext/>
        <w:keepLines/>
      </w:pPr>
    </w:p>
    <w:p w:rsidR="00F558A6" w:rsidRDefault="00F558A6">
      <w:pPr>
        <w:widowControl/>
        <w:jc w:val="left"/>
        <w:rPr>
          <w:rFonts w:ascii="Arial Narrow" w:hAnsi="Arial Narrow"/>
          <w:sz w:val="18"/>
        </w:rPr>
      </w:pPr>
    </w:p>
    <w:p w:rsidR="00CC3999" w:rsidRPr="00407F2D" w:rsidRDefault="00CC3999" w:rsidP="00E635C8">
      <w:pPr>
        <w:pStyle w:val="PBACHeading1"/>
      </w:pPr>
      <w:bookmarkStart w:id="2" w:name="_Toc22898845"/>
      <w:bookmarkStart w:id="3" w:name="_Toc40113243"/>
      <w:r w:rsidRPr="00407F2D">
        <w:t>Background</w:t>
      </w:r>
      <w:bookmarkEnd w:id="2"/>
      <w:bookmarkEnd w:id="3"/>
    </w:p>
    <w:p w:rsidR="00CC3999" w:rsidRPr="004151CF" w:rsidRDefault="00CC3999" w:rsidP="00CC3999">
      <w:pPr>
        <w:pStyle w:val="4-SubsectionHeading"/>
      </w:pPr>
      <w:bookmarkStart w:id="4" w:name="_Toc22897638"/>
      <w:bookmarkStart w:id="5" w:name="_Toc22898846"/>
      <w:bookmarkStart w:id="6" w:name="_Toc40113244"/>
      <w:r w:rsidRPr="004151CF">
        <w:t>Registration status</w:t>
      </w:r>
      <w:bookmarkEnd w:id="4"/>
      <w:bookmarkEnd w:id="5"/>
      <w:bookmarkEnd w:id="6"/>
    </w:p>
    <w:p w:rsidR="00CC3999" w:rsidRDefault="00CC3999" w:rsidP="00DA711E">
      <w:pPr>
        <w:pStyle w:val="3-BodyText"/>
        <w:numPr>
          <w:ilvl w:val="1"/>
          <w:numId w:val="1"/>
        </w:numPr>
      </w:pPr>
      <w:r>
        <w:t>Belimumab is TGA registered both as a powder for IV infusion (120 mg in 5 mL vial; 400 mg in 20 mL vial) and as a solution for</w:t>
      </w:r>
      <w:r w:rsidR="009440D0">
        <w:t xml:space="preserve"> subcutaneous</w:t>
      </w:r>
      <w:r>
        <w:t xml:space="preserve"> </w:t>
      </w:r>
      <w:r w:rsidR="009440D0">
        <w:t>(</w:t>
      </w:r>
      <w:r>
        <w:t>SC</w:t>
      </w:r>
      <w:r w:rsidR="009440D0">
        <w:t>)</w:t>
      </w:r>
      <w:r>
        <w:t xml:space="preserve"> injection (200 mg in 1 mL) via a pre-filled syringe or auto-injector. The approved TGA indication is: </w:t>
      </w:r>
    </w:p>
    <w:p w:rsidR="00CC3999" w:rsidRDefault="00CC3999" w:rsidP="00CC3999">
      <w:pPr>
        <w:pStyle w:val="3-BodyText"/>
        <w:ind w:firstLine="0"/>
      </w:pPr>
      <w:r>
        <w:t xml:space="preserve">“(Belimumab) is indicated as add-on therapy for reducing disease activity in adult patients with active, autoantibody-positive systemic lupus erythematosus (SLE) with a high degree of disease activity (e.g. ANA titre ≥1:80 and/or anti-dsDNA titre </w:t>
      </w:r>
      <w:r>
        <w:lastRenderedPageBreak/>
        <w:t>≥30</w:t>
      </w:r>
      <w:r w:rsidR="00E32554">
        <w:t> </w:t>
      </w:r>
      <w:r>
        <w:t>IU/mL) despite standard therapy. The safety and efficacy of (belimumab) have not been evaluated in patients with severe active lupus nephritis or severe active central nervous system lupus.”</w:t>
      </w:r>
    </w:p>
    <w:p w:rsidR="00CC3999" w:rsidRPr="00621ADA" w:rsidRDefault="00CC3999" w:rsidP="00CC3999">
      <w:pPr>
        <w:pStyle w:val="4-SubsectionHeading"/>
      </w:pPr>
      <w:bookmarkStart w:id="7" w:name="_Toc22897639"/>
      <w:bookmarkStart w:id="8" w:name="_Toc22898847"/>
      <w:bookmarkStart w:id="9" w:name="_Toc40113245"/>
      <w:r w:rsidRPr="00621ADA">
        <w:t>Previous PBAC consideration</w:t>
      </w:r>
      <w:bookmarkEnd w:id="7"/>
      <w:bookmarkEnd w:id="8"/>
      <w:bookmarkEnd w:id="9"/>
    </w:p>
    <w:p w:rsidR="00CC3999" w:rsidRPr="00CC3999" w:rsidRDefault="00CC3999" w:rsidP="00DA711E">
      <w:pPr>
        <w:pStyle w:val="3-BodyText"/>
        <w:numPr>
          <w:ilvl w:val="1"/>
          <w:numId w:val="1"/>
        </w:numPr>
      </w:pPr>
      <w:r>
        <w:rPr>
          <w:snapToGrid/>
          <w:lang w:val="en-US"/>
        </w:rPr>
        <w:t xml:space="preserve">In November 2019, the </w:t>
      </w:r>
      <w:r>
        <w:t>PBAC did not recommend belimumab</w:t>
      </w:r>
      <w:r w:rsidR="00B52ADB">
        <w:t>. The PBAC considered that the evidence demonstrated a</w:t>
      </w:r>
      <w:r>
        <w:t xml:space="preserve"> modest clinical benefit and that the economic model </w:t>
      </w:r>
      <w:r>
        <w:rPr>
          <w:bCs/>
          <w:lang w:val="en-GB"/>
        </w:rPr>
        <w:t xml:space="preserve">presented in the submission </w:t>
      </w:r>
      <w:r w:rsidRPr="00053656">
        <w:rPr>
          <w:bCs/>
          <w:lang w:val="en-GB"/>
        </w:rPr>
        <w:t>did not provide a reliable basis for estimating cost-effectiveness</w:t>
      </w:r>
      <w:r>
        <w:rPr>
          <w:bCs/>
          <w:lang w:val="en-GB"/>
        </w:rPr>
        <w:t>.</w:t>
      </w:r>
    </w:p>
    <w:p w:rsidR="00CC3999" w:rsidRPr="00FA21DE" w:rsidRDefault="00CC3999" w:rsidP="00DA711E">
      <w:pPr>
        <w:pStyle w:val="3-BodyText"/>
        <w:numPr>
          <w:ilvl w:val="1"/>
          <w:numId w:val="1"/>
        </w:numPr>
      </w:pPr>
      <w:r>
        <w:t xml:space="preserve">Table 2 summarises key issues </w:t>
      </w:r>
      <w:r w:rsidRPr="00FA21DE">
        <w:t>identified by the PBAC in the previous submission and how this resubmission addressed them.</w:t>
      </w:r>
    </w:p>
    <w:p w:rsidR="00293EF7" w:rsidRPr="00E62BB8" w:rsidRDefault="00293EF7" w:rsidP="004B7D27">
      <w:pPr>
        <w:keepNext/>
        <w:keepLines/>
        <w:rPr>
          <w:rStyle w:val="CommentReference"/>
        </w:rPr>
      </w:pPr>
      <w:r w:rsidRPr="00E62BB8">
        <w:rPr>
          <w:rStyle w:val="CommentReference"/>
        </w:rPr>
        <w:t>Table 2: Summary of key matters of concern</w:t>
      </w:r>
    </w:p>
    <w:tbl>
      <w:tblPr>
        <w:tblStyle w:val="TableGrid"/>
        <w:tblW w:w="0" w:type="auto"/>
        <w:tblCellMar>
          <w:top w:w="28" w:type="dxa"/>
          <w:left w:w="28" w:type="dxa"/>
          <w:bottom w:w="28" w:type="dxa"/>
          <w:right w:w="28" w:type="dxa"/>
        </w:tblCellMar>
        <w:tblLook w:val="04A0" w:firstRow="1" w:lastRow="0" w:firstColumn="1" w:lastColumn="0" w:noHBand="0" w:noVBand="1"/>
        <w:tblCaption w:val="Table 2: Summary of key matters of concern"/>
      </w:tblPr>
      <w:tblGrid>
        <w:gridCol w:w="988"/>
        <w:gridCol w:w="4394"/>
        <w:gridCol w:w="3635"/>
      </w:tblGrid>
      <w:tr w:rsidR="00492215" w:rsidRPr="00492215" w:rsidTr="00CE2B7C">
        <w:trPr>
          <w:cantSplit/>
          <w:tblHeader/>
        </w:trPr>
        <w:tc>
          <w:tcPr>
            <w:tcW w:w="988" w:type="dxa"/>
          </w:tcPr>
          <w:p w:rsidR="00492215" w:rsidRPr="00492215" w:rsidRDefault="00492215" w:rsidP="004B7D27">
            <w:pPr>
              <w:keepNext/>
              <w:keepLines/>
              <w:contextualSpacing/>
              <w:jc w:val="left"/>
              <w:rPr>
                <w:rFonts w:ascii="Arial Narrow" w:hAnsi="Arial Narrow"/>
                <w:b/>
                <w:sz w:val="20"/>
                <w:szCs w:val="20"/>
              </w:rPr>
            </w:pPr>
            <w:r w:rsidRPr="00492215">
              <w:rPr>
                <w:rFonts w:ascii="Arial Narrow" w:hAnsi="Arial Narrow"/>
                <w:b/>
                <w:sz w:val="20"/>
                <w:szCs w:val="20"/>
              </w:rPr>
              <w:t>Component</w:t>
            </w:r>
          </w:p>
        </w:tc>
        <w:tc>
          <w:tcPr>
            <w:tcW w:w="4394" w:type="dxa"/>
          </w:tcPr>
          <w:p w:rsidR="00492215" w:rsidRPr="00492215" w:rsidRDefault="00492215" w:rsidP="004B7D27">
            <w:pPr>
              <w:keepNext/>
              <w:keepLines/>
              <w:contextualSpacing/>
              <w:jc w:val="left"/>
              <w:rPr>
                <w:rFonts w:ascii="Arial Narrow" w:hAnsi="Arial Narrow"/>
                <w:b/>
                <w:sz w:val="20"/>
                <w:szCs w:val="20"/>
              </w:rPr>
            </w:pPr>
            <w:r w:rsidRPr="00492215">
              <w:rPr>
                <w:rFonts w:ascii="Arial Narrow" w:hAnsi="Arial Narrow"/>
                <w:b/>
                <w:sz w:val="20"/>
                <w:szCs w:val="20"/>
              </w:rPr>
              <w:t>Matter of concern</w:t>
            </w:r>
          </w:p>
        </w:tc>
        <w:tc>
          <w:tcPr>
            <w:tcW w:w="3635" w:type="dxa"/>
          </w:tcPr>
          <w:p w:rsidR="00492215" w:rsidRPr="00492215" w:rsidRDefault="00492215" w:rsidP="004B7D27">
            <w:pPr>
              <w:keepNext/>
              <w:keepLines/>
              <w:contextualSpacing/>
              <w:jc w:val="left"/>
              <w:rPr>
                <w:rFonts w:ascii="Arial Narrow" w:hAnsi="Arial Narrow"/>
                <w:b/>
                <w:sz w:val="20"/>
                <w:szCs w:val="20"/>
              </w:rPr>
            </w:pPr>
            <w:r w:rsidRPr="00492215">
              <w:rPr>
                <w:rFonts w:ascii="Arial Narrow" w:hAnsi="Arial Narrow"/>
                <w:b/>
                <w:sz w:val="20"/>
                <w:szCs w:val="20"/>
              </w:rPr>
              <w:t>How the resubmission addresses it</w:t>
            </w:r>
          </w:p>
        </w:tc>
      </w:tr>
      <w:tr w:rsidR="00CC3999" w:rsidRPr="00E73F44" w:rsidTr="00CE2B7C">
        <w:trPr>
          <w:cantSplit/>
        </w:trPr>
        <w:tc>
          <w:tcPr>
            <w:tcW w:w="0" w:type="auto"/>
            <w:gridSpan w:val="3"/>
          </w:tcPr>
          <w:p w:rsidR="00CC3999" w:rsidRPr="002E2A21" w:rsidRDefault="00CC3999" w:rsidP="004B7D27">
            <w:pPr>
              <w:keepNext/>
              <w:keepLines/>
              <w:contextualSpacing/>
              <w:jc w:val="left"/>
              <w:rPr>
                <w:rFonts w:ascii="Arial Narrow" w:hAnsi="Arial Narrow"/>
                <w:b/>
                <w:sz w:val="20"/>
                <w:szCs w:val="20"/>
              </w:rPr>
            </w:pPr>
            <w:r w:rsidRPr="002E2A21">
              <w:rPr>
                <w:rFonts w:ascii="Arial Narrow" w:hAnsi="Arial Narrow"/>
                <w:b/>
                <w:sz w:val="20"/>
                <w:szCs w:val="20"/>
              </w:rPr>
              <w:t>Clinical evaluation</w:t>
            </w:r>
          </w:p>
        </w:tc>
      </w:tr>
      <w:tr w:rsidR="00CC3999" w:rsidRPr="00E73F44" w:rsidTr="00CE2B7C">
        <w:trPr>
          <w:cantSplit/>
        </w:trPr>
        <w:tc>
          <w:tcPr>
            <w:tcW w:w="988" w:type="dxa"/>
            <w:vAlign w:val="center"/>
          </w:tcPr>
          <w:p w:rsidR="00CC3999" w:rsidRPr="00E73F44" w:rsidRDefault="00492215" w:rsidP="004B7D27">
            <w:pPr>
              <w:keepNext/>
              <w:keepLines/>
              <w:contextualSpacing/>
              <w:jc w:val="left"/>
              <w:rPr>
                <w:rFonts w:ascii="Arial Narrow" w:hAnsi="Arial Narrow"/>
                <w:sz w:val="20"/>
                <w:szCs w:val="20"/>
              </w:rPr>
            </w:pPr>
            <w:r>
              <w:rPr>
                <w:rFonts w:ascii="Arial Narrow" w:hAnsi="Arial Narrow"/>
                <w:sz w:val="20"/>
                <w:szCs w:val="20"/>
              </w:rPr>
              <w:t>Restriction</w:t>
            </w:r>
          </w:p>
        </w:tc>
        <w:tc>
          <w:tcPr>
            <w:tcW w:w="4394" w:type="dxa"/>
          </w:tcPr>
          <w:p w:rsidR="00CC3999" w:rsidRPr="00E73F44" w:rsidRDefault="00492215" w:rsidP="004B7D27">
            <w:pPr>
              <w:keepNext/>
              <w:keepLines/>
              <w:contextualSpacing/>
              <w:jc w:val="left"/>
              <w:rPr>
                <w:rFonts w:ascii="Arial Narrow" w:hAnsi="Arial Narrow"/>
                <w:sz w:val="20"/>
                <w:szCs w:val="20"/>
              </w:rPr>
            </w:pPr>
            <w:r>
              <w:rPr>
                <w:rFonts w:ascii="Arial Narrow" w:hAnsi="Arial Narrow"/>
                <w:sz w:val="20"/>
                <w:szCs w:val="20"/>
              </w:rPr>
              <w:t>Wording of the required diagnostic criteria, disease activity level, concomitant therapy, excluded patients, prescribers</w:t>
            </w:r>
            <w:r w:rsidR="008025BC">
              <w:rPr>
                <w:rFonts w:ascii="Arial Narrow" w:hAnsi="Arial Narrow"/>
                <w:sz w:val="20"/>
                <w:szCs w:val="20"/>
              </w:rPr>
              <w:t xml:space="preserve"> and continuation criteria. </w:t>
            </w:r>
          </w:p>
        </w:tc>
        <w:tc>
          <w:tcPr>
            <w:tcW w:w="3635" w:type="dxa"/>
          </w:tcPr>
          <w:p w:rsidR="00CC3999" w:rsidRPr="00E73F44" w:rsidRDefault="008025BC" w:rsidP="004B7D27">
            <w:pPr>
              <w:keepNext/>
              <w:keepLines/>
              <w:contextualSpacing/>
              <w:jc w:val="left"/>
              <w:rPr>
                <w:rFonts w:ascii="Arial Narrow" w:hAnsi="Arial Narrow"/>
                <w:sz w:val="20"/>
                <w:szCs w:val="20"/>
              </w:rPr>
            </w:pPr>
            <w:r>
              <w:rPr>
                <w:rFonts w:ascii="Arial Narrow" w:hAnsi="Arial Narrow"/>
                <w:sz w:val="20"/>
                <w:szCs w:val="20"/>
              </w:rPr>
              <w:t xml:space="preserve">The resubmission’s proposed restriction reflects the PBAC’s comments. </w:t>
            </w:r>
          </w:p>
        </w:tc>
      </w:tr>
      <w:tr w:rsidR="00E97AF1" w:rsidRPr="00E73F44" w:rsidTr="00CE2B7C">
        <w:trPr>
          <w:cantSplit/>
        </w:trPr>
        <w:tc>
          <w:tcPr>
            <w:tcW w:w="988" w:type="dxa"/>
            <w:vAlign w:val="center"/>
          </w:tcPr>
          <w:p w:rsidR="00E97AF1" w:rsidRDefault="00E97AF1" w:rsidP="004B7D27">
            <w:pPr>
              <w:contextualSpacing/>
              <w:jc w:val="left"/>
              <w:rPr>
                <w:rFonts w:ascii="Arial Narrow" w:hAnsi="Arial Narrow"/>
                <w:sz w:val="20"/>
                <w:szCs w:val="20"/>
              </w:rPr>
            </w:pPr>
            <w:r>
              <w:rPr>
                <w:rFonts w:ascii="Arial Narrow" w:hAnsi="Arial Narrow"/>
                <w:sz w:val="20"/>
                <w:szCs w:val="20"/>
              </w:rPr>
              <w:t>Clinical benefit</w:t>
            </w:r>
          </w:p>
        </w:tc>
        <w:tc>
          <w:tcPr>
            <w:tcW w:w="4394" w:type="dxa"/>
          </w:tcPr>
          <w:p w:rsidR="00E97AF1" w:rsidRDefault="00E97AF1" w:rsidP="004B7D27">
            <w:pPr>
              <w:contextualSpacing/>
              <w:jc w:val="left"/>
              <w:rPr>
                <w:rFonts w:ascii="Arial Narrow" w:hAnsi="Arial Narrow"/>
                <w:sz w:val="20"/>
                <w:szCs w:val="20"/>
              </w:rPr>
            </w:pPr>
            <w:r w:rsidRPr="00E97AF1">
              <w:rPr>
                <w:rFonts w:ascii="Arial Narrow" w:hAnsi="Arial Narrow"/>
                <w:sz w:val="20"/>
                <w:szCs w:val="20"/>
              </w:rPr>
              <w:t>The PBAC considered that belimumab demonstrated a modest clinical benefit compared with placebo</w:t>
            </w:r>
            <w:r w:rsidR="00FB01AC">
              <w:rPr>
                <w:rFonts w:ascii="Arial Narrow" w:hAnsi="Arial Narrow"/>
                <w:sz w:val="20"/>
                <w:szCs w:val="20"/>
              </w:rPr>
              <w:t xml:space="preserve">, and noted that the </w:t>
            </w:r>
            <w:r w:rsidR="00FB01AC" w:rsidRPr="00FB01AC">
              <w:rPr>
                <w:rFonts w:ascii="Arial Narrow" w:hAnsi="Arial Narrow"/>
                <w:sz w:val="20"/>
                <w:szCs w:val="20"/>
              </w:rPr>
              <w:t>SRI response at Week 52 was not statistically significant in the EMBRACE trial</w:t>
            </w:r>
            <w:r w:rsidR="00FB01AC">
              <w:rPr>
                <w:rFonts w:ascii="Arial Narrow" w:hAnsi="Arial Narrow"/>
                <w:sz w:val="20"/>
                <w:szCs w:val="20"/>
              </w:rPr>
              <w:t xml:space="preserve"> (</w:t>
            </w:r>
            <w:r w:rsidR="00FB01AC" w:rsidRPr="00FB01AC">
              <w:rPr>
                <w:rFonts w:ascii="Arial Narrow" w:hAnsi="Arial Narrow"/>
                <w:sz w:val="20"/>
                <w:szCs w:val="20"/>
              </w:rPr>
              <w:t>conducted in patients of African American, Native American and African descent</w:t>
            </w:r>
            <w:r w:rsidR="00FB01AC">
              <w:rPr>
                <w:rFonts w:ascii="Arial Narrow" w:hAnsi="Arial Narrow"/>
                <w:sz w:val="20"/>
                <w:szCs w:val="20"/>
              </w:rPr>
              <w:t>)</w:t>
            </w:r>
            <w:r w:rsidR="00FB01AC" w:rsidRPr="00FB01AC">
              <w:rPr>
                <w:rFonts w:ascii="Arial Narrow" w:hAnsi="Arial Narrow"/>
                <w:sz w:val="20"/>
                <w:szCs w:val="20"/>
              </w:rPr>
              <w:t>. SLE is more common and more severe in Indigenous Australians and</w:t>
            </w:r>
            <w:r w:rsidR="00FB01AC" w:rsidRPr="00FB01AC" w:rsidDel="00A816EE">
              <w:rPr>
                <w:rFonts w:ascii="Arial Narrow" w:hAnsi="Arial Narrow"/>
                <w:sz w:val="20"/>
                <w:szCs w:val="20"/>
              </w:rPr>
              <w:t xml:space="preserve"> </w:t>
            </w:r>
            <w:r w:rsidR="00FB01AC" w:rsidRPr="00FB01AC">
              <w:rPr>
                <w:rFonts w:ascii="Arial Narrow" w:hAnsi="Arial Narrow"/>
                <w:sz w:val="20"/>
                <w:szCs w:val="20"/>
              </w:rPr>
              <w:t>the applicability of the pivotal trial</w:t>
            </w:r>
            <w:r w:rsidR="00FB01AC">
              <w:rPr>
                <w:rFonts w:ascii="Arial Narrow" w:hAnsi="Arial Narrow"/>
                <w:sz w:val="20"/>
                <w:szCs w:val="20"/>
              </w:rPr>
              <w:t xml:space="preserve"> (</w:t>
            </w:r>
            <w:r w:rsidR="00FB01AC" w:rsidRPr="00FB01AC">
              <w:rPr>
                <w:rFonts w:ascii="Arial Narrow" w:hAnsi="Arial Narrow"/>
                <w:sz w:val="20"/>
                <w:szCs w:val="20"/>
              </w:rPr>
              <w:t>BLISS-SC</w:t>
            </w:r>
            <w:r w:rsidR="00FB01AC">
              <w:rPr>
                <w:rFonts w:ascii="Arial Narrow" w:hAnsi="Arial Narrow"/>
                <w:sz w:val="20"/>
                <w:szCs w:val="20"/>
              </w:rPr>
              <w:t>)</w:t>
            </w:r>
            <w:r w:rsidR="00FB01AC" w:rsidRPr="00FB01AC">
              <w:rPr>
                <w:rFonts w:ascii="Arial Narrow" w:hAnsi="Arial Narrow"/>
                <w:sz w:val="20"/>
                <w:szCs w:val="20"/>
              </w:rPr>
              <w:t xml:space="preserve"> to these patients is uncertain</w:t>
            </w:r>
            <w:r>
              <w:rPr>
                <w:rFonts w:ascii="Arial Narrow" w:hAnsi="Arial Narrow"/>
                <w:sz w:val="20"/>
                <w:szCs w:val="20"/>
              </w:rPr>
              <w:t xml:space="preserve"> (para 7.7</w:t>
            </w:r>
            <w:r w:rsidR="00FB01AC">
              <w:rPr>
                <w:rFonts w:ascii="Arial Narrow" w:hAnsi="Arial Narrow"/>
                <w:sz w:val="20"/>
                <w:szCs w:val="20"/>
              </w:rPr>
              <w:t xml:space="preserve"> – 7.8</w:t>
            </w:r>
            <w:r>
              <w:rPr>
                <w:rFonts w:ascii="Arial Narrow" w:hAnsi="Arial Narrow"/>
                <w:sz w:val="20"/>
                <w:szCs w:val="20"/>
              </w:rPr>
              <w:t xml:space="preserve">, Nov 2019 </w:t>
            </w:r>
            <w:r w:rsidR="00FE6C89">
              <w:rPr>
                <w:rFonts w:ascii="Arial Narrow" w:hAnsi="Arial Narrow"/>
                <w:sz w:val="20"/>
                <w:szCs w:val="20"/>
              </w:rPr>
              <w:t>Pubic Summary Document (</w:t>
            </w:r>
            <w:r>
              <w:rPr>
                <w:rFonts w:ascii="Arial Narrow" w:hAnsi="Arial Narrow"/>
                <w:sz w:val="20"/>
                <w:szCs w:val="20"/>
              </w:rPr>
              <w:t>PSD</w:t>
            </w:r>
            <w:r w:rsidR="00FE6C89">
              <w:rPr>
                <w:rFonts w:ascii="Arial Narrow" w:hAnsi="Arial Narrow"/>
                <w:sz w:val="20"/>
                <w:szCs w:val="20"/>
              </w:rPr>
              <w:t>)</w:t>
            </w:r>
            <w:r>
              <w:rPr>
                <w:rFonts w:ascii="Arial Narrow" w:hAnsi="Arial Narrow"/>
                <w:sz w:val="20"/>
                <w:szCs w:val="20"/>
              </w:rPr>
              <w:t>).</w:t>
            </w:r>
          </w:p>
        </w:tc>
        <w:tc>
          <w:tcPr>
            <w:tcW w:w="3635" w:type="dxa"/>
          </w:tcPr>
          <w:p w:rsidR="00E97AF1" w:rsidRDefault="00FB01AC" w:rsidP="004B7D27">
            <w:pPr>
              <w:contextualSpacing/>
              <w:jc w:val="left"/>
              <w:rPr>
                <w:rFonts w:ascii="Arial Narrow" w:hAnsi="Arial Narrow"/>
                <w:sz w:val="20"/>
                <w:szCs w:val="20"/>
              </w:rPr>
            </w:pPr>
            <w:r>
              <w:rPr>
                <w:rFonts w:ascii="Arial Narrow" w:hAnsi="Arial Narrow"/>
                <w:sz w:val="20"/>
                <w:szCs w:val="20"/>
              </w:rPr>
              <w:t xml:space="preserve">There </w:t>
            </w:r>
            <w:r w:rsidR="001B5EFC">
              <w:rPr>
                <w:rFonts w:ascii="Arial Narrow" w:hAnsi="Arial Narrow"/>
                <w:sz w:val="20"/>
                <w:szCs w:val="20"/>
              </w:rPr>
              <w:t>are</w:t>
            </w:r>
            <w:r>
              <w:rPr>
                <w:rFonts w:ascii="Arial Narrow" w:hAnsi="Arial Narrow"/>
                <w:sz w:val="20"/>
                <w:szCs w:val="20"/>
              </w:rPr>
              <w:t xml:space="preserve"> no new clinical trial data available. </w:t>
            </w:r>
          </w:p>
        </w:tc>
      </w:tr>
      <w:tr w:rsidR="00CC3999" w:rsidRPr="00E73F44" w:rsidTr="00CE2B7C">
        <w:trPr>
          <w:cantSplit/>
        </w:trPr>
        <w:tc>
          <w:tcPr>
            <w:tcW w:w="988" w:type="dxa"/>
          </w:tcPr>
          <w:p w:rsidR="00CC3999" w:rsidRPr="00E73F44" w:rsidRDefault="008025BC" w:rsidP="004B7D27">
            <w:pPr>
              <w:contextualSpacing/>
              <w:jc w:val="left"/>
              <w:rPr>
                <w:rFonts w:ascii="Arial Narrow" w:hAnsi="Arial Narrow"/>
                <w:sz w:val="20"/>
                <w:szCs w:val="20"/>
              </w:rPr>
            </w:pPr>
            <w:r>
              <w:rPr>
                <w:rFonts w:ascii="Arial Narrow" w:hAnsi="Arial Narrow"/>
                <w:sz w:val="20"/>
                <w:szCs w:val="20"/>
              </w:rPr>
              <w:t>SDI progression</w:t>
            </w:r>
          </w:p>
        </w:tc>
        <w:tc>
          <w:tcPr>
            <w:tcW w:w="4394" w:type="dxa"/>
          </w:tcPr>
          <w:p w:rsidR="00CC3999" w:rsidRPr="00E73F44" w:rsidRDefault="008025BC" w:rsidP="004B7D27">
            <w:pPr>
              <w:contextualSpacing/>
              <w:jc w:val="left"/>
              <w:rPr>
                <w:rFonts w:ascii="Arial Narrow" w:hAnsi="Arial Narrow"/>
                <w:sz w:val="20"/>
                <w:szCs w:val="20"/>
              </w:rPr>
            </w:pPr>
            <w:r w:rsidRPr="008025BC">
              <w:rPr>
                <w:rFonts w:ascii="Arial Narrow" w:hAnsi="Arial Narrow"/>
                <w:sz w:val="20"/>
                <w:szCs w:val="20"/>
              </w:rPr>
              <w:t>The economic model was based on organ damage (SDI progression), however the PBAC considered that the benefit of belimumab in reducing SDI progression was not adequately supported</w:t>
            </w:r>
            <w:r>
              <w:rPr>
                <w:rFonts w:ascii="Arial Narrow" w:hAnsi="Arial Narrow"/>
                <w:sz w:val="20"/>
                <w:szCs w:val="20"/>
              </w:rPr>
              <w:t xml:space="preserve"> (para 7.9, Nov 2019 PSD).</w:t>
            </w:r>
          </w:p>
        </w:tc>
        <w:tc>
          <w:tcPr>
            <w:tcW w:w="3635" w:type="dxa"/>
          </w:tcPr>
          <w:p w:rsidR="00CC3999" w:rsidRPr="00E73F44" w:rsidRDefault="008025BC" w:rsidP="004B7D27">
            <w:pPr>
              <w:contextualSpacing/>
              <w:jc w:val="left"/>
              <w:rPr>
                <w:rFonts w:ascii="Arial Narrow" w:hAnsi="Arial Narrow"/>
                <w:sz w:val="20"/>
                <w:szCs w:val="20"/>
              </w:rPr>
            </w:pPr>
            <w:r>
              <w:rPr>
                <w:rFonts w:ascii="Arial Narrow" w:hAnsi="Arial Narrow"/>
                <w:sz w:val="20"/>
                <w:szCs w:val="20"/>
              </w:rPr>
              <w:t xml:space="preserve">The resubmission presented additional analyses </w:t>
            </w:r>
            <w:r w:rsidR="00E97AF1">
              <w:rPr>
                <w:rFonts w:ascii="Arial Narrow" w:hAnsi="Arial Narrow"/>
                <w:sz w:val="20"/>
                <w:szCs w:val="20"/>
              </w:rPr>
              <w:t xml:space="preserve">at Week 52 in the trials, </w:t>
            </w:r>
            <w:r>
              <w:rPr>
                <w:rFonts w:ascii="Arial Narrow" w:hAnsi="Arial Narrow"/>
                <w:sz w:val="20"/>
                <w:szCs w:val="20"/>
              </w:rPr>
              <w:t>on the proportion of patients free from SDI progression, LS mean change from baseline in SDI score</w:t>
            </w:r>
            <w:r w:rsidR="00E97AF1">
              <w:rPr>
                <w:rFonts w:ascii="Arial Narrow" w:hAnsi="Arial Narrow"/>
                <w:sz w:val="20"/>
                <w:szCs w:val="20"/>
              </w:rPr>
              <w:t xml:space="preserve"> and the</w:t>
            </w:r>
            <w:r>
              <w:rPr>
                <w:rFonts w:ascii="Arial Narrow" w:hAnsi="Arial Narrow"/>
                <w:sz w:val="20"/>
                <w:szCs w:val="20"/>
              </w:rPr>
              <w:t xml:space="preserve"> percentage of patients with SDI worsening</w:t>
            </w:r>
            <w:r w:rsidR="00E97AF1">
              <w:rPr>
                <w:rFonts w:ascii="Arial Narrow" w:hAnsi="Arial Narrow"/>
                <w:sz w:val="20"/>
                <w:szCs w:val="20"/>
              </w:rPr>
              <w:t xml:space="preserve">. </w:t>
            </w:r>
          </w:p>
        </w:tc>
      </w:tr>
      <w:tr w:rsidR="00FB01AC" w:rsidRPr="00E73F44" w:rsidTr="00CE2B7C">
        <w:trPr>
          <w:cantSplit/>
        </w:trPr>
        <w:tc>
          <w:tcPr>
            <w:tcW w:w="988" w:type="dxa"/>
          </w:tcPr>
          <w:p w:rsidR="00FB01AC" w:rsidRDefault="00FB01AC" w:rsidP="004B7D27">
            <w:pPr>
              <w:contextualSpacing/>
              <w:jc w:val="left"/>
              <w:rPr>
                <w:rFonts w:ascii="Arial Narrow" w:hAnsi="Arial Narrow"/>
                <w:sz w:val="20"/>
                <w:szCs w:val="20"/>
              </w:rPr>
            </w:pPr>
            <w:r>
              <w:rPr>
                <w:rFonts w:ascii="Arial Narrow" w:hAnsi="Arial Narrow"/>
                <w:sz w:val="20"/>
                <w:szCs w:val="20"/>
              </w:rPr>
              <w:t>Clinical claim</w:t>
            </w:r>
          </w:p>
        </w:tc>
        <w:tc>
          <w:tcPr>
            <w:tcW w:w="4394" w:type="dxa"/>
          </w:tcPr>
          <w:p w:rsidR="00FB01AC" w:rsidRPr="008025BC" w:rsidRDefault="00FB01AC" w:rsidP="004B7D27">
            <w:pPr>
              <w:contextualSpacing/>
              <w:jc w:val="left"/>
              <w:rPr>
                <w:rFonts w:ascii="Arial Narrow" w:hAnsi="Arial Narrow"/>
                <w:sz w:val="20"/>
                <w:szCs w:val="20"/>
              </w:rPr>
            </w:pPr>
            <w:r w:rsidRPr="00FB01AC">
              <w:rPr>
                <w:rFonts w:ascii="Arial Narrow" w:hAnsi="Arial Narrow"/>
                <w:sz w:val="20"/>
                <w:szCs w:val="20"/>
              </w:rPr>
              <w:t xml:space="preserve">The PBAC considered that, given the potential severity of </w:t>
            </w:r>
            <w:r>
              <w:rPr>
                <w:rFonts w:ascii="Arial Narrow" w:hAnsi="Arial Narrow"/>
                <w:sz w:val="20"/>
                <w:szCs w:val="20"/>
              </w:rPr>
              <w:t>psychiatric</w:t>
            </w:r>
            <w:r w:rsidRPr="00FB01AC">
              <w:rPr>
                <w:rFonts w:ascii="Arial Narrow" w:hAnsi="Arial Narrow"/>
                <w:sz w:val="20"/>
                <w:szCs w:val="20"/>
              </w:rPr>
              <w:t xml:space="preserve"> adverse events, belimumab had inferior safety versus SOC alone</w:t>
            </w:r>
            <w:r>
              <w:rPr>
                <w:rFonts w:ascii="Arial Narrow" w:hAnsi="Arial Narrow"/>
                <w:sz w:val="20"/>
                <w:szCs w:val="20"/>
              </w:rPr>
              <w:t xml:space="preserve"> (para 7.10, Nov 2019 PSD). </w:t>
            </w:r>
          </w:p>
        </w:tc>
        <w:tc>
          <w:tcPr>
            <w:tcW w:w="3635" w:type="dxa"/>
          </w:tcPr>
          <w:p w:rsidR="00FB01AC" w:rsidRDefault="00FB01AC" w:rsidP="005F0489">
            <w:pPr>
              <w:contextualSpacing/>
              <w:jc w:val="left"/>
              <w:rPr>
                <w:rFonts w:ascii="Arial Narrow" w:hAnsi="Arial Narrow"/>
                <w:sz w:val="20"/>
                <w:szCs w:val="20"/>
              </w:rPr>
            </w:pPr>
            <w:r>
              <w:rPr>
                <w:rFonts w:ascii="Arial Narrow" w:hAnsi="Arial Narrow"/>
                <w:sz w:val="20"/>
                <w:szCs w:val="20"/>
              </w:rPr>
              <w:t xml:space="preserve">The resubmission revised the clinical claim to inferior safety of belimumab compared to placebo. </w:t>
            </w:r>
          </w:p>
        </w:tc>
      </w:tr>
      <w:tr w:rsidR="00CC3999" w:rsidRPr="00E73F44" w:rsidTr="00CE2B7C">
        <w:trPr>
          <w:cantSplit/>
        </w:trPr>
        <w:tc>
          <w:tcPr>
            <w:tcW w:w="0" w:type="auto"/>
            <w:gridSpan w:val="3"/>
          </w:tcPr>
          <w:p w:rsidR="00CC3999" w:rsidRPr="002E2A21" w:rsidRDefault="00CC3999" w:rsidP="004B7D27">
            <w:pPr>
              <w:contextualSpacing/>
              <w:jc w:val="left"/>
              <w:rPr>
                <w:rFonts w:ascii="Arial Narrow" w:hAnsi="Arial Narrow"/>
                <w:b/>
                <w:sz w:val="20"/>
                <w:szCs w:val="20"/>
              </w:rPr>
            </w:pPr>
            <w:r w:rsidRPr="002E2A21">
              <w:rPr>
                <w:rFonts w:ascii="Arial Narrow" w:hAnsi="Arial Narrow"/>
                <w:b/>
                <w:sz w:val="20"/>
                <w:szCs w:val="20"/>
              </w:rPr>
              <w:t>Economic evaluation</w:t>
            </w:r>
          </w:p>
        </w:tc>
      </w:tr>
      <w:tr w:rsidR="00F37AA6" w:rsidRPr="00F37AA6" w:rsidTr="00240A6E">
        <w:trPr>
          <w:cantSplit/>
        </w:trPr>
        <w:tc>
          <w:tcPr>
            <w:tcW w:w="988" w:type="dxa"/>
          </w:tcPr>
          <w:p w:rsidR="00F37AA6" w:rsidRPr="00F37AA6" w:rsidRDefault="00F37AA6" w:rsidP="004B7D27">
            <w:pPr>
              <w:contextualSpacing/>
              <w:jc w:val="left"/>
              <w:rPr>
                <w:rFonts w:ascii="Arial Narrow" w:hAnsi="Arial Narrow"/>
                <w:sz w:val="20"/>
                <w:szCs w:val="20"/>
              </w:rPr>
            </w:pPr>
            <w:r w:rsidRPr="00F37AA6">
              <w:rPr>
                <w:rFonts w:ascii="Arial Narrow" w:hAnsi="Arial Narrow"/>
                <w:sz w:val="20"/>
                <w:szCs w:val="20"/>
              </w:rPr>
              <w:t>Model structure</w:t>
            </w:r>
          </w:p>
        </w:tc>
        <w:tc>
          <w:tcPr>
            <w:tcW w:w="4394" w:type="dxa"/>
            <w:tcBorders>
              <w:bottom w:val="nil"/>
            </w:tcBorders>
          </w:tcPr>
          <w:p w:rsidR="00F37AA6" w:rsidRPr="00F37AA6" w:rsidRDefault="00F37AA6" w:rsidP="00240A6E">
            <w:pPr>
              <w:contextualSpacing/>
              <w:jc w:val="left"/>
              <w:rPr>
                <w:rFonts w:ascii="Arial Narrow" w:hAnsi="Arial Narrow"/>
                <w:sz w:val="20"/>
                <w:szCs w:val="20"/>
              </w:rPr>
            </w:pPr>
            <w:r>
              <w:rPr>
                <w:rFonts w:ascii="Arial Narrow" w:hAnsi="Arial Narrow"/>
                <w:sz w:val="20"/>
                <w:szCs w:val="20"/>
              </w:rPr>
              <w:t>The model did not differentiate between responders and non-responders in the SOC arms</w:t>
            </w:r>
            <w:r w:rsidR="00240A6E">
              <w:rPr>
                <w:rFonts w:ascii="Arial Narrow" w:hAnsi="Arial Narrow"/>
                <w:sz w:val="20"/>
                <w:szCs w:val="20"/>
              </w:rPr>
              <w:t>.</w:t>
            </w:r>
          </w:p>
        </w:tc>
        <w:tc>
          <w:tcPr>
            <w:tcW w:w="3635" w:type="dxa"/>
            <w:tcBorders>
              <w:bottom w:val="nil"/>
            </w:tcBorders>
          </w:tcPr>
          <w:p w:rsidR="00F37AA6" w:rsidRPr="00F37AA6" w:rsidRDefault="00F37AA6" w:rsidP="004B7D27">
            <w:pPr>
              <w:contextualSpacing/>
              <w:jc w:val="left"/>
              <w:rPr>
                <w:rFonts w:ascii="Arial Narrow" w:hAnsi="Arial Narrow"/>
                <w:sz w:val="20"/>
                <w:szCs w:val="20"/>
              </w:rPr>
            </w:pPr>
            <w:r>
              <w:rPr>
                <w:rFonts w:ascii="Arial Narrow" w:hAnsi="Arial Narrow"/>
                <w:sz w:val="20"/>
                <w:szCs w:val="20"/>
              </w:rPr>
              <w:t xml:space="preserve">The resubmission restructured the SOC arm to split the responders and non-responders. </w:t>
            </w:r>
          </w:p>
        </w:tc>
      </w:tr>
      <w:tr w:rsidR="00F37AA6" w:rsidRPr="00E73F44" w:rsidTr="00240A6E">
        <w:trPr>
          <w:cantSplit/>
        </w:trPr>
        <w:tc>
          <w:tcPr>
            <w:tcW w:w="988" w:type="dxa"/>
            <w:vMerge w:val="restart"/>
          </w:tcPr>
          <w:p w:rsidR="00F37AA6" w:rsidRDefault="00F37AA6" w:rsidP="004B7D27">
            <w:pPr>
              <w:contextualSpacing/>
              <w:jc w:val="left"/>
              <w:rPr>
                <w:rFonts w:ascii="Arial Narrow" w:hAnsi="Arial Narrow"/>
                <w:sz w:val="20"/>
                <w:szCs w:val="20"/>
              </w:rPr>
            </w:pPr>
            <w:r>
              <w:rPr>
                <w:rFonts w:ascii="Arial Narrow" w:hAnsi="Arial Narrow"/>
                <w:sz w:val="20"/>
                <w:szCs w:val="20"/>
              </w:rPr>
              <w:t>SDI progression</w:t>
            </w:r>
          </w:p>
        </w:tc>
        <w:tc>
          <w:tcPr>
            <w:tcW w:w="4394" w:type="dxa"/>
            <w:tcBorders>
              <w:bottom w:val="nil"/>
            </w:tcBorders>
          </w:tcPr>
          <w:p w:rsidR="00F37AA6" w:rsidRPr="00DB6582" w:rsidRDefault="00F37AA6" w:rsidP="004B7D27">
            <w:pPr>
              <w:jc w:val="left"/>
              <w:rPr>
                <w:rFonts w:ascii="Arial Narrow" w:hAnsi="Arial Narrow"/>
                <w:sz w:val="20"/>
                <w:szCs w:val="20"/>
              </w:rPr>
            </w:pPr>
            <w:r>
              <w:rPr>
                <w:rFonts w:ascii="Arial Narrow" w:hAnsi="Arial Narrow"/>
                <w:sz w:val="20"/>
                <w:szCs w:val="20"/>
              </w:rPr>
              <w:t xml:space="preserve">The model assumed that </w:t>
            </w:r>
            <w:r w:rsidRPr="0054011D">
              <w:rPr>
                <w:rFonts w:ascii="Arial Narrow" w:hAnsi="Arial Narrow"/>
                <w:sz w:val="20"/>
                <w:szCs w:val="20"/>
              </w:rPr>
              <w:t>treatment with belimumab reduced the rate of SDI progression and consequently reduced mortality.</w:t>
            </w:r>
            <w:r>
              <w:rPr>
                <w:rFonts w:ascii="Arial Narrow" w:hAnsi="Arial Narrow"/>
                <w:sz w:val="20"/>
                <w:szCs w:val="20"/>
              </w:rPr>
              <w:t xml:space="preserve"> The PBAC </w:t>
            </w:r>
            <w:r w:rsidRPr="00C91DA2">
              <w:rPr>
                <w:rFonts w:ascii="Arial Narrow" w:hAnsi="Arial Narrow"/>
                <w:sz w:val="20"/>
                <w:szCs w:val="20"/>
              </w:rPr>
              <w:t xml:space="preserve">considered that the submission had not adequately demonstrated an improvement in SDI progression (para 6.23, </w:t>
            </w:r>
            <w:r>
              <w:rPr>
                <w:rFonts w:ascii="Arial Narrow" w:hAnsi="Arial Narrow"/>
                <w:sz w:val="20"/>
                <w:szCs w:val="20"/>
              </w:rPr>
              <w:t xml:space="preserve">Nov 2019 </w:t>
            </w:r>
            <w:r w:rsidRPr="00C91DA2">
              <w:rPr>
                <w:rFonts w:ascii="Arial Narrow" w:hAnsi="Arial Narrow"/>
                <w:sz w:val="20"/>
                <w:szCs w:val="20"/>
              </w:rPr>
              <w:t>PSD).</w:t>
            </w:r>
            <w:r w:rsidR="00F9258A">
              <w:rPr>
                <w:rFonts w:ascii="Arial Narrow" w:hAnsi="Arial Narrow"/>
                <w:sz w:val="20"/>
                <w:szCs w:val="20"/>
              </w:rPr>
              <w:t xml:space="preserve"> </w:t>
            </w:r>
          </w:p>
        </w:tc>
        <w:tc>
          <w:tcPr>
            <w:tcW w:w="3635" w:type="dxa"/>
            <w:tcBorders>
              <w:bottom w:val="nil"/>
            </w:tcBorders>
          </w:tcPr>
          <w:p w:rsidR="00F37AA6" w:rsidRDefault="00F37AA6" w:rsidP="004B7D27">
            <w:pPr>
              <w:contextualSpacing/>
              <w:jc w:val="left"/>
              <w:rPr>
                <w:rFonts w:ascii="Arial Narrow" w:hAnsi="Arial Narrow"/>
                <w:sz w:val="20"/>
                <w:szCs w:val="20"/>
              </w:rPr>
            </w:pPr>
            <w:r>
              <w:rPr>
                <w:rFonts w:ascii="Arial Narrow" w:hAnsi="Arial Narrow"/>
                <w:sz w:val="20"/>
                <w:szCs w:val="20"/>
              </w:rPr>
              <w:t>The</w:t>
            </w:r>
            <w:r w:rsidR="009B1682">
              <w:rPr>
                <w:rFonts w:ascii="Arial Narrow" w:hAnsi="Arial Narrow"/>
                <w:sz w:val="20"/>
                <w:szCs w:val="20"/>
              </w:rPr>
              <w:t xml:space="preserve"> resubmission continued to assume that belimumab would reduce the rate of SDI progression. </w:t>
            </w:r>
          </w:p>
          <w:p w:rsidR="00F37AA6" w:rsidRPr="00E73F44" w:rsidRDefault="00F37AA6" w:rsidP="00FA06BA">
            <w:pPr>
              <w:contextualSpacing/>
              <w:jc w:val="left"/>
              <w:rPr>
                <w:rFonts w:ascii="Arial Narrow" w:hAnsi="Arial Narrow"/>
                <w:sz w:val="20"/>
                <w:szCs w:val="20"/>
              </w:rPr>
            </w:pPr>
            <w:r>
              <w:rPr>
                <w:rFonts w:ascii="Arial Narrow" w:hAnsi="Arial Narrow"/>
                <w:sz w:val="20"/>
                <w:szCs w:val="20"/>
              </w:rPr>
              <w:t xml:space="preserve">The resubmission maintained that </w:t>
            </w:r>
            <w:r w:rsidRPr="0054011D">
              <w:rPr>
                <w:rFonts w:ascii="Arial Narrow" w:hAnsi="Arial Narrow"/>
                <w:sz w:val="20"/>
                <w:szCs w:val="20"/>
              </w:rPr>
              <w:t xml:space="preserve">SLE disease activity and damage </w:t>
            </w:r>
            <w:r>
              <w:rPr>
                <w:rFonts w:ascii="Arial Narrow" w:hAnsi="Arial Narrow"/>
                <w:sz w:val="20"/>
                <w:szCs w:val="20"/>
              </w:rPr>
              <w:t>is overall associated with increased organ damage accrual and mortality</w:t>
            </w:r>
            <w:r w:rsidRPr="00FA21DE">
              <w:rPr>
                <w:rFonts w:ascii="Arial Narrow" w:hAnsi="Arial Narrow"/>
                <w:sz w:val="20"/>
                <w:szCs w:val="20"/>
              </w:rPr>
              <w:t>.</w:t>
            </w:r>
            <w:r w:rsidR="003A08CF" w:rsidRPr="00FA21DE">
              <w:rPr>
                <w:rFonts w:ascii="Arial Narrow" w:hAnsi="Arial Narrow"/>
                <w:sz w:val="20"/>
                <w:szCs w:val="20"/>
              </w:rPr>
              <w:t xml:space="preserve"> </w:t>
            </w:r>
          </w:p>
        </w:tc>
      </w:tr>
      <w:tr w:rsidR="000371CD" w:rsidRPr="00E73F44" w:rsidTr="00240A6E">
        <w:trPr>
          <w:cantSplit/>
        </w:trPr>
        <w:tc>
          <w:tcPr>
            <w:tcW w:w="988" w:type="dxa"/>
            <w:vMerge/>
          </w:tcPr>
          <w:p w:rsidR="000371CD" w:rsidRDefault="000371CD" w:rsidP="004B7D27">
            <w:pPr>
              <w:contextualSpacing/>
              <w:jc w:val="left"/>
              <w:rPr>
                <w:rFonts w:ascii="Arial Narrow" w:hAnsi="Arial Narrow"/>
                <w:sz w:val="20"/>
                <w:szCs w:val="20"/>
              </w:rPr>
            </w:pPr>
          </w:p>
        </w:tc>
        <w:tc>
          <w:tcPr>
            <w:tcW w:w="4394" w:type="dxa"/>
            <w:tcBorders>
              <w:top w:val="nil"/>
              <w:bottom w:val="nil"/>
            </w:tcBorders>
          </w:tcPr>
          <w:p w:rsidR="00FA06BA" w:rsidRDefault="00DA33E2" w:rsidP="00064481">
            <w:pPr>
              <w:jc w:val="left"/>
              <w:rPr>
                <w:rFonts w:ascii="Arial Narrow" w:hAnsi="Arial Narrow"/>
                <w:sz w:val="20"/>
                <w:szCs w:val="20"/>
              </w:rPr>
            </w:pPr>
            <w:r>
              <w:rPr>
                <w:rFonts w:ascii="Arial Narrow" w:hAnsi="Arial Narrow"/>
                <w:sz w:val="20"/>
              </w:rPr>
              <w:t>T</w:t>
            </w:r>
            <w:r w:rsidRPr="00B67B8B">
              <w:rPr>
                <w:rFonts w:ascii="Arial Narrow" w:hAnsi="Arial Narrow" w:cs="Times New Roman"/>
                <w:sz w:val="20"/>
              </w:rPr>
              <w:t>ransition probabilities for SDI progression for</w:t>
            </w:r>
            <w:r>
              <w:rPr>
                <w:rFonts w:ascii="Arial Narrow" w:hAnsi="Arial Narrow" w:cs="Times New Roman"/>
                <w:sz w:val="20"/>
              </w:rPr>
              <w:t xml:space="preserve"> the</w:t>
            </w:r>
            <w:r w:rsidRPr="00B67B8B">
              <w:rPr>
                <w:rFonts w:ascii="Arial Narrow" w:hAnsi="Arial Narrow" w:cs="Times New Roman"/>
                <w:sz w:val="20"/>
              </w:rPr>
              <w:t xml:space="preserve"> BEL</w:t>
            </w:r>
            <w:r>
              <w:rPr>
                <w:rFonts w:ascii="Arial Narrow" w:hAnsi="Arial Narrow" w:cs="Times New Roman"/>
                <w:sz w:val="20"/>
              </w:rPr>
              <w:t xml:space="preserve"> arm w</w:t>
            </w:r>
            <w:r w:rsidR="00064481">
              <w:rPr>
                <w:rFonts w:ascii="Arial Narrow" w:hAnsi="Arial Narrow" w:cs="Times New Roman"/>
                <w:sz w:val="20"/>
              </w:rPr>
              <w:t>ere</w:t>
            </w:r>
            <w:r>
              <w:rPr>
                <w:rFonts w:ascii="Arial Narrow" w:hAnsi="Arial Narrow" w:cs="Times New Roman"/>
                <w:sz w:val="20"/>
              </w:rPr>
              <w:t xml:space="preserve"> informed by Urowitz et al 2018. </w:t>
            </w:r>
            <w:r w:rsidRPr="00DA33E2">
              <w:rPr>
                <w:rFonts w:ascii="Arial Narrow" w:hAnsi="Arial Narrow" w:cs="Times New Roman"/>
                <w:sz w:val="20"/>
              </w:rPr>
              <w:t>The PBAC considered that Urowitz et al 2018 was not reliable due to a high risk of unmeasured confounders</w:t>
            </w:r>
            <w:r w:rsidR="003160CA">
              <w:rPr>
                <w:rFonts w:ascii="Arial Narrow" w:hAnsi="Arial Narrow" w:cs="Times New Roman"/>
                <w:sz w:val="20"/>
              </w:rPr>
              <w:t xml:space="preserve"> (para 7.9, </w:t>
            </w:r>
            <w:r w:rsidR="003160CA">
              <w:rPr>
                <w:rFonts w:ascii="Arial Narrow" w:hAnsi="Arial Narrow"/>
                <w:sz w:val="20"/>
                <w:szCs w:val="20"/>
              </w:rPr>
              <w:t xml:space="preserve">Nov 2019 </w:t>
            </w:r>
            <w:r w:rsidR="003160CA" w:rsidRPr="00C91DA2">
              <w:rPr>
                <w:rFonts w:ascii="Arial Narrow" w:hAnsi="Arial Narrow"/>
                <w:sz w:val="20"/>
                <w:szCs w:val="20"/>
              </w:rPr>
              <w:t>PSD</w:t>
            </w:r>
            <w:r w:rsidR="003160CA">
              <w:rPr>
                <w:rFonts w:ascii="Arial Narrow" w:hAnsi="Arial Narrow"/>
                <w:sz w:val="20"/>
                <w:szCs w:val="20"/>
              </w:rPr>
              <w:t>)</w:t>
            </w:r>
            <w:r w:rsidR="00FA06BA">
              <w:rPr>
                <w:rFonts w:ascii="Arial Narrow" w:hAnsi="Arial Narrow"/>
                <w:sz w:val="20"/>
                <w:szCs w:val="20"/>
              </w:rPr>
              <w:t>.</w:t>
            </w:r>
          </w:p>
        </w:tc>
        <w:tc>
          <w:tcPr>
            <w:tcW w:w="3635" w:type="dxa"/>
            <w:tcBorders>
              <w:top w:val="nil"/>
              <w:bottom w:val="nil"/>
            </w:tcBorders>
          </w:tcPr>
          <w:p w:rsidR="000371CD" w:rsidRDefault="003160CA" w:rsidP="00FA06BA">
            <w:pPr>
              <w:contextualSpacing/>
              <w:jc w:val="left"/>
              <w:rPr>
                <w:rFonts w:ascii="Arial Narrow" w:hAnsi="Arial Narrow"/>
                <w:sz w:val="20"/>
                <w:szCs w:val="20"/>
              </w:rPr>
            </w:pPr>
            <w:r>
              <w:rPr>
                <w:rFonts w:ascii="Arial Narrow" w:hAnsi="Arial Narrow"/>
                <w:sz w:val="20"/>
                <w:szCs w:val="20"/>
              </w:rPr>
              <w:t xml:space="preserve">The resubmission used the odds ratio of </w:t>
            </w:r>
            <w:r w:rsidRPr="003B55B5">
              <w:rPr>
                <w:rFonts w:ascii="Arial Narrow" w:hAnsi="Arial Narrow"/>
                <w:sz w:val="20"/>
                <w:szCs w:val="20"/>
              </w:rPr>
              <w:t>patients with SDI worsening at Week 52 compared with baseline</w:t>
            </w:r>
            <w:r w:rsidR="00FA06BA">
              <w:rPr>
                <w:rFonts w:ascii="Arial Narrow" w:hAnsi="Arial Narrow"/>
                <w:sz w:val="20"/>
                <w:szCs w:val="20"/>
              </w:rPr>
              <w:t xml:space="preserve"> from BLISS-SC.</w:t>
            </w:r>
          </w:p>
        </w:tc>
      </w:tr>
      <w:tr w:rsidR="00F37AA6" w:rsidRPr="00E73F44" w:rsidTr="00240A6E">
        <w:trPr>
          <w:cantSplit/>
        </w:trPr>
        <w:tc>
          <w:tcPr>
            <w:tcW w:w="988" w:type="dxa"/>
            <w:vMerge/>
          </w:tcPr>
          <w:p w:rsidR="00F37AA6" w:rsidRDefault="00F37AA6" w:rsidP="004B7D27">
            <w:pPr>
              <w:contextualSpacing/>
              <w:jc w:val="left"/>
              <w:rPr>
                <w:rFonts w:ascii="Arial Narrow" w:hAnsi="Arial Narrow"/>
                <w:sz w:val="20"/>
                <w:szCs w:val="20"/>
              </w:rPr>
            </w:pPr>
          </w:p>
        </w:tc>
        <w:tc>
          <w:tcPr>
            <w:tcW w:w="4394" w:type="dxa"/>
            <w:tcBorders>
              <w:top w:val="nil"/>
              <w:bottom w:val="single" w:sz="4" w:space="0" w:color="auto"/>
            </w:tcBorders>
          </w:tcPr>
          <w:p w:rsidR="00F37AA6" w:rsidRPr="00E73F44" w:rsidRDefault="00F37AA6" w:rsidP="004B7D27">
            <w:pPr>
              <w:contextualSpacing/>
              <w:jc w:val="left"/>
              <w:rPr>
                <w:rFonts w:ascii="Arial Narrow" w:hAnsi="Arial Narrow"/>
                <w:sz w:val="20"/>
                <w:szCs w:val="20"/>
              </w:rPr>
            </w:pPr>
            <w:r w:rsidRPr="007325F9">
              <w:rPr>
                <w:rFonts w:ascii="Arial Narrow" w:hAnsi="Arial Narrow"/>
                <w:sz w:val="20"/>
                <w:szCs w:val="20"/>
              </w:rPr>
              <w:t>The ESC and the PBAC previously considered that the reliability and applicability of the Bruce et al 2015 model predictions were unclear.</w:t>
            </w:r>
            <w:r>
              <w:rPr>
                <w:rFonts w:ascii="Arial Narrow" w:hAnsi="Arial Narrow"/>
                <w:sz w:val="20"/>
                <w:szCs w:val="20"/>
              </w:rPr>
              <w:t xml:space="preserve"> </w:t>
            </w:r>
            <w:r w:rsidRPr="007325F9">
              <w:rPr>
                <w:rFonts w:ascii="Arial Narrow" w:hAnsi="Arial Narrow"/>
                <w:sz w:val="20"/>
                <w:szCs w:val="20"/>
              </w:rPr>
              <w:t xml:space="preserve">The description of the method was vague and the impact of other simplifying assumptions was unknown (paragraph 6.26, </w:t>
            </w:r>
            <w:r w:rsidR="000371CD">
              <w:rPr>
                <w:rFonts w:ascii="Arial Narrow" w:hAnsi="Arial Narrow"/>
                <w:sz w:val="20"/>
                <w:szCs w:val="20"/>
              </w:rPr>
              <w:t xml:space="preserve">Nov 2019 </w:t>
            </w:r>
            <w:r w:rsidR="000371CD" w:rsidRPr="00C91DA2">
              <w:rPr>
                <w:rFonts w:ascii="Arial Narrow" w:hAnsi="Arial Narrow"/>
                <w:sz w:val="20"/>
                <w:szCs w:val="20"/>
              </w:rPr>
              <w:t>PSD</w:t>
            </w:r>
            <w:r w:rsidRPr="007325F9">
              <w:rPr>
                <w:rFonts w:ascii="Arial Narrow" w:hAnsi="Arial Narrow"/>
                <w:sz w:val="20"/>
                <w:szCs w:val="20"/>
              </w:rPr>
              <w:t>).</w:t>
            </w:r>
          </w:p>
        </w:tc>
        <w:tc>
          <w:tcPr>
            <w:tcW w:w="3635" w:type="dxa"/>
            <w:tcBorders>
              <w:top w:val="nil"/>
              <w:bottom w:val="single" w:sz="4" w:space="0" w:color="auto"/>
            </w:tcBorders>
          </w:tcPr>
          <w:p w:rsidR="00F37AA6" w:rsidRPr="00E73F44" w:rsidRDefault="00F37AA6" w:rsidP="004B7D27">
            <w:pPr>
              <w:contextualSpacing/>
              <w:jc w:val="left"/>
              <w:rPr>
                <w:rFonts w:ascii="Arial Narrow" w:hAnsi="Arial Narrow"/>
                <w:sz w:val="20"/>
                <w:szCs w:val="20"/>
              </w:rPr>
            </w:pPr>
            <w:r>
              <w:rPr>
                <w:rFonts w:ascii="Arial Narrow" w:hAnsi="Arial Narrow"/>
                <w:sz w:val="20"/>
                <w:szCs w:val="20"/>
              </w:rPr>
              <w:t>This was unchanged in the resub</w:t>
            </w:r>
            <w:r w:rsidR="00FA06BA">
              <w:rPr>
                <w:rFonts w:ascii="Arial Narrow" w:hAnsi="Arial Narrow"/>
                <w:sz w:val="20"/>
                <w:szCs w:val="20"/>
              </w:rPr>
              <w:t xml:space="preserve">mission and favours belimumab. </w:t>
            </w:r>
          </w:p>
        </w:tc>
      </w:tr>
      <w:tr w:rsidR="00E62BB8" w:rsidRPr="00E73F44" w:rsidTr="00240A6E">
        <w:trPr>
          <w:cantSplit/>
        </w:trPr>
        <w:tc>
          <w:tcPr>
            <w:tcW w:w="988" w:type="dxa"/>
            <w:vMerge w:val="restart"/>
          </w:tcPr>
          <w:p w:rsidR="00E62BB8" w:rsidRDefault="00E62BB8" w:rsidP="004B7D27">
            <w:pPr>
              <w:contextualSpacing/>
              <w:jc w:val="left"/>
              <w:rPr>
                <w:rFonts w:ascii="Arial Narrow" w:hAnsi="Arial Narrow"/>
                <w:sz w:val="20"/>
                <w:szCs w:val="20"/>
              </w:rPr>
            </w:pPr>
            <w:r>
              <w:rPr>
                <w:rFonts w:ascii="Arial Narrow" w:hAnsi="Arial Narrow"/>
                <w:sz w:val="20"/>
                <w:szCs w:val="20"/>
              </w:rPr>
              <w:t>Approach to modelling utility</w:t>
            </w:r>
          </w:p>
        </w:tc>
        <w:tc>
          <w:tcPr>
            <w:tcW w:w="4394" w:type="dxa"/>
            <w:tcBorders>
              <w:bottom w:val="nil"/>
            </w:tcBorders>
          </w:tcPr>
          <w:p w:rsidR="00E62BB8" w:rsidRPr="00DB6582" w:rsidRDefault="00E62BB8" w:rsidP="00F9258A">
            <w:pPr>
              <w:contextualSpacing/>
              <w:jc w:val="left"/>
              <w:rPr>
                <w:rFonts w:ascii="Arial Narrow" w:hAnsi="Arial Narrow"/>
                <w:sz w:val="20"/>
                <w:szCs w:val="20"/>
              </w:rPr>
            </w:pPr>
            <w:r w:rsidRPr="007C119E">
              <w:rPr>
                <w:rFonts w:ascii="Arial Narrow" w:hAnsi="Arial Narrow"/>
                <w:sz w:val="20"/>
                <w:szCs w:val="20"/>
              </w:rPr>
              <w:t>The model estimated considerable quality of life gains, which were driven by time on belimumab treatment, rather than</w:t>
            </w:r>
            <w:r w:rsidR="00F9258A">
              <w:rPr>
                <w:rFonts w:ascii="Arial Narrow" w:hAnsi="Arial Narrow"/>
                <w:sz w:val="20"/>
                <w:szCs w:val="20"/>
              </w:rPr>
              <w:t xml:space="preserve"> time in the SDI health states.</w:t>
            </w:r>
          </w:p>
        </w:tc>
        <w:tc>
          <w:tcPr>
            <w:tcW w:w="3635" w:type="dxa"/>
            <w:tcBorders>
              <w:bottom w:val="nil"/>
            </w:tcBorders>
          </w:tcPr>
          <w:p w:rsidR="00E62BB8" w:rsidRDefault="00E62BB8" w:rsidP="004B7D27">
            <w:pPr>
              <w:contextualSpacing/>
              <w:jc w:val="left"/>
              <w:rPr>
                <w:rFonts w:ascii="Arial Narrow" w:hAnsi="Arial Narrow"/>
                <w:sz w:val="20"/>
                <w:szCs w:val="20"/>
              </w:rPr>
            </w:pPr>
            <w:r>
              <w:rPr>
                <w:rFonts w:ascii="Arial Narrow" w:hAnsi="Arial Narrow"/>
                <w:sz w:val="20"/>
                <w:szCs w:val="20"/>
              </w:rPr>
              <w:t>This was unchanged in the resubmission.</w:t>
            </w:r>
          </w:p>
          <w:p w:rsidR="00E62BB8" w:rsidRPr="00E73F44" w:rsidRDefault="00E62BB8" w:rsidP="004B7D27">
            <w:pPr>
              <w:contextualSpacing/>
              <w:jc w:val="left"/>
              <w:rPr>
                <w:rFonts w:ascii="Arial Narrow" w:hAnsi="Arial Narrow"/>
                <w:sz w:val="20"/>
                <w:szCs w:val="20"/>
              </w:rPr>
            </w:pPr>
          </w:p>
        </w:tc>
      </w:tr>
      <w:tr w:rsidR="00E62BB8" w:rsidRPr="00E73F44" w:rsidTr="00240A6E">
        <w:trPr>
          <w:cantSplit/>
        </w:trPr>
        <w:tc>
          <w:tcPr>
            <w:tcW w:w="988" w:type="dxa"/>
            <w:vMerge/>
          </w:tcPr>
          <w:p w:rsidR="00E62BB8" w:rsidRDefault="00E62BB8" w:rsidP="004B7D27">
            <w:pPr>
              <w:contextualSpacing/>
              <w:jc w:val="left"/>
              <w:rPr>
                <w:rFonts w:ascii="Arial Narrow" w:hAnsi="Arial Narrow"/>
                <w:sz w:val="20"/>
                <w:szCs w:val="20"/>
              </w:rPr>
            </w:pPr>
          </w:p>
        </w:tc>
        <w:tc>
          <w:tcPr>
            <w:tcW w:w="4394" w:type="dxa"/>
            <w:tcBorders>
              <w:top w:val="nil"/>
            </w:tcBorders>
          </w:tcPr>
          <w:p w:rsidR="00E62BB8" w:rsidRPr="007C119E" w:rsidRDefault="00E62BB8" w:rsidP="004B7D27">
            <w:pPr>
              <w:contextualSpacing/>
              <w:jc w:val="left"/>
              <w:rPr>
                <w:rFonts w:ascii="Arial Narrow" w:hAnsi="Arial Narrow"/>
                <w:sz w:val="20"/>
                <w:szCs w:val="20"/>
              </w:rPr>
            </w:pPr>
            <w:r w:rsidRPr="000371CD">
              <w:rPr>
                <w:rFonts w:ascii="Arial Narrow" w:hAnsi="Arial Narrow"/>
                <w:sz w:val="20"/>
                <w:szCs w:val="20"/>
              </w:rPr>
              <w:t>The</w:t>
            </w:r>
            <w:r w:rsidRPr="000371CD">
              <w:rPr>
                <w:rFonts w:ascii="Arial Narrow" w:hAnsi="Arial Narrow"/>
                <w:iCs/>
                <w:sz w:val="20"/>
                <w:szCs w:val="20"/>
              </w:rPr>
              <w:t xml:space="preserve"> evaluation and the ESC considered that EQ-5D estimates by SDI health state in </w:t>
            </w:r>
            <w:r w:rsidRPr="000371CD">
              <w:rPr>
                <w:rFonts w:ascii="Arial Narrow" w:hAnsi="Arial Narrow"/>
                <w:sz w:val="20"/>
                <w:szCs w:val="20"/>
              </w:rPr>
              <w:t>Aggarwal</w:t>
            </w:r>
            <w:r w:rsidRPr="000371CD">
              <w:rPr>
                <w:rFonts w:ascii="Arial Narrow" w:hAnsi="Arial Narrow"/>
                <w:iCs/>
                <w:sz w:val="20"/>
                <w:szCs w:val="20"/>
              </w:rPr>
              <w:t xml:space="preserve"> et al 2009 were more applicable to the requested PBS population than those in Wang et al 2014</w:t>
            </w:r>
            <w:r>
              <w:rPr>
                <w:rFonts w:ascii="Arial Narrow" w:hAnsi="Arial Narrow"/>
                <w:iCs/>
                <w:sz w:val="20"/>
                <w:szCs w:val="20"/>
              </w:rPr>
              <w:t xml:space="preserve"> (para 6.56, </w:t>
            </w:r>
            <w:r>
              <w:rPr>
                <w:rFonts w:ascii="Arial Narrow" w:hAnsi="Arial Narrow"/>
                <w:sz w:val="20"/>
                <w:szCs w:val="20"/>
              </w:rPr>
              <w:t xml:space="preserve">Nov 2019 </w:t>
            </w:r>
            <w:r w:rsidRPr="00C91DA2">
              <w:rPr>
                <w:rFonts w:ascii="Arial Narrow" w:hAnsi="Arial Narrow"/>
                <w:sz w:val="20"/>
                <w:szCs w:val="20"/>
              </w:rPr>
              <w:t>PSD</w:t>
            </w:r>
            <w:r>
              <w:rPr>
                <w:rFonts w:ascii="Arial Narrow" w:hAnsi="Arial Narrow"/>
                <w:sz w:val="20"/>
                <w:szCs w:val="20"/>
              </w:rPr>
              <w:t xml:space="preserve">). </w:t>
            </w:r>
          </w:p>
        </w:tc>
        <w:tc>
          <w:tcPr>
            <w:tcW w:w="3635" w:type="dxa"/>
            <w:tcBorders>
              <w:top w:val="nil"/>
            </w:tcBorders>
          </w:tcPr>
          <w:p w:rsidR="00E62BB8" w:rsidRDefault="00E62BB8" w:rsidP="00726CF4">
            <w:pPr>
              <w:contextualSpacing/>
              <w:jc w:val="left"/>
              <w:rPr>
                <w:rFonts w:ascii="Arial Narrow" w:hAnsi="Arial Narrow"/>
                <w:sz w:val="20"/>
                <w:szCs w:val="20"/>
              </w:rPr>
            </w:pPr>
            <w:r>
              <w:rPr>
                <w:rFonts w:ascii="Arial Narrow" w:hAnsi="Arial Narrow"/>
                <w:sz w:val="20"/>
                <w:szCs w:val="20"/>
              </w:rPr>
              <w:t>Th</w:t>
            </w:r>
            <w:r w:rsidR="007A13A7">
              <w:rPr>
                <w:rFonts w:ascii="Arial Narrow" w:hAnsi="Arial Narrow"/>
                <w:sz w:val="20"/>
                <w:szCs w:val="20"/>
              </w:rPr>
              <w:t>e</w:t>
            </w:r>
            <w:r>
              <w:rPr>
                <w:rFonts w:ascii="Arial Narrow" w:hAnsi="Arial Narrow"/>
                <w:sz w:val="20"/>
                <w:szCs w:val="20"/>
              </w:rPr>
              <w:t xml:space="preserve"> </w:t>
            </w:r>
            <w:r w:rsidR="007A13A7">
              <w:rPr>
                <w:rFonts w:ascii="Arial Narrow" w:hAnsi="Arial Narrow"/>
                <w:sz w:val="20"/>
                <w:szCs w:val="20"/>
              </w:rPr>
              <w:t xml:space="preserve">use of utility values from Wang et al 2014 </w:t>
            </w:r>
            <w:r>
              <w:rPr>
                <w:rFonts w:ascii="Arial Narrow" w:hAnsi="Arial Narrow"/>
                <w:sz w:val="20"/>
                <w:szCs w:val="20"/>
              </w:rPr>
              <w:t xml:space="preserve">was unchanged </w:t>
            </w:r>
            <w:r w:rsidR="00954E0D">
              <w:rPr>
                <w:rFonts w:ascii="Arial Narrow" w:hAnsi="Arial Narrow"/>
                <w:sz w:val="20"/>
                <w:szCs w:val="20"/>
              </w:rPr>
              <w:t>from</w:t>
            </w:r>
            <w:r>
              <w:rPr>
                <w:rFonts w:ascii="Arial Narrow" w:hAnsi="Arial Narrow"/>
                <w:sz w:val="20"/>
                <w:szCs w:val="20"/>
              </w:rPr>
              <w:t xml:space="preserve"> the </w:t>
            </w:r>
            <w:r w:rsidR="00954E0D">
              <w:rPr>
                <w:rFonts w:ascii="Arial Narrow" w:hAnsi="Arial Narrow"/>
                <w:sz w:val="20"/>
                <w:szCs w:val="20"/>
              </w:rPr>
              <w:t xml:space="preserve">previous </w:t>
            </w:r>
            <w:r>
              <w:rPr>
                <w:rFonts w:ascii="Arial Narrow" w:hAnsi="Arial Narrow"/>
                <w:sz w:val="20"/>
                <w:szCs w:val="20"/>
              </w:rPr>
              <w:t xml:space="preserve">submission and favours belimumab. </w:t>
            </w:r>
          </w:p>
        </w:tc>
      </w:tr>
      <w:tr w:rsidR="00CC3999" w:rsidRPr="00E73F44" w:rsidTr="00CE2B7C">
        <w:trPr>
          <w:cantSplit/>
        </w:trPr>
        <w:tc>
          <w:tcPr>
            <w:tcW w:w="0" w:type="auto"/>
            <w:gridSpan w:val="3"/>
          </w:tcPr>
          <w:p w:rsidR="00CC3999" w:rsidRPr="002E2A21" w:rsidRDefault="00CC3999" w:rsidP="004B7D27">
            <w:pPr>
              <w:contextualSpacing/>
              <w:jc w:val="left"/>
              <w:rPr>
                <w:rFonts w:ascii="Arial Narrow" w:hAnsi="Arial Narrow"/>
                <w:b/>
                <w:sz w:val="20"/>
                <w:szCs w:val="20"/>
              </w:rPr>
            </w:pPr>
            <w:r w:rsidRPr="002E2A21">
              <w:rPr>
                <w:rFonts w:ascii="Arial Narrow" w:hAnsi="Arial Narrow"/>
                <w:b/>
                <w:sz w:val="20"/>
                <w:szCs w:val="20"/>
              </w:rPr>
              <w:t>Financial estimates</w:t>
            </w:r>
          </w:p>
        </w:tc>
      </w:tr>
      <w:tr w:rsidR="00CC3999" w:rsidRPr="00E73F44" w:rsidTr="00F9258A">
        <w:trPr>
          <w:cantSplit/>
        </w:trPr>
        <w:tc>
          <w:tcPr>
            <w:tcW w:w="988" w:type="dxa"/>
          </w:tcPr>
          <w:p w:rsidR="00CC3999" w:rsidRDefault="00635F38" w:rsidP="004B7D27">
            <w:pPr>
              <w:contextualSpacing/>
              <w:jc w:val="left"/>
              <w:rPr>
                <w:rFonts w:ascii="Arial Narrow" w:hAnsi="Arial Narrow"/>
                <w:sz w:val="20"/>
                <w:szCs w:val="20"/>
              </w:rPr>
            </w:pPr>
            <w:r>
              <w:rPr>
                <w:rFonts w:ascii="Arial Narrow" w:hAnsi="Arial Narrow"/>
                <w:sz w:val="20"/>
                <w:szCs w:val="20"/>
              </w:rPr>
              <w:t>Analytical approach</w:t>
            </w:r>
          </w:p>
        </w:tc>
        <w:tc>
          <w:tcPr>
            <w:tcW w:w="4394" w:type="dxa"/>
            <w:tcBorders>
              <w:bottom w:val="single" w:sz="4" w:space="0" w:color="auto"/>
            </w:tcBorders>
          </w:tcPr>
          <w:p w:rsidR="00CC3999" w:rsidRPr="00E73F44" w:rsidRDefault="00CA2C7E" w:rsidP="004B7D27">
            <w:pPr>
              <w:contextualSpacing/>
              <w:jc w:val="left"/>
              <w:rPr>
                <w:rFonts w:ascii="Arial Narrow" w:hAnsi="Arial Narrow"/>
                <w:sz w:val="20"/>
                <w:szCs w:val="20"/>
              </w:rPr>
            </w:pPr>
            <w:r>
              <w:rPr>
                <w:rFonts w:ascii="Arial Narrow" w:hAnsi="Arial Narrow"/>
                <w:sz w:val="20"/>
                <w:szCs w:val="20"/>
              </w:rPr>
              <w:t xml:space="preserve">A mixed prevalence and incidence approach was used, which the DUSC advised was not appropriate. </w:t>
            </w:r>
          </w:p>
        </w:tc>
        <w:tc>
          <w:tcPr>
            <w:tcW w:w="3635" w:type="dxa"/>
            <w:tcBorders>
              <w:bottom w:val="single" w:sz="4" w:space="0" w:color="auto"/>
            </w:tcBorders>
          </w:tcPr>
          <w:p w:rsidR="00CC3999" w:rsidRPr="00E73F44" w:rsidRDefault="00CA2C7E" w:rsidP="004B7D27">
            <w:pPr>
              <w:contextualSpacing/>
              <w:jc w:val="left"/>
              <w:rPr>
                <w:rFonts w:ascii="Arial Narrow" w:hAnsi="Arial Narrow"/>
                <w:sz w:val="20"/>
                <w:szCs w:val="20"/>
              </w:rPr>
            </w:pPr>
            <w:r>
              <w:rPr>
                <w:rFonts w:ascii="Arial Narrow" w:hAnsi="Arial Narrow"/>
                <w:sz w:val="20"/>
                <w:szCs w:val="20"/>
              </w:rPr>
              <w:t>A prevalence only approach was adopted.</w:t>
            </w:r>
          </w:p>
        </w:tc>
      </w:tr>
      <w:tr w:rsidR="00E62BB8" w:rsidRPr="00E73F44" w:rsidTr="00F9258A">
        <w:trPr>
          <w:cantSplit/>
        </w:trPr>
        <w:tc>
          <w:tcPr>
            <w:tcW w:w="988" w:type="dxa"/>
            <w:vMerge w:val="restart"/>
          </w:tcPr>
          <w:p w:rsidR="00E62BB8" w:rsidRDefault="00E62BB8" w:rsidP="004B7D27">
            <w:pPr>
              <w:contextualSpacing/>
              <w:jc w:val="left"/>
              <w:rPr>
                <w:rFonts w:ascii="Arial Narrow" w:hAnsi="Arial Narrow"/>
                <w:sz w:val="20"/>
                <w:szCs w:val="20"/>
              </w:rPr>
            </w:pPr>
            <w:r>
              <w:rPr>
                <w:rFonts w:ascii="Arial Narrow" w:hAnsi="Arial Narrow"/>
                <w:sz w:val="20"/>
                <w:szCs w:val="20"/>
              </w:rPr>
              <w:t>Parameter values</w:t>
            </w:r>
          </w:p>
        </w:tc>
        <w:tc>
          <w:tcPr>
            <w:tcW w:w="4394" w:type="dxa"/>
            <w:tcBorders>
              <w:bottom w:val="nil"/>
            </w:tcBorders>
          </w:tcPr>
          <w:p w:rsidR="00E62BB8" w:rsidRPr="00E73F44" w:rsidRDefault="00E62BB8" w:rsidP="004B7D27">
            <w:pPr>
              <w:contextualSpacing/>
              <w:jc w:val="left"/>
              <w:rPr>
                <w:rFonts w:ascii="Arial Narrow" w:hAnsi="Arial Narrow"/>
                <w:sz w:val="20"/>
                <w:szCs w:val="20"/>
              </w:rPr>
            </w:pPr>
            <w:r>
              <w:rPr>
                <w:rFonts w:ascii="Arial Narrow" w:hAnsi="Arial Narrow"/>
                <w:sz w:val="20"/>
                <w:szCs w:val="20"/>
              </w:rPr>
              <w:t>SLE prevalence rate: the DUSC and the PBAC considered this uncertain.</w:t>
            </w:r>
          </w:p>
        </w:tc>
        <w:tc>
          <w:tcPr>
            <w:tcW w:w="3635" w:type="dxa"/>
            <w:tcBorders>
              <w:bottom w:val="nil"/>
            </w:tcBorders>
          </w:tcPr>
          <w:p w:rsidR="00E62BB8" w:rsidRPr="00E73F44" w:rsidRDefault="00E62BB8" w:rsidP="004B7D27">
            <w:pPr>
              <w:contextualSpacing/>
              <w:jc w:val="left"/>
              <w:rPr>
                <w:rFonts w:ascii="Arial Narrow" w:hAnsi="Arial Narrow"/>
                <w:sz w:val="20"/>
                <w:szCs w:val="20"/>
              </w:rPr>
            </w:pPr>
            <w:r>
              <w:rPr>
                <w:rFonts w:ascii="Arial Narrow" w:hAnsi="Arial Narrow"/>
                <w:sz w:val="20"/>
                <w:szCs w:val="20"/>
              </w:rPr>
              <w:t>This was unchanged in the resubmission.</w:t>
            </w:r>
          </w:p>
        </w:tc>
      </w:tr>
      <w:tr w:rsidR="00E62BB8" w:rsidRPr="00E73F44" w:rsidTr="00F9258A">
        <w:trPr>
          <w:cantSplit/>
        </w:trPr>
        <w:tc>
          <w:tcPr>
            <w:tcW w:w="988" w:type="dxa"/>
            <w:vMerge/>
          </w:tcPr>
          <w:p w:rsidR="00E62BB8" w:rsidRDefault="00E62BB8" w:rsidP="004B7D27">
            <w:pPr>
              <w:contextualSpacing/>
              <w:jc w:val="left"/>
              <w:rPr>
                <w:rFonts w:ascii="Arial Narrow" w:hAnsi="Arial Narrow"/>
                <w:sz w:val="20"/>
                <w:szCs w:val="20"/>
              </w:rPr>
            </w:pPr>
          </w:p>
        </w:tc>
        <w:tc>
          <w:tcPr>
            <w:tcW w:w="4394" w:type="dxa"/>
            <w:tcBorders>
              <w:top w:val="nil"/>
              <w:bottom w:val="nil"/>
            </w:tcBorders>
          </w:tcPr>
          <w:p w:rsidR="00E62BB8" w:rsidRPr="00E73F44" w:rsidRDefault="00E62BB8" w:rsidP="004B7D27">
            <w:pPr>
              <w:contextualSpacing/>
              <w:jc w:val="left"/>
              <w:rPr>
                <w:rFonts w:ascii="Arial Narrow" w:hAnsi="Arial Narrow"/>
                <w:sz w:val="20"/>
                <w:szCs w:val="20"/>
              </w:rPr>
            </w:pPr>
            <w:r>
              <w:rPr>
                <w:rFonts w:ascii="Arial Narrow" w:hAnsi="Arial Narrow"/>
                <w:sz w:val="20"/>
                <w:szCs w:val="20"/>
              </w:rPr>
              <w:t>The PBAC considered the proportion of SLE patients assumed to meet the proposed PBS criteria likely overestimated (para 7.12, Nov 2019 PSD).</w:t>
            </w:r>
          </w:p>
        </w:tc>
        <w:tc>
          <w:tcPr>
            <w:tcW w:w="3635" w:type="dxa"/>
            <w:tcBorders>
              <w:top w:val="nil"/>
              <w:bottom w:val="nil"/>
            </w:tcBorders>
          </w:tcPr>
          <w:p w:rsidR="00E62BB8" w:rsidRPr="00E73F44" w:rsidRDefault="00E62BB8" w:rsidP="004B7D27">
            <w:pPr>
              <w:contextualSpacing/>
              <w:jc w:val="left"/>
              <w:rPr>
                <w:rFonts w:ascii="Arial Narrow" w:hAnsi="Arial Narrow"/>
                <w:sz w:val="20"/>
                <w:szCs w:val="20"/>
              </w:rPr>
            </w:pPr>
            <w:r>
              <w:rPr>
                <w:rFonts w:ascii="Arial Narrow" w:hAnsi="Arial Narrow"/>
                <w:sz w:val="20"/>
                <w:szCs w:val="20"/>
              </w:rPr>
              <w:t xml:space="preserve">This was unchanged in the resubmission, despite a tighter PBS restriction, which would reduce the proportion of SLE patients able to meet PBS eligibility criteria. </w:t>
            </w:r>
          </w:p>
        </w:tc>
      </w:tr>
      <w:tr w:rsidR="00E62BB8" w:rsidRPr="00E73F44" w:rsidTr="00F9258A">
        <w:trPr>
          <w:cantSplit/>
        </w:trPr>
        <w:tc>
          <w:tcPr>
            <w:tcW w:w="988" w:type="dxa"/>
            <w:vMerge/>
          </w:tcPr>
          <w:p w:rsidR="00E62BB8" w:rsidRDefault="00E62BB8" w:rsidP="004B7D27">
            <w:pPr>
              <w:contextualSpacing/>
              <w:jc w:val="left"/>
              <w:rPr>
                <w:rFonts w:ascii="Arial Narrow" w:hAnsi="Arial Narrow"/>
                <w:sz w:val="20"/>
                <w:szCs w:val="20"/>
              </w:rPr>
            </w:pPr>
          </w:p>
        </w:tc>
        <w:tc>
          <w:tcPr>
            <w:tcW w:w="4394" w:type="dxa"/>
            <w:tcBorders>
              <w:top w:val="nil"/>
              <w:bottom w:val="nil"/>
            </w:tcBorders>
          </w:tcPr>
          <w:p w:rsidR="00E62BB8" w:rsidRPr="00E73F44" w:rsidRDefault="00E62BB8" w:rsidP="004B7D27">
            <w:pPr>
              <w:contextualSpacing/>
              <w:jc w:val="left"/>
              <w:rPr>
                <w:rFonts w:ascii="Arial Narrow" w:hAnsi="Arial Narrow"/>
                <w:sz w:val="20"/>
                <w:szCs w:val="20"/>
              </w:rPr>
            </w:pPr>
            <w:r>
              <w:rPr>
                <w:rFonts w:ascii="Arial Narrow" w:hAnsi="Arial Narrow"/>
                <w:sz w:val="20"/>
                <w:szCs w:val="20"/>
              </w:rPr>
              <w:t>The DUSC considered that the proportion of patients continuing treatment was likely overestimated, and the PBAC considered that the continuation rates were uncertain (para 6.66, Nov 2019 PSD).</w:t>
            </w:r>
          </w:p>
        </w:tc>
        <w:tc>
          <w:tcPr>
            <w:tcW w:w="3635" w:type="dxa"/>
            <w:tcBorders>
              <w:top w:val="nil"/>
              <w:bottom w:val="nil"/>
            </w:tcBorders>
          </w:tcPr>
          <w:p w:rsidR="00E62BB8" w:rsidRPr="00E73F44" w:rsidRDefault="00E62BB8" w:rsidP="004B7D27">
            <w:pPr>
              <w:contextualSpacing/>
              <w:jc w:val="left"/>
              <w:rPr>
                <w:rFonts w:ascii="Arial Narrow" w:hAnsi="Arial Narrow"/>
                <w:sz w:val="20"/>
                <w:szCs w:val="20"/>
              </w:rPr>
            </w:pPr>
            <w:r>
              <w:rPr>
                <w:rFonts w:ascii="Arial Narrow" w:hAnsi="Arial Narrow"/>
                <w:sz w:val="20"/>
                <w:szCs w:val="20"/>
              </w:rPr>
              <w:t xml:space="preserve">This was unchanged in the resubmission. </w:t>
            </w:r>
          </w:p>
        </w:tc>
      </w:tr>
      <w:tr w:rsidR="00E62BB8" w:rsidRPr="00E73F44" w:rsidTr="00F9258A">
        <w:trPr>
          <w:cantSplit/>
        </w:trPr>
        <w:tc>
          <w:tcPr>
            <w:tcW w:w="988" w:type="dxa"/>
            <w:vMerge/>
          </w:tcPr>
          <w:p w:rsidR="00E62BB8" w:rsidRDefault="00E62BB8" w:rsidP="004B7D27">
            <w:pPr>
              <w:contextualSpacing/>
              <w:jc w:val="left"/>
              <w:rPr>
                <w:rFonts w:ascii="Arial Narrow" w:hAnsi="Arial Narrow"/>
                <w:sz w:val="20"/>
                <w:szCs w:val="20"/>
              </w:rPr>
            </w:pPr>
          </w:p>
        </w:tc>
        <w:tc>
          <w:tcPr>
            <w:tcW w:w="4394" w:type="dxa"/>
            <w:tcBorders>
              <w:top w:val="nil"/>
            </w:tcBorders>
          </w:tcPr>
          <w:p w:rsidR="00E62BB8" w:rsidRDefault="00E62BB8" w:rsidP="004B7D27">
            <w:pPr>
              <w:contextualSpacing/>
              <w:jc w:val="left"/>
              <w:rPr>
                <w:rFonts w:ascii="Arial Narrow" w:hAnsi="Arial Narrow"/>
                <w:sz w:val="20"/>
                <w:szCs w:val="20"/>
              </w:rPr>
            </w:pPr>
            <w:r w:rsidRPr="00177E84">
              <w:rPr>
                <w:rFonts w:ascii="Arial Narrow" w:hAnsi="Arial Narrow"/>
                <w:sz w:val="20"/>
                <w:szCs w:val="20"/>
              </w:rPr>
              <w:t>The submission assumed a compliance rate of 100%. The compliance rate in BLISS-SC was 96%. However, the DUSC considered that compliance in the PBS setting is anticipated to be lower than in the clinical trial setting</w:t>
            </w:r>
            <w:r>
              <w:rPr>
                <w:rFonts w:ascii="Arial Narrow" w:hAnsi="Arial Narrow"/>
                <w:sz w:val="20"/>
                <w:szCs w:val="20"/>
              </w:rPr>
              <w:t xml:space="preserve"> (para 6.67, Nov 2019 PSD).</w:t>
            </w:r>
          </w:p>
        </w:tc>
        <w:tc>
          <w:tcPr>
            <w:tcW w:w="3635" w:type="dxa"/>
            <w:tcBorders>
              <w:top w:val="nil"/>
            </w:tcBorders>
          </w:tcPr>
          <w:p w:rsidR="00E62BB8" w:rsidRDefault="00E62BB8" w:rsidP="004B7D27">
            <w:pPr>
              <w:contextualSpacing/>
              <w:jc w:val="left"/>
              <w:rPr>
                <w:rFonts w:ascii="Arial Narrow" w:hAnsi="Arial Narrow"/>
                <w:sz w:val="20"/>
                <w:szCs w:val="20"/>
              </w:rPr>
            </w:pPr>
            <w:r>
              <w:rPr>
                <w:rFonts w:ascii="Arial Narrow" w:hAnsi="Arial Narrow"/>
                <w:sz w:val="20"/>
                <w:szCs w:val="20"/>
              </w:rPr>
              <w:t>This was unchanged in the resubmission.</w:t>
            </w:r>
          </w:p>
        </w:tc>
      </w:tr>
      <w:tr w:rsidR="00117841" w:rsidRPr="00E73F44" w:rsidTr="00CE2B7C">
        <w:trPr>
          <w:cantSplit/>
        </w:trPr>
        <w:tc>
          <w:tcPr>
            <w:tcW w:w="988" w:type="dxa"/>
          </w:tcPr>
          <w:p w:rsidR="00117841" w:rsidRDefault="00117841" w:rsidP="004B7D27">
            <w:pPr>
              <w:contextualSpacing/>
              <w:jc w:val="left"/>
              <w:rPr>
                <w:rFonts w:ascii="Arial Narrow" w:hAnsi="Arial Narrow"/>
                <w:sz w:val="20"/>
                <w:szCs w:val="20"/>
              </w:rPr>
            </w:pPr>
            <w:r>
              <w:rPr>
                <w:rFonts w:ascii="Arial Narrow" w:hAnsi="Arial Narrow"/>
                <w:sz w:val="20"/>
                <w:szCs w:val="20"/>
              </w:rPr>
              <w:t>Uptake rate</w:t>
            </w:r>
          </w:p>
        </w:tc>
        <w:tc>
          <w:tcPr>
            <w:tcW w:w="4394" w:type="dxa"/>
          </w:tcPr>
          <w:p w:rsidR="00117841" w:rsidRDefault="00117841" w:rsidP="004B7D27">
            <w:pPr>
              <w:contextualSpacing/>
              <w:jc w:val="left"/>
              <w:rPr>
                <w:rFonts w:ascii="Arial Narrow" w:hAnsi="Arial Narrow"/>
                <w:sz w:val="20"/>
                <w:szCs w:val="20"/>
              </w:rPr>
            </w:pPr>
            <w:r w:rsidRPr="00117841">
              <w:rPr>
                <w:rFonts w:ascii="Arial Narrow" w:hAnsi="Arial Narrow"/>
                <w:sz w:val="20"/>
                <w:szCs w:val="20"/>
              </w:rPr>
              <w:t>The PBAC considered the uptake rates (15-40%) are highly uncertain</w:t>
            </w:r>
            <w:r>
              <w:rPr>
                <w:rFonts w:ascii="Arial Narrow" w:hAnsi="Arial Narrow"/>
                <w:sz w:val="20"/>
                <w:szCs w:val="20"/>
              </w:rPr>
              <w:t xml:space="preserve">. </w:t>
            </w:r>
            <w:r w:rsidRPr="00117841">
              <w:rPr>
                <w:rFonts w:ascii="Arial Narrow" w:hAnsi="Arial Narrow"/>
                <w:sz w:val="20"/>
                <w:szCs w:val="20"/>
              </w:rPr>
              <w:t>Further, the PBAC considered that the treatment effect is modest and use may be associated with potentially severe adverse events, which may temper uptake (para 6.64,</w:t>
            </w:r>
            <w:r>
              <w:rPr>
                <w:rFonts w:ascii="Arial Narrow" w:hAnsi="Arial Narrow"/>
                <w:sz w:val="20"/>
                <w:szCs w:val="20"/>
              </w:rPr>
              <w:t xml:space="preserve"> Nov 2019 PSD).</w:t>
            </w:r>
          </w:p>
        </w:tc>
        <w:tc>
          <w:tcPr>
            <w:tcW w:w="3635" w:type="dxa"/>
          </w:tcPr>
          <w:p w:rsidR="00117841" w:rsidRDefault="00117841" w:rsidP="004B7D27">
            <w:pPr>
              <w:contextualSpacing/>
              <w:jc w:val="left"/>
              <w:rPr>
                <w:rFonts w:ascii="Arial Narrow" w:hAnsi="Arial Narrow"/>
                <w:sz w:val="20"/>
                <w:szCs w:val="20"/>
              </w:rPr>
            </w:pPr>
            <w:r>
              <w:rPr>
                <w:rFonts w:ascii="Arial Narrow" w:hAnsi="Arial Narrow"/>
                <w:sz w:val="20"/>
                <w:szCs w:val="20"/>
              </w:rPr>
              <w:t xml:space="preserve">The resubmission increased the uptake rates to 20% - 50% over Year 1 – Year 6. </w:t>
            </w:r>
          </w:p>
        </w:tc>
      </w:tr>
    </w:tbl>
    <w:p w:rsidR="00CC3999" w:rsidRDefault="0045020A" w:rsidP="0045020A">
      <w:pPr>
        <w:pStyle w:val="3-BodyText"/>
        <w:rPr>
          <w:rFonts w:ascii="Arial Narrow" w:hAnsi="Arial Narrow"/>
          <w:sz w:val="18"/>
          <w:szCs w:val="18"/>
        </w:rPr>
      </w:pPr>
      <w:r w:rsidRPr="00E164AB">
        <w:rPr>
          <w:rFonts w:ascii="Arial Narrow" w:hAnsi="Arial Narrow"/>
          <w:sz w:val="18"/>
          <w:szCs w:val="18"/>
        </w:rPr>
        <w:t>Source: compiled during the evaluation</w:t>
      </w:r>
    </w:p>
    <w:p w:rsidR="00E164AB" w:rsidRPr="00E164AB" w:rsidRDefault="00E164AB" w:rsidP="00AC2022">
      <w:pPr>
        <w:pStyle w:val="3-BodyText"/>
        <w:ind w:hanging="40"/>
        <w:rPr>
          <w:rFonts w:ascii="Arial Narrow" w:hAnsi="Arial Narrow"/>
          <w:sz w:val="18"/>
          <w:szCs w:val="18"/>
        </w:rPr>
      </w:pPr>
      <w:r w:rsidRPr="009F609B">
        <w:rPr>
          <w:i/>
        </w:rPr>
        <w:t>For more detail on PBAC’s view, see section 7 PBAC outcome.</w:t>
      </w:r>
    </w:p>
    <w:p w:rsidR="00172AD3" w:rsidRDefault="00172AD3" w:rsidP="00CE2B7C">
      <w:pPr>
        <w:pStyle w:val="PBACHeading1"/>
        <w:keepNext/>
      </w:pPr>
      <w:bookmarkStart w:id="10" w:name="_Toc40113246"/>
      <w:r w:rsidRPr="00ED7E3E">
        <w:t>Requested listing</w:t>
      </w:r>
      <w:bookmarkEnd w:id="10"/>
    </w:p>
    <w:p w:rsidR="00252899" w:rsidRPr="00252899" w:rsidRDefault="00252899" w:rsidP="00CE2B7C">
      <w:pPr>
        <w:keepNext/>
        <w:widowControl/>
      </w:pPr>
    </w:p>
    <w:p w:rsidR="009440D0" w:rsidRPr="00671389" w:rsidRDefault="00671389" w:rsidP="00671389">
      <w:pPr>
        <w:pStyle w:val="ListParagraph"/>
        <w:keepNext/>
        <w:widowControl/>
        <w:numPr>
          <w:ilvl w:val="1"/>
          <w:numId w:val="1"/>
        </w:numPr>
      </w:pPr>
      <w:r w:rsidRPr="007773E4">
        <w:rPr>
          <w:rFonts w:cs="Calibri"/>
          <w:bCs/>
        </w:rPr>
        <w:t xml:space="preserve">The </w:t>
      </w:r>
      <w:r>
        <w:rPr>
          <w:rFonts w:cs="Calibri"/>
          <w:bCs/>
        </w:rPr>
        <w:t xml:space="preserve">PBS </w:t>
      </w:r>
      <w:r w:rsidR="006B0E0A">
        <w:rPr>
          <w:rFonts w:cs="Calibri"/>
          <w:bCs/>
        </w:rPr>
        <w:t xml:space="preserve">listing </w:t>
      </w:r>
      <w:r w:rsidRPr="007773E4">
        <w:rPr>
          <w:rFonts w:cs="Calibri"/>
          <w:bCs/>
        </w:rPr>
        <w:t xml:space="preserve">requested by the submission is outlined below. Suggestions and additions proposed by the PBAC </w:t>
      </w:r>
      <w:r w:rsidR="006B0E0A">
        <w:rPr>
          <w:rFonts w:cs="Calibri"/>
          <w:bCs/>
        </w:rPr>
        <w:t xml:space="preserve">Secretariat </w:t>
      </w:r>
      <w:r w:rsidRPr="007773E4">
        <w:rPr>
          <w:rFonts w:cs="Calibri"/>
          <w:bCs/>
        </w:rPr>
        <w:t xml:space="preserve">are added in italics and suggested deletions are crossed out with </w:t>
      </w:r>
      <w:r w:rsidRPr="00671389">
        <w:rPr>
          <w:rFonts w:cs="Calibri"/>
          <w:bCs/>
        </w:rPr>
        <w:t xml:space="preserve">strikethrough. </w:t>
      </w:r>
    </w:p>
    <w:p w:rsidR="00671389" w:rsidRDefault="00671389" w:rsidP="009440D0">
      <w:pPr>
        <w:rPr>
          <w:rFonts w:asciiTheme="minorHAnsi" w:hAnsiTheme="minorHAnsi" w:cstheme="minorHAnsi"/>
          <w:i/>
          <w:highlight w:val="yellow"/>
        </w:rPr>
      </w:pPr>
    </w:p>
    <w:p w:rsidR="00123265" w:rsidRDefault="00123265" w:rsidP="009440D0">
      <w:pPr>
        <w:rPr>
          <w:rFonts w:asciiTheme="minorHAnsi" w:hAnsiTheme="minorHAnsi" w:cstheme="minorHAnsi"/>
          <w:i/>
          <w:highlight w:val="yellow"/>
        </w:rPr>
      </w:pPr>
    </w:p>
    <w:p w:rsidR="00123265" w:rsidRPr="00E164AB" w:rsidRDefault="00123265" w:rsidP="009440D0">
      <w:pPr>
        <w:rPr>
          <w:rFonts w:asciiTheme="minorHAnsi" w:hAnsiTheme="minorHAnsi" w:cstheme="minorHAnsi"/>
          <w:i/>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31"/>
        <w:gridCol w:w="1726"/>
        <w:gridCol w:w="1488"/>
        <w:gridCol w:w="801"/>
        <w:gridCol w:w="1771"/>
      </w:tblGrid>
      <w:tr w:rsidR="009440D0" w:rsidRPr="00671389" w:rsidTr="006B0E0A">
        <w:tc>
          <w:tcPr>
            <w:tcW w:w="1792" w:type="pct"/>
            <w:shd w:val="clear" w:color="auto" w:fill="FFFFFF" w:themeFill="background1"/>
          </w:tcPr>
          <w:p w:rsidR="009440D0" w:rsidRPr="00671389" w:rsidRDefault="009440D0" w:rsidP="009440D0">
            <w:pPr>
              <w:tabs>
                <w:tab w:val="left" w:pos="1134"/>
              </w:tabs>
              <w:spacing w:before="60" w:after="40"/>
              <w:rPr>
                <w:rFonts w:ascii="Arial Narrow" w:hAnsi="Arial Narrow"/>
                <w:b/>
                <w:bCs/>
                <w:sz w:val="20"/>
                <w:szCs w:val="20"/>
              </w:rPr>
            </w:pPr>
            <w:r w:rsidRPr="00671389">
              <w:rPr>
                <w:rFonts w:ascii="Arial Narrow" w:hAnsi="Arial Narrow"/>
                <w:b/>
                <w:bCs/>
                <w:sz w:val="20"/>
                <w:szCs w:val="20"/>
              </w:rPr>
              <w:lastRenderedPageBreak/>
              <w:t>Name, manner of admin, form</w:t>
            </w:r>
          </w:p>
        </w:tc>
        <w:tc>
          <w:tcPr>
            <w:tcW w:w="957" w:type="pct"/>
            <w:shd w:val="clear" w:color="auto" w:fill="FFFFFF" w:themeFill="background1"/>
          </w:tcPr>
          <w:p w:rsidR="009440D0" w:rsidRPr="00671389" w:rsidRDefault="009440D0" w:rsidP="009440D0">
            <w:pPr>
              <w:tabs>
                <w:tab w:val="left" w:pos="1134"/>
              </w:tabs>
              <w:spacing w:before="60" w:after="40"/>
              <w:jc w:val="center"/>
              <w:rPr>
                <w:rFonts w:ascii="Arial Narrow" w:hAnsi="Arial Narrow"/>
                <w:b/>
                <w:bCs/>
                <w:sz w:val="20"/>
                <w:szCs w:val="20"/>
              </w:rPr>
            </w:pPr>
            <w:r w:rsidRPr="00671389">
              <w:rPr>
                <w:rFonts w:ascii="Arial Narrow" w:hAnsi="Arial Narrow"/>
                <w:b/>
                <w:sz w:val="20"/>
                <w:szCs w:val="20"/>
              </w:rPr>
              <w:t>Maximum quantity (packs)</w:t>
            </w:r>
          </w:p>
        </w:tc>
        <w:tc>
          <w:tcPr>
            <w:tcW w:w="825" w:type="pct"/>
            <w:shd w:val="clear" w:color="auto" w:fill="FFFFFF" w:themeFill="background1"/>
          </w:tcPr>
          <w:p w:rsidR="009440D0" w:rsidRPr="00671389" w:rsidRDefault="009440D0" w:rsidP="009440D0">
            <w:pPr>
              <w:tabs>
                <w:tab w:val="left" w:pos="1134"/>
              </w:tabs>
              <w:spacing w:before="60" w:after="40"/>
              <w:jc w:val="center"/>
              <w:rPr>
                <w:rFonts w:ascii="Arial Narrow" w:hAnsi="Arial Narrow"/>
                <w:b/>
                <w:bCs/>
                <w:sz w:val="20"/>
                <w:szCs w:val="20"/>
              </w:rPr>
            </w:pPr>
            <w:r w:rsidRPr="00671389">
              <w:rPr>
                <w:rFonts w:ascii="Arial Narrow" w:hAnsi="Arial Narrow"/>
                <w:b/>
                <w:bCs/>
                <w:sz w:val="20"/>
                <w:szCs w:val="20"/>
              </w:rPr>
              <w:t>Maximum quantity (units)</w:t>
            </w:r>
          </w:p>
        </w:tc>
        <w:tc>
          <w:tcPr>
            <w:tcW w:w="444" w:type="pct"/>
            <w:shd w:val="clear" w:color="auto" w:fill="FFFFFF" w:themeFill="background1"/>
          </w:tcPr>
          <w:p w:rsidR="009440D0" w:rsidRPr="00671389" w:rsidRDefault="009440D0" w:rsidP="009440D0">
            <w:pPr>
              <w:tabs>
                <w:tab w:val="left" w:pos="1134"/>
              </w:tabs>
              <w:spacing w:before="60" w:after="40"/>
              <w:jc w:val="center"/>
              <w:rPr>
                <w:rFonts w:ascii="Arial Narrow" w:hAnsi="Arial Narrow"/>
                <w:b/>
                <w:bCs/>
                <w:sz w:val="20"/>
                <w:szCs w:val="20"/>
              </w:rPr>
            </w:pPr>
            <w:r w:rsidRPr="00671389">
              <w:rPr>
                <w:rFonts w:ascii="Arial Narrow" w:hAnsi="Arial Narrow"/>
                <w:b/>
                <w:bCs/>
                <w:sz w:val="20"/>
                <w:szCs w:val="20"/>
              </w:rPr>
              <w:t>No. of repeats</w:t>
            </w:r>
          </w:p>
        </w:tc>
        <w:tc>
          <w:tcPr>
            <w:tcW w:w="983" w:type="pct"/>
            <w:shd w:val="clear" w:color="auto" w:fill="FFFFFF" w:themeFill="background1"/>
          </w:tcPr>
          <w:p w:rsidR="009440D0" w:rsidRPr="00671389" w:rsidRDefault="009440D0" w:rsidP="009440D0">
            <w:pPr>
              <w:tabs>
                <w:tab w:val="left" w:pos="1134"/>
              </w:tabs>
              <w:spacing w:before="60" w:after="40"/>
              <w:jc w:val="center"/>
              <w:rPr>
                <w:rFonts w:ascii="Arial Narrow" w:hAnsi="Arial Narrow"/>
                <w:b/>
                <w:bCs/>
                <w:sz w:val="20"/>
                <w:szCs w:val="20"/>
              </w:rPr>
            </w:pPr>
            <w:r w:rsidRPr="00671389">
              <w:rPr>
                <w:rFonts w:ascii="Arial Narrow" w:hAnsi="Arial Narrow"/>
                <w:b/>
                <w:bCs/>
                <w:sz w:val="20"/>
                <w:szCs w:val="20"/>
              </w:rPr>
              <w:t>Proprietary name and manufacturer</w:t>
            </w:r>
          </w:p>
        </w:tc>
      </w:tr>
      <w:tr w:rsidR="009440D0" w:rsidRPr="00E164AB" w:rsidTr="006B0E0A">
        <w:trPr>
          <w:trHeight w:val="101"/>
        </w:trPr>
        <w:tc>
          <w:tcPr>
            <w:tcW w:w="1792" w:type="pct"/>
            <w:shd w:val="clear" w:color="auto" w:fill="FFFFFF" w:themeFill="background1"/>
          </w:tcPr>
          <w:p w:rsidR="009440D0" w:rsidRPr="00671389" w:rsidRDefault="009440D0" w:rsidP="009440D0">
            <w:pPr>
              <w:tabs>
                <w:tab w:val="left" w:pos="1134"/>
              </w:tabs>
              <w:spacing w:before="60" w:after="40"/>
              <w:rPr>
                <w:rFonts w:ascii="Arial Narrow" w:hAnsi="Arial Narrow"/>
                <w:bCs/>
                <w:sz w:val="20"/>
                <w:szCs w:val="20"/>
              </w:rPr>
            </w:pPr>
            <w:r w:rsidRPr="00671389">
              <w:rPr>
                <w:rFonts w:ascii="Arial Narrow" w:hAnsi="Arial Narrow"/>
                <w:bCs/>
                <w:sz w:val="20"/>
                <w:szCs w:val="20"/>
              </w:rPr>
              <w:t>Belimumab</w:t>
            </w:r>
          </w:p>
          <w:p w:rsidR="009440D0" w:rsidRPr="00671389" w:rsidRDefault="009440D0" w:rsidP="009440D0">
            <w:pPr>
              <w:tabs>
                <w:tab w:val="left" w:pos="1134"/>
              </w:tabs>
              <w:spacing w:before="60" w:after="40"/>
              <w:rPr>
                <w:rFonts w:ascii="Arial Narrow" w:hAnsi="Arial Narrow"/>
                <w:bCs/>
                <w:sz w:val="20"/>
                <w:szCs w:val="20"/>
              </w:rPr>
            </w:pPr>
            <w:r w:rsidRPr="00671389">
              <w:rPr>
                <w:rFonts w:ascii="Arial Narrow" w:hAnsi="Arial Narrow"/>
                <w:bCs/>
                <w:sz w:val="20"/>
                <w:szCs w:val="20"/>
              </w:rPr>
              <w:t>Single-dose pre-filled autoinjector contains 200 mg</w:t>
            </w:r>
          </w:p>
        </w:tc>
        <w:tc>
          <w:tcPr>
            <w:tcW w:w="957" w:type="pct"/>
            <w:shd w:val="clear" w:color="auto" w:fill="FFFFFF" w:themeFill="background1"/>
          </w:tcPr>
          <w:p w:rsidR="009440D0" w:rsidRPr="00671389" w:rsidRDefault="009440D0" w:rsidP="009440D0">
            <w:pPr>
              <w:tabs>
                <w:tab w:val="left" w:pos="1134"/>
              </w:tabs>
              <w:spacing w:before="60" w:after="40"/>
              <w:jc w:val="center"/>
              <w:rPr>
                <w:rFonts w:ascii="Arial Narrow" w:hAnsi="Arial Narrow"/>
                <w:bCs/>
                <w:sz w:val="20"/>
                <w:szCs w:val="20"/>
              </w:rPr>
            </w:pPr>
            <w:r w:rsidRPr="00671389">
              <w:rPr>
                <w:rFonts w:ascii="Arial Narrow" w:hAnsi="Arial Narrow"/>
                <w:sz w:val="20"/>
                <w:szCs w:val="20"/>
              </w:rPr>
              <w:t>1</w:t>
            </w:r>
          </w:p>
        </w:tc>
        <w:tc>
          <w:tcPr>
            <w:tcW w:w="825" w:type="pct"/>
            <w:shd w:val="clear" w:color="auto" w:fill="FFFFFF" w:themeFill="background1"/>
          </w:tcPr>
          <w:p w:rsidR="009440D0" w:rsidRPr="00671389" w:rsidRDefault="009440D0" w:rsidP="009440D0">
            <w:pPr>
              <w:tabs>
                <w:tab w:val="left" w:pos="1134"/>
              </w:tabs>
              <w:spacing w:before="60" w:after="40"/>
              <w:jc w:val="center"/>
              <w:rPr>
                <w:rFonts w:ascii="Arial Narrow" w:hAnsi="Arial Narrow"/>
                <w:bCs/>
                <w:sz w:val="20"/>
                <w:szCs w:val="20"/>
              </w:rPr>
            </w:pPr>
            <w:r w:rsidRPr="00671389">
              <w:rPr>
                <w:rFonts w:ascii="Arial Narrow" w:hAnsi="Arial Narrow"/>
                <w:bCs/>
                <w:sz w:val="20"/>
                <w:szCs w:val="20"/>
              </w:rPr>
              <w:t>4</w:t>
            </w:r>
          </w:p>
        </w:tc>
        <w:tc>
          <w:tcPr>
            <w:tcW w:w="444" w:type="pct"/>
            <w:shd w:val="clear" w:color="auto" w:fill="FFFFFF" w:themeFill="background1"/>
          </w:tcPr>
          <w:p w:rsidR="009440D0" w:rsidRPr="00671389" w:rsidRDefault="009440D0" w:rsidP="009440D0">
            <w:pPr>
              <w:tabs>
                <w:tab w:val="left" w:pos="1134"/>
              </w:tabs>
              <w:spacing w:before="60" w:after="40"/>
              <w:jc w:val="center"/>
              <w:rPr>
                <w:rFonts w:ascii="Arial Narrow" w:hAnsi="Arial Narrow"/>
                <w:bCs/>
                <w:sz w:val="20"/>
                <w:szCs w:val="20"/>
              </w:rPr>
            </w:pPr>
            <w:r w:rsidRPr="00671389">
              <w:rPr>
                <w:rFonts w:ascii="Arial Narrow" w:hAnsi="Arial Narrow"/>
                <w:bCs/>
                <w:sz w:val="20"/>
                <w:szCs w:val="20"/>
              </w:rPr>
              <w:t>5</w:t>
            </w:r>
          </w:p>
        </w:tc>
        <w:tc>
          <w:tcPr>
            <w:tcW w:w="983" w:type="pct"/>
            <w:shd w:val="clear" w:color="auto" w:fill="FFFFFF" w:themeFill="background1"/>
          </w:tcPr>
          <w:p w:rsidR="009440D0" w:rsidRPr="00671389" w:rsidRDefault="009440D0" w:rsidP="009440D0">
            <w:pPr>
              <w:tabs>
                <w:tab w:val="left" w:pos="1134"/>
              </w:tabs>
              <w:spacing w:before="60" w:after="40"/>
              <w:jc w:val="center"/>
              <w:rPr>
                <w:rFonts w:ascii="Arial Narrow" w:hAnsi="Arial Narrow"/>
                <w:bCs/>
                <w:sz w:val="20"/>
                <w:szCs w:val="20"/>
              </w:rPr>
            </w:pPr>
            <w:r w:rsidRPr="00671389">
              <w:rPr>
                <w:rFonts w:ascii="Arial Narrow" w:hAnsi="Arial Narrow"/>
                <w:bCs/>
                <w:sz w:val="20"/>
                <w:szCs w:val="20"/>
              </w:rPr>
              <w:t>BENLYSTA® SC</w:t>
            </w:r>
          </w:p>
          <w:p w:rsidR="009440D0" w:rsidRPr="00671389" w:rsidRDefault="009440D0" w:rsidP="009440D0">
            <w:pPr>
              <w:tabs>
                <w:tab w:val="left" w:pos="1134"/>
              </w:tabs>
              <w:spacing w:before="60" w:after="40"/>
              <w:jc w:val="center"/>
              <w:rPr>
                <w:rFonts w:ascii="Arial Narrow" w:hAnsi="Arial Narrow"/>
                <w:bCs/>
                <w:sz w:val="20"/>
                <w:szCs w:val="20"/>
              </w:rPr>
            </w:pPr>
            <w:r w:rsidRPr="00671389">
              <w:rPr>
                <w:rFonts w:ascii="Arial Narrow" w:hAnsi="Arial Narrow"/>
                <w:bCs/>
                <w:sz w:val="20"/>
                <w:szCs w:val="20"/>
              </w:rPr>
              <w:t>GlaxoSmithKline</w:t>
            </w:r>
          </w:p>
        </w:tc>
      </w:tr>
    </w:tbl>
    <w:p w:rsidR="009440D0" w:rsidRPr="00E164AB" w:rsidRDefault="009440D0" w:rsidP="009440D0">
      <w:pPr>
        <w:pStyle w:val="Caption"/>
        <w:keepLines/>
        <w:rPr>
          <w:highlight w:val="yellow"/>
        </w:rPr>
      </w:pPr>
    </w:p>
    <w:p w:rsidR="009440D0" w:rsidRPr="00671389" w:rsidRDefault="009440D0" w:rsidP="009440D0">
      <w:pPr>
        <w:pStyle w:val="Caption"/>
        <w:keepLines/>
        <w:rPr>
          <w:color w:val="auto"/>
          <w:sz w:val="20"/>
          <w:szCs w:val="20"/>
        </w:rPr>
      </w:pPr>
      <w:r w:rsidRPr="00671389">
        <w:rPr>
          <w:color w:val="auto"/>
          <w:sz w:val="20"/>
          <w:szCs w:val="20"/>
        </w:rPr>
        <w:t>Requested restriction – initial treatment</w:t>
      </w:r>
    </w:p>
    <w:tbl>
      <w:tblPr>
        <w:tblStyle w:val="TableGrid"/>
        <w:tblW w:w="5000" w:type="pct"/>
        <w:tblLook w:val="04A0" w:firstRow="1" w:lastRow="0" w:firstColumn="1" w:lastColumn="0" w:noHBand="0" w:noVBand="1"/>
      </w:tblPr>
      <w:tblGrid>
        <w:gridCol w:w="9017"/>
      </w:tblGrid>
      <w:tr w:rsidR="00064481" w:rsidRPr="00671389" w:rsidTr="00064481">
        <w:tc>
          <w:tcPr>
            <w:tcW w:w="5000" w:type="pct"/>
          </w:tcPr>
          <w:p w:rsidR="00064481" w:rsidRPr="00671389" w:rsidRDefault="00064481" w:rsidP="00A245A4">
            <w:pPr>
              <w:pStyle w:val="Tabletext"/>
              <w:keepNext/>
              <w:keepLines/>
            </w:pPr>
            <w:r w:rsidRPr="00671389">
              <w:rPr>
                <w:b/>
              </w:rPr>
              <w:t>Category/program:</w:t>
            </w:r>
            <w:r w:rsidRPr="00671389">
              <w:t xml:space="preserve"> </w:t>
            </w:r>
            <w:r w:rsidRPr="009174D4">
              <w:rPr>
                <w:strike/>
              </w:rPr>
              <w:t>Highly Specialised Drugs Program (S100)</w:t>
            </w:r>
            <w:r w:rsidR="009174D4">
              <w:t xml:space="preserve"> </w:t>
            </w:r>
            <w:r w:rsidR="009174D4" w:rsidRPr="009174D4">
              <w:rPr>
                <w:i/>
                <w:szCs w:val="20"/>
              </w:rPr>
              <w:t>GENERAL – General Schedule (Code GE)</w:t>
            </w:r>
            <w:r w:rsidR="009174D4" w:rsidRPr="00211118">
              <w:rPr>
                <w:szCs w:val="20"/>
              </w:rPr>
              <w:t xml:space="preserve"> </w:t>
            </w:r>
          </w:p>
        </w:tc>
      </w:tr>
      <w:tr w:rsidR="00064481" w:rsidRPr="00671389" w:rsidTr="00064481">
        <w:tc>
          <w:tcPr>
            <w:tcW w:w="5000" w:type="pct"/>
          </w:tcPr>
          <w:p w:rsidR="00064481" w:rsidRPr="00671389" w:rsidRDefault="00064481" w:rsidP="006B0E0A">
            <w:pPr>
              <w:pStyle w:val="Tabletext"/>
              <w:keepNext/>
              <w:keepLines/>
              <w:rPr>
                <w:iCs/>
              </w:rPr>
            </w:pPr>
            <w:r w:rsidRPr="00671389">
              <w:rPr>
                <w:b/>
              </w:rPr>
              <w:t>Prescriber type:</w:t>
            </w:r>
            <w:r w:rsidRPr="00671389">
              <w:rPr>
                <w:iCs/>
              </w:rPr>
              <w:t xml:space="preserve"> </w:t>
            </w:r>
            <w:r w:rsidRPr="00671389">
              <w:rPr>
                <w:iCs/>
              </w:rPr>
              <w:fldChar w:fldCharType="begin">
                <w:ffData>
                  <w:name w:val=""/>
                  <w:enabled/>
                  <w:calcOnExit w:val="0"/>
                  <w:checkBox>
                    <w:sizeAuto/>
                    <w:default w:val="1"/>
                  </w:checkBox>
                </w:ffData>
              </w:fldChar>
            </w:r>
            <w:r w:rsidRPr="00671389">
              <w:rPr>
                <w:iCs/>
              </w:rPr>
              <w:instrText xml:space="preserve"> FORMCHECKBOX </w:instrText>
            </w:r>
            <w:r w:rsidR="00A5623D">
              <w:rPr>
                <w:iCs/>
              </w:rPr>
            </w:r>
            <w:r w:rsidR="00A5623D">
              <w:rPr>
                <w:iCs/>
              </w:rPr>
              <w:fldChar w:fldCharType="separate"/>
            </w:r>
            <w:r w:rsidRPr="00671389">
              <w:rPr>
                <w:iCs/>
              </w:rPr>
              <w:fldChar w:fldCharType="end"/>
            </w:r>
            <w:r w:rsidRPr="00671389">
              <w:rPr>
                <w:iCs/>
              </w:rPr>
              <w:t xml:space="preserve">Medical Practitioners </w:t>
            </w:r>
          </w:p>
        </w:tc>
      </w:tr>
      <w:tr w:rsidR="00064481" w:rsidRPr="00671389" w:rsidTr="00064481">
        <w:tc>
          <w:tcPr>
            <w:tcW w:w="5000" w:type="pct"/>
          </w:tcPr>
          <w:p w:rsidR="00064481" w:rsidRPr="00671389" w:rsidRDefault="00064481" w:rsidP="00A245A4">
            <w:pPr>
              <w:pStyle w:val="Tabletext"/>
              <w:keepNext/>
              <w:keepLines/>
            </w:pPr>
            <w:r w:rsidRPr="00671389">
              <w:rPr>
                <w:b/>
              </w:rPr>
              <w:t xml:space="preserve">Condition: </w:t>
            </w:r>
            <w:r w:rsidRPr="00671389">
              <w:t xml:space="preserve">Systemic lupus erythematosus </w:t>
            </w:r>
          </w:p>
        </w:tc>
      </w:tr>
      <w:tr w:rsidR="00064481" w:rsidRPr="00671389" w:rsidTr="00064481">
        <w:tc>
          <w:tcPr>
            <w:tcW w:w="5000" w:type="pct"/>
          </w:tcPr>
          <w:p w:rsidR="00064481" w:rsidRPr="00671389" w:rsidRDefault="00064481" w:rsidP="00A245A4">
            <w:pPr>
              <w:pStyle w:val="Tabletext"/>
            </w:pPr>
            <w:r w:rsidRPr="00671389">
              <w:rPr>
                <w:b/>
              </w:rPr>
              <w:t xml:space="preserve">PBS indication: </w:t>
            </w:r>
            <w:r w:rsidRPr="00671389">
              <w:rPr>
                <w:strike/>
              </w:rPr>
              <w:t>Active s</w:t>
            </w:r>
            <w:r w:rsidRPr="00671389">
              <w:rPr>
                <w:i/>
              </w:rPr>
              <w:t>S</w:t>
            </w:r>
            <w:r w:rsidRPr="00671389">
              <w:t>ystemic lupus erythematosus</w:t>
            </w:r>
          </w:p>
        </w:tc>
      </w:tr>
      <w:tr w:rsidR="00064481" w:rsidRPr="00671389" w:rsidTr="00064481">
        <w:tc>
          <w:tcPr>
            <w:tcW w:w="5000" w:type="pct"/>
          </w:tcPr>
          <w:p w:rsidR="00064481" w:rsidRPr="00671389" w:rsidRDefault="00064481" w:rsidP="00A245A4">
            <w:pPr>
              <w:pStyle w:val="Tabletext"/>
            </w:pPr>
            <w:r w:rsidRPr="00671389">
              <w:rPr>
                <w:b/>
              </w:rPr>
              <w:t xml:space="preserve">Treatment phase: </w:t>
            </w:r>
            <w:r w:rsidRPr="00671389">
              <w:t>Initial</w:t>
            </w:r>
          </w:p>
        </w:tc>
      </w:tr>
      <w:tr w:rsidR="00064481" w:rsidRPr="00671389" w:rsidTr="00064481">
        <w:tc>
          <w:tcPr>
            <w:tcW w:w="5000" w:type="pct"/>
          </w:tcPr>
          <w:p w:rsidR="00064481" w:rsidRPr="00671389" w:rsidRDefault="00064481" w:rsidP="00A245A4">
            <w:pPr>
              <w:pStyle w:val="Tabletext"/>
            </w:pPr>
            <w:r w:rsidRPr="00671389">
              <w:rPr>
                <w:b/>
              </w:rPr>
              <w:t xml:space="preserve">Restriction: </w:t>
            </w:r>
            <w:r w:rsidRPr="00671389">
              <w:fldChar w:fldCharType="begin">
                <w:ffData>
                  <w:name w:val="Check5"/>
                  <w:enabled/>
                  <w:calcOnExit w:val="0"/>
                  <w:checkBox>
                    <w:sizeAuto/>
                    <w:default w:val="1"/>
                  </w:checkBox>
                </w:ffData>
              </w:fldChar>
            </w:r>
            <w:r w:rsidRPr="00671389">
              <w:instrText xml:space="preserve"> FORMCHECKBOX </w:instrText>
            </w:r>
            <w:r w:rsidR="00A5623D">
              <w:fldChar w:fldCharType="separate"/>
            </w:r>
            <w:r w:rsidRPr="00671389">
              <w:fldChar w:fldCharType="end"/>
            </w:r>
            <w:r w:rsidRPr="00671389">
              <w:t xml:space="preserve"> Authority Required - In Writing</w:t>
            </w:r>
          </w:p>
        </w:tc>
      </w:tr>
      <w:tr w:rsidR="00064481" w:rsidRPr="00671389" w:rsidTr="00064481">
        <w:tc>
          <w:tcPr>
            <w:tcW w:w="5000" w:type="pct"/>
          </w:tcPr>
          <w:p w:rsidR="00064481" w:rsidRPr="00671389" w:rsidRDefault="00064481" w:rsidP="00A245A4">
            <w:pPr>
              <w:pStyle w:val="Tabletext"/>
            </w:pPr>
            <w:r w:rsidRPr="00671389">
              <w:rPr>
                <w:b/>
              </w:rPr>
              <w:t>Treatment criteria:</w:t>
            </w:r>
          </w:p>
        </w:tc>
      </w:tr>
      <w:tr w:rsidR="00064481" w:rsidRPr="00671389" w:rsidTr="00064481">
        <w:tc>
          <w:tcPr>
            <w:tcW w:w="5000" w:type="pct"/>
          </w:tcPr>
          <w:p w:rsidR="00064481" w:rsidRPr="00671389" w:rsidRDefault="00064481" w:rsidP="00A245A4">
            <w:pPr>
              <w:pStyle w:val="Tabletext"/>
            </w:pPr>
            <w:r w:rsidRPr="00671389">
              <w:t>Must be treated by a rheumatologist; or</w:t>
            </w:r>
          </w:p>
        </w:tc>
      </w:tr>
      <w:tr w:rsidR="00064481" w:rsidRPr="00671389" w:rsidTr="00064481">
        <w:tc>
          <w:tcPr>
            <w:tcW w:w="5000" w:type="pct"/>
          </w:tcPr>
          <w:p w:rsidR="00064481" w:rsidRPr="00671389" w:rsidRDefault="00064481" w:rsidP="00A245A4">
            <w:pPr>
              <w:pStyle w:val="Tabletext"/>
            </w:pPr>
            <w:r w:rsidRPr="00671389">
              <w:t>Must be treated by a clinical immunologist; or</w:t>
            </w:r>
          </w:p>
        </w:tc>
      </w:tr>
      <w:tr w:rsidR="00064481" w:rsidRPr="00671389" w:rsidTr="00064481">
        <w:tc>
          <w:tcPr>
            <w:tcW w:w="5000" w:type="pct"/>
          </w:tcPr>
          <w:p w:rsidR="00064481" w:rsidRPr="00064481" w:rsidRDefault="00064481" w:rsidP="00A245A4">
            <w:pPr>
              <w:pStyle w:val="Tabletext"/>
              <w:rPr>
                <w:strike/>
              </w:rPr>
            </w:pPr>
            <w:r w:rsidRPr="00064481">
              <w:rPr>
                <w:strike/>
              </w:rPr>
              <w:t>Must be treated by a nephrologist</w:t>
            </w:r>
          </w:p>
        </w:tc>
      </w:tr>
      <w:tr w:rsidR="00064481" w:rsidRPr="00671389" w:rsidTr="00064481">
        <w:tc>
          <w:tcPr>
            <w:tcW w:w="5000" w:type="pct"/>
          </w:tcPr>
          <w:p w:rsidR="00064481" w:rsidRPr="00671389" w:rsidRDefault="00064481" w:rsidP="00A245A4">
            <w:pPr>
              <w:pStyle w:val="Tabletext"/>
              <w:rPr>
                <w:b/>
              </w:rPr>
            </w:pPr>
            <w:r w:rsidRPr="00671389">
              <w:rPr>
                <w:b/>
              </w:rPr>
              <w:t>AND</w:t>
            </w:r>
          </w:p>
        </w:tc>
      </w:tr>
      <w:tr w:rsidR="00064481" w:rsidRPr="00671389" w:rsidTr="00064481">
        <w:tc>
          <w:tcPr>
            <w:tcW w:w="5000" w:type="pct"/>
          </w:tcPr>
          <w:p w:rsidR="00064481" w:rsidRPr="00671389" w:rsidRDefault="00064481" w:rsidP="00A245A4">
            <w:pPr>
              <w:pStyle w:val="Tabletext"/>
            </w:pPr>
            <w:r w:rsidRPr="00671389">
              <w:rPr>
                <w:b/>
              </w:rPr>
              <w:t>Clinical criteria:</w:t>
            </w:r>
          </w:p>
        </w:tc>
      </w:tr>
      <w:tr w:rsidR="00064481" w:rsidRPr="00671389" w:rsidTr="00064481">
        <w:tc>
          <w:tcPr>
            <w:tcW w:w="5000" w:type="pct"/>
          </w:tcPr>
          <w:p w:rsidR="00064481" w:rsidRPr="00671389" w:rsidRDefault="00064481" w:rsidP="00A245A4">
            <w:pPr>
              <w:pStyle w:val="Tabletext"/>
              <w:rPr>
                <w:b/>
              </w:rPr>
            </w:pPr>
            <w:r w:rsidRPr="00671389">
              <w:rPr>
                <w:strike/>
              </w:rPr>
              <w:t>Adult</w:t>
            </w:r>
            <w:r w:rsidRPr="00671389">
              <w:t xml:space="preserve"> Patient must have a confirmed and documented diagnosis of systemic lupus erythematosus </w:t>
            </w:r>
            <w:r w:rsidRPr="00671389">
              <w:rPr>
                <w:i/>
              </w:rPr>
              <w:t>(SLE)</w:t>
            </w:r>
            <w:r w:rsidRPr="00671389">
              <w:t xml:space="preserve"> </w:t>
            </w:r>
            <w:r w:rsidRPr="00671389">
              <w:rPr>
                <w:strike/>
              </w:rPr>
              <w:t>(</w:t>
            </w:r>
            <w:r w:rsidRPr="00671389">
              <w:t>according to the ACR/EULAR SLE Classification Criteria 2019</w:t>
            </w:r>
            <w:r w:rsidRPr="00671389">
              <w:rPr>
                <w:strike/>
              </w:rPr>
              <w:t>)</w:t>
            </w:r>
            <w:r w:rsidRPr="00671389">
              <w:t>,</w:t>
            </w:r>
          </w:p>
        </w:tc>
      </w:tr>
      <w:tr w:rsidR="00064481" w:rsidRPr="00671389" w:rsidTr="00064481">
        <w:tc>
          <w:tcPr>
            <w:tcW w:w="5000" w:type="pct"/>
          </w:tcPr>
          <w:p w:rsidR="00064481" w:rsidRPr="00671389" w:rsidRDefault="00064481" w:rsidP="00A245A4">
            <w:pPr>
              <w:pStyle w:val="Tabletext"/>
              <w:rPr>
                <w:b/>
              </w:rPr>
            </w:pPr>
            <w:r w:rsidRPr="00671389">
              <w:rPr>
                <w:b/>
              </w:rPr>
              <w:t>AND</w:t>
            </w:r>
          </w:p>
        </w:tc>
      </w:tr>
      <w:tr w:rsidR="00064481" w:rsidRPr="00671389" w:rsidTr="00064481">
        <w:tc>
          <w:tcPr>
            <w:tcW w:w="5000" w:type="pct"/>
          </w:tcPr>
          <w:p w:rsidR="00064481" w:rsidRPr="00671389" w:rsidRDefault="00064481" w:rsidP="00A245A4">
            <w:pPr>
              <w:pStyle w:val="Tabletext"/>
              <w:rPr>
                <w:b/>
              </w:rPr>
            </w:pPr>
            <w:r w:rsidRPr="00671389">
              <w:rPr>
                <w:b/>
              </w:rPr>
              <w:t>Clinical criteria:</w:t>
            </w:r>
          </w:p>
        </w:tc>
      </w:tr>
      <w:tr w:rsidR="00064481" w:rsidRPr="00671389" w:rsidTr="00064481">
        <w:tc>
          <w:tcPr>
            <w:tcW w:w="5000" w:type="pct"/>
          </w:tcPr>
          <w:p w:rsidR="00064481" w:rsidRPr="00671389" w:rsidRDefault="00064481" w:rsidP="00A245A4">
            <w:pPr>
              <w:pStyle w:val="Tabletext"/>
              <w:rPr>
                <w:b/>
              </w:rPr>
            </w:pPr>
            <w:r w:rsidRPr="00671389">
              <w:t>Patient must have laboratory evidence of disease activity with an elevated anti-double stranded deoxyribonucleic acid (anti-dsDNA) titre despite standard therapy; or</w:t>
            </w:r>
          </w:p>
        </w:tc>
      </w:tr>
      <w:tr w:rsidR="00064481" w:rsidRPr="00671389" w:rsidTr="00064481">
        <w:tc>
          <w:tcPr>
            <w:tcW w:w="5000" w:type="pct"/>
          </w:tcPr>
          <w:p w:rsidR="00064481" w:rsidRPr="00671389" w:rsidRDefault="00064481" w:rsidP="00A245A4">
            <w:pPr>
              <w:pStyle w:val="Tabletext"/>
              <w:rPr>
                <w:b/>
              </w:rPr>
            </w:pPr>
            <w:r w:rsidRPr="00671389">
              <w:t xml:space="preserve">Patient must have </w:t>
            </w:r>
            <w:r w:rsidRPr="00671389">
              <w:rPr>
                <w:i/>
              </w:rPr>
              <w:t>below the</w:t>
            </w:r>
            <w:r w:rsidRPr="00671389">
              <w:t xml:space="preserve"> low</w:t>
            </w:r>
            <w:r w:rsidRPr="00671389">
              <w:rPr>
                <w:i/>
              </w:rPr>
              <w:t>er</w:t>
            </w:r>
            <w:r w:rsidRPr="00671389">
              <w:t xml:space="preserve"> </w:t>
            </w:r>
            <w:r w:rsidRPr="00671389">
              <w:rPr>
                <w:i/>
              </w:rPr>
              <w:t>limits of normal</w:t>
            </w:r>
            <w:r w:rsidRPr="00671389">
              <w:t xml:space="preserve"> complement (C3 </w:t>
            </w:r>
            <w:r w:rsidRPr="00671389">
              <w:rPr>
                <w:i/>
              </w:rPr>
              <w:t>or</w:t>
            </w:r>
            <w:r w:rsidRPr="00671389">
              <w:t xml:space="preserve"> C4) levels despite standard therapy</w:t>
            </w:r>
          </w:p>
        </w:tc>
      </w:tr>
      <w:tr w:rsidR="00064481" w:rsidRPr="00671389" w:rsidTr="00064481">
        <w:tc>
          <w:tcPr>
            <w:tcW w:w="5000" w:type="pct"/>
          </w:tcPr>
          <w:p w:rsidR="00064481" w:rsidRPr="00671389" w:rsidRDefault="00064481" w:rsidP="00A245A4">
            <w:pPr>
              <w:pStyle w:val="Tabletext"/>
              <w:rPr>
                <w:b/>
              </w:rPr>
            </w:pPr>
            <w:r w:rsidRPr="00671389">
              <w:rPr>
                <w:b/>
              </w:rPr>
              <w:t>AND</w:t>
            </w:r>
          </w:p>
        </w:tc>
      </w:tr>
      <w:tr w:rsidR="00064481" w:rsidRPr="00671389" w:rsidTr="00064481">
        <w:tc>
          <w:tcPr>
            <w:tcW w:w="5000" w:type="pct"/>
          </w:tcPr>
          <w:p w:rsidR="00064481" w:rsidRPr="00671389" w:rsidRDefault="00064481" w:rsidP="00A245A4">
            <w:pPr>
              <w:pStyle w:val="Tabletext"/>
              <w:rPr>
                <w:b/>
              </w:rPr>
            </w:pPr>
            <w:r w:rsidRPr="00671389">
              <w:rPr>
                <w:b/>
              </w:rPr>
              <w:t>Clinical criteria:</w:t>
            </w:r>
          </w:p>
        </w:tc>
      </w:tr>
      <w:tr w:rsidR="00064481" w:rsidRPr="00671389" w:rsidTr="00064481">
        <w:tc>
          <w:tcPr>
            <w:tcW w:w="5000" w:type="pct"/>
          </w:tcPr>
          <w:p w:rsidR="00064481" w:rsidRPr="00671389" w:rsidRDefault="00064481" w:rsidP="00A245A4">
            <w:pPr>
              <w:pStyle w:val="Tabletext"/>
            </w:pPr>
            <w:r w:rsidRPr="00671389">
              <w:t>Patient must have Systemic Lupus Erythematosus Disease Activity Index 2000 (SLEDAI-2K) score of at least 10 points</w:t>
            </w:r>
          </w:p>
        </w:tc>
      </w:tr>
      <w:tr w:rsidR="00064481" w:rsidRPr="00671389" w:rsidTr="00064481">
        <w:tc>
          <w:tcPr>
            <w:tcW w:w="5000" w:type="pct"/>
          </w:tcPr>
          <w:p w:rsidR="00064481" w:rsidRPr="00671389" w:rsidRDefault="00064481" w:rsidP="00A245A4">
            <w:pPr>
              <w:pStyle w:val="Tabletext"/>
              <w:rPr>
                <w:b/>
              </w:rPr>
            </w:pPr>
            <w:r w:rsidRPr="00671389">
              <w:rPr>
                <w:b/>
              </w:rPr>
              <w:t>AND</w:t>
            </w:r>
          </w:p>
        </w:tc>
      </w:tr>
      <w:tr w:rsidR="00064481" w:rsidRPr="00671389" w:rsidTr="00064481">
        <w:tc>
          <w:tcPr>
            <w:tcW w:w="5000" w:type="pct"/>
          </w:tcPr>
          <w:p w:rsidR="00064481" w:rsidRPr="00671389" w:rsidRDefault="00064481" w:rsidP="00A245A4">
            <w:pPr>
              <w:pStyle w:val="Tabletext"/>
              <w:rPr>
                <w:b/>
              </w:rPr>
            </w:pPr>
            <w:r w:rsidRPr="00671389">
              <w:rPr>
                <w:b/>
              </w:rPr>
              <w:t>Clinical criteria:</w:t>
            </w:r>
          </w:p>
        </w:tc>
      </w:tr>
      <w:tr w:rsidR="00064481" w:rsidRPr="00671389" w:rsidTr="00064481">
        <w:tc>
          <w:tcPr>
            <w:tcW w:w="5000" w:type="pct"/>
          </w:tcPr>
          <w:p w:rsidR="00064481" w:rsidRPr="00671389" w:rsidRDefault="00064481" w:rsidP="00A245A4">
            <w:pPr>
              <w:pStyle w:val="Tabletext"/>
              <w:rPr>
                <w:b/>
              </w:rPr>
            </w:pPr>
            <w:r w:rsidRPr="00671389">
              <w:rPr>
                <w:iCs/>
              </w:rPr>
              <w:t xml:space="preserve">Patient must be currently receiving hydroxychloroquine and must have received this for at least </w:t>
            </w:r>
            <w:r w:rsidRPr="00671389">
              <w:rPr>
                <w:iCs/>
                <w:strike/>
              </w:rPr>
              <w:t>three months</w:t>
            </w:r>
            <w:r w:rsidRPr="00671389">
              <w:rPr>
                <w:i/>
                <w:iCs/>
              </w:rPr>
              <w:t>12 weeks</w:t>
            </w:r>
          </w:p>
        </w:tc>
      </w:tr>
      <w:tr w:rsidR="00064481" w:rsidRPr="00671389" w:rsidTr="00064481">
        <w:tc>
          <w:tcPr>
            <w:tcW w:w="5000" w:type="pct"/>
          </w:tcPr>
          <w:p w:rsidR="00064481" w:rsidRPr="00671389" w:rsidRDefault="00064481" w:rsidP="00A245A4">
            <w:pPr>
              <w:pStyle w:val="Tabletext"/>
              <w:rPr>
                <w:b/>
              </w:rPr>
            </w:pPr>
            <w:r w:rsidRPr="00671389">
              <w:rPr>
                <w:b/>
              </w:rPr>
              <w:t>AND</w:t>
            </w:r>
          </w:p>
        </w:tc>
      </w:tr>
      <w:tr w:rsidR="00064481" w:rsidRPr="00671389" w:rsidTr="00064481">
        <w:tc>
          <w:tcPr>
            <w:tcW w:w="5000" w:type="pct"/>
          </w:tcPr>
          <w:p w:rsidR="00064481" w:rsidRPr="00671389" w:rsidRDefault="00064481" w:rsidP="00A245A4">
            <w:pPr>
              <w:pStyle w:val="Tabletext"/>
              <w:rPr>
                <w:b/>
              </w:rPr>
            </w:pPr>
            <w:r w:rsidRPr="00671389">
              <w:rPr>
                <w:b/>
              </w:rPr>
              <w:t>Clinical criteria:</w:t>
            </w:r>
          </w:p>
        </w:tc>
      </w:tr>
      <w:tr w:rsidR="00064481" w:rsidRPr="00671389" w:rsidTr="00064481">
        <w:tc>
          <w:tcPr>
            <w:tcW w:w="5000" w:type="pct"/>
          </w:tcPr>
          <w:p w:rsidR="00064481" w:rsidRPr="00671389" w:rsidRDefault="00064481" w:rsidP="00A245A4">
            <w:pPr>
              <w:pStyle w:val="Tabletext"/>
              <w:rPr>
                <w:b/>
              </w:rPr>
            </w:pPr>
            <w:r w:rsidRPr="00671389">
              <w:rPr>
                <w:iCs/>
              </w:rPr>
              <w:t xml:space="preserve">Patient must be currently receiving immunosuppressant medication and must have received this for at least </w:t>
            </w:r>
            <w:r w:rsidRPr="00671389">
              <w:rPr>
                <w:i/>
                <w:iCs/>
              </w:rPr>
              <w:t>12 weeks</w:t>
            </w:r>
            <w:r w:rsidRPr="00671389">
              <w:rPr>
                <w:iCs/>
              </w:rPr>
              <w:t xml:space="preserve"> </w:t>
            </w:r>
            <w:r w:rsidRPr="00671389">
              <w:rPr>
                <w:iCs/>
                <w:strike/>
              </w:rPr>
              <w:t>three months</w:t>
            </w:r>
            <w:r w:rsidRPr="00671389">
              <w:rPr>
                <w:iCs/>
              </w:rPr>
              <w:t xml:space="preserve"> (</w:t>
            </w:r>
            <w:r w:rsidR="00B97F68">
              <w:rPr>
                <w:i/>
                <w:iCs/>
              </w:rPr>
              <w:t xml:space="preserve">minimum dose of </w:t>
            </w:r>
            <w:r w:rsidRPr="00671389">
              <w:rPr>
                <w:iCs/>
              </w:rPr>
              <w:t>methotrexate 20mg per week, azathioprine 100 mg per day, or mycophenolate</w:t>
            </w:r>
            <w:r w:rsidR="00B97F68">
              <w:rPr>
                <w:iCs/>
              </w:rPr>
              <w:t xml:space="preserve"> </w:t>
            </w:r>
            <w:r w:rsidR="00B97F68">
              <w:rPr>
                <w:i/>
                <w:iCs/>
              </w:rPr>
              <w:t>1,000 mg per day</w:t>
            </w:r>
            <w:r w:rsidRPr="00671389">
              <w:rPr>
                <w:iCs/>
              </w:rPr>
              <w:t>)</w:t>
            </w:r>
          </w:p>
        </w:tc>
      </w:tr>
      <w:tr w:rsidR="00064481" w:rsidRPr="00671389" w:rsidTr="00064481">
        <w:tc>
          <w:tcPr>
            <w:tcW w:w="5000" w:type="pct"/>
          </w:tcPr>
          <w:p w:rsidR="00064481" w:rsidRPr="00671389" w:rsidRDefault="00064481" w:rsidP="00A245A4">
            <w:pPr>
              <w:pStyle w:val="Tabletext"/>
              <w:rPr>
                <w:b/>
              </w:rPr>
            </w:pPr>
            <w:r w:rsidRPr="00671389">
              <w:rPr>
                <w:b/>
              </w:rPr>
              <w:t>AND</w:t>
            </w:r>
          </w:p>
        </w:tc>
      </w:tr>
      <w:tr w:rsidR="00064481" w:rsidRPr="00671389" w:rsidTr="00064481">
        <w:tc>
          <w:tcPr>
            <w:tcW w:w="5000" w:type="pct"/>
          </w:tcPr>
          <w:p w:rsidR="00064481" w:rsidRPr="00671389" w:rsidRDefault="00064481" w:rsidP="00A245A4">
            <w:pPr>
              <w:pStyle w:val="Tabletext"/>
              <w:rPr>
                <w:b/>
              </w:rPr>
            </w:pPr>
            <w:r w:rsidRPr="00671389">
              <w:rPr>
                <w:b/>
              </w:rPr>
              <w:t>Clinical criteria:</w:t>
            </w:r>
          </w:p>
        </w:tc>
      </w:tr>
      <w:tr w:rsidR="00064481" w:rsidRPr="00671389" w:rsidTr="00064481">
        <w:tc>
          <w:tcPr>
            <w:tcW w:w="5000" w:type="pct"/>
          </w:tcPr>
          <w:p w:rsidR="00064481" w:rsidRPr="00671389" w:rsidRDefault="00064481" w:rsidP="00A245A4">
            <w:pPr>
              <w:pStyle w:val="Tabletext"/>
              <w:rPr>
                <w:b/>
              </w:rPr>
            </w:pPr>
            <w:r w:rsidRPr="00671389">
              <w:rPr>
                <w:iCs/>
              </w:rPr>
              <w:t xml:space="preserve">Patient must be currently receiving prednisolone or equivalent ≥ 7.5 mg per day and must have received this for at least </w:t>
            </w:r>
            <w:r w:rsidRPr="00671389">
              <w:rPr>
                <w:i/>
                <w:iCs/>
              </w:rPr>
              <w:t>4 weeks</w:t>
            </w:r>
            <w:r w:rsidRPr="00671389">
              <w:rPr>
                <w:iCs/>
              </w:rPr>
              <w:t xml:space="preserve"> </w:t>
            </w:r>
            <w:r w:rsidRPr="00671389">
              <w:rPr>
                <w:iCs/>
                <w:strike/>
              </w:rPr>
              <w:t xml:space="preserve">one month </w:t>
            </w:r>
          </w:p>
        </w:tc>
      </w:tr>
      <w:tr w:rsidR="00064481" w:rsidRPr="00671389" w:rsidTr="00064481">
        <w:tc>
          <w:tcPr>
            <w:tcW w:w="5000" w:type="pct"/>
          </w:tcPr>
          <w:p w:rsidR="00064481" w:rsidRPr="00671389" w:rsidRDefault="00064481" w:rsidP="00A245A4">
            <w:pPr>
              <w:pStyle w:val="Tabletext"/>
              <w:rPr>
                <w:b/>
              </w:rPr>
            </w:pPr>
            <w:r w:rsidRPr="00671389">
              <w:rPr>
                <w:b/>
              </w:rPr>
              <w:t>AND</w:t>
            </w:r>
          </w:p>
        </w:tc>
      </w:tr>
      <w:tr w:rsidR="00064481" w:rsidRPr="00671389" w:rsidTr="00064481">
        <w:tc>
          <w:tcPr>
            <w:tcW w:w="5000" w:type="pct"/>
          </w:tcPr>
          <w:p w:rsidR="00064481" w:rsidRPr="00671389" w:rsidRDefault="00064481" w:rsidP="00A245A4">
            <w:pPr>
              <w:pStyle w:val="Tabletext"/>
              <w:rPr>
                <w:b/>
              </w:rPr>
            </w:pPr>
            <w:r w:rsidRPr="00671389">
              <w:rPr>
                <w:b/>
              </w:rPr>
              <w:t>Clinical criteria:</w:t>
            </w:r>
          </w:p>
        </w:tc>
      </w:tr>
      <w:tr w:rsidR="00064481" w:rsidRPr="00671389" w:rsidTr="00064481">
        <w:tc>
          <w:tcPr>
            <w:tcW w:w="5000" w:type="pct"/>
          </w:tcPr>
          <w:p w:rsidR="00064481" w:rsidRPr="00671389" w:rsidRDefault="00064481" w:rsidP="00A245A4">
            <w:pPr>
              <w:pStyle w:val="Tabletext"/>
              <w:rPr>
                <w:b/>
              </w:rPr>
            </w:pPr>
            <w:r w:rsidRPr="00671389">
              <w:rPr>
                <w:iCs/>
              </w:rPr>
              <w:t xml:space="preserve">Patient must not have severe </w:t>
            </w:r>
            <w:r w:rsidRPr="00671389">
              <w:rPr>
                <w:iCs/>
                <w:strike/>
              </w:rPr>
              <w:t>renal</w:t>
            </w:r>
            <w:r w:rsidRPr="00671389">
              <w:rPr>
                <w:iCs/>
              </w:rPr>
              <w:t xml:space="preserve"> </w:t>
            </w:r>
            <w:r w:rsidRPr="00671389">
              <w:rPr>
                <w:i/>
              </w:rPr>
              <w:t>active lupus nephritis</w:t>
            </w:r>
            <w:r w:rsidRPr="00671389">
              <w:rPr>
                <w:iCs/>
              </w:rPr>
              <w:t xml:space="preserve"> or </w:t>
            </w:r>
            <w:r w:rsidR="00A74F37">
              <w:rPr>
                <w:i/>
                <w:iCs/>
              </w:rPr>
              <w:t xml:space="preserve">severe active </w:t>
            </w:r>
            <w:r w:rsidRPr="00671389">
              <w:rPr>
                <w:iCs/>
              </w:rPr>
              <w:t>central nervous system systemic lupus erythematosus</w:t>
            </w:r>
          </w:p>
        </w:tc>
      </w:tr>
      <w:tr w:rsidR="00064481" w:rsidRPr="00671389" w:rsidTr="00064481">
        <w:tc>
          <w:tcPr>
            <w:tcW w:w="5000" w:type="pct"/>
          </w:tcPr>
          <w:p w:rsidR="00064481" w:rsidRPr="00671389" w:rsidRDefault="00064481" w:rsidP="00A245A4">
            <w:pPr>
              <w:pStyle w:val="Tabletext"/>
            </w:pPr>
            <w:r w:rsidRPr="00671389">
              <w:rPr>
                <w:b/>
              </w:rPr>
              <w:t>AND</w:t>
            </w:r>
          </w:p>
        </w:tc>
      </w:tr>
      <w:tr w:rsidR="00064481" w:rsidRPr="00671389" w:rsidTr="00064481">
        <w:tc>
          <w:tcPr>
            <w:tcW w:w="5000" w:type="pct"/>
          </w:tcPr>
          <w:p w:rsidR="00064481" w:rsidRPr="00671389" w:rsidRDefault="00064481" w:rsidP="00A245A4">
            <w:pPr>
              <w:pStyle w:val="Tabletext"/>
            </w:pPr>
            <w:r w:rsidRPr="00671389">
              <w:rPr>
                <w:b/>
              </w:rPr>
              <w:t>Clinical criteria:</w:t>
            </w:r>
          </w:p>
        </w:tc>
      </w:tr>
      <w:tr w:rsidR="00064481" w:rsidRPr="00671389" w:rsidTr="00064481">
        <w:tc>
          <w:tcPr>
            <w:tcW w:w="5000" w:type="pct"/>
          </w:tcPr>
          <w:p w:rsidR="00064481" w:rsidRPr="00671389" w:rsidRDefault="00064481" w:rsidP="00A245A4">
            <w:pPr>
              <w:pStyle w:val="Tabletext"/>
            </w:pPr>
            <w:r w:rsidRPr="00671389">
              <w:t>Patient must not have previously received PBS-subsidised treatment with this drug for this condition.</w:t>
            </w:r>
          </w:p>
        </w:tc>
      </w:tr>
      <w:tr w:rsidR="00064481" w:rsidRPr="00671389" w:rsidTr="00822225">
        <w:trPr>
          <w:trHeight w:val="1748"/>
        </w:trPr>
        <w:tc>
          <w:tcPr>
            <w:tcW w:w="5000" w:type="pct"/>
            <w:tcBorders>
              <w:bottom w:val="single" w:sz="4" w:space="0" w:color="auto"/>
            </w:tcBorders>
          </w:tcPr>
          <w:p w:rsidR="00064481" w:rsidRPr="00671389" w:rsidRDefault="00064481" w:rsidP="00A245A4">
            <w:pPr>
              <w:pStyle w:val="Tabletext"/>
              <w:rPr>
                <w:b/>
              </w:rPr>
            </w:pPr>
            <w:r w:rsidRPr="00671389">
              <w:rPr>
                <w:b/>
              </w:rPr>
              <w:lastRenderedPageBreak/>
              <w:t>Prescribing instructions:</w:t>
            </w:r>
          </w:p>
          <w:p w:rsidR="00064481" w:rsidRPr="00671389" w:rsidRDefault="00064481" w:rsidP="00A245A4">
            <w:pPr>
              <w:pStyle w:val="Tabletext"/>
              <w:rPr>
                <w:color w:val="000000" w:themeColor="text1"/>
              </w:rPr>
            </w:pPr>
            <w:r w:rsidRPr="00671389">
              <w:rPr>
                <w:color w:val="000000" w:themeColor="text1"/>
              </w:rPr>
              <w:t>The authority application must be made in writing and must include:</w:t>
            </w:r>
          </w:p>
          <w:p w:rsidR="00064481" w:rsidRPr="00671389" w:rsidRDefault="00064481" w:rsidP="00A245A4">
            <w:pPr>
              <w:pStyle w:val="Tabletext"/>
              <w:rPr>
                <w:color w:val="000000" w:themeColor="text1"/>
              </w:rPr>
            </w:pPr>
            <w:r w:rsidRPr="00671389">
              <w:rPr>
                <w:color w:val="000000" w:themeColor="text1"/>
              </w:rPr>
              <w:t>a) a completed authority prescription form; and</w:t>
            </w:r>
          </w:p>
          <w:p w:rsidR="00064481" w:rsidRPr="00671389" w:rsidRDefault="00064481" w:rsidP="00A245A4">
            <w:pPr>
              <w:pStyle w:val="Tabletext"/>
              <w:rPr>
                <w:color w:val="000000" w:themeColor="text1"/>
              </w:rPr>
            </w:pPr>
            <w:r w:rsidRPr="00671389">
              <w:rPr>
                <w:color w:val="000000" w:themeColor="text1"/>
              </w:rPr>
              <w:t>(b) details of current</w:t>
            </w:r>
            <w:r w:rsidRPr="00671389">
              <w:rPr>
                <w:i/>
                <w:color w:val="000000" w:themeColor="text1"/>
              </w:rPr>
              <w:t xml:space="preserve"> </w:t>
            </w:r>
            <w:r w:rsidRPr="00671389">
              <w:rPr>
                <w:color w:val="000000" w:themeColor="text1"/>
              </w:rPr>
              <w:t>therapy used (dosage, date of commencement and duration of therapy)</w:t>
            </w:r>
          </w:p>
          <w:p w:rsidR="00064481" w:rsidRPr="00671389" w:rsidRDefault="00064481" w:rsidP="00A245A4">
            <w:pPr>
              <w:pStyle w:val="Tabletext"/>
              <w:rPr>
                <w:color w:val="000000" w:themeColor="text1"/>
              </w:rPr>
            </w:pPr>
            <w:r w:rsidRPr="00671389">
              <w:rPr>
                <w:color w:val="000000" w:themeColor="text1"/>
              </w:rPr>
              <w:t>(c) a completed SLEDAI-2K score sheet, including the date of assessment, and</w:t>
            </w:r>
          </w:p>
          <w:p w:rsidR="00064481" w:rsidRPr="00671389" w:rsidRDefault="00064481" w:rsidP="00A245A4">
            <w:pPr>
              <w:pStyle w:val="Tabletext"/>
            </w:pPr>
            <w:r w:rsidRPr="00671389">
              <w:rPr>
                <w:color w:val="000000" w:themeColor="text1"/>
              </w:rPr>
              <w:t xml:space="preserve">(d) a copy of the pathology report showing low complement (C3 </w:t>
            </w:r>
            <w:r w:rsidRPr="00671389">
              <w:rPr>
                <w:i/>
                <w:color w:val="000000" w:themeColor="text1"/>
              </w:rPr>
              <w:t>or</w:t>
            </w:r>
            <w:r w:rsidRPr="00671389">
              <w:rPr>
                <w:color w:val="000000" w:themeColor="text1"/>
              </w:rPr>
              <w:t xml:space="preserve"> C4) and/or </w:t>
            </w:r>
            <w:r w:rsidRPr="00671389">
              <w:rPr>
                <w:i/>
                <w:color w:val="000000" w:themeColor="text1"/>
              </w:rPr>
              <w:t>elevated</w:t>
            </w:r>
            <w:r w:rsidRPr="00671389">
              <w:rPr>
                <w:color w:val="000000" w:themeColor="text1"/>
              </w:rPr>
              <w:t xml:space="preserve"> anti-dsDNA, including the testing laboratory’s reference range.</w:t>
            </w:r>
          </w:p>
        </w:tc>
      </w:tr>
      <w:tr w:rsidR="00822225" w:rsidRPr="00671389" w:rsidTr="00822225">
        <w:tc>
          <w:tcPr>
            <w:tcW w:w="5000" w:type="pct"/>
            <w:tcBorders>
              <w:top w:val="single" w:sz="4" w:space="0" w:color="auto"/>
            </w:tcBorders>
          </w:tcPr>
          <w:p w:rsidR="00822225" w:rsidRDefault="00822225" w:rsidP="00822225">
            <w:pPr>
              <w:pStyle w:val="Tabletext"/>
              <w:rPr>
                <w:b/>
              </w:rPr>
            </w:pPr>
            <w:r>
              <w:rPr>
                <w:b/>
              </w:rPr>
              <w:t xml:space="preserve">Prescribing instructions: </w:t>
            </w:r>
          </w:p>
          <w:p w:rsidR="00822225" w:rsidRPr="00671389" w:rsidRDefault="00822225" w:rsidP="00822225">
            <w:pPr>
              <w:pStyle w:val="Tabletext"/>
              <w:rPr>
                <w:b/>
              </w:rPr>
            </w:pPr>
            <w:r w:rsidRPr="00671389">
              <w:rPr>
                <w:iCs/>
                <w:color w:val="000000" w:themeColor="text1"/>
              </w:rPr>
              <w:t>The name of the specialist consulted must be provided at the time of application for initial supply</w:t>
            </w:r>
          </w:p>
        </w:tc>
      </w:tr>
      <w:tr w:rsidR="00064481" w:rsidRPr="00671389" w:rsidTr="00822225">
        <w:tc>
          <w:tcPr>
            <w:tcW w:w="5000" w:type="pct"/>
            <w:tcBorders>
              <w:top w:val="single" w:sz="4" w:space="0" w:color="auto"/>
            </w:tcBorders>
          </w:tcPr>
          <w:p w:rsidR="00064481" w:rsidRPr="00671389" w:rsidRDefault="00064481" w:rsidP="00A245A4">
            <w:pPr>
              <w:pStyle w:val="Tabletext"/>
              <w:rPr>
                <w:b/>
              </w:rPr>
            </w:pPr>
            <w:r w:rsidRPr="00671389">
              <w:rPr>
                <w:b/>
              </w:rPr>
              <w:t>Prescribing instructions:</w:t>
            </w:r>
          </w:p>
          <w:p w:rsidR="00064481" w:rsidRPr="00671389" w:rsidRDefault="00064481" w:rsidP="00A245A4">
            <w:pPr>
              <w:pStyle w:val="Tabletext"/>
            </w:pPr>
            <w:r w:rsidRPr="00671389">
              <w:rPr>
                <w:iCs/>
                <w:color w:val="000000" w:themeColor="text1"/>
              </w:rPr>
              <w:t>The date of the pathology report and name of the Approved Pathology Authority must be provided at the time of application.</w:t>
            </w:r>
          </w:p>
        </w:tc>
      </w:tr>
      <w:tr w:rsidR="00064481" w:rsidRPr="00671389" w:rsidTr="00064481">
        <w:tc>
          <w:tcPr>
            <w:tcW w:w="5000" w:type="pct"/>
          </w:tcPr>
          <w:p w:rsidR="00064481" w:rsidRPr="00671389" w:rsidRDefault="00064481" w:rsidP="00A245A4">
            <w:pPr>
              <w:pStyle w:val="Tabletext"/>
              <w:rPr>
                <w:b/>
              </w:rPr>
            </w:pPr>
            <w:r w:rsidRPr="00671389">
              <w:rPr>
                <w:b/>
              </w:rPr>
              <w:t>Prescribing instructions:</w:t>
            </w:r>
          </w:p>
          <w:p w:rsidR="00064481" w:rsidRPr="00671389" w:rsidRDefault="00064481" w:rsidP="00A245A4">
            <w:pPr>
              <w:pStyle w:val="Tabletext"/>
            </w:pPr>
            <w:r w:rsidRPr="00671389">
              <w:rPr>
                <w:iCs/>
                <w:color w:val="000000" w:themeColor="text1"/>
              </w:rPr>
              <w:t>History of systemic lupus erythematosus medication therapy should be based on documented use of treatment prescribed by a physician</w:t>
            </w:r>
            <w:r w:rsidRPr="00671389">
              <w:rPr>
                <w:i/>
                <w:color w:val="000000" w:themeColor="text1"/>
              </w:rPr>
              <w:t>.</w:t>
            </w:r>
          </w:p>
        </w:tc>
      </w:tr>
      <w:tr w:rsidR="00064481" w:rsidRPr="00671389" w:rsidTr="00064481">
        <w:tc>
          <w:tcPr>
            <w:tcW w:w="5000" w:type="pct"/>
          </w:tcPr>
          <w:p w:rsidR="00064481" w:rsidRPr="00671389" w:rsidRDefault="00064481" w:rsidP="00A245A4">
            <w:pPr>
              <w:pStyle w:val="Tabletext"/>
              <w:rPr>
                <w:b/>
              </w:rPr>
            </w:pPr>
            <w:r w:rsidRPr="00671389">
              <w:rPr>
                <w:b/>
              </w:rPr>
              <w:t>Prescribing instructions:</w:t>
            </w:r>
          </w:p>
          <w:p w:rsidR="00064481" w:rsidRPr="00671389" w:rsidRDefault="00064481" w:rsidP="00A245A4">
            <w:pPr>
              <w:pStyle w:val="Tabletext"/>
            </w:pPr>
            <w:r w:rsidRPr="00671389">
              <w:rPr>
                <w:iCs/>
                <w:color w:val="000000" w:themeColor="text1"/>
              </w:rPr>
              <w:t>Standard of care for this condition is a combination of an antimalarial medicine, a corticosteroid (at least 7.5 mg per day prednisolone or equivalent) and a systemic immunosuppressive medicine.</w:t>
            </w:r>
          </w:p>
        </w:tc>
      </w:tr>
      <w:tr w:rsidR="00064481" w:rsidRPr="00671389" w:rsidTr="00064481">
        <w:tc>
          <w:tcPr>
            <w:tcW w:w="5000" w:type="pct"/>
          </w:tcPr>
          <w:p w:rsidR="00064481" w:rsidRPr="00671389" w:rsidRDefault="00064481" w:rsidP="00A245A4">
            <w:pPr>
              <w:pStyle w:val="Tabletext"/>
              <w:rPr>
                <w:b/>
              </w:rPr>
            </w:pPr>
            <w:r w:rsidRPr="00671389">
              <w:rPr>
                <w:b/>
              </w:rPr>
              <w:t>Prescribing instructions:</w:t>
            </w:r>
          </w:p>
          <w:p w:rsidR="00064481" w:rsidRPr="00671389" w:rsidRDefault="00064481" w:rsidP="00A245A4">
            <w:pPr>
              <w:pStyle w:val="Tabletext"/>
            </w:pPr>
            <w:r w:rsidRPr="00671389">
              <w:rPr>
                <w:iCs/>
                <w:color w:val="000000" w:themeColor="text1"/>
              </w:rPr>
              <w:t>Where intolerance to standard of care of a severity necessitating permanent treatment withdrawal has occurred or is expected to occur, details of the degree of this toxicity must be provided at the time of application.</w:t>
            </w:r>
          </w:p>
        </w:tc>
      </w:tr>
      <w:tr w:rsidR="00064481" w:rsidRPr="00671389" w:rsidTr="00064481">
        <w:tc>
          <w:tcPr>
            <w:tcW w:w="5000" w:type="pct"/>
          </w:tcPr>
          <w:p w:rsidR="00064481" w:rsidRPr="00671389" w:rsidRDefault="00064481" w:rsidP="00A245A4">
            <w:pPr>
              <w:pStyle w:val="Tabletext"/>
              <w:rPr>
                <w:b/>
              </w:rPr>
            </w:pPr>
            <w:r w:rsidRPr="00671389">
              <w:rPr>
                <w:b/>
              </w:rPr>
              <w:t>Prescribing instructions:</w:t>
            </w:r>
          </w:p>
          <w:p w:rsidR="00064481" w:rsidRPr="00671389" w:rsidRDefault="00064481" w:rsidP="00A245A4">
            <w:pPr>
              <w:pStyle w:val="Tabletext"/>
            </w:pPr>
            <w:r w:rsidRPr="00671389">
              <w:rPr>
                <w:iCs/>
                <w:color w:val="000000" w:themeColor="text1"/>
              </w:rPr>
              <w:t>If treatment with standard of care therapy is contraindicated according to the relevant TGA approved Product Information, details of the contraindication must be provided at the time of application.</w:t>
            </w:r>
          </w:p>
        </w:tc>
      </w:tr>
      <w:tr w:rsidR="00064481" w:rsidRPr="00671389" w:rsidTr="00064481">
        <w:tc>
          <w:tcPr>
            <w:tcW w:w="5000" w:type="pct"/>
          </w:tcPr>
          <w:p w:rsidR="00064481" w:rsidRPr="00671389" w:rsidRDefault="00064481" w:rsidP="00A245A4">
            <w:pPr>
              <w:pStyle w:val="Tabletext"/>
              <w:rPr>
                <w:b/>
              </w:rPr>
            </w:pPr>
            <w:r w:rsidRPr="00671389">
              <w:rPr>
                <w:b/>
              </w:rPr>
              <w:t>Prescribing instructions:</w:t>
            </w:r>
          </w:p>
          <w:p w:rsidR="00064481" w:rsidRPr="00671389" w:rsidRDefault="00064481" w:rsidP="00A245A4">
            <w:pPr>
              <w:pStyle w:val="Tabletext"/>
              <w:rPr>
                <w:b/>
              </w:rPr>
            </w:pPr>
            <w:r w:rsidRPr="00671389">
              <w:rPr>
                <w:iCs/>
                <w:color w:val="000000" w:themeColor="text1"/>
              </w:rPr>
              <w:t xml:space="preserve">If fewer than the maximum stated repeats in the relevant treatment phase are requested at the time of the application, authority approvals for sufficient repeats to complete the balance of the stated repeats in the relevant treatment phase may be requested by telephone by contacting </w:t>
            </w:r>
            <w:r w:rsidRPr="00671389">
              <w:rPr>
                <w:iCs/>
                <w:strike/>
                <w:color w:val="000000" w:themeColor="text1"/>
              </w:rPr>
              <w:t>the Department of Human</w:t>
            </w:r>
            <w:r w:rsidRPr="00671389">
              <w:rPr>
                <w:iCs/>
                <w:color w:val="000000" w:themeColor="text1"/>
              </w:rPr>
              <w:t xml:space="preserve"> Services </w:t>
            </w:r>
            <w:r w:rsidRPr="00671389">
              <w:rPr>
                <w:i/>
                <w:iCs/>
                <w:color w:val="000000" w:themeColor="text1"/>
              </w:rPr>
              <w:t>Australia</w:t>
            </w:r>
            <w:r w:rsidRPr="00671389">
              <w:rPr>
                <w:iCs/>
                <w:color w:val="000000" w:themeColor="text1"/>
              </w:rPr>
              <w:t xml:space="preserve"> and applying through the Balance of Supply restriction. Under no circumstances will telephone approvals be granted for treatment that would otherwise extend the relevant treatment phase.</w:t>
            </w:r>
          </w:p>
        </w:tc>
      </w:tr>
      <w:tr w:rsidR="00064481" w:rsidRPr="00671389" w:rsidTr="00064481">
        <w:tc>
          <w:tcPr>
            <w:tcW w:w="5000" w:type="pct"/>
          </w:tcPr>
          <w:p w:rsidR="00064481" w:rsidRPr="00671389" w:rsidRDefault="00064481" w:rsidP="00A245A4">
            <w:pPr>
              <w:pStyle w:val="Tabletext"/>
              <w:rPr>
                <w:b/>
              </w:rPr>
            </w:pPr>
            <w:r w:rsidRPr="00671389">
              <w:rPr>
                <w:b/>
              </w:rPr>
              <w:t>Administrative advice:</w:t>
            </w:r>
          </w:p>
          <w:p w:rsidR="00064481" w:rsidRPr="00671389" w:rsidRDefault="00064481" w:rsidP="00A245A4">
            <w:pPr>
              <w:pStyle w:val="Tabletext"/>
              <w:rPr>
                <w:b/>
              </w:rPr>
            </w:pPr>
            <w:r w:rsidRPr="00671389">
              <w:rPr>
                <w:iCs/>
                <w:color w:val="000000" w:themeColor="text1"/>
              </w:rPr>
              <w:t>Special Pricing Arrangements apply.</w:t>
            </w:r>
          </w:p>
        </w:tc>
      </w:tr>
      <w:tr w:rsidR="00064481" w:rsidRPr="00671389" w:rsidTr="00064481">
        <w:tc>
          <w:tcPr>
            <w:tcW w:w="5000" w:type="pct"/>
          </w:tcPr>
          <w:p w:rsidR="00064481" w:rsidRPr="00671389" w:rsidRDefault="00064481" w:rsidP="00A245A4">
            <w:pPr>
              <w:pStyle w:val="Tabletext"/>
              <w:rPr>
                <w:b/>
              </w:rPr>
            </w:pPr>
            <w:r w:rsidRPr="00671389">
              <w:rPr>
                <w:b/>
              </w:rPr>
              <w:t>Administrative advice:</w:t>
            </w:r>
          </w:p>
          <w:p w:rsidR="00064481" w:rsidRPr="00671389" w:rsidRDefault="00064481" w:rsidP="00A245A4">
            <w:pPr>
              <w:pStyle w:val="Tabletext"/>
              <w:rPr>
                <w:iCs/>
                <w:strike/>
                <w:color w:val="000000" w:themeColor="text1"/>
              </w:rPr>
            </w:pPr>
            <w:r w:rsidRPr="00671389">
              <w:rPr>
                <w:iCs/>
                <w:strike/>
                <w:color w:val="000000" w:themeColor="text1"/>
              </w:rPr>
              <w:t>Any queries concerning the arrangements to prescribe may be directed to the Department of Human Services on 1800 700 270 (hours of operation 8 a.m. to 5 p.m. EST Monday to Friday).</w:t>
            </w:r>
          </w:p>
          <w:p w:rsidR="00064481" w:rsidRPr="00671389" w:rsidRDefault="00064481" w:rsidP="00A245A4">
            <w:pPr>
              <w:pStyle w:val="Tabletext"/>
              <w:rPr>
                <w:iCs/>
                <w:strike/>
                <w:color w:val="000000" w:themeColor="text1"/>
              </w:rPr>
            </w:pPr>
            <w:r w:rsidRPr="00671389">
              <w:rPr>
                <w:iCs/>
                <w:strike/>
                <w:color w:val="000000" w:themeColor="text1"/>
              </w:rPr>
              <w:t>Prescribing information (including Authority Application forms and other relevant documentation as applicable) is available on the Department of Human Services website at www.humanservices.gov.au</w:t>
            </w:r>
          </w:p>
          <w:p w:rsidR="00064481" w:rsidRPr="00671389" w:rsidRDefault="00064481" w:rsidP="00A245A4">
            <w:pPr>
              <w:pStyle w:val="Tabletext"/>
              <w:rPr>
                <w:iCs/>
                <w:strike/>
                <w:color w:val="000000" w:themeColor="text1"/>
              </w:rPr>
            </w:pPr>
            <w:r w:rsidRPr="00671389">
              <w:rPr>
                <w:iCs/>
                <w:strike/>
                <w:color w:val="000000" w:themeColor="text1"/>
              </w:rPr>
              <w:t>Applications for authority to prescribe should be forwarded to:</w:t>
            </w:r>
          </w:p>
          <w:p w:rsidR="00064481" w:rsidRPr="00671389" w:rsidRDefault="00064481" w:rsidP="00A245A4">
            <w:pPr>
              <w:pStyle w:val="Tabletext"/>
              <w:rPr>
                <w:iCs/>
                <w:strike/>
                <w:color w:val="000000" w:themeColor="text1"/>
              </w:rPr>
            </w:pPr>
            <w:r w:rsidRPr="00671389">
              <w:rPr>
                <w:iCs/>
                <w:strike/>
                <w:color w:val="000000" w:themeColor="text1"/>
              </w:rPr>
              <w:t>Department of Human Services</w:t>
            </w:r>
          </w:p>
          <w:p w:rsidR="00064481" w:rsidRPr="00671389" w:rsidRDefault="00064481" w:rsidP="00A245A4">
            <w:pPr>
              <w:pStyle w:val="Tabletext"/>
              <w:rPr>
                <w:iCs/>
                <w:strike/>
                <w:color w:val="000000" w:themeColor="text1"/>
              </w:rPr>
            </w:pPr>
            <w:r w:rsidRPr="00671389">
              <w:rPr>
                <w:iCs/>
                <w:strike/>
                <w:color w:val="000000" w:themeColor="text1"/>
              </w:rPr>
              <w:t>Complex Drugs</w:t>
            </w:r>
          </w:p>
          <w:p w:rsidR="00064481" w:rsidRPr="00671389" w:rsidRDefault="00064481" w:rsidP="00A245A4">
            <w:pPr>
              <w:pStyle w:val="Tabletext"/>
              <w:rPr>
                <w:iCs/>
                <w:strike/>
                <w:color w:val="000000" w:themeColor="text1"/>
              </w:rPr>
            </w:pPr>
            <w:r w:rsidRPr="00671389">
              <w:rPr>
                <w:iCs/>
                <w:strike/>
                <w:color w:val="000000" w:themeColor="text1"/>
              </w:rPr>
              <w:t>Reply Paid 9826</w:t>
            </w:r>
          </w:p>
          <w:p w:rsidR="00064481" w:rsidRPr="00671389" w:rsidRDefault="00064481" w:rsidP="00A245A4">
            <w:pPr>
              <w:pStyle w:val="Tabletext"/>
              <w:rPr>
                <w:iCs/>
                <w:strike/>
                <w:color w:val="000000" w:themeColor="text1"/>
              </w:rPr>
            </w:pPr>
            <w:r w:rsidRPr="00671389">
              <w:rPr>
                <w:iCs/>
                <w:strike/>
                <w:color w:val="000000" w:themeColor="text1"/>
              </w:rPr>
              <w:t>HOBART TAS 7001</w:t>
            </w:r>
          </w:p>
          <w:p w:rsidR="00064481" w:rsidRPr="00671389" w:rsidRDefault="00064481" w:rsidP="00A245A4">
            <w:pPr>
              <w:pStyle w:val="Tabletext"/>
              <w:rPr>
                <w:iCs/>
                <w:strike/>
                <w:color w:val="000000" w:themeColor="text1"/>
              </w:rPr>
            </w:pPr>
          </w:p>
          <w:p w:rsidR="00064481" w:rsidRPr="00671389" w:rsidRDefault="00064481" w:rsidP="00A245A4">
            <w:pPr>
              <w:pStyle w:val="Tabletext"/>
              <w:rPr>
                <w:i/>
                <w:color w:val="000000" w:themeColor="text1"/>
              </w:rPr>
            </w:pPr>
            <w:r w:rsidRPr="00671389">
              <w:rPr>
                <w:i/>
                <w:color w:val="000000" w:themeColor="text1"/>
              </w:rPr>
              <w:t>Any queries concerning the arrangements to prescribe may be directed to Services Australia on 1800 700 270 (hours of operation 8 a.m. to 5 p.m. EST Monday to Friday).</w:t>
            </w:r>
          </w:p>
          <w:p w:rsidR="00064481" w:rsidRPr="00671389" w:rsidRDefault="00064481" w:rsidP="00A245A4">
            <w:pPr>
              <w:pStyle w:val="Tabletext"/>
              <w:rPr>
                <w:i/>
                <w:color w:val="000000" w:themeColor="text1"/>
              </w:rPr>
            </w:pPr>
            <w:r w:rsidRPr="00671389">
              <w:rPr>
                <w:i/>
                <w:color w:val="000000" w:themeColor="text1"/>
              </w:rPr>
              <w:t>Prescribing information (including Authority Application forms and other relevant documentation as applicable) is available on the Services Australia website at www.servicesaustralia.gov.au</w:t>
            </w:r>
          </w:p>
          <w:p w:rsidR="00064481" w:rsidRPr="00671389" w:rsidRDefault="00064481" w:rsidP="00A245A4">
            <w:pPr>
              <w:pStyle w:val="Tabletext"/>
              <w:rPr>
                <w:i/>
                <w:color w:val="000000" w:themeColor="text1"/>
              </w:rPr>
            </w:pPr>
            <w:r w:rsidRPr="00671389">
              <w:rPr>
                <w:i/>
                <w:color w:val="000000" w:themeColor="text1"/>
              </w:rPr>
              <w:t>Applications for authority to prescribe should be submitted online using the form upload facility in Health Professional Online Services (HPOS) at www.servicesaustralia.gov.au/hpos</w:t>
            </w:r>
          </w:p>
          <w:p w:rsidR="00064481" w:rsidRPr="00671389" w:rsidRDefault="00064481" w:rsidP="00A245A4">
            <w:pPr>
              <w:pStyle w:val="Tabletext"/>
              <w:rPr>
                <w:i/>
                <w:color w:val="000000" w:themeColor="text1"/>
              </w:rPr>
            </w:pPr>
            <w:r w:rsidRPr="00671389">
              <w:rPr>
                <w:i/>
                <w:color w:val="000000" w:themeColor="text1"/>
              </w:rPr>
              <w:t>Or mailed to:</w:t>
            </w:r>
          </w:p>
          <w:p w:rsidR="00064481" w:rsidRPr="00671389" w:rsidRDefault="00064481" w:rsidP="00A245A4">
            <w:pPr>
              <w:pStyle w:val="Tabletext"/>
              <w:rPr>
                <w:i/>
                <w:color w:val="000000" w:themeColor="text1"/>
              </w:rPr>
            </w:pPr>
            <w:r w:rsidRPr="00671389">
              <w:rPr>
                <w:i/>
                <w:color w:val="000000" w:themeColor="text1"/>
              </w:rPr>
              <w:t>Services Australia</w:t>
            </w:r>
          </w:p>
          <w:p w:rsidR="00064481" w:rsidRPr="00671389" w:rsidRDefault="00064481" w:rsidP="00A245A4">
            <w:pPr>
              <w:pStyle w:val="Tabletext"/>
              <w:rPr>
                <w:i/>
                <w:color w:val="000000" w:themeColor="text1"/>
              </w:rPr>
            </w:pPr>
            <w:r w:rsidRPr="00671389">
              <w:rPr>
                <w:i/>
                <w:color w:val="000000" w:themeColor="text1"/>
              </w:rPr>
              <w:t>Complex Drugs</w:t>
            </w:r>
          </w:p>
          <w:p w:rsidR="00064481" w:rsidRPr="00671389" w:rsidRDefault="00064481" w:rsidP="00A245A4">
            <w:pPr>
              <w:pStyle w:val="Tabletext"/>
              <w:rPr>
                <w:i/>
                <w:color w:val="000000" w:themeColor="text1"/>
              </w:rPr>
            </w:pPr>
            <w:r w:rsidRPr="00671389">
              <w:rPr>
                <w:i/>
                <w:color w:val="000000" w:themeColor="text1"/>
              </w:rPr>
              <w:t>Reply Paid 9826</w:t>
            </w:r>
          </w:p>
          <w:p w:rsidR="00064481" w:rsidRPr="00671389" w:rsidRDefault="00064481" w:rsidP="00A245A4">
            <w:pPr>
              <w:pStyle w:val="Tabletext"/>
              <w:rPr>
                <w:i/>
                <w:color w:val="000000" w:themeColor="text1"/>
              </w:rPr>
            </w:pPr>
            <w:r w:rsidRPr="00671389">
              <w:rPr>
                <w:i/>
                <w:color w:val="000000" w:themeColor="text1"/>
              </w:rPr>
              <w:lastRenderedPageBreak/>
              <w:t>HOBART TAS 7001</w:t>
            </w:r>
          </w:p>
          <w:p w:rsidR="00064481" w:rsidRPr="00671389" w:rsidRDefault="00064481" w:rsidP="00A245A4">
            <w:pPr>
              <w:pStyle w:val="Tabletext"/>
              <w:rPr>
                <w:color w:val="000000" w:themeColor="text1"/>
              </w:rPr>
            </w:pPr>
          </w:p>
        </w:tc>
      </w:tr>
      <w:tr w:rsidR="00064481" w:rsidRPr="00671389" w:rsidTr="00064481">
        <w:tc>
          <w:tcPr>
            <w:tcW w:w="5000" w:type="pct"/>
          </w:tcPr>
          <w:p w:rsidR="00064481" w:rsidRPr="00671389" w:rsidRDefault="00064481" w:rsidP="00A245A4">
            <w:pPr>
              <w:pStyle w:val="Tabletext"/>
              <w:rPr>
                <w:color w:val="000000" w:themeColor="text1"/>
              </w:rPr>
            </w:pPr>
            <w:r w:rsidRPr="00671389">
              <w:rPr>
                <w:b/>
              </w:rPr>
              <w:lastRenderedPageBreak/>
              <w:t>Cautions</w:t>
            </w:r>
            <w:r w:rsidRPr="00671389">
              <w:rPr>
                <w:color w:val="000000" w:themeColor="text1"/>
              </w:rPr>
              <w:t>:</w:t>
            </w:r>
          </w:p>
          <w:p w:rsidR="00064481" w:rsidRPr="00671389" w:rsidRDefault="00064481" w:rsidP="00A245A4">
            <w:pPr>
              <w:pStyle w:val="Tabletext"/>
              <w:rPr>
                <w:color w:val="000000" w:themeColor="text1"/>
              </w:rPr>
            </w:pPr>
            <w:r w:rsidRPr="00671389">
              <w:rPr>
                <w:color w:val="000000" w:themeColor="text1"/>
              </w:rPr>
              <w:t>It is recommended that the first subcutaneous injection of belimumab be under the supervision of a healthcare professional in a setting that is sufficiently equipped to manage hypersensitivity reactions.</w:t>
            </w:r>
          </w:p>
        </w:tc>
      </w:tr>
    </w:tbl>
    <w:p w:rsidR="009440D0" w:rsidRPr="00671389" w:rsidRDefault="009440D0" w:rsidP="009440D0">
      <w:r w:rsidRPr="00671389">
        <w:br w:type="page"/>
      </w:r>
    </w:p>
    <w:p w:rsidR="009440D0" w:rsidRPr="00671389" w:rsidRDefault="009440D0" w:rsidP="009440D0">
      <w:pPr>
        <w:pStyle w:val="Caption"/>
        <w:rPr>
          <w:color w:val="auto"/>
          <w:sz w:val="20"/>
          <w:szCs w:val="20"/>
        </w:rPr>
      </w:pPr>
      <w:r w:rsidRPr="00671389">
        <w:rPr>
          <w:color w:val="auto"/>
          <w:sz w:val="20"/>
          <w:szCs w:val="20"/>
        </w:rPr>
        <w:lastRenderedPageBreak/>
        <w:t>Requested restriction – continuing treatment</w:t>
      </w:r>
    </w:p>
    <w:tbl>
      <w:tblPr>
        <w:tblStyle w:val="TableGrid"/>
        <w:tblW w:w="5000" w:type="pct"/>
        <w:tblLook w:val="04A0" w:firstRow="1" w:lastRow="0" w:firstColumn="1" w:lastColumn="0" w:noHBand="0" w:noVBand="1"/>
      </w:tblPr>
      <w:tblGrid>
        <w:gridCol w:w="9017"/>
      </w:tblGrid>
      <w:tr w:rsidR="00064481" w:rsidRPr="00671389" w:rsidTr="00064481">
        <w:tc>
          <w:tcPr>
            <w:tcW w:w="5000" w:type="pct"/>
          </w:tcPr>
          <w:p w:rsidR="00064481" w:rsidRPr="00671389" w:rsidRDefault="00064481" w:rsidP="00A245A4">
            <w:pPr>
              <w:pStyle w:val="Tabletext"/>
            </w:pPr>
            <w:r w:rsidRPr="00671389">
              <w:rPr>
                <w:b/>
              </w:rPr>
              <w:t>Category/program</w:t>
            </w:r>
            <w:r w:rsidRPr="00671389">
              <w:t xml:space="preserve">: </w:t>
            </w:r>
            <w:r w:rsidRPr="009174D4">
              <w:rPr>
                <w:strike/>
              </w:rPr>
              <w:t>Highly Specialised Drugs Program (S100)</w:t>
            </w:r>
            <w:r w:rsidR="009174D4">
              <w:t xml:space="preserve"> </w:t>
            </w:r>
            <w:r w:rsidR="009174D4" w:rsidRPr="009174D4">
              <w:rPr>
                <w:i/>
                <w:szCs w:val="20"/>
              </w:rPr>
              <w:t>GENERAL – General Schedule (Code GE)</w:t>
            </w:r>
            <w:r w:rsidR="009174D4" w:rsidRPr="00211118">
              <w:rPr>
                <w:szCs w:val="20"/>
              </w:rPr>
              <w:t xml:space="preserve"> </w:t>
            </w:r>
          </w:p>
        </w:tc>
      </w:tr>
      <w:tr w:rsidR="00064481" w:rsidRPr="00671389" w:rsidTr="00064481">
        <w:tc>
          <w:tcPr>
            <w:tcW w:w="5000" w:type="pct"/>
          </w:tcPr>
          <w:p w:rsidR="00064481" w:rsidRPr="00671389" w:rsidRDefault="00064481" w:rsidP="00822225">
            <w:pPr>
              <w:pStyle w:val="Tabletext"/>
            </w:pPr>
            <w:r w:rsidRPr="00671389">
              <w:rPr>
                <w:b/>
              </w:rPr>
              <w:t>Prescriber type:</w:t>
            </w:r>
            <w:r w:rsidRPr="00671389">
              <w:rPr>
                <w:iCs/>
              </w:rPr>
              <w:t xml:space="preserve"> </w:t>
            </w:r>
            <w:r w:rsidRPr="00671389">
              <w:rPr>
                <w:iCs/>
              </w:rPr>
              <w:fldChar w:fldCharType="begin">
                <w:ffData>
                  <w:name w:val=""/>
                  <w:enabled/>
                  <w:calcOnExit w:val="0"/>
                  <w:checkBox>
                    <w:sizeAuto/>
                    <w:default w:val="1"/>
                  </w:checkBox>
                </w:ffData>
              </w:fldChar>
            </w:r>
            <w:r w:rsidRPr="00671389">
              <w:rPr>
                <w:iCs/>
              </w:rPr>
              <w:instrText xml:space="preserve"> FORMCHECKBOX </w:instrText>
            </w:r>
            <w:r w:rsidR="00A5623D">
              <w:rPr>
                <w:iCs/>
              </w:rPr>
            </w:r>
            <w:r w:rsidR="00A5623D">
              <w:rPr>
                <w:iCs/>
              </w:rPr>
              <w:fldChar w:fldCharType="separate"/>
            </w:r>
            <w:r w:rsidRPr="00671389">
              <w:rPr>
                <w:iCs/>
              </w:rPr>
              <w:fldChar w:fldCharType="end"/>
            </w:r>
            <w:r w:rsidRPr="00671389">
              <w:rPr>
                <w:iCs/>
              </w:rPr>
              <w:t xml:space="preserve">Medical Practitioners </w:t>
            </w:r>
          </w:p>
        </w:tc>
      </w:tr>
      <w:tr w:rsidR="00064481" w:rsidRPr="00671389" w:rsidTr="00064481">
        <w:tc>
          <w:tcPr>
            <w:tcW w:w="5000" w:type="pct"/>
          </w:tcPr>
          <w:p w:rsidR="00064481" w:rsidRPr="00671389" w:rsidRDefault="00064481" w:rsidP="00A245A4">
            <w:pPr>
              <w:pStyle w:val="Tabletext"/>
            </w:pPr>
            <w:r w:rsidRPr="00671389">
              <w:rPr>
                <w:b/>
              </w:rPr>
              <w:t xml:space="preserve">Condition: </w:t>
            </w:r>
            <w:r w:rsidRPr="00671389">
              <w:t xml:space="preserve">Systemic lupus erythematosus </w:t>
            </w:r>
          </w:p>
        </w:tc>
      </w:tr>
      <w:tr w:rsidR="00064481" w:rsidRPr="00671389" w:rsidTr="00064481">
        <w:tc>
          <w:tcPr>
            <w:tcW w:w="5000" w:type="pct"/>
          </w:tcPr>
          <w:p w:rsidR="00064481" w:rsidRPr="00671389" w:rsidRDefault="00064481" w:rsidP="00A245A4">
            <w:pPr>
              <w:pStyle w:val="Tabletext"/>
            </w:pPr>
            <w:r w:rsidRPr="00671389">
              <w:rPr>
                <w:b/>
              </w:rPr>
              <w:t xml:space="preserve">PBS indication: </w:t>
            </w:r>
            <w:r w:rsidRPr="00671389">
              <w:t>Systemic lupus erythematosus</w:t>
            </w:r>
          </w:p>
        </w:tc>
      </w:tr>
      <w:tr w:rsidR="00064481" w:rsidRPr="00671389" w:rsidTr="00064481">
        <w:tc>
          <w:tcPr>
            <w:tcW w:w="5000" w:type="pct"/>
          </w:tcPr>
          <w:p w:rsidR="00064481" w:rsidRPr="00671389" w:rsidRDefault="00064481" w:rsidP="00A245A4">
            <w:pPr>
              <w:pStyle w:val="Tabletext"/>
            </w:pPr>
            <w:r w:rsidRPr="00671389">
              <w:rPr>
                <w:b/>
              </w:rPr>
              <w:t xml:space="preserve">Treatment phase: </w:t>
            </w:r>
            <w:r w:rsidRPr="00671389">
              <w:t>Continuing</w:t>
            </w:r>
          </w:p>
        </w:tc>
      </w:tr>
      <w:tr w:rsidR="00064481" w:rsidRPr="00671389" w:rsidTr="00064481">
        <w:tc>
          <w:tcPr>
            <w:tcW w:w="5000" w:type="pct"/>
          </w:tcPr>
          <w:p w:rsidR="00064481" w:rsidRPr="00671389" w:rsidRDefault="00064481" w:rsidP="00A245A4">
            <w:pPr>
              <w:pStyle w:val="Tabletext"/>
            </w:pPr>
            <w:r w:rsidRPr="00671389">
              <w:rPr>
                <w:b/>
              </w:rPr>
              <w:t xml:space="preserve">Restriction: </w:t>
            </w:r>
            <w:r w:rsidRPr="00671389">
              <w:fldChar w:fldCharType="begin">
                <w:ffData>
                  <w:name w:val="Check5"/>
                  <w:enabled/>
                  <w:calcOnExit w:val="0"/>
                  <w:checkBox>
                    <w:sizeAuto/>
                    <w:default w:val="1"/>
                  </w:checkBox>
                </w:ffData>
              </w:fldChar>
            </w:r>
            <w:r w:rsidRPr="00671389">
              <w:instrText xml:space="preserve"> FORMCHECKBOX </w:instrText>
            </w:r>
            <w:r w:rsidR="00A5623D">
              <w:fldChar w:fldCharType="separate"/>
            </w:r>
            <w:r w:rsidRPr="00671389">
              <w:fldChar w:fldCharType="end"/>
            </w:r>
            <w:r w:rsidRPr="00671389">
              <w:t xml:space="preserve"> Authority Required – by telephone</w:t>
            </w:r>
          </w:p>
        </w:tc>
      </w:tr>
      <w:tr w:rsidR="00064481" w:rsidRPr="00671389" w:rsidTr="00064481">
        <w:tc>
          <w:tcPr>
            <w:tcW w:w="5000" w:type="pct"/>
          </w:tcPr>
          <w:p w:rsidR="00064481" w:rsidRPr="00671389" w:rsidRDefault="00064481" w:rsidP="00A245A4">
            <w:pPr>
              <w:pStyle w:val="Tabletext"/>
            </w:pPr>
            <w:r w:rsidRPr="00671389">
              <w:rPr>
                <w:b/>
              </w:rPr>
              <w:t>Treatment criteria:</w:t>
            </w:r>
          </w:p>
        </w:tc>
      </w:tr>
      <w:tr w:rsidR="00064481" w:rsidRPr="00671389" w:rsidTr="00064481">
        <w:tc>
          <w:tcPr>
            <w:tcW w:w="5000" w:type="pct"/>
          </w:tcPr>
          <w:p w:rsidR="00064481" w:rsidRPr="00671389" w:rsidRDefault="00064481" w:rsidP="00A245A4">
            <w:pPr>
              <w:pStyle w:val="Tabletext"/>
            </w:pPr>
            <w:r w:rsidRPr="00671389">
              <w:t>Must be treated by a rheumatologist; or</w:t>
            </w:r>
          </w:p>
          <w:p w:rsidR="00064481" w:rsidRPr="00671389" w:rsidRDefault="00064481" w:rsidP="00A245A4">
            <w:pPr>
              <w:pStyle w:val="Tabletext"/>
            </w:pPr>
            <w:r w:rsidRPr="00671389">
              <w:t>Must be treated by a clinical immunologist; or</w:t>
            </w:r>
          </w:p>
          <w:p w:rsidR="00064481" w:rsidRPr="00064481" w:rsidRDefault="00064481" w:rsidP="00A245A4">
            <w:pPr>
              <w:pStyle w:val="Tabletext"/>
              <w:rPr>
                <w:strike/>
              </w:rPr>
            </w:pPr>
            <w:r w:rsidRPr="00064481">
              <w:rPr>
                <w:strike/>
              </w:rPr>
              <w:t>Must be treated by a nephrologist.</w:t>
            </w:r>
          </w:p>
        </w:tc>
      </w:tr>
      <w:tr w:rsidR="00064481" w:rsidRPr="00671389" w:rsidTr="00064481">
        <w:tc>
          <w:tcPr>
            <w:tcW w:w="5000" w:type="pct"/>
          </w:tcPr>
          <w:p w:rsidR="00064481" w:rsidRPr="00671389" w:rsidRDefault="00064481" w:rsidP="00A245A4">
            <w:pPr>
              <w:pStyle w:val="Tabletext"/>
            </w:pPr>
            <w:r w:rsidRPr="00671389">
              <w:rPr>
                <w:b/>
              </w:rPr>
              <w:t>AND</w:t>
            </w:r>
          </w:p>
        </w:tc>
      </w:tr>
      <w:tr w:rsidR="00064481" w:rsidRPr="00671389" w:rsidTr="00064481">
        <w:tc>
          <w:tcPr>
            <w:tcW w:w="5000" w:type="pct"/>
          </w:tcPr>
          <w:p w:rsidR="00064481" w:rsidRPr="00671389" w:rsidRDefault="00064481" w:rsidP="00A245A4">
            <w:pPr>
              <w:pStyle w:val="Tabletext"/>
            </w:pPr>
            <w:r w:rsidRPr="00671389">
              <w:rPr>
                <w:b/>
              </w:rPr>
              <w:t>Clinical criteria:</w:t>
            </w:r>
          </w:p>
        </w:tc>
      </w:tr>
      <w:tr w:rsidR="00064481" w:rsidRPr="00671389" w:rsidTr="00064481">
        <w:tc>
          <w:tcPr>
            <w:tcW w:w="5000" w:type="pct"/>
          </w:tcPr>
          <w:p w:rsidR="00064481" w:rsidRPr="00671389" w:rsidRDefault="00064481" w:rsidP="00A245A4">
            <w:pPr>
              <w:pStyle w:val="Tabletext"/>
            </w:pPr>
            <w:r w:rsidRPr="00671389">
              <w:t>Patient must have previously been issued with an authority prescription for this drug for this condition.</w:t>
            </w:r>
          </w:p>
        </w:tc>
      </w:tr>
      <w:tr w:rsidR="00064481" w:rsidRPr="00671389" w:rsidTr="00064481">
        <w:tc>
          <w:tcPr>
            <w:tcW w:w="5000" w:type="pct"/>
          </w:tcPr>
          <w:p w:rsidR="00064481" w:rsidRPr="00671389" w:rsidRDefault="00064481" w:rsidP="00A245A4">
            <w:pPr>
              <w:pStyle w:val="Tabletext"/>
            </w:pPr>
            <w:r w:rsidRPr="00671389">
              <w:rPr>
                <w:b/>
              </w:rPr>
              <w:t>AND</w:t>
            </w:r>
          </w:p>
        </w:tc>
      </w:tr>
      <w:tr w:rsidR="00064481" w:rsidRPr="00671389" w:rsidTr="00064481">
        <w:tc>
          <w:tcPr>
            <w:tcW w:w="5000" w:type="pct"/>
          </w:tcPr>
          <w:p w:rsidR="00064481" w:rsidRPr="00671389" w:rsidRDefault="00064481" w:rsidP="00A245A4">
            <w:pPr>
              <w:pStyle w:val="Tabletext"/>
            </w:pPr>
            <w:r w:rsidRPr="00671389">
              <w:rPr>
                <w:b/>
              </w:rPr>
              <w:t>Clinical criteria:</w:t>
            </w:r>
          </w:p>
        </w:tc>
      </w:tr>
      <w:tr w:rsidR="00064481" w:rsidRPr="00671389" w:rsidTr="00064481">
        <w:tc>
          <w:tcPr>
            <w:tcW w:w="5000" w:type="pct"/>
          </w:tcPr>
          <w:p w:rsidR="00064481" w:rsidRPr="00671389" w:rsidRDefault="00064481" w:rsidP="00A245A4">
            <w:pPr>
              <w:pStyle w:val="Tabletext"/>
            </w:pPr>
            <w:r w:rsidRPr="00671389">
              <w:t xml:space="preserve">Patient must have demonstrated or maintained at least a 4-point reduction in Systemic Lupus Erythematosus Disease Activity Index 2000 (SLEDAI-2K) score, compared to the baseline assessment; OR </w:t>
            </w:r>
            <w:r w:rsidRPr="00671389">
              <w:br/>
              <w:t>Patient must have demonstrated or maintained at least a 4-point reduction in Systemic Lupus Erythematosus Disease Activity Index 2000 (SLEDAI-2K) score, compared to the baseline assessment prior to having a treatment break for clinical reasons.</w:t>
            </w:r>
          </w:p>
        </w:tc>
      </w:tr>
      <w:tr w:rsidR="00064481" w:rsidRPr="00671389" w:rsidTr="00064481">
        <w:tc>
          <w:tcPr>
            <w:tcW w:w="5000" w:type="pct"/>
          </w:tcPr>
          <w:p w:rsidR="00064481" w:rsidRPr="00671389" w:rsidRDefault="00064481" w:rsidP="00A245A4">
            <w:pPr>
              <w:pStyle w:val="Tabletext"/>
            </w:pPr>
            <w:r w:rsidRPr="00671389">
              <w:rPr>
                <w:b/>
              </w:rPr>
              <w:t>Prescriber instructions</w:t>
            </w:r>
            <w:r w:rsidRPr="00671389">
              <w:t>:</w:t>
            </w:r>
          </w:p>
          <w:p w:rsidR="00064481" w:rsidRPr="00671389" w:rsidRDefault="00064481" w:rsidP="00A245A4">
            <w:pPr>
              <w:pStyle w:val="Tabletext"/>
            </w:pPr>
            <w:r w:rsidRPr="00671389">
              <w:t xml:space="preserve">If fewer than the maximum stated repeats in the relevant treatment phase are requested at the time of the application, authority approvals for sufficient repeats to complete the balance of the stated repeats in the relevant treatment phase may be requested by telephone by contacting the Services </w:t>
            </w:r>
            <w:r w:rsidRPr="00671389">
              <w:rPr>
                <w:i/>
              </w:rPr>
              <w:t xml:space="preserve">Australia </w:t>
            </w:r>
            <w:r w:rsidRPr="00671389">
              <w:t>and applying through the Balance of Supply restriction. Under no circumstances will telephone approvals be granted for treatment that would otherwise extend the relevant treatment phase</w:t>
            </w:r>
          </w:p>
        </w:tc>
      </w:tr>
      <w:tr w:rsidR="00064481" w:rsidRPr="00671389" w:rsidTr="00064481">
        <w:tc>
          <w:tcPr>
            <w:tcW w:w="5000" w:type="pct"/>
          </w:tcPr>
          <w:p w:rsidR="00064481" w:rsidRPr="00671389" w:rsidRDefault="00064481" w:rsidP="00A245A4">
            <w:pPr>
              <w:pStyle w:val="Tabletext"/>
              <w:rPr>
                <w:iCs/>
                <w:color w:val="000000" w:themeColor="text1"/>
              </w:rPr>
            </w:pPr>
            <w:r w:rsidRPr="00671389">
              <w:rPr>
                <w:b/>
                <w:iCs/>
              </w:rPr>
              <w:t>Administrative advice</w:t>
            </w:r>
            <w:r w:rsidRPr="00671389">
              <w:rPr>
                <w:iCs/>
                <w:color w:val="000000" w:themeColor="text1"/>
              </w:rPr>
              <w:t>:</w:t>
            </w:r>
          </w:p>
          <w:p w:rsidR="00064481" w:rsidRPr="00671389" w:rsidRDefault="00064481" w:rsidP="00A245A4">
            <w:pPr>
              <w:pStyle w:val="Tabletext"/>
              <w:rPr>
                <w:iCs/>
                <w:color w:val="000000" w:themeColor="text1"/>
              </w:rPr>
            </w:pPr>
            <w:r w:rsidRPr="00671389">
              <w:rPr>
                <w:iCs/>
                <w:color w:val="000000" w:themeColor="text1"/>
              </w:rPr>
              <w:t>Special Pricing Arrangements apply.</w:t>
            </w:r>
          </w:p>
        </w:tc>
      </w:tr>
      <w:tr w:rsidR="00064481" w:rsidRPr="008820FC" w:rsidTr="00064481">
        <w:tc>
          <w:tcPr>
            <w:tcW w:w="5000" w:type="pct"/>
          </w:tcPr>
          <w:p w:rsidR="00064481" w:rsidRPr="00671389" w:rsidRDefault="00064481" w:rsidP="00A245A4">
            <w:pPr>
              <w:pStyle w:val="Tabletext"/>
              <w:rPr>
                <w:iCs/>
                <w:color w:val="000000" w:themeColor="text1"/>
              </w:rPr>
            </w:pPr>
            <w:r w:rsidRPr="00671389">
              <w:rPr>
                <w:b/>
                <w:iCs/>
              </w:rPr>
              <w:t>Administrative advice</w:t>
            </w:r>
            <w:r w:rsidRPr="00671389">
              <w:rPr>
                <w:iCs/>
                <w:color w:val="000000" w:themeColor="text1"/>
              </w:rPr>
              <w:t>:</w:t>
            </w:r>
          </w:p>
          <w:p w:rsidR="00064481" w:rsidRPr="00671389" w:rsidRDefault="00064481" w:rsidP="00A245A4">
            <w:pPr>
              <w:pStyle w:val="Tabletext"/>
              <w:rPr>
                <w:iCs/>
                <w:strike/>
                <w:color w:val="000000" w:themeColor="text1"/>
              </w:rPr>
            </w:pPr>
            <w:r w:rsidRPr="00671389">
              <w:rPr>
                <w:iCs/>
                <w:strike/>
                <w:color w:val="000000" w:themeColor="text1"/>
              </w:rPr>
              <w:t>Any queries concerning the arrangements to prescribe may be directed to the Department of Human Services on 1800 700 270 (hours of operation 8 a.m. to 5 p.m. EST Monday to Friday).</w:t>
            </w:r>
          </w:p>
          <w:p w:rsidR="00064481" w:rsidRPr="00671389" w:rsidRDefault="00064481" w:rsidP="00A245A4">
            <w:pPr>
              <w:pStyle w:val="Tabletext"/>
              <w:rPr>
                <w:iCs/>
                <w:color w:val="000000" w:themeColor="text1"/>
              </w:rPr>
            </w:pPr>
          </w:p>
          <w:p w:rsidR="00064481" w:rsidRPr="00043605" w:rsidRDefault="00064481" w:rsidP="00A245A4">
            <w:pPr>
              <w:pStyle w:val="Tabletext"/>
              <w:rPr>
                <w:i/>
                <w:iCs/>
                <w:color w:val="000000" w:themeColor="text1"/>
                <w:u w:val="single"/>
              </w:rPr>
            </w:pPr>
            <w:r w:rsidRPr="00671389">
              <w:rPr>
                <w:i/>
                <w:iCs/>
                <w:color w:val="000000" w:themeColor="text1"/>
                <w:u w:val="single"/>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rsidR="009440D0" w:rsidRDefault="009440D0" w:rsidP="00172AD3"/>
    <w:p w:rsidR="00EB4D04" w:rsidRPr="00BE1C7D" w:rsidRDefault="00F01E4E" w:rsidP="00DA711E">
      <w:pPr>
        <w:pStyle w:val="ListParagraph"/>
        <w:widowControl/>
        <w:numPr>
          <w:ilvl w:val="1"/>
          <w:numId w:val="1"/>
        </w:numPr>
      </w:pPr>
      <w:r w:rsidRPr="00BE1C7D">
        <w:t>The proposed effective price was unchanged</w:t>
      </w:r>
      <w:r w:rsidR="00611EAE">
        <w:t xml:space="preserve"> </w:t>
      </w:r>
      <w:r w:rsidR="00611EAE" w:rsidRPr="00BE1C7D">
        <w:t>compared to the previous submission</w:t>
      </w:r>
      <w:r w:rsidR="00B97F68">
        <w:t>.</w:t>
      </w:r>
      <w:r w:rsidR="00486DBA" w:rsidRPr="00BE1C7D">
        <w:t xml:space="preserve"> </w:t>
      </w:r>
      <w:r w:rsidRPr="00BE1C7D">
        <w:t xml:space="preserve"> </w:t>
      </w:r>
    </w:p>
    <w:p w:rsidR="009222EA" w:rsidRPr="00BE1C7D" w:rsidRDefault="009222EA" w:rsidP="00DA711E">
      <w:pPr>
        <w:pStyle w:val="ListParagraph"/>
        <w:widowControl/>
        <w:numPr>
          <w:ilvl w:val="1"/>
          <w:numId w:val="1"/>
        </w:numPr>
      </w:pPr>
      <w:r w:rsidRPr="00BE1C7D">
        <w:rPr>
          <w:szCs w:val="24"/>
        </w:rPr>
        <w:t>The proposed PBS restriction largely mirrors the wording proposed by the PBAC in November 2019. As such, the target population in the resubmission is a more severe subgroup of SLE patients compared to the November 2019 submission.</w:t>
      </w:r>
    </w:p>
    <w:p w:rsidR="00895312" w:rsidRDefault="004B5630" w:rsidP="00895312">
      <w:pPr>
        <w:pStyle w:val="ListParagraph"/>
        <w:widowControl/>
        <w:numPr>
          <w:ilvl w:val="1"/>
          <w:numId w:val="1"/>
        </w:numPr>
      </w:pPr>
      <w:r>
        <w:t xml:space="preserve">In December 2019, the </w:t>
      </w:r>
      <w:r w:rsidRPr="00D14CA7">
        <w:t>Sponsor announced positive headline results for BLISS-LN, a randomised controlled trial of IV belimumab versus placebo for lupus nephritis. Therefore</w:t>
      </w:r>
      <w:r>
        <w:t>, increased use of belimumab for renal patients may occur, due to the following factors:</w:t>
      </w:r>
    </w:p>
    <w:p w:rsidR="00224BF1" w:rsidRPr="00B31196" w:rsidRDefault="004B5630" w:rsidP="00A23229">
      <w:pPr>
        <w:pStyle w:val="ListParagraph"/>
        <w:numPr>
          <w:ilvl w:val="0"/>
          <w:numId w:val="22"/>
        </w:numPr>
        <w:spacing w:after="120"/>
        <w:ind w:left="1276" w:hanging="425"/>
        <w:contextualSpacing/>
      </w:pPr>
      <w:r w:rsidRPr="00B31196">
        <w:t xml:space="preserve">Although the proposed PBS restriction specifies that patients must not have severe renal SLE, this does not limit use in patients with mild to moderate lupus </w:t>
      </w:r>
      <w:r w:rsidRPr="00B31196">
        <w:lastRenderedPageBreak/>
        <w:t xml:space="preserve">nephritis. </w:t>
      </w:r>
      <w:r w:rsidR="001E2D19" w:rsidRPr="00B31196">
        <w:t xml:space="preserve">The ESC noted that 11.8% of patients enrolled in BLISS-SC had renal involvement at baseline; and that the BLISS-SC trial only excluded patients with severe lupus kidney disease </w:t>
      </w:r>
      <w:r w:rsidR="00CF6178" w:rsidRPr="00B31196">
        <w:t>(</w:t>
      </w:r>
      <w:r w:rsidR="001E2D19" w:rsidRPr="00B31196">
        <w:t xml:space="preserve">defined by proteinuria &gt; 6 g/24 hour or serum creatinine &gt; 2.5 mg/dL, or </w:t>
      </w:r>
      <w:r w:rsidR="00CF6178" w:rsidRPr="00B31196">
        <w:t>who had</w:t>
      </w:r>
      <w:r w:rsidR="001E2D19" w:rsidRPr="00B31196">
        <w:t xml:space="preserve"> severe active nephritis requiring acute therapy not permitted by </w:t>
      </w:r>
      <w:r w:rsidR="00CF6178" w:rsidRPr="00B31196">
        <w:t xml:space="preserve">the </w:t>
      </w:r>
      <w:r w:rsidR="001E2D19" w:rsidRPr="00B31196">
        <w:t>protocol</w:t>
      </w:r>
      <w:r w:rsidR="00CF6178" w:rsidRPr="00B31196">
        <w:t>).</w:t>
      </w:r>
    </w:p>
    <w:p w:rsidR="004B5630" w:rsidRPr="00B31196" w:rsidRDefault="004B5630" w:rsidP="00A23229">
      <w:pPr>
        <w:pStyle w:val="ListParagraph"/>
        <w:numPr>
          <w:ilvl w:val="0"/>
          <w:numId w:val="22"/>
        </w:numPr>
        <w:spacing w:after="120"/>
        <w:ind w:left="1276" w:hanging="425"/>
        <w:contextualSpacing/>
      </w:pPr>
      <w:r w:rsidRPr="00B31196">
        <w:t xml:space="preserve">Furthermore, the limitation on patients with severe active </w:t>
      </w:r>
      <w:r w:rsidR="00D96E59" w:rsidRPr="00B31196">
        <w:t>lupus nephritis</w:t>
      </w:r>
      <w:r w:rsidRPr="00B31196">
        <w:t xml:space="preserve"> is largely reflective of regulatory guidelines, which include this statement because belimumab had not been previously trialled in these patients. </w:t>
      </w:r>
      <w:r w:rsidR="00C33EF7">
        <w:t>T</w:t>
      </w:r>
      <w:r w:rsidRPr="00B31196">
        <w:t xml:space="preserve">he </w:t>
      </w:r>
      <w:r w:rsidR="004D4C9A">
        <w:t xml:space="preserve">sponsor </w:t>
      </w:r>
      <w:r w:rsidR="00895312">
        <w:t>indicated</w:t>
      </w:r>
      <w:r w:rsidR="004D4C9A">
        <w:t xml:space="preserve"> in the pre-PBAC response that a regulatory submission based on the results of the BLISS-LN study is progressing</w:t>
      </w:r>
      <w:r w:rsidR="00064481">
        <w:t>.</w:t>
      </w:r>
    </w:p>
    <w:p w:rsidR="004B5630" w:rsidRDefault="004B5630" w:rsidP="00A23229">
      <w:pPr>
        <w:pStyle w:val="ListParagraph"/>
        <w:numPr>
          <w:ilvl w:val="0"/>
          <w:numId w:val="22"/>
        </w:numPr>
        <w:spacing w:after="120"/>
        <w:ind w:left="1276" w:hanging="425"/>
        <w:contextualSpacing/>
      </w:pPr>
      <w:r>
        <w:t>The requested PBS restriction specifies nephrologists as one of only three specialist physician groups who can prescribe belimumab.</w:t>
      </w:r>
      <w:r w:rsidR="00176B9B">
        <w:t xml:space="preserve"> The PBAC considered that belimumab should not be prescribed by a nephrologist, only a rheumatologist or immunologist.</w:t>
      </w:r>
    </w:p>
    <w:p w:rsidR="004B5630" w:rsidRDefault="004B5630" w:rsidP="00A23229">
      <w:pPr>
        <w:pStyle w:val="ListParagraph"/>
        <w:numPr>
          <w:ilvl w:val="0"/>
          <w:numId w:val="22"/>
        </w:numPr>
        <w:spacing w:after="120"/>
        <w:ind w:left="1276" w:hanging="425"/>
        <w:contextualSpacing/>
      </w:pPr>
      <w:r>
        <w:t>Renal SLE patients have no other options on the PBS and access through hospitals for the IV formulation is a difficult and lengthy process.</w:t>
      </w:r>
    </w:p>
    <w:p w:rsidR="004B5630" w:rsidRDefault="004B5630" w:rsidP="005F0489">
      <w:pPr>
        <w:widowControl/>
        <w:spacing w:after="120"/>
        <w:ind w:left="720"/>
      </w:pPr>
      <w:r w:rsidRPr="00BE1C7D">
        <w:t>This may have implications for increasing the risk of leakage</w:t>
      </w:r>
      <w:r w:rsidR="001E09EC" w:rsidRPr="00BE1C7D">
        <w:t xml:space="preserve"> in severe lupus nephritis</w:t>
      </w:r>
      <w:r w:rsidRPr="00BE1C7D">
        <w:t xml:space="preserve"> and any Risk Sharing Arrangements (RSA). </w:t>
      </w:r>
    </w:p>
    <w:p w:rsidR="003B247C" w:rsidRPr="008050D9" w:rsidRDefault="00895312" w:rsidP="003B247C">
      <w:pPr>
        <w:pStyle w:val="ListParagraph"/>
        <w:widowControl/>
        <w:numPr>
          <w:ilvl w:val="1"/>
          <w:numId w:val="1"/>
        </w:numPr>
      </w:pPr>
      <w:r w:rsidRPr="00AC0B37">
        <w:rPr>
          <w:rFonts w:asciiTheme="minorHAnsi" w:hAnsiTheme="minorHAnsi" w:cstheme="minorHAnsi"/>
        </w:rPr>
        <w:t xml:space="preserve">The submission requested in the initial restriction that a </w:t>
      </w:r>
      <w:r w:rsidRPr="00AC0B37">
        <w:rPr>
          <w:iCs/>
        </w:rPr>
        <w:t xml:space="preserve">patient must be currently receiving immunosuppressant medication (methotrexate 20mg per week, azathioprine 100 mg </w:t>
      </w:r>
      <w:r w:rsidR="000C6BCF" w:rsidRPr="00AC0B37">
        <w:rPr>
          <w:iCs/>
        </w:rPr>
        <w:t xml:space="preserve">per day, or mycophenolate). The PBAC </w:t>
      </w:r>
      <w:r w:rsidR="009625F8">
        <w:rPr>
          <w:iCs/>
        </w:rPr>
        <w:t>considered</w:t>
      </w:r>
      <w:r w:rsidR="000C6BCF" w:rsidRPr="00AC0B37">
        <w:rPr>
          <w:iCs/>
        </w:rPr>
        <w:t xml:space="preserve"> that the </w:t>
      </w:r>
      <w:r w:rsidRPr="00AC0B37">
        <w:rPr>
          <w:iCs/>
        </w:rPr>
        <w:t xml:space="preserve">restriction should be </w:t>
      </w:r>
      <w:r w:rsidR="009625F8">
        <w:rPr>
          <w:iCs/>
        </w:rPr>
        <w:t xml:space="preserve">more </w:t>
      </w:r>
      <w:r w:rsidRPr="00AC0B37">
        <w:rPr>
          <w:iCs/>
        </w:rPr>
        <w:t>specific</w:t>
      </w:r>
      <w:r w:rsidR="00FF05E7">
        <w:rPr>
          <w:iCs/>
        </w:rPr>
        <w:t xml:space="preserve"> and that the requirement for prior </w:t>
      </w:r>
      <w:r w:rsidR="00FF05E7" w:rsidRPr="00AC0B37">
        <w:rPr>
          <w:iCs/>
        </w:rPr>
        <w:t>immunosuppressant medication</w:t>
      </w:r>
      <w:r w:rsidR="00FF05E7">
        <w:rPr>
          <w:iCs/>
        </w:rPr>
        <w:t xml:space="preserve"> should specify that patients must</w:t>
      </w:r>
      <w:r w:rsidR="00FF05E7" w:rsidRPr="00FF05E7">
        <w:rPr>
          <w:iCs/>
        </w:rPr>
        <w:t xml:space="preserve"> </w:t>
      </w:r>
      <w:r w:rsidR="00FF05E7" w:rsidRPr="00671389">
        <w:rPr>
          <w:iCs/>
        </w:rPr>
        <w:t>be currently receiving</w:t>
      </w:r>
      <w:r w:rsidR="00FF05E7">
        <w:rPr>
          <w:iCs/>
        </w:rPr>
        <w:t xml:space="preserve"> at least one of the following medications</w:t>
      </w:r>
      <w:r w:rsidR="009625F8">
        <w:rPr>
          <w:iCs/>
        </w:rPr>
        <w:t xml:space="preserve"> </w:t>
      </w:r>
      <w:r w:rsidR="00AC0B37" w:rsidRPr="00AC0B37">
        <w:rPr>
          <w:iCs/>
        </w:rPr>
        <w:t>for at least 12 weeks</w:t>
      </w:r>
      <w:r w:rsidR="000C6BCF" w:rsidRPr="00AC0B37">
        <w:rPr>
          <w:iCs/>
        </w:rPr>
        <w:t xml:space="preserve">: </w:t>
      </w:r>
      <w:r w:rsidR="00AC0B37" w:rsidRPr="00AC0B37">
        <w:rPr>
          <w:iCs/>
          <w:lang w:val="en-US"/>
        </w:rPr>
        <w:t>methotrexate 20 mg/week, azathioprine 100</w:t>
      </w:r>
      <w:r w:rsidR="00B52DCE">
        <w:rPr>
          <w:iCs/>
          <w:lang w:val="en-US"/>
        </w:rPr>
        <w:t> </w:t>
      </w:r>
      <w:r w:rsidR="00AC0B37" w:rsidRPr="00AC0B37">
        <w:rPr>
          <w:iCs/>
          <w:lang w:val="en-US"/>
        </w:rPr>
        <w:t xml:space="preserve">mg </w:t>
      </w:r>
      <w:r w:rsidR="009625F8">
        <w:rPr>
          <w:iCs/>
          <w:lang w:val="en-US"/>
        </w:rPr>
        <w:t>daily</w:t>
      </w:r>
      <w:r w:rsidR="00AC0B37" w:rsidRPr="00AC0B37">
        <w:rPr>
          <w:iCs/>
          <w:lang w:val="en-US"/>
        </w:rPr>
        <w:t>, mycophenolate 1</w:t>
      </w:r>
      <w:r w:rsidR="009625F8">
        <w:rPr>
          <w:iCs/>
          <w:lang w:val="en-US"/>
        </w:rPr>
        <w:t>,</w:t>
      </w:r>
      <w:r w:rsidR="00AC0B37" w:rsidRPr="00AC0B37">
        <w:rPr>
          <w:iCs/>
          <w:lang w:val="en-US"/>
        </w:rPr>
        <w:t>000 mg daily</w:t>
      </w:r>
      <w:r w:rsidRPr="00AC0B37">
        <w:rPr>
          <w:iCs/>
        </w:rPr>
        <w:t>.</w:t>
      </w:r>
      <w:r w:rsidR="00FF05E7">
        <w:rPr>
          <w:iCs/>
        </w:rPr>
        <w:t xml:space="preserve"> The restriction should clarify that the aforementioned doses are the minimum doses that meet the requirement for prior </w:t>
      </w:r>
      <w:r w:rsidR="00FF05E7" w:rsidRPr="00AC0B37">
        <w:rPr>
          <w:iCs/>
        </w:rPr>
        <w:t>immunosuppressant medication</w:t>
      </w:r>
      <w:r w:rsidR="00FF05E7">
        <w:rPr>
          <w:iCs/>
        </w:rPr>
        <w:t>.</w:t>
      </w:r>
    </w:p>
    <w:p w:rsidR="00A6098E" w:rsidRPr="00A74F37" w:rsidRDefault="00A6098E" w:rsidP="003B247C">
      <w:pPr>
        <w:pStyle w:val="ListParagraph"/>
        <w:widowControl/>
        <w:numPr>
          <w:ilvl w:val="1"/>
          <w:numId w:val="1"/>
        </w:numPr>
      </w:pPr>
      <w:r w:rsidRPr="008050D9">
        <w:rPr>
          <w:rFonts w:asciiTheme="minorHAnsi" w:hAnsiTheme="minorHAnsi" w:cstheme="minorHAnsi"/>
        </w:rPr>
        <w:t>The resubmission requested that patients with severe renal or CNS SLE be excluded, in line with clinical trial evidence. This was updated from the November 2019 submission and is consistent with the previous recommendation from the PBAC (paragraph 7.5, belimumab PSD, November 2019). The PBAC considered that “severe renal</w:t>
      </w:r>
      <w:r w:rsidR="00A74F37">
        <w:rPr>
          <w:rFonts w:asciiTheme="minorHAnsi" w:hAnsiTheme="minorHAnsi" w:cstheme="minorHAnsi"/>
        </w:rPr>
        <w:t xml:space="preserve"> or </w:t>
      </w:r>
      <w:r w:rsidR="00A74F37" w:rsidRPr="00671389">
        <w:rPr>
          <w:iCs/>
        </w:rPr>
        <w:t>central nervous system</w:t>
      </w:r>
      <w:r w:rsidRPr="008050D9">
        <w:rPr>
          <w:rFonts w:asciiTheme="minorHAnsi" w:hAnsiTheme="minorHAnsi" w:cstheme="minorHAnsi"/>
        </w:rPr>
        <w:t>”</w:t>
      </w:r>
      <w:r w:rsidR="00A74F37">
        <w:rPr>
          <w:rFonts w:asciiTheme="minorHAnsi" w:hAnsiTheme="minorHAnsi" w:cstheme="minorHAnsi"/>
        </w:rPr>
        <w:t xml:space="preserve"> SLE</w:t>
      </w:r>
      <w:r w:rsidRPr="008050D9">
        <w:rPr>
          <w:rFonts w:asciiTheme="minorHAnsi" w:hAnsiTheme="minorHAnsi" w:cstheme="minorHAnsi"/>
        </w:rPr>
        <w:t xml:space="preserve"> should be changed to “severe active lupus nephritis</w:t>
      </w:r>
      <w:r w:rsidR="00A74F37">
        <w:rPr>
          <w:rFonts w:asciiTheme="minorHAnsi" w:hAnsiTheme="minorHAnsi" w:cstheme="minorHAnsi"/>
        </w:rPr>
        <w:t xml:space="preserve"> </w:t>
      </w:r>
      <w:r w:rsidR="00A74F37" w:rsidRPr="00A74F37">
        <w:rPr>
          <w:rFonts w:asciiTheme="minorHAnsi" w:hAnsiTheme="minorHAnsi" w:cstheme="minorHAnsi"/>
        </w:rPr>
        <w:t xml:space="preserve">or </w:t>
      </w:r>
      <w:r w:rsidR="00A74F37" w:rsidRPr="00A74F37">
        <w:rPr>
          <w:iCs/>
        </w:rPr>
        <w:t>severe active central</w:t>
      </w:r>
      <w:r w:rsidR="00A74F37" w:rsidRPr="00671389">
        <w:rPr>
          <w:iCs/>
        </w:rPr>
        <w:t xml:space="preserve"> nervous system</w:t>
      </w:r>
      <w:r w:rsidRPr="008050D9">
        <w:rPr>
          <w:rFonts w:asciiTheme="minorHAnsi" w:hAnsiTheme="minorHAnsi" w:cstheme="minorHAnsi"/>
        </w:rPr>
        <w:t>”</w:t>
      </w:r>
      <w:r w:rsidR="00A74F37">
        <w:rPr>
          <w:rFonts w:asciiTheme="minorHAnsi" w:hAnsiTheme="minorHAnsi" w:cstheme="minorHAnsi"/>
        </w:rPr>
        <w:t xml:space="preserve"> SLE</w:t>
      </w:r>
      <w:r w:rsidRPr="008050D9">
        <w:rPr>
          <w:rFonts w:asciiTheme="minorHAnsi" w:hAnsiTheme="minorHAnsi" w:cstheme="minorHAnsi"/>
        </w:rPr>
        <w:t xml:space="preserve"> to more closely align with the TGA-approved indication, which includes the statement “The safety and efficacy of BENLYSTA have not been evaluated in patients with severe active lupus nephritis or severe active central nervous system lupus.” Furthermore, since the exclusion of patients in the BLISS-SC trial was based on patients having a </w:t>
      </w:r>
      <w:r w:rsidR="00B97F68">
        <w:rPr>
          <w:rFonts w:asciiTheme="minorHAnsi" w:hAnsiTheme="minorHAnsi" w:cstheme="minorHAnsi"/>
        </w:rPr>
        <w:t>particular thresholds</w:t>
      </w:r>
      <w:r w:rsidRPr="008050D9">
        <w:rPr>
          <w:rFonts w:asciiTheme="minorHAnsi" w:hAnsiTheme="minorHAnsi" w:cstheme="minorHAnsi"/>
        </w:rPr>
        <w:t xml:space="preserve"> of proteinuria</w:t>
      </w:r>
      <w:r w:rsidR="00B97F68">
        <w:rPr>
          <w:rFonts w:asciiTheme="minorHAnsi" w:hAnsiTheme="minorHAnsi" w:cstheme="minorHAnsi"/>
        </w:rPr>
        <w:t xml:space="preserve"> or </w:t>
      </w:r>
      <w:r w:rsidR="00B97F68" w:rsidRPr="00B31196">
        <w:t>serum creatinine</w:t>
      </w:r>
      <w:r w:rsidRPr="008050D9">
        <w:rPr>
          <w:rFonts w:asciiTheme="minorHAnsi" w:hAnsiTheme="minorHAnsi" w:cstheme="minorHAnsi"/>
        </w:rPr>
        <w:t xml:space="preserve"> (definitions shown in </w:t>
      </w:r>
      <w:r w:rsidRPr="000A65E1">
        <w:rPr>
          <w:rFonts w:asciiTheme="minorHAnsi" w:hAnsiTheme="minorHAnsi" w:cstheme="minorHAnsi"/>
        </w:rPr>
        <w:t>paragraph 3.4</w:t>
      </w:r>
      <w:r w:rsidRPr="008050D9">
        <w:rPr>
          <w:rFonts w:asciiTheme="minorHAnsi" w:hAnsiTheme="minorHAnsi" w:cstheme="minorHAnsi"/>
        </w:rPr>
        <w:t xml:space="preserve">), the PBAC considered these criteria should be </w:t>
      </w:r>
      <w:r w:rsidR="00B97F68">
        <w:rPr>
          <w:rFonts w:asciiTheme="minorHAnsi" w:hAnsiTheme="minorHAnsi" w:cstheme="minorHAnsi"/>
        </w:rPr>
        <w:t>also be specified</w:t>
      </w:r>
      <w:r w:rsidRPr="008050D9">
        <w:rPr>
          <w:rFonts w:asciiTheme="minorHAnsi" w:hAnsiTheme="minorHAnsi" w:cstheme="minorHAnsi"/>
        </w:rPr>
        <w:t xml:space="preserve"> in the restriction.</w:t>
      </w:r>
    </w:p>
    <w:p w:rsidR="00822225" w:rsidRPr="00303DFA" w:rsidRDefault="00822225" w:rsidP="00822225">
      <w:pPr>
        <w:pStyle w:val="ListParagraph"/>
        <w:widowControl/>
        <w:numPr>
          <w:ilvl w:val="1"/>
          <w:numId w:val="1"/>
        </w:numPr>
        <w:rPr>
          <w:rFonts w:asciiTheme="minorHAnsi" w:hAnsiTheme="minorHAnsi"/>
        </w:rPr>
      </w:pPr>
      <w:r w:rsidRPr="00303DFA">
        <w:rPr>
          <w:rFonts w:asciiTheme="minorHAnsi" w:hAnsiTheme="minorHAnsi"/>
        </w:rPr>
        <w:lastRenderedPageBreak/>
        <w:t xml:space="preserve">The majority of biological medicines are S100 HSDP listings, but some (usually the self-administered injections) </w:t>
      </w:r>
      <w:r w:rsidR="007B7228" w:rsidRPr="00303DFA">
        <w:rPr>
          <w:rFonts w:asciiTheme="minorHAnsi" w:hAnsiTheme="minorHAnsi"/>
        </w:rPr>
        <w:t xml:space="preserve">have at least a dual General Schedule/S100 listing in recognition that continuing treatment can often be administered to the patient outside of an institution. The </w:t>
      </w:r>
      <w:r w:rsidR="009B1682">
        <w:rPr>
          <w:rFonts w:asciiTheme="minorHAnsi" w:hAnsiTheme="minorHAnsi"/>
        </w:rPr>
        <w:t>Secretariat</w:t>
      </w:r>
      <w:r w:rsidR="007B7228" w:rsidRPr="00303DFA">
        <w:rPr>
          <w:rFonts w:asciiTheme="minorHAnsi" w:hAnsiTheme="minorHAnsi"/>
        </w:rPr>
        <w:t xml:space="preserve"> questioned whether designation of belimumab as a S100 HSDP listing is warranted, given that it can be self-administered with appropriate training at commencement of treatment. Listing as a non-S100 item would have implications for estimates of the cost of treatment as there are differences in pharmacy mark-ups and dispensing fees between General Schedule and S100 items.</w:t>
      </w:r>
    </w:p>
    <w:p w:rsidR="007B7228" w:rsidRPr="00303DFA" w:rsidRDefault="007B7228" w:rsidP="00822225">
      <w:pPr>
        <w:pStyle w:val="ListParagraph"/>
        <w:widowControl/>
        <w:numPr>
          <w:ilvl w:val="1"/>
          <w:numId w:val="1"/>
        </w:numPr>
        <w:rPr>
          <w:rFonts w:asciiTheme="minorHAnsi" w:hAnsiTheme="minorHAnsi"/>
        </w:rPr>
      </w:pPr>
      <w:r w:rsidRPr="00303DFA">
        <w:rPr>
          <w:rFonts w:asciiTheme="minorHAnsi" w:hAnsiTheme="minorHAnsi"/>
        </w:rPr>
        <w:t xml:space="preserve">The Secretariat noted that in any future resubmission, if </w:t>
      </w:r>
      <w:r w:rsidR="004A6BC4" w:rsidRPr="00303DFA">
        <w:rPr>
          <w:rFonts w:asciiTheme="minorHAnsi" w:hAnsiTheme="minorHAnsi"/>
        </w:rPr>
        <w:t xml:space="preserve">reference to </w:t>
      </w:r>
      <w:r w:rsidRPr="00303DFA">
        <w:rPr>
          <w:rFonts w:asciiTheme="minorHAnsi" w:hAnsiTheme="minorHAnsi"/>
        </w:rPr>
        <w:t>proprietary measures/</w:t>
      </w:r>
      <w:r w:rsidR="004A6BC4" w:rsidRPr="00303DFA">
        <w:rPr>
          <w:rFonts w:asciiTheme="minorHAnsi" w:hAnsiTheme="minorHAnsi"/>
        </w:rPr>
        <w:t>indices</w:t>
      </w:r>
      <w:r w:rsidRPr="00303DFA">
        <w:rPr>
          <w:rFonts w:asciiTheme="minorHAnsi" w:hAnsiTheme="minorHAnsi"/>
        </w:rPr>
        <w:t xml:space="preserve"> of disease activity/severity are made in the PBS restriction, instructions to doctors should be provided in the restriction as to where</w:t>
      </w:r>
      <w:r w:rsidR="004A6BC4" w:rsidRPr="00303DFA">
        <w:rPr>
          <w:rFonts w:asciiTheme="minorHAnsi" w:hAnsiTheme="minorHAnsi"/>
        </w:rPr>
        <w:t xml:space="preserve"> to find</w:t>
      </w:r>
      <w:r w:rsidRPr="00303DFA">
        <w:rPr>
          <w:rFonts w:asciiTheme="minorHAnsi" w:hAnsiTheme="minorHAnsi"/>
        </w:rPr>
        <w:t>/how to use</w:t>
      </w:r>
      <w:r w:rsidR="004A6BC4" w:rsidRPr="00303DFA">
        <w:rPr>
          <w:rFonts w:asciiTheme="minorHAnsi" w:hAnsiTheme="minorHAnsi"/>
        </w:rPr>
        <w:t xml:space="preserve"> such indices. A statement declaring the copyright holder and any need for a licence to reproduce the index/measure (by Services Australia, the Department or a prescriber) or to use it in clinical practice should either feature in the submission, the proposed PBS restriction or both.</w:t>
      </w:r>
    </w:p>
    <w:p w:rsidR="00AC2022" w:rsidRPr="00BE1C7D" w:rsidRDefault="00AC2022" w:rsidP="004B5630">
      <w:pPr>
        <w:widowControl/>
        <w:ind w:left="720"/>
      </w:pPr>
      <w:r w:rsidRPr="009F609B">
        <w:rPr>
          <w:rFonts w:asciiTheme="minorHAnsi" w:hAnsiTheme="minorHAnsi"/>
          <w:i/>
        </w:rPr>
        <w:t>For more detail on PBAC’s view, see section 7 PBAC outcome.</w:t>
      </w:r>
    </w:p>
    <w:p w:rsidR="00172AD3" w:rsidRPr="00ED7E3E" w:rsidRDefault="00172AD3" w:rsidP="00172AD3">
      <w:pPr>
        <w:widowControl/>
      </w:pPr>
    </w:p>
    <w:p w:rsidR="00172AD3" w:rsidRPr="00ED7E3E" w:rsidRDefault="00172AD3" w:rsidP="00172AD3">
      <w:pPr>
        <w:pStyle w:val="PBACHeading1"/>
      </w:pPr>
      <w:bookmarkStart w:id="11" w:name="_Toc40113247"/>
      <w:r w:rsidRPr="00ED7E3E">
        <w:t>Population and disease</w:t>
      </w:r>
      <w:bookmarkEnd w:id="11"/>
    </w:p>
    <w:p w:rsidR="00172AD3" w:rsidRPr="00ED7E3E" w:rsidRDefault="00172AD3" w:rsidP="00172AD3"/>
    <w:p w:rsidR="00172AD3" w:rsidRPr="004A32EC" w:rsidRDefault="00172AD3" w:rsidP="00DA711E">
      <w:pPr>
        <w:pStyle w:val="ListParagraph"/>
        <w:widowControl/>
        <w:numPr>
          <w:ilvl w:val="1"/>
          <w:numId w:val="1"/>
        </w:numPr>
      </w:pPr>
      <w:r w:rsidRPr="000416AC">
        <w:t xml:space="preserve">SLE is a chronic autoimmune, relapsing, remitting disease, which typically affects multiple organ systems without a predictable pattern, even in the same patient. Patients present with variable expression and severity of clinical features, ranging from mild joint and skin involvement to life-threatening renal, hematologic, or central nervous system involvement. Constitutional symptoms such as fatigue, fever, and weight loss are present in most SLE patients at some point during the course of the disease. Immunologic abnormalities, such as the production of a number </w:t>
      </w:r>
      <w:r>
        <w:t>of antinuclear antibodies (ANA) and</w:t>
      </w:r>
      <w:r w:rsidRPr="000416AC">
        <w:t xml:space="preserve"> anti-double-stranded</w:t>
      </w:r>
      <w:r>
        <w:t xml:space="preserve"> DNA (</w:t>
      </w:r>
      <w:r w:rsidR="00F50BDA">
        <w:t>anti-</w:t>
      </w:r>
      <w:r>
        <w:t>dsDNA)</w:t>
      </w:r>
      <w:r w:rsidRPr="000416AC">
        <w:t xml:space="preserve"> are highly associated with the disease. SLE occurs more commonly in women of childbearing age (20 – 40 years old) and in certain ethnic groups</w:t>
      </w:r>
      <w:r>
        <w:t xml:space="preserve">. </w:t>
      </w:r>
      <w:r w:rsidRPr="000416AC">
        <w:t>In Australia, SLE is more common and more severe in Indigenous Australians and descendants from South-East Asia.</w:t>
      </w:r>
      <w:r w:rsidRPr="000416AC">
        <w:rPr>
          <w:rStyle w:val="FootnoteReference"/>
        </w:rPr>
        <w:footnoteReference w:id="1"/>
      </w:r>
      <w:r w:rsidRPr="000416AC">
        <w:rPr>
          <w:vertAlign w:val="superscript"/>
        </w:rPr>
        <w:t>,</w:t>
      </w:r>
      <w:r w:rsidRPr="000416AC">
        <w:rPr>
          <w:rStyle w:val="FootnoteReference"/>
        </w:rPr>
        <w:footnoteReference w:id="2"/>
      </w:r>
    </w:p>
    <w:p w:rsidR="00172AD3" w:rsidRDefault="00172AD3" w:rsidP="00DA711E">
      <w:pPr>
        <w:pStyle w:val="ListParagraph"/>
        <w:widowControl/>
        <w:numPr>
          <w:ilvl w:val="1"/>
          <w:numId w:val="1"/>
        </w:numPr>
      </w:pPr>
      <w:r w:rsidRPr="00B13A89">
        <w:t>The goals of therapy are to ensure long-term survival, achieve the lowest possible disease activity, prevent organ damage, minimise drug toxicity, improve quality of life, and educate patients about their role in disease management. The four main groups of drugs that are used to treat SLE are non-steroidal anti-inflammatory drugs (NSAIDs), anti-malarial drugs, corticos</w:t>
      </w:r>
      <w:r>
        <w:t>teroids, and immunosuppressants</w:t>
      </w:r>
      <w:r w:rsidRPr="00B13A89">
        <w:t xml:space="preserve">. Corticosteroids are </w:t>
      </w:r>
      <w:r w:rsidRPr="00B13A89">
        <w:lastRenderedPageBreak/>
        <w:t xml:space="preserve">tapered once disease flares are under control, with the overarching goal to use minimum medication to maintain disease control. The increasing cumulative dose of low-dose maintenance or higher-dose pulsatile corticosteroid treatment contributes to organ damage in SLE patients, for example osteoporosis, diabetes and cataracts. </w:t>
      </w:r>
    </w:p>
    <w:p w:rsidR="00172AD3" w:rsidRPr="009B6FAD" w:rsidRDefault="00172AD3" w:rsidP="00DA711E">
      <w:pPr>
        <w:pStyle w:val="ListParagraph"/>
        <w:widowControl/>
        <w:numPr>
          <w:ilvl w:val="1"/>
          <w:numId w:val="1"/>
        </w:numPr>
      </w:pPr>
      <w:r w:rsidRPr="009B6FAD">
        <w:t>Measuring disease activity or response to treatment is challenging given the complex multi-system nature of SLE, the variability of manifestations both between patients and within the same patient over time, the different co-morbidities and cumulative organ damage between patients, and individualised background polypharmacy. There is no gold standard instrument or endpoint to assess SLE disease activity or response to treatment. There ha</w:t>
      </w:r>
      <w:r w:rsidR="00D37E42">
        <w:t>ve</w:t>
      </w:r>
      <w:r w:rsidRPr="009B6FAD">
        <w:t xml:space="preserve"> also been variations in defining what constitutes a clinically meaningful benefit using different disease activity indexes (DAIs). </w:t>
      </w:r>
    </w:p>
    <w:p w:rsidR="00172AD3" w:rsidRPr="00790105" w:rsidRDefault="00172AD3" w:rsidP="00DA711E">
      <w:pPr>
        <w:pStyle w:val="ListParagraph"/>
        <w:widowControl/>
        <w:numPr>
          <w:ilvl w:val="1"/>
          <w:numId w:val="1"/>
        </w:numPr>
        <w:spacing w:after="0"/>
      </w:pPr>
      <w:r>
        <w:t xml:space="preserve">The main instrument presented by the </w:t>
      </w:r>
      <w:r w:rsidR="008F02DD">
        <w:t>re</w:t>
      </w:r>
      <w:r>
        <w:t>submission was the SLE responder index (SRI), a composite index consisting of three individual DAIs (</w:t>
      </w:r>
      <w:r w:rsidRPr="00790105">
        <w:t xml:space="preserve">see Table </w:t>
      </w:r>
      <w:r w:rsidR="00DF74D9" w:rsidRPr="00790105">
        <w:t>3</w:t>
      </w:r>
      <w:r w:rsidR="00F24370">
        <w:t xml:space="preserve"> </w:t>
      </w:r>
      <w:r w:rsidRPr="00790105">
        <w:t>below):</w:t>
      </w:r>
    </w:p>
    <w:p w:rsidR="00172AD3" w:rsidRDefault="00172AD3" w:rsidP="00A23229">
      <w:pPr>
        <w:pStyle w:val="ListParagraph"/>
        <w:numPr>
          <w:ilvl w:val="0"/>
          <w:numId w:val="22"/>
        </w:numPr>
        <w:spacing w:after="120"/>
        <w:ind w:left="1276" w:hanging="425"/>
        <w:contextualSpacing/>
      </w:pPr>
      <w:r>
        <w:t xml:space="preserve">the </w:t>
      </w:r>
      <w:r w:rsidRPr="00617D8A">
        <w:t>Safety of Estrogen in</w:t>
      </w:r>
      <w:r>
        <w:t xml:space="preserve"> Lupus National Assessment</w:t>
      </w:r>
      <w:r w:rsidRPr="00617D8A">
        <w:t xml:space="preserve"> Systemic Lupus Erythematosus Disease Activity Index</w:t>
      </w:r>
      <w:r>
        <w:t xml:space="preserve"> (SELENA-SLEDAI), </w:t>
      </w:r>
    </w:p>
    <w:p w:rsidR="00172AD3" w:rsidRDefault="00172AD3" w:rsidP="00A23229">
      <w:pPr>
        <w:pStyle w:val="ListParagraph"/>
        <w:numPr>
          <w:ilvl w:val="0"/>
          <w:numId w:val="22"/>
        </w:numPr>
        <w:spacing w:after="120"/>
        <w:ind w:left="1276" w:hanging="425"/>
        <w:contextualSpacing/>
      </w:pPr>
      <w:r>
        <w:t xml:space="preserve">the </w:t>
      </w:r>
      <w:r w:rsidRPr="00617D8A">
        <w:t>British Isles Lupus Assessment Group of SLE Clinics</w:t>
      </w:r>
      <w:r>
        <w:t xml:space="preserve"> (BILAG) index, and </w:t>
      </w:r>
    </w:p>
    <w:p w:rsidR="00172AD3" w:rsidRDefault="00172AD3" w:rsidP="00A23229">
      <w:pPr>
        <w:pStyle w:val="ListParagraph"/>
        <w:numPr>
          <w:ilvl w:val="0"/>
          <w:numId w:val="22"/>
        </w:numPr>
        <w:spacing w:after="120"/>
        <w:ind w:left="1276" w:hanging="425"/>
        <w:contextualSpacing/>
      </w:pPr>
      <w:r>
        <w:t>the Physician’s Global Assessment (</w:t>
      </w:r>
      <w:r w:rsidRPr="00617D8A">
        <w:t>PGA</w:t>
      </w:r>
      <w:r>
        <w:t xml:space="preserve">). </w:t>
      </w:r>
    </w:p>
    <w:p w:rsidR="00172AD3" w:rsidRPr="00BE1C7D" w:rsidRDefault="008F02DD" w:rsidP="00A23229">
      <w:pPr>
        <w:widowControl/>
        <w:spacing w:after="120"/>
        <w:ind w:left="720"/>
      </w:pPr>
      <w:r w:rsidRPr="00BE1C7D">
        <w:t>Of note</w:t>
      </w:r>
      <w:r w:rsidR="00172AD3" w:rsidRPr="00BE1C7D">
        <w:t>, there is high inter-rater variability in the assessment of disease activity, even among trained and experienced clinicians</w:t>
      </w:r>
      <w:r w:rsidR="00172AD3" w:rsidRPr="00BE1C7D">
        <w:rPr>
          <w:rStyle w:val="FootnoteReference"/>
        </w:rPr>
        <w:footnoteReference w:id="3"/>
      </w:r>
      <w:r w:rsidR="00172AD3" w:rsidRPr="00BE1C7D">
        <w:t>.</w:t>
      </w:r>
    </w:p>
    <w:p w:rsidR="00172AD3" w:rsidRPr="00D06AB7" w:rsidRDefault="00172AD3" w:rsidP="00DA711E">
      <w:pPr>
        <w:pStyle w:val="ListParagraph"/>
        <w:widowControl/>
        <w:numPr>
          <w:ilvl w:val="1"/>
          <w:numId w:val="1"/>
        </w:numPr>
        <w:spacing w:after="0"/>
      </w:pPr>
      <w:r w:rsidRPr="00517A5C">
        <w:t xml:space="preserve">The SRI </w:t>
      </w:r>
      <w:r w:rsidRPr="00E456D1">
        <w:t>was developed by the belimumab investigators following retrospective exploratory analyses of a Phase II belimumab RCT</w:t>
      </w:r>
      <w:r w:rsidRPr="00E456D1">
        <w:rPr>
          <w:rStyle w:val="FootnoteReference"/>
        </w:rPr>
        <w:footnoteReference w:id="4"/>
      </w:r>
      <w:r w:rsidRPr="00E456D1">
        <w:t xml:space="preserve">. </w:t>
      </w:r>
      <w:r w:rsidR="004915EB" w:rsidRPr="004915EB">
        <w:t xml:space="preserve">Other relevant disease indexes reported in the trials and presented in the resubmission included the SLE flare index (SFI) and the SLICC/ACR damage index (SDI). The health states in the resubmission’s economic model are defined in part by </w:t>
      </w:r>
      <w:r w:rsidR="004915EB" w:rsidRPr="00D06AB7">
        <w:t>the SDI.</w:t>
      </w:r>
    </w:p>
    <w:p w:rsidR="007E2E86" w:rsidRDefault="007E2E86" w:rsidP="00172AD3">
      <w:pPr>
        <w:rPr>
          <w:rFonts w:ascii="Arial Narrow" w:hAnsi="Arial Narrow"/>
          <w:b/>
          <w:bCs/>
          <w:sz w:val="20"/>
          <w:szCs w:val="20"/>
        </w:rPr>
      </w:pPr>
    </w:p>
    <w:p w:rsidR="00172AD3" w:rsidRPr="00404DF9" w:rsidRDefault="00172AD3" w:rsidP="00DF74D9">
      <w:pPr>
        <w:keepNext/>
        <w:keepLines/>
        <w:rPr>
          <w:rFonts w:ascii="Arial Narrow" w:hAnsi="Arial Narrow"/>
          <w:b/>
          <w:bCs/>
          <w:sz w:val="20"/>
          <w:szCs w:val="20"/>
        </w:rPr>
      </w:pPr>
      <w:r w:rsidRPr="00EC2F6F">
        <w:rPr>
          <w:rFonts w:ascii="Arial Narrow" w:hAnsi="Arial Narrow"/>
          <w:b/>
          <w:bCs/>
          <w:sz w:val="20"/>
          <w:szCs w:val="20"/>
        </w:rPr>
        <w:lastRenderedPageBreak/>
        <w:t xml:space="preserve">Table </w:t>
      </w:r>
      <w:r w:rsidR="0045020A">
        <w:rPr>
          <w:rFonts w:ascii="Arial Narrow" w:hAnsi="Arial Narrow"/>
          <w:b/>
          <w:bCs/>
          <w:sz w:val="20"/>
          <w:szCs w:val="20"/>
        </w:rPr>
        <w:t>3</w:t>
      </w:r>
      <w:r w:rsidRPr="00EC2F6F">
        <w:rPr>
          <w:rFonts w:ascii="Arial Narrow" w:hAnsi="Arial Narrow"/>
          <w:b/>
          <w:bCs/>
          <w:sz w:val="20"/>
          <w:szCs w:val="20"/>
        </w:rPr>
        <w:t>: Summary</w:t>
      </w:r>
      <w:r w:rsidRPr="00404DF9">
        <w:rPr>
          <w:rFonts w:ascii="Arial Narrow" w:hAnsi="Arial Narrow"/>
          <w:b/>
          <w:bCs/>
          <w:sz w:val="20"/>
          <w:szCs w:val="20"/>
        </w:rPr>
        <w:t xml:space="preserve"> of </w:t>
      </w:r>
      <w:r>
        <w:rPr>
          <w:rFonts w:ascii="Arial Narrow" w:hAnsi="Arial Narrow"/>
          <w:b/>
          <w:bCs/>
          <w:sz w:val="20"/>
          <w:szCs w:val="20"/>
        </w:rPr>
        <w:t>the</w:t>
      </w:r>
      <w:r w:rsidRPr="00404DF9">
        <w:rPr>
          <w:rFonts w:ascii="Arial Narrow" w:hAnsi="Arial Narrow"/>
          <w:b/>
          <w:bCs/>
          <w:sz w:val="20"/>
          <w:szCs w:val="20"/>
        </w:rPr>
        <w:t xml:space="preserve"> single disease activity indexes relevant to the </w:t>
      </w:r>
      <w:r w:rsidR="00841EA7">
        <w:rPr>
          <w:rFonts w:ascii="Arial Narrow" w:hAnsi="Arial Narrow"/>
          <w:b/>
          <w:bCs/>
          <w:sz w:val="20"/>
          <w:szCs w:val="20"/>
        </w:rPr>
        <w:t>re</w:t>
      </w:r>
      <w:r w:rsidRPr="00404DF9">
        <w:rPr>
          <w:rFonts w:ascii="Arial Narrow" w:hAnsi="Arial Narrow"/>
          <w:b/>
          <w:bCs/>
          <w:sz w:val="20"/>
          <w:szCs w:val="20"/>
        </w:rPr>
        <w:t>submission</w:t>
      </w:r>
    </w:p>
    <w:tbl>
      <w:tblPr>
        <w:tblStyle w:val="TableGrid"/>
        <w:tblW w:w="0" w:type="auto"/>
        <w:tblCellMar>
          <w:left w:w="28" w:type="dxa"/>
          <w:right w:w="28" w:type="dxa"/>
        </w:tblCellMar>
        <w:tblLook w:val="04A0" w:firstRow="1" w:lastRow="0" w:firstColumn="1" w:lastColumn="0" w:noHBand="0" w:noVBand="1"/>
        <w:tblCaption w:val="Table 3: Summary of the single disease activity indexes relevant to the resubmission"/>
      </w:tblPr>
      <w:tblGrid>
        <w:gridCol w:w="676"/>
        <w:gridCol w:w="773"/>
        <w:gridCol w:w="7568"/>
      </w:tblGrid>
      <w:tr w:rsidR="00172AD3" w:rsidRPr="00404DF9" w:rsidTr="0011582A">
        <w:tc>
          <w:tcPr>
            <w:tcW w:w="9017" w:type="dxa"/>
            <w:gridSpan w:val="3"/>
            <w:vAlign w:val="center"/>
          </w:tcPr>
          <w:p w:rsidR="00172AD3" w:rsidRPr="00404DF9" w:rsidRDefault="00172AD3" w:rsidP="00DF74D9">
            <w:pPr>
              <w:keepNext/>
              <w:keepLines/>
              <w:rPr>
                <w:rFonts w:ascii="Arial Narrow" w:hAnsi="Arial Narrow"/>
                <w:b/>
                <w:bCs/>
                <w:sz w:val="20"/>
                <w:szCs w:val="20"/>
              </w:rPr>
            </w:pPr>
            <w:r w:rsidRPr="00404DF9">
              <w:rPr>
                <w:rFonts w:ascii="Arial Narrow" w:hAnsi="Arial Narrow"/>
                <w:b/>
                <w:bCs/>
                <w:sz w:val="20"/>
                <w:szCs w:val="20"/>
              </w:rPr>
              <w:t>Single disease activity indexes</w:t>
            </w:r>
          </w:p>
        </w:tc>
      </w:tr>
      <w:tr w:rsidR="00172AD3" w:rsidRPr="00404DF9" w:rsidTr="0011582A">
        <w:tc>
          <w:tcPr>
            <w:tcW w:w="676" w:type="dxa"/>
            <w:vAlign w:val="center"/>
          </w:tcPr>
          <w:p w:rsidR="00172AD3" w:rsidRPr="00404DF9" w:rsidRDefault="00172AD3" w:rsidP="00DF74D9">
            <w:pPr>
              <w:keepNext/>
              <w:keepLines/>
              <w:jc w:val="left"/>
              <w:rPr>
                <w:rFonts w:ascii="Arial Narrow" w:hAnsi="Arial Narrow"/>
                <w:b/>
                <w:iCs/>
                <w:sz w:val="20"/>
                <w:szCs w:val="20"/>
              </w:rPr>
            </w:pPr>
            <w:r w:rsidRPr="00404DF9">
              <w:rPr>
                <w:rFonts w:ascii="Arial Narrow" w:hAnsi="Arial Narrow"/>
                <w:b/>
                <w:iCs/>
                <w:sz w:val="20"/>
                <w:szCs w:val="20"/>
              </w:rPr>
              <w:t>Original</w:t>
            </w:r>
          </w:p>
        </w:tc>
        <w:tc>
          <w:tcPr>
            <w:tcW w:w="773" w:type="dxa"/>
          </w:tcPr>
          <w:p w:rsidR="00172AD3" w:rsidRPr="00404DF9" w:rsidRDefault="00172AD3" w:rsidP="00DF74D9">
            <w:pPr>
              <w:keepNext/>
              <w:keepLines/>
              <w:rPr>
                <w:rFonts w:ascii="Arial Narrow" w:hAnsi="Arial Narrow"/>
                <w:b/>
                <w:sz w:val="20"/>
                <w:szCs w:val="20"/>
              </w:rPr>
            </w:pPr>
            <w:r w:rsidRPr="00404DF9">
              <w:rPr>
                <w:rFonts w:ascii="Arial Narrow" w:hAnsi="Arial Narrow"/>
                <w:b/>
                <w:sz w:val="20"/>
                <w:szCs w:val="20"/>
              </w:rPr>
              <w:t>Modified</w:t>
            </w:r>
          </w:p>
        </w:tc>
        <w:tc>
          <w:tcPr>
            <w:tcW w:w="7568" w:type="dxa"/>
          </w:tcPr>
          <w:p w:rsidR="00172AD3" w:rsidRPr="00404DF9" w:rsidRDefault="00172AD3" w:rsidP="00DF74D9">
            <w:pPr>
              <w:keepNext/>
              <w:keepLines/>
              <w:rPr>
                <w:rFonts w:ascii="Arial Narrow" w:hAnsi="Arial Narrow"/>
                <w:b/>
                <w:bCs/>
                <w:sz w:val="20"/>
                <w:szCs w:val="20"/>
                <w:u w:val="single"/>
              </w:rPr>
            </w:pPr>
            <w:r w:rsidRPr="00404DF9">
              <w:rPr>
                <w:rFonts w:ascii="Arial Narrow" w:hAnsi="Arial Narrow"/>
                <w:b/>
                <w:bCs/>
                <w:sz w:val="20"/>
                <w:szCs w:val="20"/>
                <w:u w:val="single"/>
              </w:rPr>
              <w:t>Scoring system</w:t>
            </w:r>
          </w:p>
        </w:tc>
      </w:tr>
      <w:tr w:rsidR="00172AD3" w:rsidRPr="00404DF9" w:rsidTr="0009633B">
        <w:tc>
          <w:tcPr>
            <w:tcW w:w="676" w:type="dxa"/>
            <w:vAlign w:val="center"/>
          </w:tcPr>
          <w:p w:rsidR="00172AD3" w:rsidRPr="00404DF9" w:rsidRDefault="00172AD3" w:rsidP="00DF74D9">
            <w:pPr>
              <w:keepNext/>
              <w:keepLines/>
              <w:rPr>
                <w:rFonts w:ascii="Arial Narrow" w:hAnsi="Arial Narrow"/>
                <w:iCs/>
                <w:sz w:val="20"/>
                <w:szCs w:val="20"/>
              </w:rPr>
            </w:pPr>
            <w:r w:rsidRPr="000F0E8D">
              <w:rPr>
                <w:rFonts w:ascii="Arial Narrow" w:hAnsi="Arial Narrow"/>
                <w:color w:val="0070C0"/>
                <w:sz w:val="20"/>
                <w:szCs w:val="20"/>
              </w:rPr>
              <w:t>BILAG or “classic BILAG”</w:t>
            </w:r>
          </w:p>
        </w:tc>
        <w:tc>
          <w:tcPr>
            <w:tcW w:w="773" w:type="dxa"/>
            <w:vAlign w:val="center"/>
          </w:tcPr>
          <w:p w:rsidR="00172AD3" w:rsidRPr="00404DF9" w:rsidRDefault="00172AD3" w:rsidP="00DF74D9">
            <w:pPr>
              <w:keepNext/>
              <w:keepLines/>
              <w:jc w:val="left"/>
              <w:rPr>
                <w:rFonts w:ascii="Arial Narrow" w:hAnsi="Arial Narrow"/>
                <w:sz w:val="20"/>
                <w:szCs w:val="20"/>
              </w:rPr>
            </w:pPr>
            <w:r w:rsidRPr="00404DF9">
              <w:rPr>
                <w:rFonts w:ascii="Arial Narrow" w:hAnsi="Arial Narrow"/>
                <w:sz w:val="20"/>
                <w:szCs w:val="20"/>
              </w:rPr>
              <w:t>BILAG-2004</w:t>
            </w:r>
          </w:p>
        </w:tc>
        <w:tc>
          <w:tcPr>
            <w:tcW w:w="7568" w:type="dxa"/>
          </w:tcPr>
          <w:p w:rsidR="00172AD3" w:rsidRPr="00B31196" w:rsidRDefault="00172AD3" w:rsidP="00DF74D9">
            <w:pPr>
              <w:keepNext/>
              <w:keepLines/>
              <w:rPr>
                <w:rFonts w:ascii="Arial Narrow" w:hAnsi="Arial Narrow"/>
                <w:sz w:val="20"/>
                <w:szCs w:val="20"/>
              </w:rPr>
            </w:pPr>
            <w:r w:rsidRPr="00B31196">
              <w:rPr>
                <w:rFonts w:ascii="Arial Narrow" w:hAnsi="Arial Narrow"/>
                <w:b/>
                <w:bCs/>
                <w:sz w:val="20"/>
                <w:szCs w:val="20"/>
              </w:rPr>
              <w:t>Measures disease activity in individual organ systems</w:t>
            </w:r>
          </w:p>
          <w:p w:rsidR="00172AD3" w:rsidRPr="00B31196" w:rsidRDefault="00172AD3" w:rsidP="00DF74D9">
            <w:pPr>
              <w:keepNext/>
              <w:keepLines/>
              <w:rPr>
                <w:rFonts w:ascii="Arial Narrow" w:hAnsi="Arial Narrow"/>
                <w:sz w:val="20"/>
                <w:szCs w:val="20"/>
              </w:rPr>
            </w:pPr>
            <w:r w:rsidRPr="00B31196">
              <w:rPr>
                <w:rFonts w:ascii="Arial Narrow" w:hAnsi="Arial Narrow"/>
                <w:sz w:val="20"/>
                <w:szCs w:val="20"/>
              </w:rPr>
              <w:t>Both versions score each organ/system on an ordinal scale representing level of disease severity and treatment required (A = severe disease requiring action; to E = disease has never been active). The revised BILAG-2004 distinguishes nine organs/systems instead of eight in the classic BILAG. Completing the BILAG is complex, time consuming and not routinely used in clinical practice due to the difficulty of use (physician training is critical for accurate use).</w:t>
            </w:r>
          </w:p>
        </w:tc>
      </w:tr>
      <w:tr w:rsidR="00172AD3" w:rsidRPr="00404DF9" w:rsidTr="0009633B">
        <w:trPr>
          <w:trHeight w:val="727"/>
        </w:trPr>
        <w:tc>
          <w:tcPr>
            <w:tcW w:w="676" w:type="dxa"/>
            <w:vMerge w:val="restart"/>
            <w:vAlign w:val="center"/>
          </w:tcPr>
          <w:p w:rsidR="00172AD3" w:rsidRPr="00404DF9" w:rsidRDefault="00172AD3" w:rsidP="00DF74D9">
            <w:pPr>
              <w:keepNext/>
              <w:keepLines/>
              <w:jc w:val="left"/>
              <w:rPr>
                <w:rFonts w:ascii="Arial Narrow" w:hAnsi="Arial Narrow"/>
                <w:iCs/>
                <w:sz w:val="20"/>
                <w:szCs w:val="20"/>
              </w:rPr>
            </w:pPr>
            <w:r w:rsidRPr="00404DF9">
              <w:rPr>
                <w:rFonts w:ascii="Arial Narrow" w:hAnsi="Arial Narrow"/>
                <w:iCs/>
                <w:sz w:val="20"/>
                <w:szCs w:val="20"/>
              </w:rPr>
              <w:t>SLEDAI</w:t>
            </w:r>
          </w:p>
        </w:tc>
        <w:tc>
          <w:tcPr>
            <w:tcW w:w="773" w:type="dxa"/>
            <w:vAlign w:val="center"/>
          </w:tcPr>
          <w:p w:rsidR="00172AD3" w:rsidRPr="000F0E8D" w:rsidRDefault="00172AD3" w:rsidP="00DF74D9">
            <w:pPr>
              <w:keepNext/>
              <w:keepLines/>
              <w:jc w:val="left"/>
              <w:rPr>
                <w:rFonts w:ascii="Arial Narrow" w:hAnsi="Arial Narrow"/>
                <w:color w:val="0070C0"/>
                <w:sz w:val="20"/>
                <w:szCs w:val="20"/>
              </w:rPr>
            </w:pPr>
            <w:r w:rsidRPr="000F0E8D">
              <w:rPr>
                <w:rFonts w:ascii="Arial Narrow" w:hAnsi="Arial Narrow"/>
                <w:color w:val="0070C0"/>
                <w:sz w:val="20"/>
                <w:szCs w:val="20"/>
              </w:rPr>
              <w:t>SELENA-SLEDAI</w:t>
            </w:r>
          </w:p>
        </w:tc>
        <w:tc>
          <w:tcPr>
            <w:tcW w:w="7568" w:type="dxa"/>
            <w:vMerge w:val="restart"/>
          </w:tcPr>
          <w:p w:rsidR="00172AD3" w:rsidRPr="00B31196" w:rsidRDefault="00172AD3" w:rsidP="00DF74D9">
            <w:pPr>
              <w:keepNext/>
              <w:keepLines/>
              <w:rPr>
                <w:rFonts w:ascii="Arial Narrow" w:hAnsi="Arial Narrow"/>
                <w:sz w:val="20"/>
                <w:szCs w:val="20"/>
              </w:rPr>
            </w:pPr>
            <w:r w:rsidRPr="00B31196">
              <w:rPr>
                <w:rFonts w:ascii="Arial Narrow" w:hAnsi="Arial Narrow"/>
                <w:b/>
                <w:bCs/>
                <w:sz w:val="20"/>
                <w:szCs w:val="20"/>
              </w:rPr>
              <w:t>Global measures of disease activity</w:t>
            </w:r>
          </w:p>
          <w:p w:rsidR="00172AD3" w:rsidRPr="00B31196" w:rsidRDefault="00172AD3" w:rsidP="00DF74D9">
            <w:pPr>
              <w:keepNext/>
              <w:keepLines/>
              <w:rPr>
                <w:rFonts w:ascii="Arial Narrow" w:hAnsi="Arial Narrow"/>
                <w:sz w:val="20"/>
                <w:szCs w:val="20"/>
              </w:rPr>
            </w:pPr>
            <w:r w:rsidRPr="00B31196">
              <w:rPr>
                <w:rFonts w:ascii="Arial Narrow" w:hAnsi="Arial Narrow"/>
                <w:sz w:val="20"/>
                <w:szCs w:val="20"/>
              </w:rPr>
              <w:t>All versions evaluate disease activity over the previous 10 days and scores (one to eight) 24 descriptor items on specific manifestations in nine organ systems. There are slight variations in descriptors across versions. A total score of zero indicates no disease activity and scores ≥20 indicates very high disease activity. Literature review conducted during the evaluation indicated that the SLEDAI-2K is a more commonly used and better validated tool than the SELENA-SLEDAI.</w:t>
            </w:r>
          </w:p>
        </w:tc>
      </w:tr>
      <w:tr w:rsidR="00172AD3" w:rsidRPr="00404DF9" w:rsidTr="0009633B">
        <w:trPr>
          <w:trHeight w:val="727"/>
        </w:trPr>
        <w:tc>
          <w:tcPr>
            <w:tcW w:w="676" w:type="dxa"/>
            <w:vMerge/>
            <w:vAlign w:val="center"/>
          </w:tcPr>
          <w:p w:rsidR="00172AD3" w:rsidRPr="00404DF9" w:rsidRDefault="00172AD3" w:rsidP="00DF74D9">
            <w:pPr>
              <w:keepNext/>
              <w:keepLines/>
              <w:jc w:val="left"/>
              <w:rPr>
                <w:rFonts w:ascii="Arial Narrow" w:hAnsi="Arial Narrow"/>
                <w:iCs/>
                <w:sz w:val="20"/>
                <w:szCs w:val="20"/>
              </w:rPr>
            </w:pPr>
          </w:p>
        </w:tc>
        <w:tc>
          <w:tcPr>
            <w:tcW w:w="773" w:type="dxa"/>
            <w:vAlign w:val="center"/>
          </w:tcPr>
          <w:p w:rsidR="00172AD3" w:rsidRPr="00404DF9" w:rsidRDefault="00172AD3" w:rsidP="00DF74D9">
            <w:pPr>
              <w:keepNext/>
              <w:keepLines/>
              <w:jc w:val="left"/>
              <w:rPr>
                <w:rFonts w:ascii="Arial Narrow" w:hAnsi="Arial Narrow"/>
                <w:sz w:val="20"/>
                <w:szCs w:val="20"/>
              </w:rPr>
            </w:pPr>
            <w:r w:rsidRPr="00404DF9">
              <w:rPr>
                <w:rFonts w:ascii="Arial Narrow" w:hAnsi="Arial Narrow"/>
                <w:sz w:val="20"/>
                <w:szCs w:val="20"/>
              </w:rPr>
              <w:t>SLEDAI-2K</w:t>
            </w:r>
          </w:p>
        </w:tc>
        <w:tc>
          <w:tcPr>
            <w:tcW w:w="7568" w:type="dxa"/>
            <w:vMerge/>
          </w:tcPr>
          <w:p w:rsidR="00172AD3" w:rsidRPr="00404DF9" w:rsidRDefault="00172AD3" w:rsidP="00DF74D9">
            <w:pPr>
              <w:keepNext/>
              <w:keepLines/>
              <w:rPr>
                <w:rFonts w:ascii="Arial Narrow" w:hAnsi="Arial Narrow"/>
                <w:sz w:val="20"/>
                <w:szCs w:val="20"/>
              </w:rPr>
            </w:pPr>
          </w:p>
        </w:tc>
      </w:tr>
      <w:tr w:rsidR="00172AD3" w:rsidRPr="00404DF9" w:rsidTr="0011582A">
        <w:trPr>
          <w:trHeight w:val="727"/>
        </w:trPr>
        <w:tc>
          <w:tcPr>
            <w:tcW w:w="1449" w:type="dxa"/>
            <w:gridSpan w:val="2"/>
            <w:vAlign w:val="center"/>
          </w:tcPr>
          <w:p w:rsidR="00172AD3" w:rsidRPr="00404DF9" w:rsidRDefault="00172AD3" w:rsidP="00DF74D9">
            <w:pPr>
              <w:keepNext/>
              <w:keepLines/>
              <w:rPr>
                <w:rFonts w:ascii="Arial Narrow" w:hAnsi="Arial Narrow"/>
                <w:sz w:val="20"/>
                <w:szCs w:val="20"/>
              </w:rPr>
            </w:pPr>
            <w:r w:rsidRPr="000F0E8D">
              <w:rPr>
                <w:rFonts w:ascii="Arial Narrow" w:hAnsi="Arial Narrow"/>
                <w:color w:val="0070C0"/>
                <w:sz w:val="20"/>
                <w:szCs w:val="20"/>
              </w:rPr>
              <w:t>PGA</w:t>
            </w:r>
          </w:p>
        </w:tc>
        <w:tc>
          <w:tcPr>
            <w:tcW w:w="7568" w:type="dxa"/>
          </w:tcPr>
          <w:p w:rsidR="00172AD3" w:rsidRPr="00404DF9" w:rsidRDefault="00172AD3" w:rsidP="00DF74D9">
            <w:pPr>
              <w:keepNext/>
              <w:keepLines/>
              <w:rPr>
                <w:rFonts w:ascii="Arial Narrow" w:hAnsi="Arial Narrow"/>
                <w:sz w:val="20"/>
                <w:szCs w:val="20"/>
              </w:rPr>
            </w:pPr>
            <w:r w:rsidRPr="00404DF9">
              <w:rPr>
                <w:rFonts w:ascii="Arial Narrow" w:hAnsi="Arial Narrow"/>
                <w:sz w:val="20"/>
                <w:szCs w:val="20"/>
              </w:rPr>
              <w:t xml:space="preserve">A visual analogue scale using three benchmarks for assessing disease activity over the last two weeks. Mild flare will score 1.0 point, moderate flares will score 2.0–2.5 points and severe flares will score a 3 on the 0–3 analogue scale. </w:t>
            </w:r>
          </w:p>
        </w:tc>
      </w:tr>
      <w:tr w:rsidR="00172AD3" w:rsidRPr="00404DF9" w:rsidTr="0011582A">
        <w:tc>
          <w:tcPr>
            <w:tcW w:w="9017" w:type="dxa"/>
            <w:gridSpan w:val="3"/>
            <w:vAlign w:val="center"/>
          </w:tcPr>
          <w:p w:rsidR="00172AD3" w:rsidRPr="00404DF9" w:rsidRDefault="00172AD3" w:rsidP="00DF74D9">
            <w:pPr>
              <w:keepNext/>
              <w:keepLines/>
              <w:rPr>
                <w:rFonts w:ascii="Arial Narrow" w:hAnsi="Arial Narrow"/>
                <w:b/>
                <w:sz w:val="20"/>
                <w:szCs w:val="20"/>
              </w:rPr>
            </w:pPr>
            <w:r w:rsidRPr="00404DF9">
              <w:rPr>
                <w:rFonts w:ascii="Arial Narrow" w:hAnsi="Arial Narrow"/>
                <w:b/>
                <w:sz w:val="20"/>
                <w:szCs w:val="20"/>
              </w:rPr>
              <w:t>Other relevant indexes</w:t>
            </w:r>
          </w:p>
        </w:tc>
      </w:tr>
      <w:tr w:rsidR="00172AD3" w:rsidRPr="00404DF9" w:rsidTr="0011582A">
        <w:tc>
          <w:tcPr>
            <w:tcW w:w="676" w:type="dxa"/>
            <w:vAlign w:val="center"/>
          </w:tcPr>
          <w:p w:rsidR="00172AD3" w:rsidRPr="00404DF9" w:rsidRDefault="00172AD3" w:rsidP="00DF74D9">
            <w:pPr>
              <w:keepNext/>
              <w:keepLines/>
              <w:rPr>
                <w:rFonts w:ascii="Arial Narrow" w:hAnsi="Arial Narrow"/>
                <w:sz w:val="20"/>
                <w:szCs w:val="20"/>
              </w:rPr>
            </w:pPr>
            <w:r w:rsidRPr="00404DF9">
              <w:rPr>
                <w:rFonts w:ascii="Arial Narrow" w:hAnsi="Arial Narrow"/>
                <w:iCs/>
                <w:sz w:val="20"/>
                <w:szCs w:val="20"/>
              </w:rPr>
              <w:t>SFI</w:t>
            </w:r>
          </w:p>
        </w:tc>
        <w:tc>
          <w:tcPr>
            <w:tcW w:w="8341" w:type="dxa"/>
            <w:gridSpan w:val="2"/>
          </w:tcPr>
          <w:p w:rsidR="00172AD3" w:rsidRPr="00404DF9" w:rsidRDefault="00172AD3" w:rsidP="00DF74D9">
            <w:pPr>
              <w:keepNext/>
              <w:keepLines/>
              <w:rPr>
                <w:rFonts w:ascii="Arial Narrow" w:hAnsi="Arial Narrow"/>
                <w:sz w:val="20"/>
                <w:szCs w:val="20"/>
              </w:rPr>
            </w:pPr>
            <w:r w:rsidRPr="00404DF9">
              <w:rPr>
                <w:rFonts w:ascii="Arial Narrow" w:hAnsi="Arial Narrow"/>
                <w:sz w:val="20"/>
                <w:szCs w:val="20"/>
              </w:rPr>
              <w:t>An assessment of new or worsening disease activity, medication changes, and hospitalisations not captured by the SELENA-SLEDAI.</w:t>
            </w:r>
          </w:p>
        </w:tc>
      </w:tr>
      <w:tr w:rsidR="00172AD3" w:rsidRPr="00404DF9" w:rsidTr="0009633B">
        <w:tc>
          <w:tcPr>
            <w:tcW w:w="676" w:type="dxa"/>
            <w:vAlign w:val="center"/>
          </w:tcPr>
          <w:p w:rsidR="00172AD3" w:rsidRPr="00404DF9" w:rsidRDefault="00172AD3" w:rsidP="00DF74D9">
            <w:pPr>
              <w:keepNext/>
              <w:keepLines/>
              <w:jc w:val="left"/>
              <w:rPr>
                <w:rFonts w:ascii="Arial Narrow" w:hAnsi="Arial Narrow"/>
                <w:sz w:val="20"/>
                <w:szCs w:val="20"/>
              </w:rPr>
            </w:pPr>
            <w:r w:rsidRPr="00404DF9">
              <w:rPr>
                <w:rFonts w:ascii="Arial Narrow" w:hAnsi="Arial Narrow"/>
                <w:iCs/>
                <w:sz w:val="20"/>
                <w:szCs w:val="20"/>
              </w:rPr>
              <w:t>SDI</w:t>
            </w:r>
          </w:p>
        </w:tc>
        <w:tc>
          <w:tcPr>
            <w:tcW w:w="8341" w:type="dxa"/>
            <w:gridSpan w:val="2"/>
          </w:tcPr>
          <w:p w:rsidR="00172AD3" w:rsidRPr="00404DF9" w:rsidRDefault="00172AD3" w:rsidP="00DF74D9">
            <w:pPr>
              <w:keepNext/>
              <w:keepLines/>
              <w:rPr>
                <w:rFonts w:ascii="Arial Narrow" w:hAnsi="Arial Narrow"/>
                <w:sz w:val="20"/>
                <w:szCs w:val="20"/>
              </w:rPr>
            </w:pPr>
            <w:r w:rsidRPr="00404DF9">
              <w:rPr>
                <w:rFonts w:ascii="Arial Narrow" w:hAnsi="Arial Narrow"/>
                <w:sz w:val="20"/>
                <w:szCs w:val="20"/>
              </w:rPr>
              <w:t xml:space="preserve">An assessment of accumulated non-reversible chronic organ damage in 12 organ systems since SLE diagnosis. </w:t>
            </w:r>
            <w:r>
              <w:rPr>
                <w:rFonts w:ascii="Arial Narrow" w:hAnsi="Arial Narrow"/>
                <w:sz w:val="20"/>
                <w:szCs w:val="20"/>
              </w:rPr>
              <w:t xml:space="preserve">However, organ damage does not need to be attributable to SLE. </w:t>
            </w:r>
          </w:p>
        </w:tc>
      </w:tr>
    </w:tbl>
    <w:p w:rsidR="00172AD3" w:rsidRPr="00BE1C7D" w:rsidRDefault="00172AD3" w:rsidP="00DF74D9">
      <w:pPr>
        <w:keepNext/>
        <w:keepLines/>
        <w:rPr>
          <w:rFonts w:ascii="Arial Narrow" w:hAnsi="Arial Narrow"/>
          <w:sz w:val="18"/>
          <w:szCs w:val="18"/>
        </w:rPr>
      </w:pPr>
      <w:r w:rsidRPr="00BE1C7D">
        <w:rPr>
          <w:rFonts w:ascii="Arial Narrow" w:hAnsi="Arial Narrow"/>
          <w:color w:val="0070C0"/>
          <w:sz w:val="18"/>
          <w:szCs w:val="18"/>
        </w:rPr>
        <w:t xml:space="preserve">Blue </w:t>
      </w:r>
      <w:r w:rsidRPr="00BE1C7D">
        <w:rPr>
          <w:rFonts w:ascii="Arial Narrow" w:hAnsi="Arial Narrow"/>
          <w:sz w:val="18"/>
          <w:szCs w:val="18"/>
        </w:rPr>
        <w:t xml:space="preserve">indicates components of the </w:t>
      </w:r>
      <w:r w:rsidRPr="00D06AB7">
        <w:rPr>
          <w:rFonts w:ascii="Arial Narrow" w:hAnsi="Arial Narrow"/>
          <w:sz w:val="18"/>
          <w:szCs w:val="18"/>
        </w:rPr>
        <w:t>SRI</w:t>
      </w:r>
    </w:p>
    <w:p w:rsidR="00172AD3" w:rsidRDefault="00172AD3" w:rsidP="00DF74D9">
      <w:pPr>
        <w:pStyle w:val="TableFooter"/>
        <w:keepNext/>
        <w:keepLines/>
      </w:pPr>
      <w:r w:rsidRPr="000416AC">
        <w:t>Abbreviations: BILAG, British Isles Lupus Assessment Group;</w:t>
      </w:r>
      <w:r>
        <w:t xml:space="preserve"> </w:t>
      </w:r>
      <w:r w:rsidRPr="000416AC">
        <w:t>PGA, Physician Global Assessment; SC, subcutaneous; SDI, Systemic Lupus International Collaborating Clinics (SLICC)/ACR Damage Index; SELENA-SLEDAI, Safety of Estrogens in Lupus Erythematosus National Assessment version of the Systemic Lupus Erythematosus Disease Activity Index. SFI, SLE Flare Index; SLE, systemic lupus erythematosus</w:t>
      </w:r>
      <w:r>
        <w:t>.</w:t>
      </w:r>
    </w:p>
    <w:p w:rsidR="00172AD3" w:rsidRPr="009779FE" w:rsidRDefault="00172AD3" w:rsidP="00172AD3">
      <w:pPr>
        <w:widowControl/>
        <w:ind w:left="720"/>
      </w:pPr>
    </w:p>
    <w:p w:rsidR="00172AD3" w:rsidRPr="00DB5B29" w:rsidRDefault="00172AD3" w:rsidP="00DA711E">
      <w:pPr>
        <w:pStyle w:val="ListParagraph"/>
        <w:widowControl/>
        <w:numPr>
          <w:ilvl w:val="1"/>
          <w:numId w:val="1"/>
        </w:numPr>
      </w:pPr>
      <w:r>
        <w:t xml:space="preserve">Overall, important aspects when considering whether SLE treatment is successful are recognising that the disease has an unpredictable course, that there is no gold standard instrument to measure the disease severity or activity, and that the goals of treatment and measure of “success” are individualised based on patient manifestations of SLE. </w:t>
      </w:r>
    </w:p>
    <w:p w:rsidR="00172AD3" w:rsidRDefault="004915EB" w:rsidP="00DA711E">
      <w:pPr>
        <w:pStyle w:val="ListParagraph"/>
        <w:widowControl/>
        <w:numPr>
          <w:ilvl w:val="1"/>
          <w:numId w:val="1"/>
        </w:numPr>
      </w:pPr>
      <w:r w:rsidRPr="004915EB">
        <w:t>The resubmission is specifically targeting the subgroup of patients with highly active disease and who are most likely to respond to therapy, as defined (in the proposed PBS restriction) by patients with elevated anti-dsDNA titre or low complement levels, a SLEDAI-2K score of at least ten</w:t>
      </w:r>
      <w:r w:rsidR="00464BEE">
        <w:t xml:space="preserve"> </w:t>
      </w:r>
      <w:r w:rsidR="00464BEE" w:rsidRPr="00BE1C7D">
        <w:t>points</w:t>
      </w:r>
      <w:r w:rsidRPr="00BE1C7D">
        <w:t xml:space="preserve"> and taking triple therapy for at least three months (including ≥7.5 mg/day prednisone for at least one month) at baseline. The population targeted in the </w:t>
      </w:r>
      <w:r w:rsidR="00841EA7" w:rsidRPr="00BE1C7D">
        <w:t>re</w:t>
      </w:r>
      <w:r w:rsidRPr="00BE1C7D">
        <w:t>submission was consistent with the PBAC’s recommendations from November 2019.</w:t>
      </w:r>
    </w:p>
    <w:p w:rsidR="00AC2022" w:rsidRDefault="00AC2022" w:rsidP="00AC2022">
      <w:pPr>
        <w:pStyle w:val="ListParagraph"/>
        <w:widowControl/>
        <w:rPr>
          <w:rFonts w:asciiTheme="minorHAnsi" w:hAnsiTheme="minorHAnsi"/>
          <w:i/>
        </w:rPr>
      </w:pPr>
      <w:r w:rsidRPr="009F609B">
        <w:rPr>
          <w:rFonts w:asciiTheme="minorHAnsi" w:hAnsiTheme="minorHAnsi"/>
          <w:i/>
        </w:rPr>
        <w:t>For more detail on PBAC’s view, see section 7 PBAC outcome.</w:t>
      </w:r>
    </w:p>
    <w:p w:rsidR="004661B2" w:rsidRDefault="004661B2" w:rsidP="00AC2022">
      <w:pPr>
        <w:pStyle w:val="ListParagraph"/>
        <w:widowControl/>
        <w:rPr>
          <w:rFonts w:asciiTheme="minorHAnsi" w:hAnsiTheme="minorHAnsi"/>
          <w:i/>
        </w:rPr>
      </w:pPr>
    </w:p>
    <w:p w:rsidR="00793048" w:rsidRDefault="00793048" w:rsidP="00AC2022">
      <w:pPr>
        <w:pStyle w:val="ListParagraph"/>
        <w:widowControl/>
        <w:rPr>
          <w:rFonts w:asciiTheme="minorHAnsi" w:hAnsiTheme="minorHAnsi"/>
          <w:i/>
        </w:rPr>
      </w:pPr>
    </w:p>
    <w:p w:rsidR="004661B2" w:rsidRPr="00BE1C7D" w:rsidRDefault="004661B2" w:rsidP="00AC2022">
      <w:pPr>
        <w:pStyle w:val="ListParagraph"/>
        <w:widowControl/>
      </w:pPr>
    </w:p>
    <w:p w:rsidR="00172AD3" w:rsidRPr="00ED7E3E" w:rsidRDefault="00172AD3" w:rsidP="00172AD3">
      <w:pPr>
        <w:pStyle w:val="PBACHeading1"/>
      </w:pPr>
      <w:bookmarkStart w:id="12" w:name="_Toc40113248"/>
      <w:r w:rsidRPr="00ED7E3E">
        <w:lastRenderedPageBreak/>
        <w:t>Comparator</w:t>
      </w:r>
      <w:bookmarkEnd w:id="12"/>
    </w:p>
    <w:p w:rsidR="00172AD3" w:rsidRPr="00ED7E3E" w:rsidRDefault="00172AD3" w:rsidP="00172AD3"/>
    <w:p w:rsidR="00172AD3" w:rsidRPr="004661B2" w:rsidRDefault="00C9068D" w:rsidP="00DA711E">
      <w:pPr>
        <w:pStyle w:val="ListParagraph"/>
        <w:widowControl/>
        <w:numPr>
          <w:ilvl w:val="1"/>
          <w:numId w:val="1"/>
        </w:numPr>
        <w:rPr>
          <w:i/>
        </w:rPr>
      </w:pPr>
      <w:r w:rsidRPr="000416AC">
        <w:t xml:space="preserve">The </w:t>
      </w:r>
      <w:r>
        <w:t>re</w:t>
      </w:r>
      <w:r w:rsidRPr="000416AC">
        <w:t xml:space="preserve">submission </w:t>
      </w:r>
      <w:r>
        <w:t xml:space="preserve">appropriately </w:t>
      </w:r>
      <w:r w:rsidRPr="000416AC">
        <w:t>nominated placebo</w:t>
      </w:r>
      <w:r>
        <w:t>/</w:t>
      </w:r>
      <w:r w:rsidR="001434F0">
        <w:t xml:space="preserve">SOC </w:t>
      </w:r>
      <w:r w:rsidRPr="000416AC">
        <w:t>as the main comparator</w:t>
      </w:r>
      <w:r>
        <w:t xml:space="preserve"> based on the argument that there are currently no treatment options for patients with </w:t>
      </w:r>
      <w:r w:rsidRPr="000416AC">
        <w:t xml:space="preserve">highly active disease </w:t>
      </w:r>
      <w:r>
        <w:t xml:space="preserve">despite </w:t>
      </w:r>
      <w:r w:rsidRPr="000416AC">
        <w:t>taking triple therapy.</w:t>
      </w:r>
      <w:r w:rsidRPr="00960CE5">
        <w:t xml:space="preserve"> </w:t>
      </w:r>
      <w:r w:rsidRPr="00960CE5">
        <w:rPr>
          <w:iCs/>
        </w:rPr>
        <w:t>The PBAC previously accepted standard of care as the appropriate comparator (paragraph 7.6, Belimumab</w:t>
      </w:r>
      <w:r w:rsidR="00FE6C89">
        <w:rPr>
          <w:iCs/>
        </w:rPr>
        <w:t xml:space="preserve"> </w:t>
      </w:r>
      <w:r w:rsidR="001434F0">
        <w:rPr>
          <w:iCs/>
        </w:rPr>
        <w:t xml:space="preserve">PSD, </w:t>
      </w:r>
      <w:r w:rsidRPr="00960CE5">
        <w:rPr>
          <w:iCs/>
        </w:rPr>
        <w:t>November 2019 PBAC meeting).</w:t>
      </w:r>
    </w:p>
    <w:p w:rsidR="004661B2" w:rsidRPr="00AC2022" w:rsidRDefault="004661B2" w:rsidP="004661B2">
      <w:pPr>
        <w:pStyle w:val="ListParagraph"/>
        <w:widowControl/>
        <w:rPr>
          <w:i/>
        </w:rPr>
      </w:pPr>
      <w:r w:rsidRPr="009F609B">
        <w:rPr>
          <w:rFonts w:asciiTheme="minorHAnsi" w:hAnsiTheme="minorHAnsi"/>
          <w:i/>
        </w:rPr>
        <w:t>For more detail on PBAC’s view, see section 7 PBAC outcome.</w:t>
      </w:r>
    </w:p>
    <w:p w:rsidR="00172AD3" w:rsidRDefault="00172AD3" w:rsidP="00172AD3">
      <w:pPr>
        <w:pStyle w:val="PBACHeading1"/>
      </w:pPr>
      <w:bookmarkStart w:id="13" w:name="_Toc40113249"/>
      <w:r w:rsidRPr="00ED7E3E">
        <w:t>Consideration of the evidence</w:t>
      </w:r>
      <w:bookmarkEnd w:id="13"/>
    </w:p>
    <w:p w:rsidR="005A04C9" w:rsidRDefault="005A04C9" w:rsidP="005A04C9">
      <w:pPr>
        <w:pStyle w:val="BodyText"/>
      </w:pPr>
    </w:p>
    <w:p w:rsidR="00D816A6" w:rsidRDefault="00D816A6" w:rsidP="005A04C9">
      <w:pPr>
        <w:pStyle w:val="Heading2"/>
      </w:pPr>
      <w:r w:rsidRPr="00836F75">
        <w:t>Sponsor hearing</w:t>
      </w:r>
    </w:p>
    <w:p w:rsidR="00A93822" w:rsidRPr="00A93822" w:rsidRDefault="00A93822" w:rsidP="00A93822"/>
    <w:p w:rsidR="00D816A6" w:rsidRPr="00A91325" w:rsidRDefault="00D816A6" w:rsidP="00A91325">
      <w:pPr>
        <w:numPr>
          <w:ilvl w:val="1"/>
          <w:numId w:val="1"/>
        </w:numPr>
        <w:spacing w:after="120"/>
        <w:rPr>
          <w:rFonts w:asciiTheme="minorHAnsi" w:hAnsiTheme="minorHAnsi"/>
          <w:bCs/>
        </w:rPr>
      </w:pPr>
      <w:r w:rsidRPr="00836F75">
        <w:rPr>
          <w:rFonts w:asciiTheme="minorHAnsi" w:hAnsiTheme="minorHAnsi"/>
          <w:bCs/>
        </w:rPr>
        <w:t>The</w:t>
      </w:r>
      <w:r w:rsidR="00A91325">
        <w:rPr>
          <w:rFonts w:asciiTheme="minorHAnsi" w:hAnsiTheme="minorHAnsi"/>
          <w:bCs/>
        </w:rPr>
        <w:t>re was no hearing for this item</w:t>
      </w:r>
      <w:r w:rsidRPr="00836F75">
        <w:rPr>
          <w:rFonts w:asciiTheme="minorHAnsi" w:hAnsiTheme="minorHAnsi"/>
          <w:bCs/>
        </w:rPr>
        <w:t>.</w:t>
      </w:r>
    </w:p>
    <w:p w:rsidR="00D816A6" w:rsidRPr="002B5F3B" w:rsidRDefault="00D816A6" w:rsidP="00A93822">
      <w:pPr>
        <w:pStyle w:val="Heading2"/>
      </w:pPr>
      <w:r w:rsidRPr="002B5F3B">
        <w:t>Consumer comments</w:t>
      </w:r>
    </w:p>
    <w:p w:rsidR="00A93822" w:rsidRPr="002B5F3B" w:rsidRDefault="00A93822" w:rsidP="00A93822"/>
    <w:p w:rsidR="0082234C" w:rsidRPr="002B5F3B" w:rsidRDefault="005A04C9" w:rsidP="005A04C9">
      <w:pPr>
        <w:numPr>
          <w:ilvl w:val="1"/>
          <w:numId w:val="1"/>
        </w:numPr>
        <w:spacing w:after="120"/>
        <w:rPr>
          <w:rFonts w:asciiTheme="minorHAnsi" w:hAnsiTheme="minorHAnsi" w:cstheme="minorHAnsi"/>
          <w:bCs/>
          <w:szCs w:val="24"/>
        </w:rPr>
      </w:pPr>
      <w:r w:rsidRPr="002B5F3B">
        <w:rPr>
          <w:rFonts w:asciiTheme="minorHAnsi" w:hAnsiTheme="minorHAnsi"/>
          <w:bCs/>
        </w:rPr>
        <w:t>The PBAC noted and welcom</w:t>
      </w:r>
      <w:r w:rsidR="00A93822" w:rsidRPr="002B5F3B">
        <w:rPr>
          <w:rFonts w:asciiTheme="minorHAnsi" w:hAnsiTheme="minorHAnsi"/>
          <w:bCs/>
        </w:rPr>
        <w:t>ed the input from individuals (7), health care professionals (</w:t>
      </w:r>
      <w:r w:rsidR="0082234C" w:rsidRPr="002B5F3B">
        <w:rPr>
          <w:rFonts w:asciiTheme="minorHAnsi" w:hAnsiTheme="minorHAnsi"/>
          <w:bCs/>
        </w:rPr>
        <w:t xml:space="preserve">HCPs; </w:t>
      </w:r>
      <w:r w:rsidR="00A93822" w:rsidRPr="002B5F3B">
        <w:rPr>
          <w:rFonts w:asciiTheme="minorHAnsi" w:hAnsiTheme="minorHAnsi"/>
          <w:bCs/>
        </w:rPr>
        <w:t>3</w:t>
      </w:r>
      <w:r w:rsidRPr="002B5F3B">
        <w:rPr>
          <w:rFonts w:asciiTheme="minorHAnsi" w:hAnsiTheme="minorHAnsi"/>
          <w:bCs/>
        </w:rPr>
        <w:t>) and organisations (3) via the Consumer Comments facility on the PBS website.</w:t>
      </w:r>
      <w:r w:rsidR="00A93822" w:rsidRPr="002B5F3B">
        <w:rPr>
          <w:rFonts w:asciiTheme="minorHAnsi" w:hAnsiTheme="minorHAnsi"/>
          <w:bCs/>
        </w:rPr>
        <w:t xml:space="preserve"> </w:t>
      </w:r>
    </w:p>
    <w:p w:rsidR="0082234C" w:rsidRPr="002B5F3B" w:rsidRDefault="00A93822" w:rsidP="005A04C9">
      <w:pPr>
        <w:numPr>
          <w:ilvl w:val="1"/>
          <w:numId w:val="1"/>
        </w:numPr>
        <w:spacing w:after="120"/>
        <w:rPr>
          <w:rFonts w:asciiTheme="minorHAnsi" w:hAnsiTheme="minorHAnsi" w:cstheme="minorHAnsi"/>
          <w:bCs/>
          <w:szCs w:val="24"/>
        </w:rPr>
      </w:pPr>
      <w:r w:rsidRPr="002B5F3B">
        <w:rPr>
          <w:rFonts w:asciiTheme="minorHAnsi" w:hAnsiTheme="minorHAnsi"/>
          <w:bCs/>
        </w:rPr>
        <w:t>Four of the</w:t>
      </w:r>
      <w:r w:rsidR="00A6581D">
        <w:rPr>
          <w:rFonts w:asciiTheme="minorHAnsi" w:hAnsiTheme="minorHAnsi"/>
          <w:bCs/>
        </w:rPr>
        <w:t xml:space="preserve"> 7</w:t>
      </w:r>
      <w:r w:rsidRPr="002B5F3B">
        <w:rPr>
          <w:rFonts w:asciiTheme="minorHAnsi" w:hAnsiTheme="minorHAnsi"/>
          <w:bCs/>
        </w:rPr>
        <w:t xml:space="preserve"> comments from individuals were from people who are living with SLE; they stated that access and affordability are important for pain relief and improvements in quality of life.</w:t>
      </w:r>
    </w:p>
    <w:p w:rsidR="005A04C9" w:rsidRPr="002B5F3B" w:rsidRDefault="0082234C" w:rsidP="00A07BB4">
      <w:pPr>
        <w:numPr>
          <w:ilvl w:val="1"/>
          <w:numId w:val="1"/>
        </w:numPr>
        <w:spacing w:after="120"/>
        <w:rPr>
          <w:rFonts w:asciiTheme="minorHAnsi" w:hAnsiTheme="minorHAnsi" w:cstheme="minorHAnsi"/>
          <w:bCs/>
          <w:szCs w:val="24"/>
        </w:rPr>
      </w:pPr>
      <w:r w:rsidRPr="002B5F3B">
        <w:rPr>
          <w:rFonts w:asciiTheme="minorHAnsi" w:hAnsiTheme="minorHAnsi"/>
          <w:bCs/>
        </w:rPr>
        <w:t xml:space="preserve">Three HCPs working in the SLE therapeutic area supported the PBS listing of belimumab. One stated that </w:t>
      </w:r>
      <w:r w:rsidR="006B66E4">
        <w:rPr>
          <w:rFonts w:asciiTheme="minorHAnsi" w:hAnsiTheme="minorHAnsi"/>
          <w:bCs/>
        </w:rPr>
        <w:t xml:space="preserve">there is </w:t>
      </w:r>
      <w:r w:rsidRPr="002B5F3B">
        <w:rPr>
          <w:rFonts w:asciiTheme="minorHAnsi" w:hAnsiTheme="minorHAnsi"/>
          <w:bCs/>
        </w:rPr>
        <w:t>good evidence that the drug ha</w:t>
      </w:r>
      <w:r w:rsidR="006B66E4">
        <w:rPr>
          <w:rFonts w:asciiTheme="minorHAnsi" w:hAnsiTheme="minorHAnsi"/>
          <w:bCs/>
        </w:rPr>
        <w:t>s</w:t>
      </w:r>
      <w:r w:rsidRPr="002B5F3B">
        <w:rPr>
          <w:rFonts w:asciiTheme="minorHAnsi" w:hAnsiTheme="minorHAnsi"/>
          <w:bCs/>
        </w:rPr>
        <w:t xml:space="preserve"> utility in SLE, and there are many patients who have suboptimal control who would benefit from this medication. Another indicated that </w:t>
      </w:r>
      <w:r w:rsidR="009440D0">
        <w:rPr>
          <w:rFonts w:asciiTheme="minorHAnsi" w:hAnsiTheme="minorHAnsi"/>
          <w:bCs/>
        </w:rPr>
        <w:t>SC</w:t>
      </w:r>
      <w:r w:rsidRPr="002B5F3B">
        <w:rPr>
          <w:rFonts w:asciiTheme="minorHAnsi" w:hAnsiTheme="minorHAnsi"/>
          <w:bCs/>
        </w:rPr>
        <w:t xml:space="preserve"> </w:t>
      </w:r>
      <w:r w:rsidR="008625A6">
        <w:rPr>
          <w:rFonts w:asciiTheme="minorHAnsi" w:hAnsiTheme="minorHAnsi"/>
          <w:bCs/>
        </w:rPr>
        <w:t>belimumab</w:t>
      </w:r>
      <w:r w:rsidRPr="002B5F3B">
        <w:rPr>
          <w:rFonts w:asciiTheme="minorHAnsi" w:hAnsiTheme="minorHAnsi"/>
          <w:bCs/>
        </w:rPr>
        <w:t xml:space="preserve"> might be a useful adjunct to reducing disease activity and steroid toxicity if reasonably priced, and current low use is likely due to need for monthly infusions and price considerations. The third HCP drew attention to the increased mortality associated with SLE. The HCP stressed that while not all patients respond to belimumab, when a patient does respond it can be marked</w:t>
      </w:r>
      <w:r w:rsidR="00A07BB4" w:rsidRPr="002B5F3B">
        <w:rPr>
          <w:rFonts w:asciiTheme="minorHAnsi" w:hAnsiTheme="minorHAnsi"/>
          <w:bCs/>
        </w:rPr>
        <w:t xml:space="preserve"> and life-changing, and that a SLEDAI cut</w:t>
      </w:r>
      <w:r w:rsidR="002C32F9" w:rsidRPr="002B5F3B">
        <w:rPr>
          <w:rFonts w:asciiTheme="minorHAnsi" w:hAnsiTheme="minorHAnsi"/>
          <w:bCs/>
        </w:rPr>
        <w:t>-</w:t>
      </w:r>
      <w:r w:rsidR="00A07BB4" w:rsidRPr="002B5F3B">
        <w:rPr>
          <w:rFonts w:asciiTheme="minorHAnsi" w:hAnsiTheme="minorHAnsi"/>
          <w:bCs/>
        </w:rPr>
        <w:t>off of 10 identifies a group who have failed available therapies and are particularly at need.</w:t>
      </w:r>
    </w:p>
    <w:p w:rsidR="00D816A6" w:rsidRDefault="00A6581D" w:rsidP="00172AD3">
      <w:pPr>
        <w:numPr>
          <w:ilvl w:val="1"/>
          <w:numId w:val="1"/>
        </w:numPr>
        <w:spacing w:after="120"/>
        <w:rPr>
          <w:rFonts w:asciiTheme="minorHAnsi" w:hAnsiTheme="minorHAnsi" w:cstheme="minorHAnsi"/>
          <w:bCs/>
          <w:szCs w:val="24"/>
        </w:rPr>
      </w:pPr>
      <w:r>
        <w:rPr>
          <w:rFonts w:asciiTheme="minorHAnsi" w:hAnsiTheme="minorHAnsi" w:cstheme="minorHAnsi"/>
          <w:bCs/>
          <w:szCs w:val="24"/>
        </w:rPr>
        <w:t>The 3</w:t>
      </w:r>
      <w:r w:rsidR="002B5F3B">
        <w:rPr>
          <w:rFonts w:asciiTheme="minorHAnsi" w:hAnsiTheme="minorHAnsi" w:cstheme="minorHAnsi"/>
          <w:bCs/>
          <w:szCs w:val="24"/>
        </w:rPr>
        <w:t xml:space="preserve"> organisations </w:t>
      </w:r>
      <w:r>
        <w:rPr>
          <w:rFonts w:asciiTheme="minorHAnsi" w:hAnsiTheme="minorHAnsi" w:cstheme="minorHAnsi"/>
          <w:bCs/>
          <w:szCs w:val="24"/>
        </w:rPr>
        <w:t>who prov</w:t>
      </w:r>
      <w:r w:rsidR="00A959B8">
        <w:rPr>
          <w:rFonts w:asciiTheme="minorHAnsi" w:hAnsiTheme="minorHAnsi" w:cstheme="minorHAnsi"/>
          <w:bCs/>
          <w:szCs w:val="24"/>
        </w:rPr>
        <w:t>ided comments were Lupus WA, the National Aboriginal Community Controlled Health Organisation (</w:t>
      </w:r>
      <w:r w:rsidR="00A959B8" w:rsidRPr="008625A6">
        <w:rPr>
          <w:rFonts w:asciiTheme="minorHAnsi" w:hAnsiTheme="minorHAnsi" w:cstheme="minorHAnsi"/>
          <w:bCs/>
          <w:szCs w:val="24"/>
        </w:rPr>
        <w:t xml:space="preserve">NACCHO), and Pain Australia. </w:t>
      </w:r>
      <w:r w:rsidR="00F45173" w:rsidRPr="008625A6">
        <w:rPr>
          <w:rFonts w:asciiTheme="minorHAnsi" w:hAnsiTheme="minorHAnsi" w:cstheme="minorHAnsi"/>
          <w:bCs/>
          <w:szCs w:val="24"/>
        </w:rPr>
        <w:t>Lupus WA</w:t>
      </w:r>
      <w:r w:rsidR="0094643A" w:rsidRPr="008625A6">
        <w:rPr>
          <w:rFonts w:asciiTheme="minorHAnsi" w:hAnsiTheme="minorHAnsi" w:cstheme="minorHAnsi"/>
          <w:bCs/>
          <w:szCs w:val="24"/>
        </w:rPr>
        <w:t>, which is a patient run organisation, commented that belimumab offers</w:t>
      </w:r>
      <w:r w:rsidR="0094643A" w:rsidRPr="0094643A">
        <w:rPr>
          <w:rFonts w:asciiTheme="minorHAnsi" w:hAnsiTheme="minorHAnsi" w:cstheme="minorHAnsi"/>
          <w:bCs/>
          <w:szCs w:val="24"/>
        </w:rPr>
        <w:t xml:space="preserve"> lupus patients </w:t>
      </w:r>
      <w:r w:rsidR="008625A6">
        <w:rPr>
          <w:rFonts w:asciiTheme="minorHAnsi" w:hAnsiTheme="minorHAnsi" w:cstheme="minorHAnsi"/>
          <w:bCs/>
          <w:szCs w:val="24"/>
        </w:rPr>
        <w:t>an alternative treatment option</w:t>
      </w:r>
      <w:r w:rsidR="0094643A" w:rsidRPr="0094643A">
        <w:rPr>
          <w:rFonts w:asciiTheme="minorHAnsi" w:hAnsiTheme="minorHAnsi" w:cstheme="minorHAnsi"/>
          <w:bCs/>
          <w:szCs w:val="24"/>
        </w:rPr>
        <w:t>, with potentially fewer side</w:t>
      </w:r>
      <w:r w:rsidR="0094643A">
        <w:rPr>
          <w:rFonts w:asciiTheme="minorHAnsi" w:hAnsiTheme="minorHAnsi" w:cstheme="minorHAnsi"/>
          <w:bCs/>
          <w:szCs w:val="24"/>
        </w:rPr>
        <w:t xml:space="preserve"> </w:t>
      </w:r>
      <w:r w:rsidR="0094643A" w:rsidRPr="0094643A">
        <w:rPr>
          <w:rFonts w:asciiTheme="minorHAnsi" w:hAnsiTheme="minorHAnsi" w:cstheme="minorHAnsi"/>
          <w:bCs/>
          <w:szCs w:val="24"/>
        </w:rPr>
        <w:t>effects and long</w:t>
      </w:r>
      <w:r w:rsidR="008625A6">
        <w:rPr>
          <w:rFonts w:asciiTheme="minorHAnsi" w:hAnsiTheme="minorHAnsi" w:cstheme="minorHAnsi"/>
          <w:bCs/>
          <w:szCs w:val="24"/>
        </w:rPr>
        <w:t xml:space="preserve"> term organ management benefits</w:t>
      </w:r>
      <w:r w:rsidR="00F45173" w:rsidRPr="0094643A">
        <w:rPr>
          <w:rFonts w:asciiTheme="minorHAnsi" w:hAnsiTheme="minorHAnsi" w:cstheme="minorHAnsi"/>
          <w:bCs/>
          <w:szCs w:val="24"/>
        </w:rPr>
        <w:t>. NACCHO drew attention to the greater rates and severity of SLE in the Aboriginal and Torres Strait Islander populations compared to other Australians.</w:t>
      </w:r>
      <w:r w:rsidR="008625A6">
        <w:rPr>
          <w:rFonts w:asciiTheme="minorHAnsi" w:hAnsiTheme="minorHAnsi" w:cstheme="minorHAnsi"/>
          <w:bCs/>
          <w:szCs w:val="24"/>
        </w:rPr>
        <w:t xml:space="preserve"> Pain Australia provided comments from SLE patients describing </w:t>
      </w:r>
      <w:r w:rsidR="008625A6">
        <w:rPr>
          <w:rFonts w:asciiTheme="minorHAnsi" w:hAnsiTheme="minorHAnsi" w:cstheme="minorHAnsi"/>
          <w:bCs/>
          <w:szCs w:val="24"/>
        </w:rPr>
        <w:lastRenderedPageBreak/>
        <w:t>disruption to work and personal life, stigmatisation and misunderstanding, and side effects with current medications.</w:t>
      </w:r>
    </w:p>
    <w:p w:rsidR="00CB3B10" w:rsidRPr="00CB3B10" w:rsidRDefault="00CB3B10" w:rsidP="00CB3B10">
      <w:pPr>
        <w:numPr>
          <w:ilvl w:val="1"/>
          <w:numId w:val="1"/>
        </w:numPr>
        <w:spacing w:after="120"/>
        <w:rPr>
          <w:rFonts w:asciiTheme="minorHAnsi" w:hAnsiTheme="minorHAnsi" w:cstheme="minorHAnsi"/>
          <w:bCs/>
          <w:szCs w:val="24"/>
        </w:rPr>
      </w:pPr>
      <w:r w:rsidRPr="00CB3B10">
        <w:rPr>
          <w:rFonts w:asciiTheme="minorHAnsi" w:hAnsiTheme="minorHAnsi" w:cstheme="minorHAnsi"/>
          <w:bCs/>
          <w:szCs w:val="24"/>
        </w:rPr>
        <w:t>The PBAC also considered input from the Consumer Evidence and Engagement Unit within the Office of Health Technology Assessment. This input consisted of qualitative interviews conducted with Australian lupus patients (4) alongside a summary of published consumer organisation comments made to other international HTA bodies on the use of belimumab for systemic lupus erythematosus.</w:t>
      </w:r>
    </w:p>
    <w:p w:rsidR="00172AD3" w:rsidRPr="00ED7E3E" w:rsidRDefault="00172AD3" w:rsidP="00172AD3">
      <w:pPr>
        <w:pStyle w:val="Heading2"/>
      </w:pPr>
      <w:bookmarkStart w:id="14" w:name="_Toc40113250"/>
      <w:r w:rsidRPr="00ED7E3E">
        <w:t>Clinical trials</w:t>
      </w:r>
      <w:bookmarkEnd w:id="14"/>
    </w:p>
    <w:p w:rsidR="00172AD3" w:rsidRPr="00492F3B" w:rsidRDefault="00172AD3" w:rsidP="00172AD3"/>
    <w:p w:rsidR="00172AD3" w:rsidRDefault="00172AD3" w:rsidP="00DA711E">
      <w:pPr>
        <w:pStyle w:val="ListParagraph"/>
        <w:widowControl/>
        <w:numPr>
          <w:ilvl w:val="1"/>
          <w:numId w:val="1"/>
        </w:numPr>
        <w:spacing w:after="0"/>
        <w:rPr>
          <w:rFonts w:cs="Calibri"/>
          <w:snapToGrid/>
          <w:szCs w:val="24"/>
          <w:lang w:eastAsia="en-AU"/>
        </w:rPr>
      </w:pPr>
      <w:r w:rsidRPr="00492F3B">
        <w:rPr>
          <w:rFonts w:cs="Calibri"/>
          <w:snapToGrid/>
          <w:szCs w:val="24"/>
          <w:lang w:eastAsia="en-AU"/>
        </w:rPr>
        <w:t xml:space="preserve">The </w:t>
      </w:r>
      <w:r w:rsidR="001434F0">
        <w:rPr>
          <w:rFonts w:cs="Calibri"/>
          <w:snapToGrid/>
          <w:szCs w:val="24"/>
          <w:lang w:eastAsia="en-AU"/>
        </w:rPr>
        <w:t>re</w:t>
      </w:r>
      <w:r w:rsidRPr="00492F3B">
        <w:rPr>
          <w:rFonts w:cs="Calibri"/>
          <w:snapToGrid/>
          <w:szCs w:val="24"/>
          <w:lang w:eastAsia="en-AU"/>
        </w:rPr>
        <w:t xml:space="preserve">submission was based on </w:t>
      </w:r>
      <w:r w:rsidR="00EB3989">
        <w:rPr>
          <w:rFonts w:cs="Calibri"/>
          <w:snapToGrid/>
          <w:szCs w:val="24"/>
          <w:lang w:eastAsia="en-AU"/>
        </w:rPr>
        <w:t>the same trial evidence as the previous submission</w:t>
      </w:r>
      <w:r w:rsidR="00D93DD3">
        <w:rPr>
          <w:rFonts w:cs="Calibri"/>
          <w:snapToGrid/>
          <w:szCs w:val="24"/>
          <w:lang w:eastAsia="en-AU"/>
        </w:rPr>
        <w:t>,</w:t>
      </w:r>
      <w:r w:rsidR="00EB3989">
        <w:rPr>
          <w:rFonts w:cs="Calibri"/>
          <w:snapToGrid/>
          <w:szCs w:val="24"/>
          <w:lang w:eastAsia="en-AU"/>
        </w:rPr>
        <w:t xml:space="preserve"> </w:t>
      </w:r>
      <w:r w:rsidRPr="00492F3B">
        <w:rPr>
          <w:rFonts w:cs="Calibri"/>
          <w:snapToGrid/>
          <w:szCs w:val="24"/>
          <w:lang w:eastAsia="en-AU"/>
        </w:rPr>
        <w:t xml:space="preserve">five </w:t>
      </w:r>
      <w:r w:rsidRPr="00ED7E3E">
        <w:t xml:space="preserve">randomised controlled trials </w:t>
      </w:r>
      <w:r>
        <w:t>(</w:t>
      </w:r>
      <w:r w:rsidRPr="00492F3B">
        <w:rPr>
          <w:rFonts w:cs="Calibri"/>
          <w:snapToGrid/>
          <w:szCs w:val="24"/>
          <w:lang w:eastAsia="en-AU"/>
        </w:rPr>
        <w:t>RCTs</w:t>
      </w:r>
      <w:r>
        <w:rPr>
          <w:rFonts w:cs="Calibri"/>
          <w:snapToGrid/>
          <w:szCs w:val="24"/>
          <w:lang w:eastAsia="en-AU"/>
        </w:rPr>
        <w:t>)</w:t>
      </w:r>
      <w:r w:rsidRPr="00492F3B">
        <w:rPr>
          <w:rFonts w:cs="Calibri"/>
          <w:snapToGrid/>
          <w:szCs w:val="24"/>
          <w:lang w:eastAsia="en-AU"/>
        </w:rPr>
        <w:t xml:space="preserve"> comparing belimumab + SOC to SOC alone:</w:t>
      </w:r>
    </w:p>
    <w:p w:rsidR="00172AD3" w:rsidRDefault="00172AD3" w:rsidP="00A23229">
      <w:pPr>
        <w:pStyle w:val="ListParagraph"/>
        <w:numPr>
          <w:ilvl w:val="0"/>
          <w:numId w:val="22"/>
        </w:numPr>
        <w:spacing w:after="120"/>
        <w:ind w:left="1276" w:hanging="425"/>
        <w:contextualSpacing/>
        <w:rPr>
          <w:rFonts w:cs="Calibri"/>
          <w:snapToGrid/>
          <w:szCs w:val="24"/>
          <w:lang w:eastAsia="en-AU"/>
        </w:rPr>
      </w:pPr>
      <w:r w:rsidRPr="00A23229">
        <w:rPr>
          <w:rFonts w:asciiTheme="minorHAnsi" w:hAnsiTheme="minorHAnsi"/>
          <w:bCs/>
          <w:lang w:val="en-GB"/>
        </w:rPr>
        <w:t>Pivotal</w:t>
      </w:r>
      <w:r w:rsidRPr="00492F3B">
        <w:rPr>
          <w:rFonts w:cs="Calibri"/>
          <w:snapToGrid/>
          <w:szCs w:val="24"/>
          <w:lang w:eastAsia="en-AU"/>
        </w:rPr>
        <w:t xml:space="preserve"> trial: 1 RCT of the belimumab SC formulation (BLISS-SC)</w:t>
      </w:r>
      <w:r w:rsidR="00CE2B7C">
        <w:rPr>
          <w:rFonts w:cs="Calibri"/>
          <w:snapToGrid/>
          <w:szCs w:val="24"/>
          <w:lang w:eastAsia="en-AU"/>
        </w:rPr>
        <w:t>; and</w:t>
      </w:r>
    </w:p>
    <w:p w:rsidR="000C1228" w:rsidRDefault="00172AD3" w:rsidP="00A23229">
      <w:pPr>
        <w:pStyle w:val="ListParagraph"/>
        <w:numPr>
          <w:ilvl w:val="0"/>
          <w:numId w:val="22"/>
        </w:numPr>
        <w:spacing w:after="120"/>
        <w:ind w:left="1276" w:hanging="425"/>
        <w:contextualSpacing/>
        <w:rPr>
          <w:rFonts w:cs="Calibri"/>
          <w:snapToGrid/>
          <w:szCs w:val="24"/>
          <w:lang w:eastAsia="en-AU"/>
        </w:rPr>
      </w:pPr>
      <w:r w:rsidRPr="00492F3B">
        <w:rPr>
          <w:rFonts w:cs="Calibri"/>
          <w:snapToGrid/>
          <w:szCs w:val="24"/>
          <w:lang w:eastAsia="en-AU"/>
        </w:rPr>
        <w:t xml:space="preserve">Supportive trials: 4 RCTs of the </w:t>
      </w:r>
      <w:r>
        <w:rPr>
          <w:rFonts w:cs="Calibri"/>
          <w:snapToGrid/>
          <w:szCs w:val="24"/>
          <w:lang w:eastAsia="en-AU"/>
        </w:rPr>
        <w:t>belimumab IV formulation (BLISS-52, BLISS-76, NE-Asia</w:t>
      </w:r>
      <w:r w:rsidRPr="00492F3B">
        <w:rPr>
          <w:rFonts w:cs="Calibri"/>
          <w:snapToGrid/>
          <w:szCs w:val="24"/>
          <w:lang w:eastAsia="en-AU"/>
        </w:rPr>
        <w:t>; EMBRACE)</w:t>
      </w:r>
      <w:r w:rsidR="00CE2B7C">
        <w:rPr>
          <w:rFonts w:cs="Calibri"/>
          <w:snapToGrid/>
          <w:szCs w:val="24"/>
          <w:lang w:eastAsia="en-AU"/>
        </w:rPr>
        <w:t>.</w:t>
      </w:r>
    </w:p>
    <w:p w:rsidR="00EB3989" w:rsidRPr="000C1228" w:rsidRDefault="00EB3989" w:rsidP="000C1228">
      <w:pPr>
        <w:widowControl/>
        <w:ind w:left="720"/>
        <w:rPr>
          <w:rFonts w:cs="Calibri"/>
          <w:snapToGrid/>
          <w:szCs w:val="24"/>
          <w:lang w:eastAsia="en-AU"/>
        </w:rPr>
      </w:pPr>
      <w:r w:rsidRPr="000C1228">
        <w:rPr>
          <w:rFonts w:cs="Calibri"/>
          <w:snapToGrid/>
          <w:szCs w:val="24"/>
          <w:lang w:eastAsia="en-AU"/>
        </w:rPr>
        <w:t>No updated clinical evidence was available</w:t>
      </w:r>
      <w:r w:rsidR="00464BEE" w:rsidRPr="000C1228">
        <w:rPr>
          <w:rFonts w:cs="Calibri"/>
          <w:snapToGrid/>
          <w:szCs w:val="24"/>
          <w:lang w:eastAsia="en-AU"/>
        </w:rPr>
        <w:t>;</w:t>
      </w:r>
      <w:r w:rsidRPr="000C1228">
        <w:rPr>
          <w:rFonts w:cs="Calibri"/>
          <w:snapToGrid/>
          <w:szCs w:val="24"/>
          <w:lang w:eastAsia="en-AU"/>
        </w:rPr>
        <w:t xml:space="preserve"> however, additional analyses for SDI outcomes were presented to </w:t>
      </w:r>
      <w:r w:rsidRPr="001B4F00">
        <w:rPr>
          <w:rFonts w:cs="Calibri"/>
          <w:snapToGrid/>
          <w:szCs w:val="24"/>
          <w:lang w:eastAsia="en-AU"/>
        </w:rPr>
        <w:t>support the economic evaluation</w:t>
      </w:r>
      <w:r w:rsidRPr="000C1228">
        <w:rPr>
          <w:rFonts w:cs="Calibri"/>
          <w:snapToGrid/>
          <w:szCs w:val="24"/>
          <w:lang w:eastAsia="en-AU"/>
        </w:rPr>
        <w:t>.</w:t>
      </w:r>
    </w:p>
    <w:p w:rsidR="00EB3989" w:rsidRPr="00EB3989" w:rsidRDefault="00EB3989" w:rsidP="00EB3989">
      <w:pPr>
        <w:widowControl/>
        <w:ind w:left="720"/>
        <w:rPr>
          <w:rFonts w:cs="Calibri"/>
          <w:snapToGrid/>
          <w:szCs w:val="24"/>
          <w:lang w:eastAsia="en-AU"/>
        </w:rPr>
      </w:pPr>
    </w:p>
    <w:p w:rsidR="00172AD3" w:rsidRPr="00BE1C7D" w:rsidRDefault="00172AD3" w:rsidP="00DA711E">
      <w:pPr>
        <w:pStyle w:val="ListParagraph"/>
        <w:widowControl/>
        <w:numPr>
          <w:ilvl w:val="1"/>
          <w:numId w:val="1"/>
        </w:numPr>
      </w:pPr>
      <w:r w:rsidRPr="004B1E9D">
        <w:rPr>
          <w:rFonts w:cs="Calibri"/>
          <w:snapToGrid/>
          <w:szCs w:val="24"/>
          <w:lang w:val="en-US" w:eastAsia="en-AU"/>
        </w:rPr>
        <w:t xml:space="preserve">Details of the </w:t>
      </w:r>
      <w:r w:rsidRPr="00BE1C7D">
        <w:rPr>
          <w:rFonts w:cs="Calibri"/>
          <w:snapToGrid/>
          <w:szCs w:val="24"/>
          <w:lang w:val="en-US" w:eastAsia="en-AU"/>
        </w:rPr>
        <w:t xml:space="preserve">trials presented in the </w:t>
      </w:r>
      <w:r w:rsidR="00841EA7" w:rsidRPr="00BE1C7D">
        <w:rPr>
          <w:rFonts w:cs="Calibri"/>
          <w:snapToGrid/>
          <w:szCs w:val="24"/>
          <w:lang w:val="en-US" w:eastAsia="en-AU"/>
        </w:rPr>
        <w:t>re</w:t>
      </w:r>
      <w:r w:rsidRPr="00BE1C7D">
        <w:rPr>
          <w:rFonts w:cs="Calibri"/>
          <w:snapToGrid/>
          <w:szCs w:val="24"/>
          <w:lang w:val="en-US" w:eastAsia="en-AU"/>
        </w:rPr>
        <w:t xml:space="preserve">submission are provided in Table </w:t>
      </w:r>
      <w:r w:rsidR="0045020A" w:rsidRPr="00BE1C7D">
        <w:rPr>
          <w:rFonts w:cs="Calibri"/>
          <w:snapToGrid/>
          <w:szCs w:val="24"/>
          <w:lang w:val="en-US" w:eastAsia="en-AU"/>
        </w:rPr>
        <w:t>4</w:t>
      </w:r>
      <w:r w:rsidRPr="00BE1C7D">
        <w:rPr>
          <w:rFonts w:cs="Calibri"/>
          <w:snapToGrid/>
          <w:szCs w:val="24"/>
          <w:lang w:val="en-US" w:eastAsia="en-AU"/>
        </w:rPr>
        <w:t>.</w:t>
      </w:r>
      <w:r w:rsidR="00841EA7" w:rsidRPr="00BE1C7D">
        <w:rPr>
          <w:rFonts w:cs="Calibri"/>
          <w:snapToGrid/>
          <w:szCs w:val="24"/>
          <w:lang w:val="en-US" w:eastAsia="en-AU"/>
        </w:rPr>
        <w:t xml:space="preserve"> These are unchanged from the previous submission.</w:t>
      </w:r>
    </w:p>
    <w:p w:rsidR="00172AD3" w:rsidRPr="00492F3B" w:rsidRDefault="00172AD3" w:rsidP="00362142">
      <w:pPr>
        <w:keepNext/>
        <w:keepLines/>
        <w:widowControl/>
        <w:rPr>
          <w:rFonts w:ascii="Arial Narrow" w:hAnsi="Arial Narrow"/>
          <w:b/>
          <w:sz w:val="20"/>
          <w:szCs w:val="20"/>
        </w:rPr>
      </w:pPr>
      <w:r w:rsidRPr="003D675F">
        <w:rPr>
          <w:rFonts w:ascii="Arial Narrow" w:hAnsi="Arial Narrow"/>
          <w:b/>
          <w:sz w:val="20"/>
          <w:szCs w:val="20"/>
        </w:rPr>
        <w:lastRenderedPageBreak/>
        <w:t xml:space="preserve">Table </w:t>
      </w:r>
      <w:r w:rsidR="0045020A">
        <w:rPr>
          <w:rFonts w:ascii="Arial Narrow" w:hAnsi="Arial Narrow"/>
          <w:b/>
          <w:sz w:val="20"/>
          <w:szCs w:val="20"/>
        </w:rPr>
        <w:t>4</w:t>
      </w:r>
      <w:r w:rsidRPr="003D675F">
        <w:rPr>
          <w:rFonts w:ascii="Arial Narrow" w:hAnsi="Arial Narrow"/>
          <w:b/>
          <w:sz w:val="20"/>
          <w:szCs w:val="20"/>
        </w:rPr>
        <w:t>:</w:t>
      </w:r>
      <w:r w:rsidR="00100462">
        <w:rPr>
          <w:rFonts w:ascii="Arial Narrow" w:hAnsi="Arial Narrow"/>
          <w:b/>
          <w:sz w:val="20"/>
          <w:szCs w:val="20"/>
        </w:rPr>
        <w:t xml:space="preserve"> </w:t>
      </w:r>
      <w:r w:rsidRPr="00492F3B">
        <w:rPr>
          <w:rFonts w:ascii="Arial Narrow" w:hAnsi="Arial Narrow"/>
          <w:b/>
          <w:sz w:val="20"/>
          <w:szCs w:val="20"/>
        </w:rPr>
        <w:t xml:space="preserve">Trials and associated reports presented in the </w:t>
      </w:r>
      <w:r w:rsidR="00841EA7">
        <w:rPr>
          <w:rFonts w:ascii="Arial Narrow" w:hAnsi="Arial Narrow"/>
          <w:b/>
          <w:sz w:val="20"/>
          <w:szCs w:val="20"/>
        </w:rPr>
        <w:t>re</w:t>
      </w:r>
      <w:r w:rsidRPr="00492F3B">
        <w:rPr>
          <w:rFonts w:ascii="Arial Narrow" w:hAnsi="Arial Narrow"/>
          <w:b/>
          <w:sz w:val="20"/>
          <w:szCs w:val="20"/>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28" w:type="dxa"/>
          <w:right w:w="28" w:type="dxa"/>
        </w:tblCellMar>
        <w:tblLook w:val="01E0" w:firstRow="1" w:lastRow="1" w:firstColumn="1" w:lastColumn="1" w:noHBand="0" w:noVBand="0"/>
      </w:tblPr>
      <w:tblGrid>
        <w:gridCol w:w="1232"/>
        <w:gridCol w:w="6034"/>
        <w:gridCol w:w="1751"/>
      </w:tblGrid>
      <w:tr w:rsidR="00172AD3" w:rsidRPr="00ED7E3E" w:rsidTr="001E09EC">
        <w:trPr>
          <w:tblHeader/>
        </w:trPr>
        <w:tc>
          <w:tcPr>
            <w:tcW w:w="683" w:type="pct"/>
            <w:shd w:val="clear" w:color="auto" w:fill="C6D9F1" w:themeFill="text2" w:themeFillTint="33"/>
            <w:vAlign w:val="center"/>
          </w:tcPr>
          <w:p w:rsidR="00172AD3" w:rsidRPr="00ED7E3E" w:rsidRDefault="00172AD3" w:rsidP="00362142">
            <w:pPr>
              <w:pStyle w:val="Tabletext"/>
              <w:keepNext/>
              <w:keepLines/>
              <w:rPr>
                <w:b/>
              </w:rPr>
            </w:pPr>
            <w:r w:rsidRPr="00ED7E3E">
              <w:rPr>
                <w:b/>
              </w:rPr>
              <w:t>Trial ID</w:t>
            </w:r>
          </w:p>
        </w:tc>
        <w:tc>
          <w:tcPr>
            <w:tcW w:w="3346" w:type="pct"/>
            <w:shd w:val="clear" w:color="auto" w:fill="C6D9F1" w:themeFill="text2" w:themeFillTint="33"/>
            <w:vAlign w:val="center"/>
          </w:tcPr>
          <w:p w:rsidR="00172AD3" w:rsidRPr="00ED7E3E" w:rsidRDefault="00172AD3" w:rsidP="00362142">
            <w:pPr>
              <w:pStyle w:val="Tabletext"/>
              <w:keepNext/>
              <w:keepLines/>
              <w:jc w:val="center"/>
              <w:rPr>
                <w:b/>
              </w:rPr>
            </w:pPr>
            <w:r w:rsidRPr="00ED7E3E">
              <w:rPr>
                <w:b/>
              </w:rPr>
              <w:t>Protocol title/ Publication title</w:t>
            </w:r>
          </w:p>
        </w:tc>
        <w:tc>
          <w:tcPr>
            <w:tcW w:w="971" w:type="pct"/>
            <w:shd w:val="clear" w:color="auto" w:fill="C6D9F1" w:themeFill="text2" w:themeFillTint="33"/>
            <w:vAlign w:val="center"/>
          </w:tcPr>
          <w:p w:rsidR="00172AD3" w:rsidRPr="00ED7E3E" w:rsidRDefault="00172AD3" w:rsidP="00362142">
            <w:pPr>
              <w:pStyle w:val="Tabletext"/>
              <w:keepNext/>
              <w:keepLines/>
              <w:jc w:val="center"/>
              <w:rPr>
                <w:b/>
              </w:rPr>
            </w:pPr>
            <w:r w:rsidRPr="00ED7E3E">
              <w:rPr>
                <w:b/>
              </w:rPr>
              <w:t>Publication citation</w:t>
            </w:r>
          </w:p>
        </w:tc>
      </w:tr>
      <w:tr w:rsidR="00172AD3" w:rsidRPr="00ED7E3E" w:rsidTr="001E09EC">
        <w:tc>
          <w:tcPr>
            <w:tcW w:w="5000" w:type="pct"/>
            <w:gridSpan w:val="3"/>
            <w:tcBorders>
              <w:bottom w:val="nil"/>
            </w:tcBorders>
            <w:shd w:val="clear" w:color="auto" w:fill="C6D9F1" w:themeFill="text2" w:themeFillTint="33"/>
            <w:vAlign w:val="center"/>
          </w:tcPr>
          <w:p w:rsidR="00172AD3" w:rsidRPr="00ED7E3E" w:rsidRDefault="00172AD3" w:rsidP="00362142">
            <w:pPr>
              <w:pStyle w:val="Tabletext"/>
              <w:keepNext/>
              <w:keepLines/>
            </w:pPr>
            <w:r>
              <w:rPr>
                <w:b/>
              </w:rPr>
              <w:t>Pivotal trial: SC formulation</w:t>
            </w:r>
          </w:p>
        </w:tc>
      </w:tr>
      <w:tr w:rsidR="00172AD3" w:rsidRPr="00ED7E3E" w:rsidTr="001E09EC">
        <w:tc>
          <w:tcPr>
            <w:tcW w:w="683" w:type="pct"/>
            <w:tcBorders>
              <w:bottom w:val="nil"/>
            </w:tcBorders>
            <w:shd w:val="clear" w:color="auto" w:fill="C6D9F1" w:themeFill="text2" w:themeFillTint="33"/>
            <w:vAlign w:val="center"/>
          </w:tcPr>
          <w:p w:rsidR="00172AD3" w:rsidRPr="00ED7E3E" w:rsidRDefault="00172AD3" w:rsidP="00362142">
            <w:pPr>
              <w:pStyle w:val="Tabletext"/>
              <w:keepNext/>
              <w:keepLines/>
              <w:rPr>
                <w:rFonts w:ascii="Times" w:hAnsi="Times"/>
              </w:rPr>
            </w:pPr>
            <w:r w:rsidRPr="00ED7E3E">
              <w:t>BLISS-SC</w:t>
            </w:r>
          </w:p>
        </w:tc>
        <w:tc>
          <w:tcPr>
            <w:tcW w:w="3346" w:type="pct"/>
            <w:tcBorders>
              <w:bottom w:val="nil"/>
            </w:tcBorders>
            <w:shd w:val="clear" w:color="auto" w:fill="C6D9F1" w:themeFill="text2" w:themeFillTint="33"/>
            <w:vAlign w:val="center"/>
          </w:tcPr>
          <w:p w:rsidR="00172AD3" w:rsidRPr="00ED7E3E" w:rsidRDefault="00172AD3" w:rsidP="00362142">
            <w:pPr>
              <w:pStyle w:val="Tabletext"/>
              <w:keepNext/>
              <w:keepLines/>
              <w:rPr>
                <w:szCs w:val="18"/>
              </w:rPr>
            </w:pPr>
            <w:r w:rsidRPr="00ED7E3E">
              <w:rPr>
                <w:szCs w:val="18"/>
              </w:rPr>
              <w:t>A Phase 3, Multi-Center, Randomized, Double-Blind, Placebo-Controlled, 52-Week Study to Evaluate the Efficacy and Safety of Belimumab (HGS1006) Administered Subcutaneously (SC) to Subjects with Systemic Lupus Erythematosus (SLE).</w:t>
            </w:r>
          </w:p>
        </w:tc>
        <w:tc>
          <w:tcPr>
            <w:tcW w:w="971" w:type="pct"/>
            <w:tcBorders>
              <w:bottom w:val="nil"/>
            </w:tcBorders>
            <w:shd w:val="clear" w:color="auto" w:fill="C6D9F1" w:themeFill="text2" w:themeFillTint="33"/>
            <w:vAlign w:val="center"/>
          </w:tcPr>
          <w:p w:rsidR="00172AD3" w:rsidRPr="00ED7E3E" w:rsidRDefault="00172AD3" w:rsidP="00362142">
            <w:pPr>
              <w:pStyle w:val="Tabletext"/>
              <w:keepNext/>
              <w:keepLines/>
              <w:rPr>
                <w:rFonts w:ascii="Times" w:hAnsi="Times"/>
              </w:rPr>
            </w:pPr>
            <w:r w:rsidRPr="00ED7E3E">
              <w:t>March 2016</w:t>
            </w:r>
          </w:p>
        </w:tc>
      </w:tr>
      <w:tr w:rsidR="00172AD3" w:rsidRPr="00ED7E3E" w:rsidTr="001E09EC">
        <w:tc>
          <w:tcPr>
            <w:tcW w:w="683" w:type="pct"/>
            <w:tcBorders>
              <w:top w:val="nil"/>
              <w:bottom w:val="nil"/>
            </w:tcBorders>
            <w:shd w:val="clear" w:color="auto" w:fill="C6D9F1" w:themeFill="text2" w:themeFillTint="33"/>
            <w:vAlign w:val="center"/>
          </w:tcPr>
          <w:p w:rsidR="00172AD3" w:rsidRPr="00ED7E3E" w:rsidRDefault="00172AD3" w:rsidP="00362142">
            <w:pPr>
              <w:pStyle w:val="Tabletext"/>
              <w:keepNext/>
              <w:keepLines/>
            </w:pPr>
          </w:p>
        </w:tc>
        <w:tc>
          <w:tcPr>
            <w:tcW w:w="3346" w:type="pct"/>
            <w:tcBorders>
              <w:top w:val="nil"/>
              <w:bottom w:val="nil"/>
            </w:tcBorders>
            <w:shd w:val="clear" w:color="auto" w:fill="C6D9F1" w:themeFill="text2" w:themeFillTint="33"/>
            <w:vAlign w:val="center"/>
          </w:tcPr>
          <w:p w:rsidR="00172AD3" w:rsidRPr="00ED7E3E" w:rsidRDefault="00172AD3" w:rsidP="00362142">
            <w:pPr>
              <w:pStyle w:val="Tabletext"/>
              <w:keepNext/>
              <w:keepLines/>
              <w:rPr>
                <w:szCs w:val="18"/>
                <w:lang w:eastAsia="en-AU"/>
              </w:rPr>
            </w:pPr>
            <w:r w:rsidRPr="00A9738F">
              <w:rPr>
                <w:szCs w:val="18"/>
                <w:lang w:val="de-DE" w:eastAsia="en-AU"/>
              </w:rPr>
              <w:t xml:space="preserve">Stohl W, Schwarting A, Okada M et al.  </w:t>
            </w:r>
            <w:r w:rsidRPr="00ED7E3E">
              <w:rPr>
                <w:szCs w:val="18"/>
                <w:lang w:eastAsia="en-AU"/>
              </w:rPr>
              <w:t>Efficacy and safety of subcutaneous belimumab in systemic lupus erythematosus.</w:t>
            </w:r>
          </w:p>
        </w:tc>
        <w:tc>
          <w:tcPr>
            <w:tcW w:w="971" w:type="pct"/>
            <w:tcBorders>
              <w:top w:val="nil"/>
              <w:bottom w:val="nil"/>
            </w:tcBorders>
            <w:shd w:val="clear" w:color="auto" w:fill="C6D9F1" w:themeFill="text2" w:themeFillTint="33"/>
            <w:vAlign w:val="center"/>
          </w:tcPr>
          <w:p w:rsidR="00172AD3" w:rsidRPr="00ED7E3E" w:rsidRDefault="00172AD3" w:rsidP="00362142">
            <w:pPr>
              <w:pStyle w:val="Tabletext"/>
              <w:keepNext/>
              <w:keepLines/>
              <w:rPr>
                <w:szCs w:val="18"/>
                <w:lang w:eastAsia="en-AU"/>
              </w:rPr>
            </w:pPr>
            <w:r w:rsidRPr="00ED7E3E">
              <w:rPr>
                <w:i/>
                <w:iCs/>
                <w:szCs w:val="18"/>
                <w:lang w:eastAsia="en-AU"/>
              </w:rPr>
              <w:t>Arthritis &amp; Rheumatology</w:t>
            </w:r>
            <w:r w:rsidRPr="00ED7E3E">
              <w:rPr>
                <w:szCs w:val="18"/>
                <w:lang w:eastAsia="en-AU"/>
              </w:rPr>
              <w:t xml:space="preserve"> 2017; 69 (5): 1016-1027. </w:t>
            </w:r>
          </w:p>
        </w:tc>
      </w:tr>
      <w:tr w:rsidR="00172AD3" w:rsidRPr="00ED7E3E" w:rsidTr="001E09EC">
        <w:tc>
          <w:tcPr>
            <w:tcW w:w="5000" w:type="pct"/>
            <w:gridSpan w:val="3"/>
            <w:tcBorders>
              <w:bottom w:val="nil"/>
            </w:tcBorders>
            <w:shd w:val="clear" w:color="auto" w:fill="C6D9F1" w:themeFill="text2" w:themeFillTint="33"/>
            <w:vAlign w:val="center"/>
          </w:tcPr>
          <w:p w:rsidR="00172AD3" w:rsidRPr="008146A4" w:rsidRDefault="00172AD3" w:rsidP="00362142">
            <w:pPr>
              <w:pStyle w:val="Tabletext"/>
              <w:keepNext/>
              <w:keepLines/>
              <w:rPr>
                <w:b/>
              </w:rPr>
            </w:pPr>
            <w:r w:rsidRPr="008146A4">
              <w:rPr>
                <w:b/>
              </w:rPr>
              <w:t>Supportive trials: IV formulation</w:t>
            </w:r>
          </w:p>
        </w:tc>
      </w:tr>
      <w:tr w:rsidR="00172AD3" w:rsidRPr="00ED7E3E" w:rsidTr="001E09EC">
        <w:tc>
          <w:tcPr>
            <w:tcW w:w="683" w:type="pct"/>
            <w:tcBorders>
              <w:bottom w:val="nil"/>
            </w:tcBorders>
            <w:shd w:val="clear" w:color="auto" w:fill="C6D9F1" w:themeFill="text2" w:themeFillTint="33"/>
            <w:vAlign w:val="center"/>
          </w:tcPr>
          <w:p w:rsidR="00172AD3" w:rsidRPr="00ED7E3E" w:rsidRDefault="00172AD3" w:rsidP="00362142">
            <w:pPr>
              <w:pStyle w:val="Tabletext"/>
              <w:keepNext/>
              <w:keepLines/>
              <w:rPr>
                <w:rFonts w:ascii="Times" w:hAnsi="Times"/>
              </w:rPr>
            </w:pPr>
            <w:r w:rsidRPr="00ED7E3E">
              <w:t>BLISS-52</w:t>
            </w:r>
          </w:p>
        </w:tc>
        <w:tc>
          <w:tcPr>
            <w:tcW w:w="3346" w:type="pct"/>
            <w:tcBorders>
              <w:bottom w:val="nil"/>
            </w:tcBorders>
            <w:shd w:val="clear" w:color="auto" w:fill="C6D9F1" w:themeFill="text2" w:themeFillTint="33"/>
            <w:vAlign w:val="center"/>
          </w:tcPr>
          <w:p w:rsidR="00172AD3" w:rsidRPr="00ED7E3E" w:rsidRDefault="00172AD3" w:rsidP="00362142">
            <w:pPr>
              <w:pStyle w:val="Tabletext"/>
              <w:keepNext/>
              <w:keepLines/>
              <w:rPr>
                <w:rFonts w:ascii="Times" w:hAnsi="Times"/>
              </w:rPr>
            </w:pPr>
            <w:r w:rsidRPr="00ED7E3E">
              <w:rPr>
                <w:szCs w:val="18"/>
              </w:rPr>
              <w:t>A Phase 3, Multi-Center, Randomized, Double-Blind, Placebo-Controlled,52-Week Study to Evaluate the Efficacy and Safety of Belimumab (HGS1006, LymphoStat-B™), a Fully Human Monoclonal Anti-BLyS Antibody, in Subjects with Systemic Lupus Erythematosus (SLE).</w:t>
            </w:r>
          </w:p>
        </w:tc>
        <w:tc>
          <w:tcPr>
            <w:tcW w:w="971" w:type="pct"/>
            <w:tcBorders>
              <w:bottom w:val="nil"/>
            </w:tcBorders>
            <w:shd w:val="clear" w:color="auto" w:fill="C6D9F1" w:themeFill="text2" w:themeFillTint="33"/>
            <w:vAlign w:val="center"/>
          </w:tcPr>
          <w:p w:rsidR="00172AD3" w:rsidRPr="00ED7E3E" w:rsidRDefault="00172AD3" w:rsidP="00362142">
            <w:pPr>
              <w:pStyle w:val="Tabletext"/>
              <w:keepNext/>
              <w:keepLines/>
            </w:pPr>
            <w:r w:rsidRPr="00ED7E3E">
              <w:t>January 2010.</w:t>
            </w:r>
          </w:p>
        </w:tc>
      </w:tr>
      <w:tr w:rsidR="00172AD3" w:rsidRPr="00ED7E3E" w:rsidTr="001E09EC">
        <w:tc>
          <w:tcPr>
            <w:tcW w:w="683" w:type="pct"/>
            <w:tcBorders>
              <w:top w:val="nil"/>
              <w:bottom w:val="nil"/>
            </w:tcBorders>
            <w:shd w:val="clear" w:color="auto" w:fill="C6D9F1" w:themeFill="text2" w:themeFillTint="33"/>
            <w:vAlign w:val="center"/>
          </w:tcPr>
          <w:p w:rsidR="00172AD3" w:rsidRPr="00ED7E3E" w:rsidRDefault="00172AD3" w:rsidP="00362142">
            <w:pPr>
              <w:pStyle w:val="Tabletext"/>
              <w:keepNext/>
              <w:keepLines/>
            </w:pPr>
          </w:p>
        </w:tc>
        <w:tc>
          <w:tcPr>
            <w:tcW w:w="3346" w:type="pct"/>
            <w:tcBorders>
              <w:top w:val="nil"/>
              <w:bottom w:val="nil"/>
            </w:tcBorders>
            <w:shd w:val="clear" w:color="auto" w:fill="C6D9F1" w:themeFill="text2" w:themeFillTint="33"/>
            <w:vAlign w:val="center"/>
          </w:tcPr>
          <w:p w:rsidR="00172AD3" w:rsidRPr="00ED7E3E" w:rsidRDefault="00172AD3" w:rsidP="00362142">
            <w:pPr>
              <w:pStyle w:val="Tabletext"/>
              <w:keepNext/>
              <w:keepLines/>
              <w:rPr>
                <w:szCs w:val="18"/>
              </w:rPr>
            </w:pPr>
            <w:r w:rsidRPr="00ED7E3E">
              <w:rPr>
                <w:szCs w:val="18"/>
                <w:lang w:eastAsia="en-AU"/>
              </w:rPr>
              <w:t>Navarra SV, Guzman RM, Gallacher AE et al.  Efficacy and safety of belimumab in patients with active systemic lupus erythematosus: a randomised, placebo-controlled, phase 3 trial.</w:t>
            </w:r>
          </w:p>
        </w:tc>
        <w:tc>
          <w:tcPr>
            <w:tcW w:w="971" w:type="pct"/>
            <w:tcBorders>
              <w:top w:val="nil"/>
              <w:bottom w:val="nil"/>
            </w:tcBorders>
            <w:shd w:val="clear" w:color="auto" w:fill="C6D9F1" w:themeFill="text2" w:themeFillTint="33"/>
            <w:vAlign w:val="center"/>
          </w:tcPr>
          <w:p w:rsidR="00172AD3" w:rsidRPr="00ED7E3E" w:rsidRDefault="00172AD3" w:rsidP="00362142">
            <w:pPr>
              <w:pStyle w:val="Tabletext"/>
              <w:keepNext/>
              <w:keepLines/>
              <w:rPr>
                <w:i/>
              </w:rPr>
            </w:pPr>
            <w:r w:rsidRPr="00ED7E3E">
              <w:rPr>
                <w:i/>
              </w:rPr>
              <w:t xml:space="preserve">Lancet </w:t>
            </w:r>
            <w:r w:rsidRPr="00ED7E3E">
              <w:rPr>
                <w:iCs/>
              </w:rPr>
              <w:t>2011; 377: 721-731.</w:t>
            </w:r>
          </w:p>
        </w:tc>
      </w:tr>
      <w:tr w:rsidR="00172AD3" w:rsidRPr="00ED7E3E" w:rsidTr="001E09EC">
        <w:tc>
          <w:tcPr>
            <w:tcW w:w="683" w:type="pct"/>
            <w:tcBorders>
              <w:bottom w:val="nil"/>
            </w:tcBorders>
            <w:shd w:val="clear" w:color="auto" w:fill="C6D9F1" w:themeFill="text2" w:themeFillTint="33"/>
            <w:vAlign w:val="center"/>
          </w:tcPr>
          <w:p w:rsidR="00172AD3" w:rsidRPr="00ED7E3E" w:rsidRDefault="00172AD3" w:rsidP="00362142">
            <w:pPr>
              <w:pStyle w:val="Tabletext"/>
              <w:keepNext/>
              <w:keepLines/>
            </w:pPr>
            <w:r w:rsidRPr="00ED7E3E">
              <w:t>BLISS-76</w:t>
            </w:r>
          </w:p>
        </w:tc>
        <w:tc>
          <w:tcPr>
            <w:tcW w:w="3346" w:type="pct"/>
            <w:tcBorders>
              <w:bottom w:val="nil"/>
            </w:tcBorders>
            <w:shd w:val="clear" w:color="auto" w:fill="C6D9F1" w:themeFill="text2" w:themeFillTint="33"/>
            <w:vAlign w:val="center"/>
          </w:tcPr>
          <w:p w:rsidR="00172AD3" w:rsidRPr="00ED7E3E" w:rsidRDefault="00172AD3" w:rsidP="00362142">
            <w:pPr>
              <w:pStyle w:val="Tabletext"/>
              <w:keepNext/>
              <w:keepLines/>
              <w:rPr>
                <w:rFonts w:ascii="Times" w:hAnsi="Times"/>
              </w:rPr>
            </w:pPr>
            <w:r w:rsidRPr="00ED7E3E">
              <w:rPr>
                <w:szCs w:val="18"/>
              </w:rPr>
              <w:t>A Phase 3, Multi-Center, Randomized, Double-Blind, Placebo-Controlled,76-Week Study to Evaluate the Efficacy and Safety of Belimumab (HGS1006, LymphoStat-B™), a Fully Human Monoclonal Anti-BLyS Antibody, in Subjects with Systemic Lupus Erythematosus (SLE).</w:t>
            </w:r>
          </w:p>
        </w:tc>
        <w:tc>
          <w:tcPr>
            <w:tcW w:w="971" w:type="pct"/>
            <w:tcBorders>
              <w:bottom w:val="nil"/>
            </w:tcBorders>
            <w:shd w:val="clear" w:color="auto" w:fill="C6D9F1" w:themeFill="text2" w:themeFillTint="33"/>
            <w:vAlign w:val="center"/>
          </w:tcPr>
          <w:p w:rsidR="00172AD3" w:rsidRPr="00ED7E3E" w:rsidRDefault="00172AD3" w:rsidP="00362142">
            <w:pPr>
              <w:pStyle w:val="Tabletext"/>
              <w:keepNext/>
              <w:keepLines/>
              <w:rPr>
                <w:rFonts w:ascii="Times" w:hAnsi="Times"/>
              </w:rPr>
            </w:pPr>
            <w:r w:rsidRPr="00ED7E3E">
              <w:t>March 2010</w:t>
            </w:r>
          </w:p>
        </w:tc>
      </w:tr>
      <w:tr w:rsidR="00172AD3" w:rsidRPr="00ED7E3E" w:rsidTr="001E09EC">
        <w:tc>
          <w:tcPr>
            <w:tcW w:w="683" w:type="pct"/>
            <w:tcBorders>
              <w:top w:val="nil"/>
              <w:bottom w:val="single" w:sz="4" w:space="0" w:color="auto"/>
            </w:tcBorders>
            <w:shd w:val="clear" w:color="auto" w:fill="C6D9F1" w:themeFill="text2" w:themeFillTint="33"/>
            <w:vAlign w:val="center"/>
          </w:tcPr>
          <w:p w:rsidR="00172AD3" w:rsidRPr="00ED7E3E" w:rsidRDefault="00172AD3" w:rsidP="00362142">
            <w:pPr>
              <w:pStyle w:val="Tabletext"/>
              <w:keepNext/>
              <w:keepLines/>
            </w:pPr>
          </w:p>
        </w:tc>
        <w:tc>
          <w:tcPr>
            <w:tcW w:w="3346" w:type="pct"/>
            <w:tcBorders>
              <w:top w:val="nil"/>
              <w:bottom w:val="single" w:sz="4" w:space="0" w:color="auto"/>
            </w:tcBorders>
            <w:shd w:val="clear" w:color="auto" w:fill="C6D9F1" w:themeFill="text2" w:themeFillTint="33"/>
            <w:vAlign w:val="center"/>
          </w:tcPr>
          <w:p w:rsidR="00172AD3" w:rsidRPr="00ED7E3E" w:rsidRDefault="00172AD3" w:rsidP="00362142">
            <w:pPr>
              <w:pStyle w:val="Tabletext"/>
              <w:keepNext/>
              <w:keepLines/>
              <w:rPr>
                <w:szCs w:val="18"/>
              </w:rPr>
            </w:pPr>
            <w:r w:rsidRPr="00A9738F">
              <w:rPr>
                <w:szCs w:val="18"/>
                <w:lang w:val="it-IT" w:eastAsia="en-AU"/>
              </w:rPr>
              <w:t xml:space="preserve">Furie R, Petri M, Zamani O et al.  </w:t>
            </w:r>
            <w:r w:rsidRPr="00ED7E3E">
              <w:rPr>
                <w:szCs w:val="18"/>
                <w:lang w:eastAsia="en-AU"/>
              </w:rPr>
              <w:t>A phase 3, randomized, placebo-controlled study of belimumab, a monoclonal antibody that inhibits BLys&lt; in patients with systemic lupus erythematosus.</w:t>
            </w:r>
          </w:p>
        </w:tc>
        <w:tc>
          <w:tcPr>
            <w:tcW w:w="971" w:type="pct"/>
            <w:tcBorders>
              <w:top w:val="nil"/>
              <w:bottom w:val="single" w:sz="4" w:space="0" w:color="auto"/>
            </w:tcBorders>
            <w:shd w:val="clear" w:color="auto" w:fill="C6D9F1" w:themeFill="text2" w:themeFillTint="33"/>
            <w:vAlign w:val="center"/>
          </w:tcPr>
          <w:p w:rsidR="00172AD3" w:rsidRPr="00ED7E3E" w:rsidRDefault="00172AD3" w:rsidP="00362142">
            <w:pPr>
              <w:pStyle w:val="Tabletext"/>
              <w:keepNext/>
              <w:keepLines/>
            </w:pPr>
            <w:r w:rsidRPr="00ED7E3E">
              <w:rPr>
                <w:i/>
                <w:iCs/>
                <w:szCs w:val="18"/>
                <w:lang w:eastAsia="en-AU"/>
              </w:rPr>
              <w:t>Arthritis &amp; Rheumatology</w:t>
            </w:r>
            <w:r w:rsidRPr="00ED7E3E">
              <w:rPr>
                <w:szCs w:val="18"/>
                <w:lang w:eastAsia="en-AU"/>
              </w:rPr>
              <w:t xml:space="preserve"> 2011; 63 (12): 3918-3930.</w:t>
            </w:r>
          </w:p>
        </w:tc>
      </w:tr>
      <w:tr w:rsidR="00172AD3" w:rsidRPr="00ED7E3E" w:rsidTr="001E09EC">
        <w:tc>
          <w:tcPr>
            <w:tcW w:w="683" w:type="pct"/>
            <w:tcBorders>
              <w:top w:val="single" w:sz="4" w:space="0" w:color="auto"/>
              <w:bottom w:val="nil"/>
            </w:tcBorders>
            <w:shd w:val="clear" w:color="auto" w:fill="C6D9F1" w:themeFill="text2" w:themeFillTint="33"/>
            <w:vAlign w:val="center"/>
          </w:tcPr>
          <w:p w:rsidR="00172AD3" w:rsidRPr="00ED7E3E" w:rsidRDefault="00172AD3" w:rsidP="00362142">
            <w:pPr>
              <w:pStyle w:val="Tabletext"/>
              <w:keepNext/>
              <w:keepLines/>
            </w:pPr>
            <w:r>
              <w:t>NE-Asia</w:t>
            </w:r>
          </w:p>
        </w:tc>
        <w:tc>
          <w:tcPr>
            <w:tcW w:w="3346" w:type="pct"/>
            <w:tcBorders>
              <w:top w:val="single" w:sz="4" w:space="0" w:color="auto"/>
              <w:bottom w:val="nil"/>
            </w:tcBorders>
            <w:shd w:val="clear" w:color="auto" w:fill="C6D9F1" w:themeFill="text2" w:themeFillTint="33"/>
            <w:vAlign w:val="center"/>
          </w:tcPr>
          <w:p w:rsidR="00172AD3" w:rsidRPr="00ED7E3E" w:rsidRDefault="00172AD3" w:rsidP="00362142">
            <w:pPr>
              <w:pStyle w:val="Tabletext"/>
              <w:keepNext/>
              <w:keepLines/>
              <w:rPr>
                <w:szCs w:val="18"/>
                <w:lang w:eastAsia="en-AU"/>
              </w:rPr>
            </w:pPr>
            <w:r w:rsidRPr="00ED7E3E">
              <w:rPr>
                <w:szCs w:val="18"/>
                <w:lang w:eastAsia="en-AU"/>
              </w:rPr>
              <w:t>GSK1550188. A 52 week study with belimumab versus placebo in the treatment of subjects with systemic lupus erythematosus (SLE) located in Northeast Asia – Double-Blind Endpoint Analysis.</w:t>
            </w:r>
          </w:p>
        </w:tc>
        <w:tc>
          <w:tcPr>
            <w:tcW w:w="971" w:type="pct"/>
            <w:tcBorders>
              <w:top w:val="single" w:sz="4" w:space="0" w:color="auto"/>
              <w:bottom w:val="nil"/>
            </w:tcBorders>
            <w:shd w:val="clear" w:color="auto" w:fill="C6D9F1" w:themeFill="text2" w:themeFillTint="33"/>
            <w:vAlign w:val="center"/>
          </w:tcPr>
          <w:p w:rsidR="00172AD3" w:rsidRPr="00ED7E3E" w:rsidRDefault="00172AD3" w:rsidP="00362142">
            <w:pPr>
              <w:pStyle w:val="Tabletext"/>
              <w:keepNext/>
              <w:keepLines/>
              <w:rPr>
                <w:szCs w:val="18"/>
                <w:lang w:eastAsia="en-AU"/>
              </w:rPr>
            </w:pPr>
            <w:r w:rsidRPr="00ED7E3E">
              <w:rPr>
                <w:szCs w:val="18"/>
                <w:lang w:eastAsia="en-AU"/>
              </w:rPr>
              <w:t>August 2017</w:t>
            </w:r>
          </w:p>
        </w:tc>
      </w:tr>
      <w:tr w:rsidR="00172AD3" w:rsidRPr="00ED7E3E" w:rsidTr="001E09EC">
        <w:tc>
          <w:tcPr>
            <w:tcW w:w="683" w:type="pct"/>
            <w:tcBorders>
              <w:top w:val="nil"/>
              <w:bottom w:val="single" w:sz="4" w:space="0" w:color="auto"/>
            </w:tcBorders>
            <w:shd w:val="clear" w:color="auto" w:fill="C6D9F1" w:themeFill="text2" w:themeFillTint="33"/>
            <w:vAlign w:val="center"/>
          </w:tcPr>
          <w:p w:rsidR="00172AD3" w:rsidRPr="00ED7E3E" w:rsidRDefault="00172AD3" w:rsidP="00362142">
            <w:pPr>
              <w:pStyle w:val="Tabletext"/>
              <w:keepNext/>
              <w:keepLines/>
            </w:pPr>
          </w:p>
        </w:tc>
        <w:tc>
          <w:tcPr>
            <w:tcW w:w="3346" w:type="pct"/>
            <w:tcBorders>
              <w:top w:val="nil"/>
              <w:bottom w:val="single" w:sz="4" w:space="0" w:color="auto"/>
            </w:tcBorders>
            <w:shd w:val="clear" w:color="auto" w:fill="C6D9F1" w:themeFill="text2" w:themeFillTint="33"/>
            <w:vAlign w:val="center"/>
          </w:tcPr>
          <w:p w:rsidR="00172AD3" w:rsidRPr="00ED7E3E" w:rsidRDefault="00172AD3" w:rsidP="00362142">
            <w:pPr>
              <w:pStyle w:val="Tabletext"/>
              <w:keepNext/>
              <w:keepLines/>
              <w:rPr>
                <w:szCs w:val="18"/>
                <w:lang w:eastAsia="en-AU"/>
              </w:rPr>
            </w:pPr>
            <w:r w:rsidRPr="00ED7E3E">
              <w:rPr>
                <w:szCs w:val="18"/>
                <w:lang w:eastAsia="en-AU"/>
              </w:rPr>
              <w:t xml:space="preserve">Zhang F, Bae S-C, Bass D et al. A pivotal phase III, randomised, placebo-controlled study of belimumab in patients with systemic lupus erythematosus located in China, Japan and South Korea. </w:t>
            </w:r>
          </w:p>
        </w:tc>
        <w:tc>
          <w:tcPr>
            <w:tcW w:w="971" w:type="pct"/>
            <w:tcBorders>
              <w:top w:val="nil"/>
              <w:bottom w:val="single" w:sz="4" w:space="0" w:color="auto"/>
            </w:tcBorders>
            <w:shd w:val="clear" w:color="auto" w:fill="C6D9F1" w:themeFill="text2" w:themeFillTint="33"/>
            <w:vAlign w:val="center"/>
          </w:tcPr>
          <w:p w:rsidR="00172AD3" w:rsidRPr="00ED7E3E" w:rsidRDefault="00172AD3" w:rsidP="00362142">
            <w:pPr>
              <w:pStyle w:val="Tabletext"/>
              <w:keepNext/>
              <w:keepLines/>
              <w:rPr>
                <w:szCs w:val="18"/>
                <w:lang w:eastAsia="en-AU"/>
              </w:rPr>
            </w:pPr>
            <w:r w:rsidRPr="00ED7E3E">
              <w:rPr>
                <w:i/>
                <w:iCs/>
                <w:szCs w:val="18"/>
                <w:lang w:eastAsia="en-AU"/>
              </w:rPr>
              <w:t>Annal Rheumatol Disease</w:t>
            </w:r>
            <w:r w:rsidRPr="00ED7E3E">
              <w:rPr>
                <w:szCs w:val="18"/>
                <w:lang w:eastAsia="en-AU"/>
              </w:rPr>
              <w:t xml:space="preserve"> 2018; 77: 355-363.</w:t>
            </w:r>
          </w:p>
        </w:tc>
      </w:tr>
      <w:tr w:rsidR="00172AD3" w:rsidRPr="00ED7E3E" w:rsidTr="001E09EC">
        <w:tc>
          <w:tcPr>
            <w:tcW w:w="683" w:type="pct"/>
            <w:tcBorders>
              <w:top w:val="single" w:sz="4" w:space="0" w:color="auto"/>
              <w:bottom w:val="single" w:sz="4" w:space="0" w:color="auto"/>
            </w:tcBorders>
            <w:shd w:val="clear" w:color="auto" w:fill="C6D9F1" w:themeFill="text2" w:themeFillTint="33"/>
            <w:vAlign w:val="center"/>
          </w:tcPr>
          <w:p w:rsidR="00172AD3" w:rsidRPr="00ED7E3E" w:rsidRDefault="00172AD3" w:rsidP="00362142">
            <w:pPr>
              <w:pStyle w:val="Tabletext"/>
              <w:keepNext/>
              <w:keepLines/>
            </w:pPr>
            <w:r w:rsidRPr="00ED7E3E">
              <w:t>EMBRACE</w:t>
            </w:r>
          </w:p>
        </w:tc>
        <w:tc>
          <w:tcPr>
            <w:tcW w:w="3346" w:type="pct"/>
            <w:tcBorders>
              <w:top w:val="single" w:sz="4" w:space="0" w:color="auto"/>
              <w:bottom w:val="single" w:sz="4" w:space="0" w:color="auto"/>
            </w:tcBorders>
            <w:shd w:val="clear" w:color="auto" w:fill="C6D9F1" w:themeFill="text2" w:themeFillTint="33"/>
            <w:vAlign w:val="center"/>
          </w:tcPr>
          <w:p w:rsidR="00172AD3" w:rsidRPr="00ED7E3E" w:rsidRDefault="00172AD3" w:rsidP="00362142">
            <w:pPr>
              <w:pStyle w:val="Tabletext"/>
              <w:keepNext/>
              <w:keepLines/>
              <w:rPr>
                <w:szCs w:val="18"/>
                <w:lang w:eastAsia="en-AU"/>
              </w:rPr>
            </w:pPr>
            <w:r w:rsidRPr="00ED7E3E">
              <w:rPr>
                <w:szCs w:val="18"/>
              </w:rPr>
              <w:t>A Phase 3/4, Multi-Center, Randomized, Double-Blind, Placebo-Controlled, 52-Week Study to Evaluate the Efficacy and Safety of Belimumab (HGS1006) in Adult Subjects of Black Race with Systemic Lupus Erythematosus (SLE).</w:t>
            </w:r>
          </w:p>
        </w:tc>
        <w:tc>
          <w:tcPr>
            <w:tcW w:w="971" w:type="pct"/>
            <w:tcBorders>
              <w:top w:val="single" w:sz="4" w:space="0" w:color="auto"/>
              <w:bottom w:val="single" w:sz="4" w:space="0" w:color="auto"/>
            </w:tcBorders>
            <w:shd w:val="clear" w:color="auto" w:fill="C6D9F1" w:themeFill="text2" w:themeFillTint="33"/>
            <w:vAlign w:val="center"/>
          </w:tcPr>
          <w:p w:rsidR="00172AD3" w:rsidRPr="00ED7E3E" w:rsidRDefault="00172AD3" w:rsidP="00362142">
            <w:pPr>
              <w:pStyle w:val="Tabletext"/>
              <w:keepNext/>
              <w:keepLines/>
              <w:rPr>
                <w:szCs w:val="18"/>
                <w:lang w:eastAsia="en-AU"/>
              </w:rPr>
            </w:pPr>
            <w:r w:rsidRPr="00ED7E3E">
              <w:rPr>
                <w:szCs w:val="18"/>
                <w:lang w:eastAsia="en-AU"/>
              </w:rPr>
              <w:t>February 2019</w:t>
            </w:r>
          </w:p>
        </w:tc>
      </w:tr>
    </w:tbl>
    <w:p w:rsidR="00172AD3" w:rsidRPr="009453EA" w:rsidRDefault="004C26C7" w:rsidP="00362142">
      <w:pPr>
        <w:keepNext/>
        <w:keepLines/>
        <w:rPr>
          <w:rFonts w:ascii="Arial Narrow" w:hAnsi="Arial Narrow"/>
          <w:sz w:val="18"/>
          <w:szCs w:val="18"/>
        </w:rPr>
      </w:pPr>
      <w:r>
        <w:rPr>
          <w:rFonts w:ascii="Arial Narrow" w:hAnsi="Arial Narrow"/>
          <w:sz w:val="18"/>
          <w:szCs w:val="18"/>
        </w:rPr>
        <w:t>Source: Table</w:t>
      </w:r>
      <w:r w:rsidR="00172AD3" w:rsidRPr="009453EA">
        <w:rPr>
          <w:rFonts w:ascii="Arial Narrow" w:hAnsi="Arial Narrow"/>
          <w:sz w:val="18"/>
          <w:szCs w:val="18"/>
        </w:rPr>
        <w:t xml:space="preserve"> 21, pp32-33 of the </w:t>
      </w:r>
      <w:r>
        <w:rPr>
          <w:rFonts w:ascii="Arial Narrow" w:hAnsi="Arial Narrow"/>
          <w:sz w:val="18"/>
          <w:szCs w:val="18"/>
        </w:rPr>
        <w:t xml:space="preserve">November 2019 submission; pp38-39 of resubmission. </w:t>
      </w:r>
    </w:p>
    <w:p w:rsidR="00172AD3" w:rsidRPr="00ED7E3E" w:rsidRDefault="00172AD3" w:rsidP="00172AD3">
      <w:pPr>
        <w:widowControl/>
      </w:pPr>
    </w:p>
    <w:p w:rsidR="00172AD3" w:rsidRPr="00ED7E3E" w:rsidRDefault="00172AD3" w:rsidP="00DA711E">
      <w:pPr>
        <w:pStyle w:val="ListParagraph"/>
        <w:widowControl/>
        <w:numPr>
          <w:ilvl w:val="1"/>
          <w:numId w:val="1"/>
        </w:numPr>
      </w:pPr>
      <w:r w:rsidRPr="00ED7E3E">
        <w:t>The key features of the direct randomis</w:t>
      </w:r>
      <w:r>
        <w:t>ed trials</w:t>
      </w:r>
      <w:r w:rsidRPr="00ED7E3E">
        <w:t xml:space="preserve"> a</w:t>
      </w:r>
      <w:r>
        <w:t xml:space="preserve">re summarised in Table </w:t>
      </w:r>
      <w:r w:rsidR="0045020A">
        <w:t>5</w:t>
      </w:r>
      <w:r w:rsidR="00100462">
        <w:t>.</w:t>
      </w:r>
    </w:p>
    <w:p w:rsidR="00172AD3" w:rsidRPr="00E2771E" w:rsidRDefault="00172AD3" w:rsidP="00DF74D9">
      <w:pPr>
        <w:keepNext/>
        <w:keepLines/>
        <w:rPr>
          <w:rStyle w:val="CommentReference"/>
        </w:rPr>
      </w:pPr>
      <w:r w:rsidRPr="00FD2F23">
        <w:rPr>
          <w:rStyle w:val="CommentReference"/>
        </w:rPr>
        <w:lastRenderedPageBreak/>
        <w:t xml:space="preserve">Table </w:t>
      </w:r>
      <w:r w:rsidR="0045020A">
        <w:rPr>
          <w:rStyle w:val="CommentReference"/>
        </w:rPr>
        <w:t>5</w:t>
      </w:r>
      <w:r w:rsidRPr="00FD2F23">
        <w:rPr>
          <w:rStyle w:val="CommentReference"/>
        </w:rPr>
        <w:t>:</w:t>
      </w:r>
      <w:r w:rsidRPr="00E2771E">
        <w:rPr>
          <w:rStyle w:val="CommentReference"/>
        </w:rPr>
        <w:t xml:space="preserve">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28" w:type="dxa"/>
          <w:right w:w="28" w:type="dxa"/>
        </w:tblCellMar>
        <w:tblLook w:val="04A0" w:firstRow="1" w:lastRow="0" w:firstColumn="1" w:lastColumn="0" w:noHBand="0" w:noVBand="1"/>
      </w:tblPr>
      <w:tblGrid>
        <w:gridCol w:w="867"/>
        <w:gridCol w:w="330"/>
        <w:gridCol w:w="858"/>
        <w:gridCol w:w="534"/>
        <w:gridCol w:w="2509"/>
        <w:gridCol w:w="2552"/>
        <w:gridCol w:w="1367"/>
      </w:tblGrid>
      <w:tr w:rsidR="00172AD3" w:rsidRPr="00E91F05" w:rsidTr="00BB43E5">
        <w:tc>
          <w:tcPr>
            <w:tcW w:w="0" w:type="auto"/>
            <w:shd w:val="clear" w:color="auto" w:fill="C6D9F1" w:themeFill="text2" w:themeFillTint="33"/>
            <w:vAlign w:val="center"/>
          </w:tcPr>
          <w:p w:rsidR="00172AD3" w:rsidRPr="00E91F05" w:rsidRDefault="00172AD3" w:rsidP="00DF74D9">
            <w:pPr>
              <w:keepNext/>
              <w:keepLines/>
              <w:widowControl/>
              <w:jc w:val="left"/>
              <w:rPr>
                <w:rFonts w:ascii="Arial Narrow" w:hAnsi="Arial Narrow" w:cs="Times New Roman"/>
                <w:b/>
                <w:snapToGrid/>
                <w:sz w:val="20"/>
                <w:lang w:val="en-US"/>
              </w:rPr>
            </w:pPr>
            <w:r w:rsidRPr="00E91F05">
              <w:rPr>
                <w:rFonts w:ascii="Arial Narrow" w:hAnsi="Arial Narrow" w:cs="Times New Roman"/>
                <w:b/>
                <w:snapToGrid/>
                <w:sz w:val="20"/>
                <w:lang w:val="en-US"/>
              </w:rPr>
              <w:t>Trial</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b/>
                <w:snapToGrid/>
                <w:sz w:val="20"/>
                <w:vertAlign w:val="superscript"/>
                <w:lang w:val="en-US"/>
              </w:rPr>
            </w:pPr>
            <w:r w:rsidRPr="00E91F05">
              <w:rPr>
                <w:rFonts w:ascii="Arial Narrow" w:hAnsi="Arial Narrow" w:cs="Times New Roman"/>
                <w:b/>
                <w:snapToGrid/>
                <w:sz w:val="20"/>
                <w:lang w:val="en-US"/>
              </w:rPr>
              <w:t>N</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b/>
                <w:snapToGrid/>
                <w:sz w:val="20"/>
                <w:lang w:val="en-US"/>
              </w:rPr>
            </w:pPr>
            <w:r w:rsidRPr="00E91F05">
              <w:rPr>
                <w:rFonts w:ascii="Arial Narrow" w:hAnsi="Arial Narrow" w:cs="Times New Roman"/>
                <w:b/>
                <w:snapToGrid/>
                <w:sz w:val="20"/>
                <w:lang w:val="en-US"/>
              </w:rPr>
              <w:t>Design/ duration</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b/>
                <w:snapToGrid/>
                <w:sz w:val="20"/>
                <w:lang w:val="en-US"/>
              </w:rPr>
            </w:pPr>
            <w:r w:rsidRPr="00E91F05">
              <w:rPr>
                <w:rFonts w:ascii="Arial Narrow" w:hAnsi="Arial Narrow" w:cs="Times New Roman"/>
                <w:b/>
                <w:snapToGrid/>
                <w:sz w:val="20"/>
                <w:lang w:val="en-US"/>
              </w:rPr>
              <w:t>Risk of bias</w:t>
            </w:r>
          </w:p>
        </w:tc>
        <w:tc>
          <w:tcPr>
            <w:tcW w:w="2509" w:type="dxa"/>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b/>
                <w:snapToGrid/>
                <w:sz w:val="20"/>
                <w:lang w:val="en-US"/>
              </w:rPr>
            </w:pPr>
            <w:r w:rsidRPr="00E91F05">
              <w:rPr>
                <w:rFonts w:ascii="Arial Narrow" w:hAnsi="Arial Narrow" w:cs="Times New Roman"/>
                <w:b/>
                <w:snapToGrid/>
                <w:sz w:val="20"/>
                <w:lang w:val="en-US"/>
              </w:rPr>
              <w:t>Patient population</w:t>
            </w:r>
          </w:p>
        </w:tc>
        <w:tc>
          <w:tcPr>
            <w:tcW w:w="2552" w:type="dxa"/>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b/>
                <w:snapToGrid/>
                <w:sz w:val="20"/>
                <w:lang w:val="en-US"/>
              </w:rPr>
            </w:pPr>
            <w:r w:rsidRPr="00E91F05">
              <w:rPr>
                <w:rFonts w:ascii="Arial Narrow" w:hAnsi="Arial Narrow" w:cs="Times New Roman"/>
                <w:b/>
                <w:snapToGrid/>
                <w:sz w:val="20"/>
                <w:lang w:val="en-US"/>
              </w:rPr>
              <w:t>Outcome(s)</w:t>
            </w:r>
          </w:p>
        </w:tc>
        <w:tc>
          <w:tcPr>
            <w:tcW w:w="1367" w:type="dxa"/>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b/>
                <w:snapToGrid/>
                <w:sz w:val="20"/>
                <w:lang w:val="en-US"/>
              </w:rPr>
            </w:pPr>
            <w:r>
              <w:rPr>
                <w:rFonts w:ascii="Arial Narrow" w:hAnsi="Arial Narrow" w:cs="Times New Roman"/>
                <w:b/>
                <w:snapToGrid/>
                <w:sz w:val="20"/>
                <w:lang w:val="en-US"/>
              </w:rPr>
              <w:t>Use in economic model</w:t>
            </w:r>
          </w:p>
        </w:tc>
      </w:tr>
      <w:tr w:rsidR="00172AD3" w:rsidRPr="00E91F05" w:rsidTr="00BB43E5">
        <w:tc>
          <w:tcPr>
            <w:tcW w:w="7650" w:type="dxa"/>
            <w:gridSpan w:val="6"/>
            <w:shd w:val="clear" w:color="auto" w:fill="C6D9F1" w:themeFill="text2" w:themeFillTint="33"/>
            <w:vAlign w:val="center"/>
          </w:tcPr>
          <w:p w:rsidR="00172AD3" w:rsidRPr="00E91F05" w:rsidRDefault="00172AD3" w:rsidP="00DF74D9">
            <w:pPr>
              <w:keepNext/>
              <w:keepLines/>
              <w:widowControl/>
              <w:jc w:val="left"/>
              <w:rPr>
                <w:rFonts w:ascii="Arial Narrow" w:hAnsi="Arial Narrow" w:cs="Times New Roman"/>
                <w:b/>
                <w:snapToGrid/>
                <w:sz w:val="20"/>
                <w:lang w:val="en-US"/>
              </w:rPr>
            </w:pPr>
            <w:r w:rsidRPr="00E91F05">
              <w:rPr>
                <w:rFonts w:ascii="Arial Narrow" w:hAnsi="Arial Narrow" w:cs="Times New Roman"/>
                <w:b/>
                <w:snapToGrid/>
                <w:sz w:val="20"/>
                <w:lang w:val="en-US"/>
              </w:rPr>
              <w:t>Belimumab SC formulation (pivotal trial)</w:t>
            </w:r>
          </w:p>
        </w:tc>
        <w:tc>
          <w:tcPr>
            <w:tcW w:w="1367" w:type="dxa"/>
            <w:vMerge w:val="restart"/>
            <w:shd w:val="clear" w:color="auto" w:fill="C6D9F1" w:themeFill="text2" w:themeFillTint="33"/>
            <w:vAlign w:val="center"/>
          </w:tcPr>
          <w:p w:rsidR="00172AD3" w:rsidRDefault="00100860" w:rsidP="00DF74D9">
            <w:pPr>
              <w:keepNext/>
              <w:keepLines/>
              <w:widowControl/>
              <w:jc w:val="center"/>
              <w:rPr>
                <w:rFonts w:ascii="Arial Narrow" w:hAnsi="Arial Narrow" w:cs="Times New Roman"/>
                <w:snapToGrid/>
                <w:sz w:val="20"/>
                <w:lang w:val="en-US"/>
              </w:rPr>
            </w:pPr>
            <w:r>
              <w:rPr>
                <w:rFonts w:ascii="Arial Narrow" w:hAnsi="Arial Narrow" w:cs="Times New Roman"/>
                <w:snapToGrid/>
                <w:sz w:val="20"/>
                <w:lang w:val="en-US"/>
              </w:rPr>
              <w:t>Proportion achieving a ≥4 point reduction in the SELENA-SLEDAI at Week 24 from BLISS-SC</w:t>
            </w:r>
            <w:r w:rsidR="00D34630">
              <w:rPr>
                <w:rFonts w:ascii="Arial Narrow" w:hAnsi="Arial Narrow" w:cs="Times New Roman"/>
                <w:snapToGrid/>
                <w:sz w:val="20"/>
                <w:lang w:val="en-US"/>
              </w:rPr>
              <w:t>;</w:t>
            </w:r>
          </w:p>
          <w:p w:rsidR="00D34630" w:rsidRPr="00297939" w:rsidRDefault="00D34630" w:rsidP="00DF74D9">
            <w:pPr>
              <w:keepNext/>
              <w:keepLines/>
              <w:widowControl/>
              <w:jc w:val="center"/>
              <w:rPr>
                <w:rFonts w:ascii="Arial Narrow" w:hAnsi="Arial Narrow" w:cs="Times New Roman"/>
                <w:snapToGrid/>
                <w:sz w:val="20"/>
                <w:lang w:val="en-US"/>
              </w:rPr>
            </w:pPr>
            <w:r>
              <w:rPr>
                <w:rFonts w:ascii="Arial Narrow" w:hAnsi="Arial Narrow" w:cs="Times New Roman"/>
                <w:snapToGrid/>
                <w:sz w:val="20"/>
                <w:lang w:val="en-US"/>
              </w:rPr>
              <w:t>Rate of SLE flares from BLISS-SC</w:t>
            </w:r>
            <w:r w:rsidR="00C871A1">
              <w:rPr>
                <w:rFonts w:ascii="Arial Narrow" w:hAnsi="Arial Narrow" w:cs="Times New Roman"/>
                <w:snapToGrid/>
                <w:sz w:val="20"/>
                <w:lang w:val="en-US"/>
              </w:rPr>
              <w:t>.</w:t>
            </w:r>
          </w:p>
        </w:tc>
      </w:tr>
      <w:tr w:rsidR="00172AD3" w:rsidRPr="00E91F05" w:rsidTr="00BB43E5">
        <w:tc>
          <w:tcPr>
            <w:tcW w:w="0" w:type="auto"/>
            <w:shd w:val="clear" w:color="auto" w:fill="C6D9F1" w:themeFill="text2" w:themeFillTint="33"/>
            <w:vAlign w:val="center"/>
          </w:tcPr>
          <w:p w:rsidR="00172AD3" w:rsidRPr="00E91F05" w:rsidRDefault="00172AD3" w:rsidP="00DF74D9">
            <w:pPr>
              <w:keepNext/>
              <w:keepLines/>
              <w:widowControl/>
              <w:jc w:val="left"/>
              <w:rPr>
                <w:rFonts w:ascii="Arial Narrow" w:hAnsi="Arial Narrow" w:cs="Times New Roman"/>
                <w:snapToGrid/>
                <w:sz w:val="20"/>
                <w:lang w:val="en-US"/>
              </w:rPr>
            </w:pPr>
            <w:r w:rsidRPr="00E91F05">
              <w:rPr>
                <w:rFonts w:ascii="Arial Narrow" w:hAnsi="Arial Narrow" w:cs="Times New Roman"/>
                <w:snapToGrid/>
                <w:sz w:val="20"/>
                <w:lang w:val="en-US"/>
              </w:rPr>
              <w:t>BLISS-SC</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lang w:val="en-US"/>
              </w:rPr>
              <w:t>839</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rPr>
            </w:pPr>
            <w:r w:rsidRPr="00E91F05">
              <w:rPr>
                <w:rFonts w:ascii="Arial Narrow" w:hAnsi="Arial Narrow" w:cs="Times New Roman"/>
                <w:snapToGrid/>
                <w:sz w:val="20"/>
              </w:rPr>
              <w:t xml:space="preserve">R, DB, MC, </w:t>
            </w:r>
          </w:p>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rPr>
              <w:t>52 wks</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lang w:val="en-US"/>
              </w:rPr>
              <w:t>Low</w:t>
            </w:r>
          </w:p>
        </w:tc>
        <w:tc>
          <w:tcPr>
            <w:tcW w:w="2509" w:type="dxa"/>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szCs w:val="20"/>
                <w:lang w:val="en-US"/>
              </w:rPr>
            </w:pPr>
            <w:r>
              <w:rPr>
                <w:rFonts w:ascii="Arial Narrow" w:hAnsi="Arial Narrow" w:cs="Times New Roman"/>
                <w:snapToGrid/>
                <w:sz w:val="20"/>
                <w:szCs w:val="20"/>
              </w:rPr>
              <w:t>Autoantibody positive; SELENA-</w:t>
            </w:r>
            <w:r w:rsidRPr="00E91F05">
              <w:rPr>
                <w:rFonts w:ascii="Arial Narrow" w:hAnsi="Arial Narrow" w:cs="Times New Roman"/>
                <w:snapToGrid/>
                <w:sz w:val="20"/>
                <w:szCs w:val="20"/>
              </w:rPr>
              <w:t>SLEDAI score ≥ 8 at screening</w:t>
            </w:r>
          </w:p>
        </w:tc>
        <w:tc>
          <w:tcPr>
            <w:tcW w:w="2552" w:type="dxa"/>
            <w:vMerge w:val="restart"/>
            <w:shd w:val="clear" w:color="auto" w:fill="C6D9F1" w:themeFill="text2" w:themeFillTint="33"/>
            <w:vAlign w:val="center"/>
          </w:tcPr>
          <w:p w:rsidR="00172AD3" w:rsidRDefault="00172AD3" w:rsidP="00DF74D9">
            <w:pPr>
              <w:keepNext/>
              <w:keepLines/>
              <w:widowControl/>
              <w:spacing w:before="40" w:after="40"/>
              <w:jc w:val="center"/>
              <w:rPr>
                <w:rFonts w:ascii="Arial Narrow" w:hAnsi="Arial Narrow" w:cs="Times New Roman"/>
                <w:snapToGrid/>
                <w:sz w:val="20"/>
              </w:rPr>
            </w:pPr>
            <w:r w:rsidRPr="00E91F05">
              <w:rPr>
                <w:rFonts w:ascii="Arial Narrow" w:hAnsi="Arial Narrow" w:cs="Times New Roman"/>
                <w:snapToGrid/>
                <w:sz w:val="20"/>
              </w:rPr>
              <w:t>Primary: SRI response</w:t>
            </w:r>
            <w:r>
              <w:rPr>
                <w:rFonts w:ascii="Arial Narrow" w:hAnsi="Arial Narrow" w:cs="Times New Roman"/>
                <w:snapToGrid/>
                <w:sz w:val="20"/>
              </w:rPr>
              <w:t xml:space="preserve"> (and components) at Wk 52</w:t>
            </w:r>
          </w:p>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rPr>
              <w:t xml:space="preserve">Secondary: </w:t>
            </w:r>
            <w:r>
              <w:rPr>
                <w:rFonts w:ascii="Arial Narrow" w:hAnsi="Arial Narrow" w:cs="Times New Roman"/>
                <w:snapToGrid/>
                <w:sz w:val="20"/>
              </w:rPr>
              <w:t>time to 1</w:t>
            </w:r>
            <w:r w:rsidRPr="004435D9">
              <w:rPr>
                <w:rFonts w:ascii="Arial Narrow" w:hAnsi="Arial Narrow" w:cs="Times New Roman"/>
                <w:snapToGrid/>
                <w:sz w:val="20"/>
                <w:vertAlign w:val="superscript"/>
              </w:rPr>
              <w:t>st</w:t>
            </w:r>
            <w:r>
              <w:rPr>
                <w:rFonts w:ascii="Arial Narrow" w:hAnsi="Arial Narrow" w:cs="Times New Roman"/>
                <w:snapToGrid/>
                <w:sz w:val="20"/>
              </w:rPr>
              <w:t xml:space="preserve"> severe </w:t>
            </w:r>
            <w:r w:rsidRPr="00E91F05">
              <w:rPr>
                <w:rFonts w:ascii="Arial Narrow" w:hAnsi="Arial Narrow" w:cs="Times New Roman"/>
                <w:snapToGrid/>
                <w:sz w:val="20"/>
              </w:rPr>
              <w:t xml:space="preserve">flare; </w:t>
            </w:r>
            <w:r>
              <w:rPr>
                <w:rFonts w:ascii="Arial Narrow" w:hAnsi="Arial Narrow"/>
                <w:bCs/>
                <w:sz w:val="20"/>
                <w:szCs w:val="20"/>
              </w:rPr>
              <w:t>p</w:t>
            </w:r>
            <w:r w:rsidRPr="007D55C9">
              <w:rPr>
                <w:rFonts w:ascii="Arial Narrow" w:hAnsi="Arial Narrow"/>
                <w:bCs/>
                <w:sz w:val="20"/>
                <w:szCs w:val="20"/>
              </w:rPr>
              <w:t>rednisone dose re</w:t>
            </w:r>
            <w:r>
              <w:rPr>
                <w:rFonts w:ascii="Arial Narrow" w:hAnsi="Arial Narrow"/>
                <w:bCs/>
                <w:sz w:val="20"/>
                <w:szCs w:val="20"/>
              </w:rPr>
              <w:t>duction ≥25% from baseline to ≤7.5 mg/day during W</w:t>
            </w:r>
            <w:r w:rsidRPr="007D55C9">
              <w:rPr>
                <w:rFonts w:ascii="Arial Narrow" w:hAnsi="Arial Narrow"/>
                <w:bCs/>
                <w:sz w:val="20"/>
                <w:szCs w:val="20"/>
              </w:rPr>
              <w:t xml:space="preserve">k 40 </w:t>
            </w:r>
            <w:r>
              <w:rPr>
                <w:rFonts w:ascii="Arial Narrow" w:hAnsi="Arial Narrow"/>
                <w:bCs/>
                <w:sz w:val="20"/>
                <w:szCs w:val="20"/>
              </w:rPr>
              <w:t>to</w:t>
            </w:r>
            <w:r w:rsidRPr="007D55C9">
              <w:rPr>
                <w:rFonts w:ascii="Arial Narrow" w:hAnsi="Arial Narrow"/>
                <w:bCs/>
                <w:sz w:val="20"/>
                <w:szCs w:val="20"/>
              </w:rPr>
              <w:t xml:space="preserve"> 52</w:t>
            </w:r>
            <w:r>
              <w:rPr>
                <w:rFonts w:ascii="Arial Narrow" w:hAnsi="Arial Narrow"/>
                <w:bCs/>
                <w:sz w:val="20"/>
                <w:szCs w:val="20"/>
              </w:rPr>
              <w:t xml:space="preserve">; percent patients </w:t>
            </w:r>
            <w:r w:rsidRPr="004435D9">
              <w:rPr>
                <w:rFonts w:ascii="Arial Narrow" w:hAnsi="Arial Narrow"/>
                <w:bCs/>
                <w:sz w:val="20"/>
                <w:szCs w:val="20"/>
              </w:rPr>
              <w:t>with ≥4-point reduction from baseli</w:t>
            </w:r>
            <w:r>
              <w:rPr>
                <w:rFonts w:ascii="Arial Narrow" w:hAnsi="Arial Narrow"/>
                <w:bCs/>
                <w:sz w:val="20"/>
                <w:szCs w:val="20"/>
              </w:rPr>
              <w:t>ne in SELENA-SLEDAI score at W</w:t>
            </w:r>
            <w:r w:rsidRPr="004435D9">
              <w:rPr>
                <w:rFonts w:ascii="Arial Narrow" w:hAnsi="Arial Narrow"/>
                <w:bCs/>
                <w:sz w:val="20"/>
                <w:szCs w:val="20"/>
              </w:rPr>
              <w:t>k 52</w:t>
            </w:r>
            <w:r>
              <w:rPr>
                <w:rFonts w:ascii="Arial Narrow" w:hAnsi="Arial Narrow"/>
                <w:bCs/>
                <w:sz w:val="20"/>
                <w:szCs w:val="20"/>
              </w:rPr>
              <w:t>; m</w:t>
            </w:r>
            <w:r w:rsidRPr="004435D9">
              <w:rPr>
                <w:rFonts w:ascii="Arial Narrow" w:hAnsi="Arial Narrow"/>
                <w:bCs/>
                <w:sz w:val="20"/>
                <w:szCs w:val="20"/>
              </w:rPr>
              <w:t>ean cha</w:t>
            </w:r>
            <w:r>
              <w:rPr>
                <w:rFonts w:ascii="Arial Narrow" w:hAnsi="Arial Narrow"/>
                <w:bCs/>
                <w:sz w:val="20"/>
                <w:szCs w:val="20"/>
              </w:rPr>
              <w:t>nge/percent change in PGA at W</w:t>
            </w:r>
            <w:r w:rsidRPr="004435D9">
              <w:rPr>
                <w:rFonts w:ascii="Arial Narrow" w:hAnsi="Arial Narrow"/>
                <w:bCs/>
                <w:sz w:val="20"/>
                <w:szCs w:val="20"/>
              </w:rPr>
              <w:t>k 24</w:t>
            </w:r>
          </w:p>
        </w:tc>
        <w:tc>
          <w:tcPr>
            <w:tcW w:w="1367" w:type="dxa"/>
            <w:vMerge/>
            <w:shd w:val="clear" w:color="auto" w:fill="C6D9F1" w:themeFill="text2" w:themeFillTint="33"/>
          </w:tcPr>
          <w:p w:rsidR="00172AD3" w:rsidRPr="00E91F05" w:rsidRDefault="00172AD3" w:rsidP="00DF74D9">
            <w:pPr>
              <w:keepNext/>
              <w:keepLines/>
              <w:widowControl/>
              <w:spacing w:before="40" w:after="40"/>
              <w:jc w:val="center"/>
              <w:rPr>
                <w:rFonts w:ascii="Arial Narrow" w:hAnsi="Arial Narrow" w:cs="Times New Roman"/>
                <w:snapToGrid/>
                <w:sz w:val="20"/>
              </w:rPr>
            </w:pPr>
          </w:p>
        </w:tc>
      </w:tr>
      <w:tr w:rsidR="00172AD3" w:rsidRPr="00E91F05" w:rsidTr="00BB43E5">
        <w:tc>
          <w:tcPr>
            <w:tcW w:w="5098" w:type="dxa"/>
            <w:gridSpan w:val="5"/>
            <w:shd w:val="clear" w:color="auto" w:fill="C6D9F1" w:themeFill="text2" w:themeFillTint="33"/>
            <w:vAlign w:val="center"/>
          </w:tcPr>
          <w:p w:rsidR="00172AD3" w:rsidRPr="00E91F05" w:rsidRDefault="00172AD3" w:rsidP="00DF74D9">
            <w:pPr>
              <w:keepNext/>
              <w:keepLines/>
              <w:widowControl/>
              <w:jc w:val="left"/>
              <w:rPr>
                <w:rFonts w:ascii="Arial Narrow" w:hAnsi="Arial Narrow" w:cs="Times New Roman"/>
                <w:b/>
                <w:snapToGrid/>
                <w:sz w:val="20"/>
                <w:szCs w:val="20"/>
                <w:lang w:val="en-US"/>
              </w:rPr>
            </w:pPr>
            <w:r w:rsidRPr="00E91F05">
              <w:rPr>
                <w:rFonts w:ascii="Arial Narrow" w:hAnsi="Arial Narrow" w:cs="Times New Roman"/>
                <w:b/>
                <w:snapToGrid/>
                <w:sz w:val="20"/>
                <w:szCs w:val="20"/>
                <w:lang w:val="en-US"/>
              </w:rPr>
              <w:t>Belimumab IV formulation (supportive evidence)</w:t>
            </w:r>
          </w:p>
        </w:tc>
        <w:tc>
          <w:tcPr>
            <w:tcW w:w="2552" w:type="dxa"/>
            <w:vMerge/>
            <w:shd w:val="clear" w:color="auto" w:fill="C6D9F1" w:themeFill="text2" w:themeFillTint="33"/>
            <w:vAlign w:val="center"/>
          </w:tcPr>
          <w:p w:rsidR="00172AD3" w:rsidRPr="00E91F05" w:rsidRDefault="00172AD3" w:rsidP="00DF74D9">
            <w:pPr>
              <w:keepNext/>
              <w:keepLines/>
              <w:widowControl/>
              <w:jc w:val="left"/>
              <w:rPr>
                <w:rFonts w:ascii="Arial Narrow" w:hAnsi="Arial Narrow" w:cs="Times New Roman"/>
                <w:b/>
                <w:snapToGrid/>
                <w:sz w:val="20"/>
                <w:szCs w:val="20"/>
                <w:lang w:val="en-US"/>
              </w:rPr>
            </w:pPr>
          </w:p>
        </w:tc>
        <w:tc>
          <w:tcPr>
            <w:tcW w:w="1367" w:type="dxa"/>
            <w:vMerge/>
            <w:shd w:val="clear" w:color="auto" w:fill="C6D9F1" w:themeFill="text2" w:themeFillTint="33"/>
          </w:tcPr>
          <w:p w:rsidR="00172AD3" w:rsidRPr="00E91F05" w:rsidRDefault="00172AD3" w:rsidP="00DF74D9">
            <w:pPr>
              <w:keepNext/>
              <w:keepLines/>
              <w:widowControl/>
              <w:jc w:val="left"/>
              <w:rPr>
                <w:rFonts w:ascii="Arial Narrow" w:hAnsi="Arial Narrow" w:cs="Times New Roman"/>
                <w:b/>
                <w:snapToGrid/>
                <w:sz w:val="20"/>
                <w:szCs w:val="20"/>
                <w:lang w:val="en-US"/>
              </w:rPr>
            </w:pPr>
          </w:p>
        </w:tc>
      </w:tr>
      <w:tr w:rsidR="00172AD3" w:rsidRPr="00E91F05" w:rsidTr="00BB43E5">
        <w:tc>
          <w:tcPr>
            <w:tcW w:w="0" w:type="auto"/>
            <w:shd w:val="clear" w:color="auto" w:fill="C6D9F1" w:themeFill="text2" w:themeFillTint="33"/>
            <w:vAlign w:val="center"/>
          </w:tcPr>
          <w:p w:rsidR="00172AD3" w:rsidRPr="00E91F05" w:rsidRDefault="00172AD3" w:rsidP="00DF74D9">
            <w:pPr>
              <w:keepNext/>
              <w:keepLines/>
              <w:widowControl/>
              <w:jc w:val="left"/>
              <w:rPr>
                <w:rFonts w:ascii="Arial Narrow" w:hAnsi="Arial Narrow" w:cs="Times New Roman"/>
                <w:snapToGrid/>
                <w:sz w:val="20"/>
                <w:lang w:val="en-US"/>
              </w:rPr>
            </w:pPr>
            <w:r w:rsidRPr="00E91F05">
              <w:rPr>
                <w:rFonts w:ascii="Arial Narrow" w:hAnsi="Arial Narrow" w:cs="Times New Roman"/>
                <w:snapToGrid/>
                <w:sz w:val="20"/>
                <w:lang w:val="en-US"/>
              </w:rPr>
              <w:t>BLISS-52</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lang w:val="en-US"/>
              </w:rPr>
              <w:t>867</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rPr>
            </w:pPr>
            <w:r w:rsidRPr="00E91F05">
              <w:rPr>
                <w:rFonts w:ascii="Arial Narrow" w:hAnsi="Arial Narrow" w:cs="Times New Roman"/>
                <w:snapToGrid/>
                <w:sz w:val="20"/>
              </w:rPr>
              <w:t xml:space="preserve">R, DB, MC, </w:t>
            </w:r>
          </w:p>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rPr>
              <w:t>52 wks</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lang w:val="en-US"/>
              </w:rPr>
              <w:t>Low</w:t>
            </w:r>
          </w:p>
        </w:tc>
        <w:tc>
          <w:tcPr>
            <w:tcW w:w="2509" w:type="dxa"/>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szCs w:val="20"/>
                <w:lang w:val="en-US"/>
              </w:rPr>
            </w:pPr>
            <w:r>
              <w:rPr>
                <w:rFonts w:ascii="Arial Narrow" w:hAnsi="Arial Narrow" w:cs="Times New Roman"/>
                <w:snapToGrid/>
                <w:sz w:val="20"/>
                <w:szCs w:val="20"/>
              </w:rPr>
              <w:t>Autoantibody positive; SELENA-</w:t>
            </w:r>
            <w:r w:rsidRPr="00E91F05">
              <w:rPr>
                <w:rFonts w:ascii="Arial Narrow" w:hAnsi="Arial Narrow" w:cs="Times New Roman"/>
                <w:snapToGrid/>
                <w:sz w:val="20"/>
                <w:szCs w:val="20"/>
              </w:rPr>
              <w:t>SLEDAI score ≥ 6 at screening</w:t>
            </w:r>
          </w:p>
        </w:tc>
        <w:tc>
          <w:tcPr>
            <w:tcW w:w="2552" w:type="dxa"/>
            <w:vMerge/>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p>
        </w:tc>
        <w:tc>
          <w:tcPr>
            <w:tcW w:w="1367" w:type="dxa"/>
            <w:vMerge/>
            <w:shd w:val="clear" w:color="auto" w:fill="C6D9F1" w:themeFill="text2" w:themeFillTint="33"/>
          </w:tcPr>
          <w:p w:rsidR="00172AD3" w:rsidRPr="00E91F05" w:rsidRDefault="00172AD3" w:rsidP="00DF74D9">
            <w:pPr>
              <w:keepNext/>
              <w:keepLines/>
              <w:widowControl/>
              <w:jc w:val="center"/>
              <w:rPr>
                <w:rFonts w:ascii="Arial Narrow" w:hAnsi="Arial Narrow" w:cs="Times New Roman"/>
                <w:snapToGrid/>
                <w:sz w:val="20"/>
                <w:lang w:val="en-US"/>
              </w:rPr>
            </w:pPr>
          </w:p>
        </w:tc>
      </w:tr>
      <w:tr w:rsidR="00172AD3" w:rsidRPr="00E91F05" w:rsidTr="00BB43E5">
        <w:tc>
          <w:tcPr>
            <w:tcW w:w="0" w:type="auto"/>
            <w:shd w:val="clear" w:color="auto" w:fill="C6D9F1" w:themeFill="text2" w:themeFillTint="33"/>
            <w:vAlign w:val="center"/>
          </w:tcPr>
          <w:p w:rsidR="00172AD3" w:rsidRPr="00E91F05" w:rsidRDefault="00172AD3" w:rsidP="00DF74D9">
            <w:pPr>
              <w:keepNext/>
              <w:keepLines/>
              <w:widowControl/>
              <w:jc w:val="left"/>
              <w:rPr>
                <w:rFonts w:ascii="Arial Narrow" w:hAnsi="Arial Narrow" w:cs="Times New Roman"/>
                <w:snapToGrid/>
                <w:sz w:val="20"/>
                <w:lang w:val="en-US"/>
              </w:rPr>
            </w:pPr>
            <w:r w:rsidRPr="00E91F05">
              <w:rPr>
                <w:rFonts w:ascii="Arial Narrow" w:hAnsi="Arial Narrow" w:cs="Times New Roman"/>
                <w:snapToGrid/>
                <w:sz w:val="20"/>
                <w:lang w:val="en-US"/>
              </w:rPr>
              <w:t>BLISS-76</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lang w:val="en-US"/>
              </w:rPr>
              <w:t>826</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rPr>
            </w:pPr>
            <w:r w:rsidRPr="00E91F05">
              <w:rPr>
                <w:rFonts w:ascii="Arial Narrow" w:hAnsi="Arial Narrow" w:cs="Times New Roman"/>
                <w:snapToGrid/>
                <w:sz w:val="20"/>
              </w:rPr>
              <w:t xml:space="preserve">R, DB, MC, </w:t>
            </w:r>
          </w:p>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rPr>
              <w:t>76 wks</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lang w:val="en-US"/>
              </w:rPr>
              <w:t>Low</w:t>
            </w:r>
          </w:p>
        </w:tc>
        <w:tc>
          <w:tcPr>
            <w:tcW w:w="2509" w:type="dxa"/>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szCs w:val="20"/>
                <w:lang w:val="en-US"/>
              </w:rPr>
            </w:pPr>
            <w:r>
              <w:rPr>
                <w:rFonts w:ascii="Arial Narrow" w:hAnsi="Arial Narrow" w:cs="Times New Roman"/>
                <w:snapToGrid/>
                <w:sz w:val="20"/>
                <w:szCs w:val="20"/>
              </w:rPr>
              <w:t>Autoantibody positive; SELENA-</w:t>
            </w:r>
            <w:r w:rsidRPr="00E91F05">
              <w:rPr>
                <w:rFonts w:ascii="Arial Narrow" w:hAnsi="Arial Narrow" w:cs="Times New Roman"/>
                <w:snapToGrid/>
                <w:sz w:val="20"/>
                <w:szCs w:val="20"/>
              </w:rPr>
              <w:t>SLEDAI score ≥ 6 at screening</w:t>
            </w:r>
          </w:p>
        </w:tc>
        <w:tc>
          <w:tcPr>
            <w:tcW w:w="2552" w:type="dxa"/>
            <w:vMerge/>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p>
        </w:tc>
        <w:tc>
          <w:tcPr>
            <w:tcW w:w="1367" w:type="dxa"/>
            <w:vMerge/>
            <w:shd w:val="clear" w:color="auto" w:fill="C6D9F1" w:themeFill="text2" w:themeFillTint="33"/>
          </w:tcPr>
          <w:p w:rsidR="00172AD3" w:rsidRPr="00E91F05" w:rsidRDefault="00172AD3" w:rsidP="00DF74D9">
            <w:pPr>
              <w:keepNext/>
              <w:keepLines/>
              <w:widowControl/>
              <w:jc w:val="center"/>
              <w:rPr>
                <w:rFonts w:ascii="Arial Narrow" w:hAnsi="Arial Narrow" w:cs="Times New Roman"/>
                <w:snapToGrid/>
                <w:sz w:val="20"/>
                <w:lang w:val="en-US"/>
              </w:rPr>
            </w:pPr>
          </w:p>
        </w:tc>
      </w:tr>
      <w:tr w:rsidR="00172AD3" w:rsidRPr="00E91F05" w:rsidTr="00BB43E5">
        <w:tc>
          <w:tcPr>
            <w:tcW w:w="0" w:type="auto"/>
            <w:shd w:val="clear" w:color="auto" w:fill="C6D9F1" w:themeFill="text2" w:themeFillTint="33"/>
            <w:vAlign w:val="center"/>
          </w:tcPr>
          <w:p w:rsidR="00172AD3" w:rsidRPr="00E91F05" w:rsidRDefault="00172AD3" w:rsidP="00DF74D9">
            <w:pPr>
              <w:keepNext/>
              <w:keepLines/>
              <w:widowControl/>
              <w:jc w:val="left"/>
              <w:rPr>
                <w:rFonts w:ascii="Arial Narrow" w:hAnsi="Arial Narrow" w:cs="Times New Roman"/>
                <w:snapToGrid/>
                <w:sz w:val="20"/>
                <w:lang w:val="en-US"/>
              </w:rPr>
            </w:pPr>
            <w:r>
              <w:rPr>
                <w:rFonts w:ascii="Arial Narrow" w:hAnsi="Arial Narrow" w:cs="Times New Roman"/>
                <w:snapToGrid/>
                <w:sz w:val="20"/>
                <w:lang w:val="en-US"/>
              </w:rPr>
              <w:t>NE-Asia</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lang w:val="en-US"/>
              </w:rPr>
              <w:t>707</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rPr>
            </w:pPr>
            <w:r w:rsidRPr="00E91F05">
              <w:rPr>
                <w:rFonts w:ascii="Arial Narrow" w:hAnsi="Arial Narrow" w:cs="Times New Roman"/>
                <w:snapToGrid/>
                <w:sz w:val="20"/>
              </w:rPr>
              <w:t xml:space="preserve">R, DB, MC, </w:t>
            </w:r>
          </w:p>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rPr>
              <w:t>52 wks</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r w:rsidRPr="00075BD9">
              <w:rPr>
                <w:rFonts w:ascii="Arial Narrow" w:hAnsi="Arial Narrow" w:cs="Times New Roman"/>
                <w:snapToGrid/>
                <w:sz w:val="20"/>
                <w:lang w:val="en-US"/>
              </w:rPr>
              <w:t>Low</w:t>
            </w:r>
          </w:p>
        </w:tc>
        <w:tc>
          <w:tcPr>
            <w:tcW w:w="2509" w:type="dxa"/>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szCs w:val="20"/>
                <w:lang w:val="en-US"/>
              </w:rPr>
            </w:pPr>
            <w:r>
              <w:rPr>
                <w:rFonts w:ascii="Arial Narrow" w:hAnsi="Arial Narrow" w:cs="Times New Roman"/>
                <w:snapToGrid/>
                <w:sz w:val="20"/>
                <w:szCs w:val="20"/>
              </w:rPr>
              <w:t xml:space="preserve">Autoantibody positive; </w:t>
            </w:r>
            <w:r w:rsidRPr="00E91F05">
              <w:rPr>
                <w:rFonts w:ascii="Arial Narrow" w:hAnsi="Arial Narrow" w:cs="Times New Roman"/>
                <w:snapToGrid/>
                <w:sz w:val="20"/>
                <w:szCs w:val="20"/>
              </w:rPr>
              <w:t>SELEN</w:t>
            </w:r>
            <w:r>
              <w:rPr>
                <w:rFonts w:ascii="Arial Narrow" w:hAnsi="Arial Narrow" w:cs="Times New Roman"/>
                <w:snapToGrid/>
                <w:sz w:val="20"/>
                <w:szCs w:val="20"/>
              </w:rPr>
              <w:t xml:space="preserve">A-SLEDAI score ≥ 8 at screening; </w:t>
            </w:r>
            <w:r w:rsidRPr="00E91F05">
              <w:rPr>
                <w:rFonts w:ascii="Arial Narrow" w:hAnsi="Arial Narrow" w:cs="Times New Roman"/>
                <w:snapToGrid/>
                <w:sz w:val="20"/>
                <w:szCs w:val="20"/>
                <w:lang w:val="en-US"/>
              </w:rPr>
              <w:t>Asian</w:t>
            </w:r>
            <w:r>
              <w:rPr>
                <w:rFonts w:ascii="Arial Narrow" w:hAnsi="Arial Narrow" w:cs="Times New Roman"/>
                <w:snapToGrid/>
                <w:sz w:val="20"/>
                <w:szCs w:val="20"/>
                <w:lang w:val="en-US"/>
              </w:rPr>
              <w:t xml:space="preserve"> race</w:t>
            </w:r>
          </w:p>
        </w:tc>
        <w:tc>
          <w:tcPr>
            <w:tcW w:w="2552" w:type="dxa"/>
            <w:vMerge/>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p>
        </w:tc>
        <w:tc>
          <w:tcPr>
            <w:tcW w:w="1367" w:type="dxa"/>
            <w:vMerge/>
            <w:shd w:val="clear" w:color="auto" w:fill="C6D9F1" w:themeFill="text2" w:themeFillTint="33"/>
          </w:tcPr>
          <w:p w:rsidR="00172AD3" w:rsidRPr="00E91F05" w:rsidRDefault="00172AD3" w:rsidP="00DF74D9">
            <w:pPr>
              <w:keepNext/>
              <w:keepLines/>
              <w:widowControl/>
              <w:jc w:val="center"/>
              <w:rPr>
                <w:rFonts w:ascii="Arial Narrow" w:hAnsi="Arial Narrow" w:cs="Times New Roman"/>
                <w:snapToGrid/>
                <w:sz w:val="20"/>
                <w:lang w:val="en-US"/>
              </w:rPr>
            </w:pPr>
          </w:p>
        </w:tc>
      </w:tr>
      <w:tr w:rsidR="00172AD3" w:rsidRPr="00E91F05" w:rsidTr="00BB43E5">
        <w:tc>
          <w:tcPr>
            <w:tcW w:w="0" w:type="auto"/>
            <w:shd w:val="clear" w:color="auto" w:fill="C6D9F1" w:themeFill="text2" w:themeFillTint="33"/>
            <w:vAlign w:val="center"/>
          </w:tcPr>
          <w:p w:rsidR="00172AD3" w:rsidRPr="00E91F05" w:rsidRDefault="00172AD3" w:rsidP="00DF74D9">
            <w:pPr>
              <w:keepNext/>
              <w:keepLines/>
              <w:widowControl/>
              <w:jc w:val="left"/>
              <w:rPr>
                <w:rFonts w:ascii="Arial Narrow" w:hAnsi="Arial Narrow" w:cs="Times New Roman"/>
                <w:snapToGrid/>
                <w:sz w:val="20"/>
                <w:lang w:val="en-US"/>
              </w:rPr>
            </w:pPr>
            <w:r w:rsidRPr="00E91F05">
              <w:rPr>
                <w:rFonts w:ascii="Arial Narrow" w:hAnsi="Arial Narrow" w:cs="Times New Roman"/>
                <w:snapToGrid/>
                <w:sz w:val="20"/>
                <w:lang w:val="en-US"/>
              </w:rPr>
              <w:t>EMBRACE</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lang w:val="en-US"/>
              </w:rPr>
              <w:t>503</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rPr>
            </w:pPr>
            <w:r w:rsidRPr="00E91F05">
              <w:rPr>
                <w:rFonts w:ascii="Arial Narrow" w:hAnsi="Arial Narrow" w:cs="Times New Roman"/>
                <w:snapToGrid/>
                <w:sz w:val="20"/>
              </w:rPr>
              <w:t xml:space="preserve">R, DB, MC, </w:t>
            </w:r>
          </w:p>
          <w:p w:rsidR="00172AD3" w:rsidRPr="00E91F05" w:rsidRDefault="00172AD3" w:rsidP="00DF74D9">
            <w:pPr>
              <w:keepNext/>
              <w:keepLines/>
              <w:widowControl/>
              <w:jc w:val="center"/>
              <w:rPr>
                <w:rFonts w:ascii="Arial Narrow" w:hAnsi="Arial Narrow" w:cs="Times New Roman"/>
                <w:snapToGrid/>
                <w:sz w:val="20"/>
                <w:lang w:val="en-US"/>
              </w:rPr>
            </w:pPr>
            <w:r w:rsidRPr="00E91F05">
              <w:rPr>
                <w:rFonts w:ascii="Arial Narrow" w:hAnsi="Arial Narrow" w:cs="Times New Roman"/>
                <w:snapToGrid/>
                <w:sz w:val="20"/>
              </w:rPr>
              <w:t>52 wks</w:t>
            </w:r>
          </w:p>
        </w:tc>
        <w:tc>
          <w:tcPr>
            <w:tcW w:w="0" w:type="auto"/>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r>
              <w:rPr>
                <w:rFonts w:ascii="Arial Narrow" w:hAnsi="Arial Narrow" w:cs="Times New Roman"/>
                <w:snapToGrid/>
                <w:sz w:val="20"/>
                <w:lang w:val="en-US"/>
              </w:rPr>
              <w:t>Low</w:t>
            </w:r>
          </w:p>
        </w:tc>
        <w:tc>
          <w:tcPr>
            <w:tcW w:w="2509" w:type="dxa"/>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szCs w:val="20"/>
                <w:lang w:val="en-US"/>
              </w:rPr>
            </w:pPr>
            <w:r>
              <w:rPr>
                <w:rFonts w:ascii="Arial Narrow" w:hAnsi="Arial Narrow" w:cs="Times New Roman"/>
                <w:snapToGrid/>
                <w:sz w:val="20"/>
                <w:szCs w:val="20"/>
              </w:rPr>
              <w:t>Autoantibody positive; SELENA-</w:t>
            </w:r>
            <w:r w:rsidRPr="00E91F05">
              <w:rPr>
                <w:rFonts w:ascii="Arial Narrow" w:hAnsi="Arial Narrow" w:cs="Times New Roman"/>
                <w:snapToGrid/>
                <w:sz w:val="20"/>
                <w:szCs w:val="20"/>
              </w:rPr>
              <w:t>SLEDAI score ≥ 8 at screening;</w:t>
            </w:r>
            <w:r>
              <w:rPr>
                <w:rFonts w:ascii="Arial Narrow" w:hAnsi="Arial Narrow" w:cs="Times New Roman"/>
                <w:snapToGrid/>
                <w:sz w:val="20"/>
                <w:szCs w:val="20"/>
              </w:rPr>
              <w:t xml:space="preserve"> </w:t>
            </w:r>
            <w:r w:rsidRPr="00E91F05">
              <w:rPr>
                <w:rFonts w:ascii="Arial Narrow" w:hAnsi="Arial Narrow" w:cs="Times New Roman"/>
                <w:snapToGrid/>
                <w:sz w:val="20"/>
                <w:szCs w:val="20"/>
                <w:lang w:val="en-US"/>
              </w:rPr>
              <w:t>Black</w:t>
            </w:r>
            <w:r>
              <w:rPr>
                <w:rFonts w:ascii="Arial Narrow" w:hAnsi="Arial Narrow" w:cs="Times New Roman"/>
                <w:snapToGrid/>
                <w:sz w:val="20"/>
                <w:szCs w:val="20"/>
                <w:lang w:val="en-US"/>
              </w:rPr>
              <w:t xml:space="preserve"> race</w:t>
            </w:r>
          </w:p>
        </w:tc>
        <w:tc>
          <w:tcPr>
            <w:tcW w:w="2552" w:type="dxa"/>
            <w:vMerge/>
            <w:shd w:val="clear" w:color="auto" w:fill="C6D9F1" w:themeFill="text2" w:themeFillTint="33"/>
            <w:vAlign w:val="center"/>
          </w:tcPr>
          <w:p w:rsidR="00172AD3" w:rsidRPr="00E91F05" w:rsidRDefault="00172AD3" w:rsidP="00DF74D9">
            <w:pPr>
              <w:keepNext/>
              <w:keepLines/>
              <w:widowControl/>
              <w:jc w:val="center"/>
              <w:rPr>
                <w:rFonts w:ascii="Arial Narrow" w:hAnsi="Arial Narrow" w:cs="Times New Roman"/>
                <w:snapToGrid/>
                <w:sz w:val="20"/>
                <w:lang w:val="en-US"/>
              </w:rPr>
            </w:pPr>
          </w:p>
        </w:tc>
        <w:tc>
          <w:tcPr>
            <w:tcW w:w="1367" w:type="dxa"/>
            <w:vMerge/>
            <w:shd w:val="clear" w:color="auto" w:fill="C6D9F1" w:themeFill="text2" w:themeFillTint="33"/>
          </w:tcPr>
          <w:p w:rsidR="00172AD3" w:rsidRPr="00E91F05" w:rsidRDefault="00172AD3" w:rsidP="00DF74D9">
            <w:pPr>
              <w:keepNext/>
              <w:keepLines/>
              <w:widowControl/>
              <w:jc w:val="center"/>
              <w:rPr>
                <w:rFonts w:ascii="Arial Narrow" w:hAnsi="Arial Narrow" w:cs="Times New Roman"/>
                <w:snapToGrid/>
                <w:sz w:val="20"/>
                <w:lang w:val="en-US"/>
              </w:rPr>
            </w:pPr>
          </w:p>
        </w:tc>
      </w:tr>
    </w:tbl>
    <w:p w:rsidR="00F558A6" w:rsidRDefault="00F558A6" w:rsidP="00DF74D9">
      <w:pPr>
        <w:keepNext/>
        <w:keepLines/>
        <w:rPr>
          <w:rFonts w:ascii="Arial Narrow" w:hAnsi="Arial Narrow"/>
          <w:sz w:val="18"/>
        </w:rPr>
      </w:pPr>
      <w:r>
        <w:rPr>
          <w:rFonts w:ascii="Arial Narrow" w:hAnsi="Arial Narrow"/>
          <w:sz w:val="18"/>
        </w:rPr>
        <w:t>Blue highlights indicate results previously seen by the PBAC.</w:t>
      </w:r>
    </w:p>
    <w:p w:rsidR="00172AD3" w:rsidRPr="00E91F05" w:rsidRDefault="00172AD3" w:rsidP="00DF74D9">
      <w:pPr>
        <w:keepNext/>
        <w:keepLines/>
        <w:rPr>
          <w:rFonts w:ascii="Arial Narrow" w:hAnsi="Arial Narrow"/>
          <w:sz w:val="18"/>
        </w:rPr>
      </w:pPr>
      <w:r w:rsidRPr="00E91F05">
        <w:rPr>
          <w:rFonts w:ascii="Arial Narrow" w:hAnsi="Arial Narrow"/>
          <w:sz w:val="18"/>
        </w:rPr>
        <w:t>Abbreviations: DB=double blind; MC=multicentre; PC=placebo controlled; R=randomised; PCS=physical component summary; SLE=Systemic lupus erythematosus; SLEDAI= SLE Disease Activity Index; SRI= SLE Response Index</w:t>
      </w:r>
      <w:r>
        <w:rPr>
          <w:rFonts w:ascii="Arial Narrow" w:hAnsi="Arial Narrow"/>
          <w:sz w:val="18"/>
        </w:rPr>
        <w:t>; wk=week</w:t>
      </w:r>
      <w:r w:rsidRPr="00E91F05">
        <w:rPr>
          <w:rFonts w:ascii="Arial Narrow" w:hAnsi="Arial Narrow"/>
          <w:sz w:val="18"/>
        </w:rPr>
        <w:t>.</w:t>
      </w:r>
    </w:p>
    <w:p w:rsidR="00172AD3" w:rsidRPr="00B31196" w:rsidRDefault="00172AD3" w:rsidP="00DF74D9">
      <w:pPr>
        <w:keepNext/>
        <w:keepLines/>
        <w:widowControl/>
        <w:rPr>
          <w:rFonts w:ascii="Arial Narrow" w:hAnsi="Arial Narrow"/>
          <w:iCs/>
          <w:sz w:val="18"/>
          <w:szCs w:val="18"/>
        </w:rPr>
      </w:pPr>
      <w:r w:rsidRPr="00B31196">
        <w:rPr>
          <w:rFonts w:ascii="Arial Narrow" w:hAnsi="Arial Narrow"/>
          <w:iCs/>
          <w:sz w:val="18"/>
          <w:szCs w:val="18"/>
        </w:rPr>
        <w:t>Source: compiled during the evaluation from submitted trial and published reports.</w:t>
      </w:r>
    </w:p>
    <w:p w:rsidR="00172AD3" w:rsidRDefault="00172AD3" w:rsidP="00172AD3"/>
    <w:p w:rsidR="00172AD3" w:rsidRDefault="00172AD3" w:rsidP="00DA711E">
      <w:pPr>
        <w:pStyle w:val="ListParagraph"/>
        <w:widowControl/>
        <w:numPr>
          <w:ilvl w:val="1"/>
          <w:numId w:val="1"/>
        </w:numPr>
      </w:pPr>
      <w:r>
        <w:t>BLISS-SC was the pivotal RCT that supported the use of belimumab SC formulation, at a dose consistent with the draft TGA PI, of 200 mg injected once a week. In the supportive trials, patients were randomised to rec</w:t>
      </w:r>
      <w:r w:rsidR="004E3B8B">
        <w:t>eive belimumab IV 10 mg/kg or 1 </w:t>
      </w:r>
      <w:r>
        <w:t>mg/kg or placebo (in BLISS-52 and BLISS-76), and belimumab IV 10 mg/kg or placebo in NE-Asia and EMBRACE. Belimumab 10 mg/kg is the registered dose for the IV formulation.</w:t>
      </w:r>
    </w:p>
    <w:p w:rsidR="00172AD3" w:rsidRDefault="00172AD3" w:rsidP="00DA711E">
      <w:pPr>
        <w:pStyle w:val="ListParagraph"/>
        <w:widowControl/>
        <w:numPr>
          <w:ilvl w:val="1"/>
          <w:numId w:val="1"/>
        </w:numPr>
      </w:pPr>
      <w:r w:rsidRPr="008E7792">
        <w:t>All</w:t>
      </w:r>
      <w:r>
        <w:t xml:space="preserve"> trials enrolled adults with a diagnosis of SLE according to ACR criteria, with u</w:t>
      </w:r>
      <w:r w:rsidRPr="008E7792">
        <w:t>nequivocally positive autoantibody test results defined as an ANA titer</w:t>
      </w:r>
      <w:r>
        <w:t xml:space="preserve"> </w:t>
      </w:r>
      <w:r w:rsidRPr="008E7792">
        <w:t>≥1: 80 and/or a positive anti-dsDNA (≥30 IU/mL) serum antibody test f</w:t>
      </w:r>
      <w:r>
        <w:t xml:space="preserve">rom two independent time points. BLISS-SC, NE-Asia and EMBRACE required patients to have a SELENA-SLEDAI score </w:t>
      </w:r>
      <w:r>
        <w:rPr>
          <w:rFonts w:cs="Calibri"/>
        </w:rPr>
        <w:t>≥</w:t>
      </w:r>
      <w:r>
        <w:t xml:space="preserve"> 8 at screening, compared to </w:t>
      </w:r>
      <w:r>
        <w:rPr>
          <w:rFonts w:cs="Calibri"/>
        </w:rPr>
        <w:t>≥ 6 in BLISS-52 and BLISS-76. Patients with severe active lupus nephritis, CNS lupus, treatment with prednisone &gt;100 mg/day within three months prior to screening, and treatment with a B cell targeted therapy at any time were excluded in all trials.</w:t>
      </w:r>
    </w:p>
    <w:p w:rsidR="00172AD3" w:rsidRPr="00297939" w:rsidRDefault="00172AD3" w:rsidP="00172AD3">
      <w:pPr>
        <w:widowControl/>
      </w:pPr>
    </w:p>
    <w:p w:rsidR="00172AD3" w:rsidRPr="00ED7E3E" w:rsidRDefault="00172AD3" w:rsidP="00DF74D9">
      <w:pPr>
        <w:pStyle w:val="Heading2"/>
        <w:keepNext/>
        <w:keepLines/>
      </w:pPr>
      <w:bookmarkStart w:id="15" w:name="_Toc40113251"/>
      <w:r w:rsidRPr="00ED7E3E">
        <w:lastRenderedPageBreak/>
        <w:t>Comparative effectiveness</w:t>
      </w:r>
      <w:bookmarkEnd w:id="15"/>
    </w:p>
    <w:p w:rsidR="00172AD3" w:rsidRPr="00ED7E3E" w:rsidRDefault="00172AD3" w:rsidP="00DF74D9">
      <w:pPr>
        <w:keepNext/>
        <w:keepLines/>
      </w:pPr>
    </w:p>
    <w:p w:rsidR="00172AD3" w:rsidRPr="00BE1C7D" w:rsidRDefault="003E0A2F" w:rsidP="00DF74D9">
      <w:pPr>
        <w:pStyle w:val="ListParagraph"/>
        <w:keepNext/>
        <w:keepLines/>
        <w:widowControl/>
        <w:numPr>
          <w:ilvl w:val="1"/>
          <w:numId w:val="1"/>
        </w:numPr>
      </w:pPr>
      <w:r w:rsidRPr="00BE1C7D">
        <w:t xml:space="preserve">The primary efficacy results are unchanged from the November 2019 submission </w:t>
      </w:r>
      <w:r w:rsidRPr="00BD33BD">
        <w:t>and re-presented below</w:t>
      </w:r>
      <w:r w:rsidRPr="00BE1C7D">
        <w:t xml:space="preserve">. </w:t>
      </w:r>
      <w:r w:rsidR="00172AD3" w:rsidRPr="00BE1C7D">
        <w:t xml:space="preserve">The primary efficacy outcome in the belimumab trials was the proportion of patients classified as responders, based on the SRI at Week 52. </w:t>
      </w:r>
      <w:r w:rsidR="00262BFA" w:rsidRPr="00BE1C7D">
        <w:t xml:space="preserve">Table </w:t>
      </w:r>
      <w:r w:rsidR="0045020A" w:rsidRPr="00BE1C7D">
        <w:t>6</w:t>
      </w:r>
      <w:r w:rsidR="00262BFA" w:rsidRPr="00BE1C7D">
        <w:t xml:space="preserve"> presents the components of the SRI. </w:t>
      </w:r>
    </w:p>
    <w:p w:rsidR="00172AD3" w:rsidRPr="00297939" w:rsidRDefault="00172AD3" w:rsidP="00172AD3">
      <w:pPr>
        <w:widowControl/>
      </w:pPr>
      <w:r w:rsidRPr="00C8734E">
        <w:rPr>
          <w:rStyle w:val="CommentReference"/>
        </w:rPr>
        <w:t xml:space="preserve">Table </w:t>
      </w:r>
      <w:r w:rsidR="0045020A">
        <w:rPr>
          <w:rStyle w:val="CommentReference"/>
        </w:rPr>
        <w:t>6</w:t>
      </w:r>
      <w:r w:rsidRPr="00C8734E">
        <w:rPr>
          <w:rStyle w:val="CommentReference"/>
        </w:rPr>
        <w:t>: C</w:t>
      </w:r>
      <w:r>
        <w:rPr>
          <w:rStyle w:val="CommentReference"/>
        </w:rPr>
        <w:t>omponents of the primary outcome, SRI response at Week 52</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6: Components of the primary outcome, SRI response at Week 52"/>
      </w:tblPr>
      <w:tblGrid>
        <w:gridCol w:w="988"/>
        <w:gridCol w:w="3401"/>
        <w:gridCol w:w="4628"/>
      </w:tblGrid>
      <w:tr w:rsidR="00172AD3" w:rsidRPr="008C73CB" w:rsidTr="00413C17">
        <w:trPr>
          <w:tblHeader/>
        </w:trPr>
        <w:tc>
          <w:tcPr>
            <w:tcW w:w="2434" w:type="pct"/>
            <w:gridSpan w:val="2"/>
          </w:tcPr>
          <w:p w:rsidR="00172AD3" w:rsidRDefault="00172AD3" w:rsidP="0011582A">
            <w:pPr>
              <w:widowControl/>
              <w:contextualSpacing/>
              <w:rPr>
                <w:rFonts w:ascii="Arial Narrow" w:eastAsiaTheme="minorHAnsi" w:hAnsi="Arial Narrow" w:cstheme="minorBidi"/>
                <w:b/>
                <w:snapToGrid/>
                <w:sz w:val="20"/>
                <w:szCs w:val="20"/>
              </w:rPr>
            </w:pPr>
            <w:r w:rsidRPr="00A745BE">
              <w:rPr>
                <w:rFonts w:ascii="Arial Narrow" w:eastAsiaTheme="minorHAnsi" w:hAnsi="Arial Narrow" w:cstheme="minorBidi"/>
                <w:b/>
                <w:snapToGrid/>
                <w:sz w:val="20"/>
                <w:szCs w:val="20"/>
              </w:rPr>
              <w:t>Primary outcome across all trials</w:t>
            </w:r>
            <w:r>
              <w:rPr>
                <w:rFonts w:ascii="Arial Narrow" w:eastAsiaTheme="minorHAnsi" w:hAnsi="Arial Narrow" w:cstheme="minorBidi"/>
                <w:b/>
                <w:snapToGrid/>
                <w:sz w:val="20"/>
                <w:szCs w:val="20"/>
              </w:rPr>
              <w:t xml:space="preserve">: </w:t>
            </w:r>
          </w:p>
          <w:p w:rsidR="00172AD3" w:rsidRPr="008C73CB" w:rsidRDefault="00172AD3" w:rsidP="0011582A">
            <w:pPr>
              <w:widowControl/>
              <w:contextualSpacing/>
              <w:rPr>
                <w:rFonts w:ascii="Arial Narrow" w:eastAsiaTheme="minorHAnsi" w:hAnsi="Arial Narrow" w:cstheme="minorBidi"/>
                <w:b/>
                <w:snapToGrid/>
                <w:sz w:val="20"/>
                <w:szCs w:val="20"/>
              </w:rPr>
            </w:pPr>
            <w:r>
              <w:rPr>
                <w:rFonts w:ascii="Arial Narrow" w:eastAsiaTheme="minorHAnsi" w:hAnsi="Arial Narrow" w:cstheme="minorBidi"/>
                <w:b/>
                <w:snapToGrid/>
                <w:sz w:val="20"/>
                <w:szCs w:val="20"/>
              </w:rPr>
              <w:t>SRI response rate at Week 52</w:t>
            </w:r>
          </w:p>
        </w:tc>
        <w:tc>
          <w:tcPr>
            <w:tcW w:w="2566" w:type="pct"/>
          </w:tcPr>
          <w:p w:rsidR="00172AD3" w:rsidRPr="00A745BE" w:rsidRDefault="00172AD3" w:rsidP="0011582A">
            <w:pPr>
              <w:widowControl/>
              <w:contextualSpacing/>
              <w:rPr>
                <w:rFonts w:ascii="Arial Narrow" w:eastAsiaTheme="minorHAnsi" w:hAnsi="Arial Narrow" w:cstheme="minorBidi"/>
                <w:b/>
                <w:snapToGrid/>
                <w:sz w:val="20"/>
                <w:szCs w:val="20"/>
              </w:rPr>
            </w:pPr>
            <w:r>
              <w:rPr>
                <w:rFonts w:ascii="Arial Narrow" w:eastAsiaTheme="minorHAnsi" w:hAnsi="Arial Narrow" w:cstheme="minorBidi"/>
                <w:b/>
                <w:snapToGrid/>
                <w:sz w:val="20"/>
                <w:szCs w:val="20"/>
              </w:rPr>
              <w:t>Comments</w:t>
            </w:r>
          </w:p>
        </w:tc>
      </w:tr>
      <w:tr w:rsidR="00172AD3" w:rsidRPr="008C73CB" w:rsidTr="0011582A">
        <w:tc>
          <w:tcPr>
            <w:tcW w:w="548" w:type="pct"/>
            <w:vMerge w:val="restart"/>
            <w:vAlign w:val="center"/>
          </w:tcPr>
          <w:p w:rsidR="00172AD3" w:rsidRPr="008C73CB" w:rsidRDefault="00172AD3" w:rsidP="0011582A">
            <w:pPr>
              <w:widowControl/>
              <w:contextualSpacing/>
              <w:jc w:val="left"/>
              <w:rPr>
                <w:rFonts w:ascii="Arial Narrow" w:eastAsiaTheme="minorHAnsi" w:hAnsi="Arial Narrow" w:cstheme="minorBidi"/>
                <w:snapToGrid/>
                <w:sz w:val="20"/>
                <w:szCs w:val="20"/>
              </w:rPr>
            </w:pPr>
            <w:r>
              <w:rPr>
                <w:rFonts w:ascii="Arial Narrow" w:eastAsiaTheme="minorHAnsi" w:hAnsi="Arial Narrow" w:cstheme="minorBidi"/>
                <w:snapToGrid/>
                <w:sz w:val="20"/>
                <w:szCs w:val="20"/>
              </w:rPr>
              <w:t>Components of the SRI (supportive/ secondary analyses)</w:t>
            </w:r>
          </w:p>
        </w:tc>
        <w:tc>
          <w:tcPr>
            <w:tcW w:w="1886" w:type="pct"/>
          </w:tcPr>
          <w:p w:rsidR="00172AD3" w:rsidRPr="00D73BBB" w:rsidRDefault="00172AD3" w:rsidP="0011582A">
            <w:pPr>
              <w:pStyle w:val="Tabletext"/>
              <w:rPr>
                <w:szCs w:val="20"/>
                <w:vertAlign w:val="superscript"/>
              </w:rPr>
            </w:pPr>
            <w:r w:rsidRPr="008015D2">
              <w:rPr>
                <w:szCs w:val="20"/>
              </w:rPr>
              <w:t>≥4-point reduction from baseline in SELENA-SLEDAI</w:t>
            </w:r>
            <w:r>
              <w:rPr>
                <w:szCs w:val="20"/>
                <w:vertAlign w:val="superscript"/>
              </w:rPr>
              <w:t>a</w:t>
            </w:r>
          </w:p>
        </w:tc>
        <w:tc>
          <w:tcPr>
            <w:tcW w:w="2566" w:type="pct"/>
          </w:tcPr>
          <w:p w:rsidR="00172AD3" w:rsidRPr="008015D2" w:rsidRDefault="00172AD3" w:rsidP="0011582A">
            <w:pPr>
              <w:pStyle w:val="Tabletext"/>
              <w:rPr>
                <w:szCs w:val="20"/>
              </w:rPr>
            </w:pPr>
            <w:r w:rsidRPr="008015D2">
              <w:rPr>
                <w:szCs w:val="20"/>
              </w:rPr>
              <w:t>Considered as</w:t>
            </w:r>
            <w:r>
              <w:rPr>
                <w:szCs w:val="20"/>
              </w:rPr>
              <w:t xml:space="preserve"> a</w:t>
            </w:r>
            <w:r w:rsidRPr="008015D2">
              <w:rPr>
                <w:szCs w:val="20"/>
              </w:rPr>
              <w:t xml:space="preserve"> clinically meaningful</w:t>
            </w:r>
            <w:r>
              <w:rPr>
                <w:szCs w:val="20"/>
              </w:rPr>
              <w:t xml:space="preserve"> improvement</w:t>
            </w:r>
          </w:p>
        </w:tc>
      </w:tr>
      <w:tr w:rsidR="00172AD3" w:rsidRPr="008C73CB" w:rsidTr="0011582A">
        <w:tc>
          <w:tcPr>
            <w:tcW w:w="548" w:type="pct"/>
            <w:vMerge/>
          </w:tcPr>
          <w:p w:rsidR="00172AD3" w:rsidRDefault="00172AD3" w:rsidP="0011582A">
            <w:pPr>
              <w:widowControl/>
              <w:ind w:left="720"/>
              <w:contextualSpacing/>
              <w:rPr>
                <w:rFonts w:ascii="Arial Narrow" w:eastAsiaTheme="minorHAnsi" w:hAnsi="Arial Narrow" w:cstheme="minorBidi"/>
                <w:snapToGrid/>
                <w:sz w:val="20"/>
                <w:szCs w:val="20"/>
              </w:rPr>
            </w:pPr>
          </w:p>
        </w:tc>
        <w:tc>
          <w:tcPr>
            <w:tcW w:w="1886" w:type="pct"/>
          </w:tcPr>
          <w:p w:rsidR="00172AD3" w:rsidRPr="00A745BE" w:rsidRDefault="00172AD3" w:rsidP="0011582A">
            <w:pPr>
              <w:pStyle w:val="Tabletext"/>
              <w:rPr>
                <w:szCs w:val="20"/>
              </w:rPr>
            </w:pPr>
            <w:r w:rsidRPr="008015D2">
              <w:rPr>
                <w:szCs w:val="20"/>
              </w:rPr>
              <w:t>No new BILAG A organ domain score or 2 new BILAG B organ domain scores compared with baseline at the time of assessment</w:t>
            </w:r>
          </w:p>
        </w:tc>
        <w:tc>
          <w:tcPr>
            <w:tcW w:w="2566" w:type="pct"/>
          </w:tcPr>
          <w:p w:rsidR="00172AD3" w:rsidRPr="008015D2" w:rsidRDefault="00172AD3" w:rsidP="0011582A">
            <w:pPr>
              <w:pStyle w:val="Tabletext"/>
              <w:rPr>
                <w:szCs w:val="20"/>
              </w:rPr>
            </w:pPr>
            <w:r w:rsidRPr="008015D2">
              <w:rPr>
                <w:szCs w:val="20"/>
              </w:rPr>
              <w:t>The development of either</w:t>
            </w:r>
            <w:r>
              <w:rPr>
                <w:szCs w:val="20"/>
              </w:rPr>
              <w:t xml:space="preserve"> ≥</w:t>
            </w:r>
            <w:r w:rsidRPr="008015D2">
              <w:rPr>
                <w:szCs w:val="20"/>
              </w:rPr>
              <w:t>1 A or ≥2 B organ system scores represents an increase in disease activity sufficient to add new therapy</w:t>
            </w:r>
            <w:r>
              <w:rPr>
                <w:szCs w:val="20"/>
              </w:rPr>
              <w:t xml:space="preserve"> (corticosteroids / immunosuppressant</w:t>
            </w:r>
            <w:r w:rsidRPr="008015D2">
              <w:rPr>
                <w:szCs w:val="20"/>
              </w:rPr>
              <w:t>)</w:t>
            </w:r>
          </w:p>
        </w:tc>
      </w:tr>
      <w:tr w:rsidR="00172AD3" w:rsidRPr="008C73CB" w:rsidTr="0011582A">
        <w:tc>
          <w:tcPr>
            <w:tcW w:w="548" w:type="pct"/>
            <w:vMerge/>
            <w:tcBorders>
              <w:bottom w:val="single" w:sz="4" w:space="0" w:color="auto"/>
            </w:tcBorders>
          </w:tcPr>
          <w:p w:rsidR="00172AD3" w:rsidRDefault="00172AD3" w:rsidP="0011582A">
            <w:pPr>
              <w:widowControl/>
              <w:ind w:left="720"/>
              <w:contextualSpacing/>
              <w:rPr>
                <w:rFonts w:ascii="Arial Narrow" w:eastAsiaTheme="minorHAnsi" w:hAnsi="Arial Narrow" w:cstheme="minorBidi"/>
                <w:snapToGrid/>
                <w:sz w:val="20"/>
                <w:szCs w:val="20"/>
              </w:rPr>
            </w:pPr>
          </w:p>
        </w:tc>
        <w:tc>
          <w:tcPr>
            <w:tcW w:w="1886" w:type="pct"/>
            <w:tcBorders>
              <w:bottom w:val="single" w:sz="4" w:space="0" w:color="auto"/>
            </w:tcBorders>
          </w:tcPr>
          <w:p w:rsidR="00172AD3" w:rsidRPr="00A745BE" w:rsidRDefault="00172AD3" w:rsidP="0011582A">
            <w:pPr>
              <w:widowControl/>
              <w:contextualSpacing/>
              <w:rPr>
                <w:rFonts w:ascii="Arial Narrow" w:eastAsiaTheme="minorHAnsi" w:hAnsi="Arial Narrow" w:cstheme="minorBidi"/>
                <w:snapToGrid/>
                <w:sz w:val="20"/>
                <w:szCs w:val="20"/>
              </w:rPr>
            </w:pPr>
            <w:r w:rsidRPr="00A745BE">
              <w:rPr>
                <w:rFonts w:ascii="Arial Narrow" w:eastAsiaTheme="minorHAnsi" w:hAnsi="Arial Narrow" w:cstheme="minorBidi"/>
                <w:snapToGrid/>
                <w:sz w:val="20"/>
                <w:szCs w:val="20"/>
              </w:rPr>
              <w:t>No worsening (increase of &lt;0.30 points from baseline) in PGA</w:t>
            </w:r>
          </w:p>
        </w:tc>
        <w:tc>
          <w:tcPr>
            <w:tcW w:w="2566" w:type="pct"/>
            <w:tcBorders>
              <w:bottom w:val="single" w:sz="4" w:space="0" w:color="auto"/>
            </w:tcBorders>
          </w:tcPr>
          <w:p w:rsidR="00172AD3" w:rsidRPr="00A745BE" w:rsidRDefault="00172AD3" w:rsidP="0011582A">
            <w:pPr>
              <w:widowControl/>
              <w:contextualSpacing/>
              <w:rPr>
                <w:rFonts w:ascii="Arial Narrow" w:eastAsiaTheme="minorHAnsi" w:hAnsi="Arial Narrow" w:cstheme="minorBidi"/>
                <w:snapToGrid/>
                <w:sz w:val="20"/>
                <w:szCs w:val="20"/>
              </w:rPr>
            </w:pPr>
            <w:r>
              <w:rPr>
                <w:rFonts w:ascii="Arial Narrow" w:hAnsi="Arial Narrow" w:cs="Melior"/>
                <w:snapToGrid/>
                <w:color w:val="231F20"/>
                <w:sz w:val="20"/>
                <w:szCs w:val="20"/>
                <w:lang w:eastAsia="en-AU"/>
              </w:rPr>
              <w:t>T</w:t>
            </w:r>
            <w:r w:rsidRPr="008015D2">
              <w:rPr>
                <w:rFonts w:ascii="Arial Narrow" w:hAnsi="Arial Narrow" w:cs="Melior"/>
                <w:snapToGrid/>
                <w:color w:val="231F20"/>
                <w:sz w:val="20"/>
                <w:szCs w:val="20"/>
                <w:lang w:eastAsia="en-AU"/>
              </w:rPr>
              <w:t>o ensure that improvement in the SELENA–SLEDAI score was not</w:t>
            </w:r>
            <w:r>
              <w:rPr>
                <w:rFonts w:ascii="Arial Narrow" w:hAnsi="Arial Narrow" w:cs="Melior"/>
                <w:snapToGrid/>
                <w:color w:val="231F20"/>
                <w:sz w:val="20"/>
                <w:szCs w:val="20"/>
                <w:lang w:eastAsia="en-AU"/>
              </w:rPr>
              <w:t xml:space="preserve"> </w:t>
            </w:r>
            <w:r w:rsidRPr="008015D2">
              <w:rPr>
                <w:rFonts w:ascii="Arial Narrow" w:hAnsi="Arial Narrow" w:cs="Melior"/>
                <w:snapToGrid/>
                <w:color w:val="231F20"/>
                <w:sz w:val="20"/>
                <w:szCs w:val="20"/>
                <w:lang w:eastAsia="en-AU"/>
              </w:rPr>
              <w:t>achieved at the expense of worsening of the patient’s overall</w:t>
            </w:r>
            <w:r>
              <w:rPr>
                <w:rFonts w:ascii="Arial Narrow" w:hAnsi="Arial Narrow" w:cs="Melior"/>
                <w:snapToGrid/>
                <w:color w:val="231F20"/>
                <w:sz w:val="20"/>
                <w:szCs w:val="20"/>
                <w:lang w:eastAsia="en-AU"/>
              </w:rPr>
              <w:t xml:space="preserve"> condition</w:t>
            </w:r>
          </w:p>
        </w:tc>
      </w:tr>
    </w:tbl>
    <w:p w:rsidR="00172AD3" w:rsidRPr="00C1321A" w:rsidRDefault="00172AD3" w:rsidP="00172AD3">
      <w:pPr>
        <w:pStyle w:val="TableFooter"/>
      </w:pPr>
      <w:r w:rsidRPr="000416AC">
        <w:t>Abbreviations: BILAG, British Isles Lupus Assessment Group;</w:t>
      </w:r>
      <w:r>
        <w:t xml:space="preserve"> </w:t>
      </w:r>
      <w:r w:rsidRPr="000416AC">
        <w:t>PGA, Physician Global Assessment; SC, subcutaneous; SDI, Systemic Lupus International Collaborating Clinics (SLICC)/ACR Damage Index; SELENA-SLEDAI, Safety of Estrogens in Lupus Erythematosus National Assessment version of the Systemic Lupus Eryth</w:t>
      </w:r>
      <w:r>
        <w:t>ematosus Disease Activity Index</w:t>
      </w:r>
      <w:r w:rsidRPr="000416AC">
        <w:t>; SLE, systemic lupus erythematosus</w:t>
      </w:r>
      <w:r>
        <w:t>.</w:t>
      </w:r>
    </w:p>
    <w:p w:rsidR="00172AD3" w:rsidRPr="001A3CC4" w:rsidRDefault="00172AD3" w:rsidP="00F558A6">
      <w:pPr>
        <w:widowControl/>
        <w:rPr>
          <w:rFonts w:ascii="Arial Narrow" w:eastAsiaTheme="minorHAnsi" w:hAnsi="Arial Narrow" w:cstheme="minorBidi"/>
          <w:snapToGrid/>
          <w:sz w:val="18"/>
          <w:szCs w:val="18"/>
        </w:rPr>
      </w:pPr>
      <w:r w:rsidRPr="001A3CC4">
        <w:rPr>
          <w:rFonts w:ascii="Arial Narrow" w:eastAsiaTheme="minorHAnsi" w:hAnsi="Arial Narrow" w:cstheme="minorBidi"/>
          <w:snapToGrid/>
          <w:sz w:val="18"/>
          <w:szCs w:val="18"/>
          <w:vertAlign w:val="superscript"/>
        </w:rPr>
        <w:t>a</w:t>
      </w:r>
      <w:r w:rsidR="00F558A6">
        <w:rPr>
          <w:rFonts w:ascii="Arial Narrow" w:eastAsiaTheme="minorHAnsi" w:hAnsi="Arial Narrow" w:cstheme="minorBidi"/>
          <w:snapToGrid/>
          <w:sz w:val="18"/>
          <w:szCs w:val="18"/>
        </w:rPr>
        <w:tab/>
      </w:r>
      <w:r w:rsidRPr="001A3CC4">
        <w:rPr>
          <w:rFonts w:ascii="Arial Narrow" w:eastAsiaTheme="minorHAnsi" w:hAnsi="Arial Narrow" w:cstheme="minorBidi"/>
          <w:snapToGrid/>
          <w:sz w:val="18"/>
          <w:szCs w:val="18"/>
        </w:rPr>
        <w:t xml:space="preserve">EMBRACE </w:t>
      </w:r>
      <w:r w:rsidRPr="001A3CC4">
        <w:rPr>
          <w:rFonts w:ascii="Arial Narrow" w:hAnsi="Arial Narrow"/>
          <w:sz w:val="18"/>
          <w:szCs w:val="18"/>
        </w:rPr>
        <w:t xml:space="preserve">used SLEDAI-2K (S2K) rules instead of SELENA-SLEDAI (SS) rules when scoring for proteinuria for the primary SRI outcome. </w:t>
      </w:r>
    </w:p>
    <w:p w:rsidR="00172AD3" w:rsidRDefault="00172AD3" w:rsidP="00172AD3">
      <w:pPr>
        <w:widowControl/>
        <w:rPr>
          <w:rFonts w:ascii="Arial Narrow" w:hAnsi="Arial Narrow"/>
          <w:sz w:val="18"/>
          <w:szCs w:val="18"/>
        </w:rPr>
      </w:pPr>
      <w:r w:rsidRPr="001A3CC4">
        <w:rPr>
          <w:rFonts w:ascii="Arial Narrow" w:eastAsiaTheme="minorHAnsi" w:hAnsi="Arial Narrow" w:cstheme="minorBidi"/>
          <w:snapToGrid/>
          <w:sz w:val="18"/>
          <w:szCs w:val="18"/>
        </w:rPr>
        <w:t xml:space="preserve">Source: </w:t>
      </w:r>
      <w:r w:rsidRPr="001A3CC4">
        <w:rPr>
          <w:rFonts w:ascii="Arial Narrow" w:hAnsi="Arial Narrow"/>
          <w:sz w:val="18"/>
          <w:szCs w:val="18"/>
        </w:rPr>
        <w:t>p</w:t>
      </w:r>
      <w:r w:rsidR="004C09A3">
        <w:rPr>
          <w:rFonts w:ascii="Arial Narrow" w:hAnsi="Arial Narrow"/>
          <w:sz w:val="18"/>
          <w:szCs w:val="18"/>
        </w:rPr>
        <w:t>55</w:t>
      </w:r>
      <w:r w:rsidRPr="001A3CC4">
        <w:rPr>
          <w:rFonts w:ascii="Arial Narrow" w:hAnsi="Arial Narrow"/>
          <w:sz w:val="18"/>
          <w:szCs w:val="18"/>
        </w:rPr>
        <w:t xml:space="preserve"> of the </w:t>
      </w:r>
      <w:r w:rsidR="004C09A3">
        <w:rPr>
          <w:rFonts w:ascii="Arial Narrow" w:hAnsi="Arial Narrow"/>
          <w:sz w:val="18"/>
          <w:szCs w:val="18"/>
        </w:rPr>
        <w:t>re</w:t>
      </w:r>
      <w:r w:rsidRPr="001A3CC4">
        <w:rPr>
          <w:rFonts w:ascii="Arial Narrow" w:hAnsi="Arial Narrow"/>
          <w:sz w:val="18"/>
          <w:szCs w:val="18"/>
        </w:rPr>
        <w:t>submission; Furie et al 2009</w:t>
      </w:r>
    </w:p>
    <w:p w:rsidR="00172AD3" w:rsidRPr="009330C8" w:rsidRDefault="00172AD3" w:rsidP="00172AD3">
      <w:pPr>
        <w:widowControl/>
      </w:pPr>
    </w:p>
    <w:p w:rsidR="00172AD3" w:rsidRPr="00BE1C7D" w:rsidRDefault="00172AD3" w:rsidP="00DA711E">
      <w:pPr>
        <w:pStyle w:val="ListParagraph"/>
        <w:widowControl/>
        <w:numPr>
          <w:ilvl w:val="1"/>
          <w:numId w:val="1"/>
        </w:numPr>
        <w:rPr>
          <w:lang w:eastAsia="en-AU"/>
        </w:rPr>
      </w:pPr>
      <w:r w:rsidRPr="006C725B">
        <w:t xml:space="preserve">Table </w:t>
      </w:r>
      <w:r w:rsidR="0045020A">
        <w:t>7</w:t>
      </w:r>
      <w:r w:rsidRPr="006C725B">
        <w:t xml:space="preserve"> </w:t>
      </w:r>
      <w:r w:rsidRPr="00BE1C7D">
        <w:t xml:space="preserve">presents the results of the primary outcome, response as measured by the composite index, SRI, and the results to the component indexes of the SRI (secondary outcomes), at Week 52 across all trials. </w:t>
      </w:r>
      <w:r w:rsidRPr="00BE1C7D">
        <w:rPr>
          <w:lang w:eastAsia="en-AU"/>
        </w:rPr>
        <w:t xml:space="preserve">Results for the adjusted </w:t>
      </w:r>
      <w:r w:rsidR="008A24DD" w:rsidRPr="00BE1C7D">
        <w:rPr>
          <w:lang w:eastAsia="en-AU"/>
        </w:rPr>
        <w:t>odds ratio (</w:t>
      </w:r>
      <w:r w:rsidRPr="00BE1C7D">
        <w:rPr>
          <w:lang w:eastAsia="en-AU"/>
        </w:rPr>
        <w:t>OR’s</w:t>
      </w:r>
      <w:r w:rsidR="008A24DD" w:rsidRPr="00BE1C7D">
        <w:rPr>
          <w:lang w:eastAsia="en-AU"/>
        </w:rPr>
        <w:t>)</w:t>
      </w:r>
      <w:r w:rsidRPr="00BE1C7D">
        <w:rPr>
          <w:lang w:eastAsia="en-AU"/>
        </w:rPr>
        <w:t xml:space="preserve"> (from logistic regression models in the CSRs) and unadjusted</w:t>
      </w:r>
      <w:r w:rsidR="008A24DD" w:rsidRPr="00BE1C7D">
        <w:rPr>
          <w:lang w:eastAsia="en-AU"/>
        </w:rPr>
        <w:t xml:space="preserve"> risk difference</w:t>
      </w:r>
      <w:r w:rsidRPr="00BE1C7D">
        <w:rPr>
          <w:lang w:eastAsia="en-AU"/>
        </w:rPr>
        <w:t xml:space="preserve"> </w:t>
      </w:r>
      <w:r w:rsidR="008A24DD" w:rsidRPr="00BE1C7D">
        <w:rPr>
          <w:lang w:eastAsia="en-AU"/>
        </w:rPr>
        <w:t>(</w:t>
      </w:r>
      <w:r w:rsidRPr="00BE1C7D">
        <w:rPr>
          <w:lang w:eastAsia="en-AU"/>
        </w:rPr>
        <w:t>RD’s</w:t>
      </w:r>
      <w:r w:rsidR="008A24DD" w:rsidRPr="00BE1C7D">
        <w:rPr>
          <w:lang w:eastAsia="en-AU"/>
        </w:rPr>
        <w:t>)</w:t>
      </w:r>
      <w:r w:rsidRPr="00BE1C7D">
        <w:rPr>
          <w:lang w:eastAsia="en-AU"/>
        </w:rPr>
        <w:t xml:space="preserve"> are presented below. </w:t>
      </w:r>
    </w:p>
    <w:p w:rsidR="00172AD3" w:rsidRDefault="00172AD3" w:rsidP="002A518E">
      <w:pPr>
        <w:keepNext/>
        <w:keepLines/>
        <w:rPr>
          <w:rStyle w:val="CommentReference"/>
        </w:rPr>
      </w:pPr>
      <w:r w:rsidRPr="006C725B">
        <w:rPr>
          <w:rStyle w:val="CommentReference"/>
        </w:rPr>
        <w:lastRenderedPageBreak/>
        <w:t xml:space="preserve">Table </w:t>
      </w:r>
      <w:r w:rsidR="0045020A">
        <w:rPr>
          <w:rStyle w:val="CommentReference"/>
        </w:rPr>
        <w:t>7</w:t>
      </w:r>
      <w:r w:rsidRPr="006C725B">
        <w:rPr>
          <w:rStyle w:val="CommentReference"/>
        </w:rPr>
        <w:t xml:space="preserve">: </w:t>
      </w:r>
      <w:r w:rsidRPr="006C725B">
        <w:rPr>
          <w:rFonts w:ascii="Arial Narrow" w:hAnsi="Arial Narrow"/>
          <w:b/>
          <w:bCs/>
          <w:sz w:val="20"/>
          <w:szCs w:val="20"/>
        </w:rPr>
        <w:t>Proportion</w:t>
      </w:r>
      <w:r>
        <w:rPr>
          <w:rFonts w:ascii="Arial Narrow" w:hAnsi="Arial Narrow"/>
          <w:b/>
          <w:bCs/>
          <w:sz w:val="20"/>
          <w:szCs w:val="20"/>
        </w:rPr>
        <w:t xml:space="preserve"> with</w:t>
      </w:r>
      <w:r w:rsidRPr="003B50C2">
        <w:rPr>
          <w:rFonts w:ascii="Arial Narrow" w:hAnsi="Arial Narrow"/>
          <w:b/>
          <w:bCs/>
          <w:sz w:val="20"/>
          <w:szCs w:val="20"/>
        </w:rPr>
        <w:t xml:space="preserve"> SRI response (prima</w:t>
      </w:r>
      <w:r>
        <w:rPr>
          <w:rFonts w:ascii="Arial Narrow" w:hAnsi="Arial Narrow"/>
          <w:b/>
          <w:bCs/>
          <w:sz w:val="20"/>
          <w:szCs w:val="20"/>
        </w:rPr>
        <w:t>ry outcome) and response to component indexes</w:t>
      </w:r>
      <w:r w:rsidRPr="003B50C2">
        <w:rPr>
          <w:rFonts w:ascii="Arial Narrow" w:hAnsi="Arial Narrow"/>
          <w:b/>
          <w:bCs/>
          <w:sz w:val="20"/>
          <w:szCs w:val="20"/>
        </w:rPr>
        <w:t xml:space="preserve"> (secondary outcomes) across the trials</w:t>
      </w:r>
    </w:p>
    <w:tbl>
      <w:tblPr>
        <w:tblStyle w:val="TableGrid"/>
        <w:tblW w:w="0" w:type="auto"/>
        <w:shd w:val="clear" w:color="auto" w:fill="C6D9F1" w:themeFill="text2" w:themeFillTint="33"/>
        <w:tblCellMar>
          <w:left w:w="28" w:type="dxa"/>
          <w:right w:w="28" w:type="dxa"/>
        </w:tblCellMar>
        <w:tblLook w:val="04A0" w:firstRow="1" w:lastRow="0" w:firstColumn="1" w:lastColumn="0" w:noHBand="0" w:noVBand="1"/>
        <w:tblCaption w:val="Table 7: Proportion with SRI response (primary outcome) and response to component indexes (secondary outcomes) across the trials"/>
      </w:tblPr>
      <w:tblGrid>
        <w:gridCol w:w="1413"/>
        <w:gridCol w:w="1417"/>
        <w:gridCol w:w="1418"/>
        <w:gridCol w:w="2410"/>
        <w:gridCol w:w="2359"/>
      </w:tblGrid>
      <w:tr w:rsidR="00172AD3" w:rsidRPr="00BE1C7D" w:rsidTr="0033010C">
        <w:trPr>
          <w:tblHeader/>
        </w:trPr>
        <w:tc>
          <w:tcPr>
            <w:tcW w:w="1413" w:type="dxa"/>
            <w:shd w:val="clear" w:color="auto" w:fill="C6D9F1" w:themeFill="text2" w:themeFillTint="33"/>
          </w:tcPr>
          <w:p w:rsidR="00172AD3" w:rsidRPr="00BE1C7D" w:rsidRDefault="00172AD3" w:rsidP="002A518E">
            <w:pPr>
              <w:keepNext/>
              <w:keepLines/>
              <w:rPr>
                <w:rFonts w:ascii="Arial Narrow" w:hAnsi="Arial Narrow"/>
                <w:sz w:val="20"/>
                <w:szCs w:val="20"/>
              </w:rPr>
            </w:pPr>
          </w:p>
        </w:tc>
        <w:tc>
          <w:tcPr>
            <w:tcW w:w="1417" w:type="dxa"/>
            <w:shd w:val="clear" w:color="auto" w:fill="C6D9F1" w:themeFill="text2" w:themeFillTint="33"/>
            <w:vAlign w:val="center"/>
          </w:tcPr>
          <w:p w:rsidR="00172AD3" w:rsidRPr="00BE1C7D" w:rsidRDefault="00172AD3" w:rsidP="002A518E">
            <w:pPr>
              <w:keepNext/>
              <w:keepLines/>
              <w:jc w:val="center"/>
              <w:rPr>
                <w:rFonts w:ascii="Arial Narrow" w:hAnsi="Arial Narrow"/>
                <w:b/>
                <w:bCs/>
                <w:sz w:val="20"/>
                <w:szCs w:val="20"/>
              </w:rPr>
            </w:pPr>
            <w:r w:rsidRPr="00BE1C7D">
              <w:rPr>
                <w:rFonts w:ascii="Arial Narrow" w:hAnsi="Arial Narrow"/>
                <w:b/>
                <w:bCs/>
                <w:sz w:val="20"/>
                <w:szCs w:val="20"/>
              </w:rPr>
              <w:t>BEL (200mg SC or 10mg/kg IV)</w:t>
            </w:r>
          </w:p>
        </w:tc>
        <w:tc>
          <w:tcPr>
            <w:tcW w:w="1418" w:type="dxa"/>
            <w:shd w:val="clear" w:color="auto" w:fill="C6D9F1" w:themeFill="text2" w:themeFillTint="33"/>
            <w:vAlign w:val="center"/>
          </w:tcPr>
          <w:p w:rsidR="00172AD3" w:rsidRPr="00BE1C7D" w:rsidRDefault="00172AD3" w:rsidP="002A518E">
            <w:pPr>
              <w:keepNext/>
              <w:keepLines/>
              <w:jc w:val="center"/>
              <w:rPr>
                <w:rFonts w:ascii="Arial Narrow" w:hAnsi="Arial Narrow"/>
                <w:b/>
                <w:bCs/>
                <w:sz w:val="20"/>
                <w:szCs w:val="20"/>
              </w:rPr>
            </w:pPr>
            <w:r w:rsidRPr="00BE1C7D">
              <w:rPr>
                <w:rFonts w:ascii="Arial Narrow" w:hAnsi="Arial Narrow"/>
                <w:b/>
                <w:bCs/>
                <w:sz w:val="20"/>
                <w:szCs w:val="20"/>
              </w:rPr>
              <w:t>Placebo</w:t>
            </w:r>
          </w:p>
        </w:tc>
        <w:tc>
          <w:tcPr>
            <w:tcW w:w="2410" w:type="dxa"/>
            <w:shd w:val="clear" w:color="auto" w:fill="C6D9F1" w:themeFill="text2" w:themeFillTint="33"/>
            <w:vAlign w:val="center"/>
          </w:tcPr>
          <w:p w:rsidR="00172AD3" w:rsidRPr="00BE1C7D" w:rsidRDefault="00172AD3" w:rsidP="002A518E">
            <w:pPr>
              <w:keepNext/>
              <w:keepLines/>
              <w:jc w:val="center"/>
              <w:rPr>
                <w:rFonts w:ascii="Arial Narrow" w:hAnsi="Arial Narrow"/>
                <w:b/>
                <w:bCs/>
                <w:sz w:val="20"/>
                <w:szCs w:val="20"/>
              </w:rPr>
            </w:pPr>
            <w:r w:rsidRPr="00BE1C7D">
              <w:rPr>
                <w:rFonts w:ascii="Arial Narrow" w:hAnsi="Arial Narrow"/>
                <w:b/>
                <w:bCs/>
                <w:sz w:val="20"/>
                <w:szCs w:val="20"/>
              </w:rPr>
              <w:t>Adjusted OR (95%CI)</w:t>
            </w:r>
          </w:p>
        </w:tc>
        <w:tc>
          <w:tcPr>
            <w:tcW w:w="2359" w:type="dxa"/>
            <w:shd w:val="clear" w:color="auto" w:fill="C6D9F1" w:themeFill="text2" w:themeFillTint="33"/>
            <w:vAlign w:val="center"/>
          </w:tcPr>
          <w:p w:rsidR="00172AD3" w:rsidRPr="00BE1C7D" w:rsidRDefault="00172AD3" w:rsidP="002A518E">
            <w:pPr>
              <w:keepNext/>
              <w:keepLines/>
              <w:jc w:val="center"/>
              <w:rPr>
                <w:rFonts w:ascii="Arial Narrow" w:hAnsi="Arial Narrow"/>
                <w:b/>
                <w:bCs/>
                <w:sz w:val="20"/>
                <w:szCs w:val="20"/>
              </w:rPr>
            </w:pPr>
            <w:r w:rsidRPr="00BE1C7D">
              <w:rPr>
                <w:rFonts w:ascii="Arial Narrow" w:hAnsi="Arial Narrow"/>
                <w:b/>
                <w:bCs/>
                <w:sz w:val="20"/>
                <w:szCs w:val="20"/>
              </w:rPr>
              <w:t>Unadjusted RD (95%CI)</w:t>
            </w:r>
          </w:p>
        </w:tc>
      </w:tr>
      <w:tr w:rsidR="00172AD3" w:rsidRPr="00BE1C7D" w:rsidTr="0033010C">
        <w:tc>
          <w:tcPr>
            <w:tcW w:w="9017" w:type="dxa"/>
            <w:gridSpan w:val="5"/>
            <w:tcBorders>
              <w:bottom w:val="single" w:sz="4" w:space="0" w:color="auto"/>
            </w:tcBorders>
            <w:shd w:val="clear" w:color="auto" w:fill="C6D9F1" w:themeFill="text2" w:themeFillTint="33"/>
            <w:vAlign w:val="center"/>
          </w:tcPr>
          <w:p w:rsidR="00172AD3" w:rsidRPr="00BE1C7D" w:rsidRDefault="00172AD3" w:rsidP="002A518E">
            <w:pPr>
              <w:keepNext/>
              <w:keepLines/>
              <w:jc w:val="left"/>
              <w:rPr>
                <w:rFonts w:ascii="Arial Narrow" w:hAnsi="Arial Narrow"/>
                <w:b/>
                <w:bCs/>
                <w:sz w:val="20"/>
                <w:szCs w:val="20"/>
              </w:rPr>
            </w:pPr>
            <w:r w:rsidRPr="00BE1C7D">
              <w:rPr>
                <w:rFonts w:ascii="Arial Narrow" w:hAnsi="Arial Narrow"/>
                <w:b/>
                <w:bCs/>
                <w:sz w:val="20"/>
                <w:szCs w:val="20"/>
              </w:rPr>
              <w:t>SRI response rate at Week 52</w:t>
            </w:r>
          </w:p>
        </w:tc>
      </w:tr>
      <w:tr w:rsidR="00172AD3" w:rsidRPr="00BE1C7D" w:rsidTr="0033010C">
        <w:tc>
          <w:tcPr>
            <w:tcW w:w="1413" w:type="dxa"/>
            <w:tcBorders>
              <w:bottom w:val="nil"/>
            </w:tcBorders>
            <w:shd w:val="clear" w:color="auto" w:fill="C6D9F1" w:themeFill="text2" w:themeFillTint="33"/>
          </w:tcPr>
          <w:p w:rsidR="00172AD3" w:rsidRPr="00DE5944" w:rsidRDefault="00172AD3" w:rsidP="002A518E">
            <w:pPr>
              <w:keepNext/>
              <w:keepLines/>
              <w:rPr>
                <w:rFonts w:ascii="Arial Narrow" w:hAnsi="Arial Narrow"/>
                <w:sz w:val="20"/>
                <w:szCs w:val="20"/>
                <w:vertAlign w:val="superscript"/>
              </w:rPr>
            </w:pPr>
            <w:r w:rsidRPr="00DE5944">
              <w:rPr>
                <w:rFonts w:ascii="Arial Narrow" w:hAnsi="Arial Narrow"/>
                <w:sz w:val="20"/>
                <w:szCs w:val="20"/>
              </w:rPr>
              <w:t>BLISS-SC</w:t>
            </w:r>
            <w:r w:rsidRPr="00DE5944">
              <w:rPr>
                <w:rFonts w:ascii="Arial Narrow" w:hAnsi="Arial Narrow"/>
                <w:sz w:val="20"/>
                <w:szCs w:val="20"/>
                <w:vertAlign w:val="superscript"/>
              </w:rPr>
              <w:t>a</w:t>
            </w:r>
          </w:p>
        </w:tc>
        <w:tc>
          <w:tcPr>
            <w:tcW w:w="1417"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340/554 (61.4)</w:t>
            </w:r>
          </w:p>
        </w:tc>
        <w:tc>
          <w:tcPr>
            <w:tcW w:w="1418"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135/279 (48.4)</w:t>
            </w:r>
          </w:p>
        </w:tc>
        <w:tc>
          <w:tcPr>
            <w:tcW w:w="2410"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cs="ArialNarrow"/>
                <w:b/>
                <w:snapToGrid/>
                <w:sz w:val="20"/>
                <w:szCs w:val="20"/>
                <w:lang w:eastAsia="en-AU"/>
              </w:rPr>
              <w:t>1.68 (1.25, 2.25)</w:t>
            </w:r>
            <w:r w:rsidRPr="00DE5944">
              <w:rPr>
                <w:rFonts w:ascii="Arial Narrow" w:hAnsi="Arial Narrow" w:cs="ArialNarrow"/>
                <w:b/>
                <w:snapToGrid/>
                <w:sz w:val="20"/>
                <w:szCs w:val="20"/>
                <w:vertAlign w:val="superscript"/>
                <w:lang w:eastAsia="en-AU"/>
              </w:rPr>
              <w:t>b</w:t>
            </w:r>
            <w:r w:rsidRPr="00DE5944">
              <w:rPr>
                <w:rFonts w:ascii="Arial Narrow" w:hAnsi="Arial Narrow" w:cs="ArialNarrow"/>
                <w:b/>
                <w:snapToGrid/>
                <w:sz w:val="20"/>
                <w:szCs w:val="20"/>
                <w:lang w:eastAsia="en-AU"/>
              </w:rPr>
              <w:t>, p=0.0006</w:t>
            </w:r>
          </w:p>
        </w:tc>
        <w:tc>
          <w:tcPr>
            <w:tcW w:w="2359"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0.13 (0.06, 0.20), p=0.0004</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BLISS-52</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167/290 (57.6)</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125/287 (43.6)</w:t>
            </w:r>
          </w:p>
        </w:tc>
        <w:tc>
          <w:tcPr>
            <w:tcW w:w="2410"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napToGrid/>
                <w:sz w:val="20"/>
                <w:szCs w:val="20"/>
                <w:lang w:eastAsia="en-AU"/>
              </w:rPr>
              <w:t>1.83 (1.30, 2.59)</w:t>
            </w:r>
            <w:r w:rsidRPr="00DE5944">
              <w:rPr>
                <w:rFonts w:ascii="Arial Narrow" w:hAnsi="Arial Narrow"/>
                <w:b/>
                <w:snapToGrid/>
                <w:sz w:val="20"/>
                <w:szCs w:val="20"/>
                <w:vertAlign w:val="superscript"/>
                <w:lang w:eastAsia="en-AU"/>
              </w:rPr>
              <w:t>e</w:t>
            </w:r>
            <w:r w:rsidRPr="00DE5944">
              <w:rPr>
                <w:rFonts w:ascii="Arial Narrow" w:hAnsi="Arial Narrow"/>
                <w:b/>
                <w:snapToGrid/>
                <w:sz w:val="20"/>
                <w:szCs w:val="20"/>
                <w:lang w:eastAsia="en-AU"/>
              </w:rPr>
              <w:t>, p=0.0006</w:t>
            </w:r>
          </w:p>
        </w:tc>
        <w:tc>
          <w:tcPr>
            <w:tcW w:w="2359"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0.14 (0.06, 0.22), p=0.0007</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BLISS-76</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118/273 (43.2)</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lang w:eastAsia="en-AU"/>
              </w:rPr>
              <w:t>93/275 (33.8)</w:t>
            </w:r>
          </w:p>
        </w:tc>
        <w:tc>
          <w:tcPr>
            <w:tcW w:w="2410"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napToGrid/>
                <w:sz w:val="20"/>
                <w:szCs w:val="20"/>
                <w:lang w:eastAsia="en-AU"/>
              </w:rPr>
              <w:t>1.52 (1.07, 2.15)</w:t>
            </w:r>
            <w:r w:rsidRPr="00DE5944">
              <w:rPr>
                <w:rFonts w:ascii="Arial Narrow" w:hAnsi="Arial Narrow"/>
                <w:b/>
                <w:snapToGrid/>
                <w:sz w:val="20"/>
                <w:szCs w:val="20"/>
                <w:vertAlign w:val="superscript"/>
                <w:lang w:eastAsia="en-AU"/>
              </w:rPr>
              <w:t>e</w:t>
            </w:r>
            <w:r w:rsidRPr="00DE5944">
              <w:rPr>
                <w:rFonts w:ascii="Arial Narrow" w:hAnsi="Arial Narrow"/>
                <w:b/>
                <w:snapToGrid/>
                <w:sz w:val="20"/>
                <w:szCs w:val="20"/>
                <w:lang w:eastAsia="en-AU"/>
              </w:rPr>
              <w:t>, p=0.0207</w:t>
            </w:r>
          </w:p>
        </w:tc>
        <w:tc>
          <w:tcPr>
            <w:tcW w:w="2359"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0.09 (0.01, 0.18), p=0.0231</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NE-Asia</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lang w:eastAsia="en-AU"/>
              </w:rPr>
              <w:t>240/446 (53.8)</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lang w:eastAsia="en-AU"/>
              </w:rPr>
              <w:t>87/217 (40.1)</w:t>
            </w:r>
          </w:p>
        </w:tc>
        <w:tc>
          <w:tcPr>
            <w:tcW w:w="2410"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1.99 (1.40, 2.82)</w:t>
            </w:r>
            <w:r w:rsidRPr="00DE5944">
              <w:rPr>
                <w:rFonts w:ascii="Arial Narrow" w:hAnsi="Arial Narrow"/>
                <w:b/>
                <w:sz w:val="20"/>
                <w:szCs w:val="20"/>
                <w:vertAlign w:val="superscript"/>
              </w:rPr>
              <w:t>f</w:t>
            </w:r>
            <w:r w:rsidRPr="00DE5944">
              <w:rPr>
                <w:rFonts w:ascii="Arial Narrow" w:hAnsi="Arial Narrow"/>
                <w:b/>
                <w:sz w:val="20"/>
                <w:szCs w:val="20"/>
              </w:rPr>
              <w:t>, p=0.0001</w:t>
            </w:r>
          </w:p>
        </w:tc>
        <w:tc>
          <w:tcPr>
            <w:tcW w:w="2359"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0.14 (0.06, 0.22), p=0.0008</w:t>
            </w:r>
          </w:p>
        </w:tc>
      </w:tr>
      <w:tr w:rsidR="00172AD3" w:rsidRPr="00BE1C7D" w:rsidTr="0033010C">
        <w:tc>
          <w:tcPr>
            <w:tcW w:w="1413" w:type="dxa"/>
            <w:tcBorders>
              <w:top w:val="nil"/>
              <w:bottom w:val="single" w:sz="4" w:space="0" w:color="auto"/>
            </w:tcBorders>
            <w:shd w:val="clear" w:color="auto" w:fill="C6D9F1" w:themeFill="text2" w:themeFillTint="33"/>
          </w:tcPr>
          <w:p w:rsidR="00172AD3" w:rsidRPr="00DE5944" w:rsidRDefault="00172AD3" w:rsidP="002A518E">
            <w:pPr>
              <w:keepNext/>
              <w:keepLines/>
              <w:rPr>
                <w:rFonts w:ascii="Arial Narrow" w:hAnsi="Arial Narrow"/>
                <w:sz w:val="20"/>
                <w:szCs w:val="20"/>
                <w:vertAlign w:val="superscript"/>
              </w:rPr>
            </w:pPr>
            <w:r w:rsidRPr="00DE5944">
              <w:rPr>
                <w:rFonts w:ascii="Arial Narrow" w:hAnsi="Arial Narrow"/>
                <w:sz w:val="20"/>
                <w:szCs w:val="20"/>
              </w:rPr>
              <w:t>EMBRACE (SS)</w:t>
            </w:r>
            <w:r w:rsidRPr="00DE5944">
              <w:rPr>
                <w:rFonts w:ascii="Arial Narrow" w:hAnsi="Arial Narrow"/>
                <w:sz w:val="20"/>
                <w:szCs w:val="20"/>
                <w:vertAlign w:val="superscript"/>
              </w:rPr>
              <w:t>g</w:t>
            </w:r>
          </w:p>
        </w:tc>
        <w:tc>
          <w:tcPr>
            <w:tcW w:w="1417"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lang w:eastAsia="en-AU"/>
              </w:rPr>
              <w:t>146/298 (49.0)</w:t>
            </w:r>
          </w:p>
        </w:tc>
        <w:tc>
          <w:tcPr>
            <w:tcW w:w="1418"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lang w:eastAsia="en-AU"/>
              </w:rPr>
              <w:t>62/149 (41.6)</w:t>
            </w:r>
          </w:p>
        </w:tc>
        <w:tc>
          <w:tcPr>
            <w:tcW w:w="2410"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1.42 (0.94, 2.15)</w:t>
            </w:r>
            <w:r w:rsidRPr="00DE5944">
              <w:rPr>
                <w:rFonts w:ascii="Arial Narrow" w:hAnsi="Arial Narrow"/>
                <w:sz w:val="20"/>
                <w:szCs w:val="20"/>
                <w:vertAlign w:val="superscript"/>
              </w:rPr>
              <w:t>h</w:t>
            </w:r>
            <w:r w:rsidRPr="00DE5944">
              <w:rPr>
                <w:rFonts w:ascii="Arial Narrow" w:hAnsi="Arial Narrow"/>
                <w:sz w:val="20"/>
                <w:szCs w:val="20"/>
              </w:rPr>
              <w:t>, p=0.0937</w:t>
            </w:r>
          </w:p>
        </w:tc>
        <w:tc>
          <w:tcPr>
            <w:tcW w:w="2359"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0.07 (-0.02, 0.17), p=0.1374</w:t>
            </w:r>
          </w:p>
        </w:tc>
      </w:tr>
      <w:tr w:rsidR="00172AD3" w:rsidRPr="00BE1C7D" w:rsidTr="0033010C">
        <w:tc>
          <w:tcPr>
            <w:tcW w:w="1413" w:type="dxa"/>
            <w:tcBorders>
              <w:top w:val="nil"/>
              <w:bottom w:val="single" w:sz="4" w:space="0" w:color="auto"/>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EMBRACE (S2K)</w:t>
            </w:r>
            <w:r w:rsidRPr="00DE5944">
              <w:rPr>
                <w:rFonts w:ascii="Arial Narrow" w:hAnsi="Arial Narrow"/>
                <w:sz w:val="20"/>
                <w:szCs w:val="20"/>
                <w:vertAlign w:val="superscript"/>
              </w:rPr>
              <w:t>g</w:t>
            </w:r>
          </w:p>
        </w:tc>
        <w:tc>
          <w:tcPr>
            <w:tcW w:w="1417"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lang w:eastAsia="en-AU"/>
              </w:rPr>
            </w:pPr>
            <w:r w:rsidRPr="00DE5944">
              <w:rPr>
                <w:rFonts w:ascii="Arial Narrow" w:hAnsi="Arial Narrow"/>
                <w:sz w:val="20"/>
                <w:szCs w:val="20"/>
                <w:lang w:eastAsia="en-AU"/>
              </w:rPr>
              <w:t>145/298 (48.7)</w:t>
            </w:r>
          </w:p>
        </w:tc>
        <w:tc>
          <w:tcPr>
            <w:tcW w:w="1418"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lang w:eastAsia="en-AU"/>
              </w:rPr>
            </w:pPr>
            <w:r w:rsidRPr="00DE5944">
              <w:rPr>
                <w:rFonts w:ascii="Arial Narrow" w:hAnsi="Arial Narrow"/>
                <w:sz w:val="20"/>
                <w:szCs w:val="20"/>
                <w:lang w:eastAsia="en-AU"/>
              </w:rPr>
              <w:t>62/149 (41.6)</w:t>
            </w:r>
          </w:p>
        </w:tc>
        <w:tc>
          <w:tcPr>
            <w:tcW w:w="2410"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1.40 (0.93, 2.11)</w:t>
            </w:r>
            <w:r w:rsidRPr="00DE5944">
              <w:rPr>
                <w:rFonts w:ascii="Arial Narrow" w:hAnsi="Arial Narrow"/>
                <w:sz w:val="20"/>
                <w:szCs w:val="20"/>
                <w:vertAlign w:val="superscript"/>
              </w:rPr>
              <w:t>h</w:t>
            </w:r>
            <w:r w:rsidRPr="00DE5944">
              <w:rPr>
                <w:rFonts w:ascii="Arial Narrow" w:hAnsi="Arial Narrow"/>
                <w:sz w:val="20"/>
                <w:szCs w:val="20"/>
              </w:rPr>
              <w:t>, p=0.1068</w:t>
            </w:r>
          </w:p>
        </w:tc>
        <w:tc>
          <w:tcPr>
            <w:tcW w:w="2359"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0.07 (-0.03, 0.17), p=0.16</w:t>
            </w:r>
          </w:p>
        </w:tc>
      </w:tr>
      <w:tr w:rsidR="00172AD3" w:rsidRPr="00BE1C7D" w:rsidTr="0033010C">
        <w:tc>
          <w:tcPr>
            <w:tcW w:w="4248" w:type="dxa"/>
            <w:gridSpan w:val="3"/>
            <w:tcBorders>
              <w:top w:val="single" w:sz="4" w:space="0" w:color="auto"/>
            </w:tcBorders>
            <w:shd w:val="clear" w:color="auto" w:fill="C6D9F1" w:themeFill="text2" w:themeFillTint="33"/>
            <w:vAlign w:val="center"/>
          </w:tcPr>
          <w:p w:rsidR="00172AD3" w:rsidRPr="00DE5944" w:rsidRDefault="00172AD3" w:rsidP="002A518E">
            <w:pPr>
              <w:keepNext/>
              <w:keepLines/>
              <w:jc w:val="right"/>
              <w:rPr>
                <w:rFonts w:ascii="Arial Narrow" w:hAnsi="Arial Narrow"/>
                <w:sz w:val="20"/>
                <w:szCs w:val="20"/>
              </w:rPr>
            </w:pPr>
            <w:r w:rsidRPr="00DE5944">
              <w:rPr>
                <w:rFonts w:ascii="Arial Narrow" w:hAnsi="Arial Narrow"/>
                <w:sz w:val="20"/>
                <w:szCs w:val="20"/>
              </w:rPr>
              <w:t>Meta-analysis (including EMBRACE – SS results)</w:t>
            </w:r>
          </w:p>
        </w:tc>
        <w:tc>
          <w:tcPr>
            <w:tcW w:w="2410" w:type="dxa"/>
            <w:tcBorders>
              <w:top w:val="single" w:sz="4" w:space="0" w:color="auto"/>
            </w:tcBorders>
            <w:shd w:val="clear" w:color="auto" w:fill="C6D9F1" w:themeFill="text2" w:themeFillTint="33"/>
          </w:tcPr>
          <w:p w:rsidR="00172AD3" w:rsidRPr="00DE5944" w:rsidRDefault="00172AD3" w:rsidP="002A518E">
            <w:pPr>
              <w:pStyle w:val="TableTextCA"/>
              <w:keepNext/>
              <w:keepLines/>
              <w:tabs>
                <w:tab w:val="left" w:pos="3234"/>
              </w:tabs>
              <w:spacing w:before="0" w:after="0"/>
              <w:rPr>
                <w:rFonts w:cs="Times New Roman"/>
                <w:b/>
                <w:szCs w:val="20"/>
              </w:rPr>
            </w:pPr>
            <w:r w:rsidRPr="00DE5944">
              <w:rPr>
                <w:rFonts w:cs="Times New Roman"/>
                <w:b/>
                <w:szCs w:val="20"/>
              </w:rPr>
              <w:t>1.69 (1.45, 1.97), p&lt;0.00001</w:t>
            </w:r>
          </w:p>
        </w:tc>
        <w:tc>
          <w:tcPr>
            <w:tcW w:w="2359" w:type="dxa"/>
            <w:tcBorders>
              <w:top w:val="single" w:sz="4" w:space="0" w:color="auto"/>
            </w:tcBorders>
            <w:shd w:val="clear" w:color="auto" w:fill="C6D9F1" w:themeFill="text2" w:themeFillTint="33"/>
          </w:tcPr>
          <w:p w:rsidR="00172AD3" w:rsidRPr="00DE5944" w:rsidRDefault="00172AD3" w:rsidP="002A518E">
            <w:pPr>
              <w:pStyle w:val="TableTextCA"/>
              <w:keepNext/>
              <w:keepLines/>
              <w:tabs>
                <w:tab w:val="left" w:pos="3234"/>
              </w:tabs>
              <w:spacing w:before="0" w:after="0"/>
              <w:rPr>
                <w:rFonts w:cs="Times New Roman"/>
                <w:b/>
                <w:szCs w:val="20"/>
              </w:rPr>
            </w:pPr>
            <w:r w:rsidRPr="00DE5944">
              <w:rPr>
                <w:rStyle w:val="TableText0"/>
                <w:b/>
                <w:sz w:val="20"/>
                <w:szCs w:val="20"/>
              </w:rPr>
              <w:t>0.12 (0.08, 0.15), p&lt;0.00001</w:t>
            </w:r>
          </w:p>
        </w:tc>
      </w:tr>
      <w:tr w:rsidR="00172AD3" w:rsidRPr="00BE1C7D" w:rsidTr="0033010C">
        <w:tc>
          <w:tcPr>
            <w:tcW w:w="9017" w:type="dxa"/>
            <w:gridSpan w:val="5"/>
            <w:tcBorders>
              <w:bottom w:val="single" w:sz="4" w:space="0" w:color="auto"/>
            </w:tcBorders>
            <w:shd w:val="clear" w:color="auto" w:fill="C6D9F1" w:themeFill="text2" w:themeFillTint="33"/>
            <w:vAlign w:val="center"/>
          </w:tcPr>
          <w:p w:rsidR="00172AD3" w:rsidRPr="00DE5944" w:rsidRDefault="00172AD3" w:rsidP="002A518E">
            <w:pPr>
              <w:keepNext/>
              <w:keepLines/>
              <w:jc w:val="left"/>
              <w:rPr>
                <w:rFonts w:ascii="Arial Narrow" w:hAnsi="Arial Narrow"/>
                <w:b/>
                <w:bCs/>
                <w:sz w:val="20"/>
                <w:szCs w:val="20"/>
              </w:rPr>
            </w:pPr>
            <w:r w:rsidRPr="00DE5944">
              <w:rPr>
                <w:rFonts w:ascii="Arial Narrow" w:hAnsi="Arial Narrow"/>
                <w:b/>
                <w:bCs/>
                <w:sz w:val="20"/>
                <w:szCs w:val="20"/>
              </w:rPr>
              <w:t>≥4 point reduction from baseline in SELENA-SLEDAI score at Week 52</w:t>
            </w:r>
          </w:p>
        </w:tc>
      </w:tr>
      <w:tr w:rsidR="00172AD3" w:rsidRPr="00BE1C7D" w:rsidTr="0033010C">
        <w:tc>
          <w:tcPr>
            <w:tcW w:w="1413" w:type="dxa"/>
            <w:tcBorders>
              <w:bottom w:val="nil"/>
            </w:tcBorders>
            <w:shd w:val="clear" w:color="auto" w:fill="C6D9F1" w:themeFill="text2" w:themeFillTint="33"/>
          </w:tcPr>
          <w:p w:rsidR="00172AD3" w:rsidRPr="00DE5944" w:rsidRDefault="00172AD3" w:rsidP="002A518E">
            <w:pPr>
              <w:keepNext/>
              <w:keepLines/>
              <w:rPr>
                <w:rFonts w:ascii="Arial Narrow" w:hAnsi="Arial Narrow"/>
                <w:sz w:val="20"/>
                <w:szCs w:val="20"/>
                <w:vertAlign w:val="superscript"/>
              </w:rPr>
            </w:pPr>
            <w:r w:rsidRPr="00DE5944">
              <w:rPr>
                <w:rFonts w:ascii="Arial Narrow" w:hAnsi="Arial Narrow"/>
                <w:sz w:val="20"/>
                <w:szCs w:val="20"/>
              </w:rPr>
              <w:t>BLISS-SC</w:t>
            </w:r>
            <w:r w:rsidRPr="00DE5944">
              <w:rPr>
                <w:rFonts w:ascii="Arial Narrow" w:hAnsi="Arial Narrow"/>
                <w:sz w:val="20"/>
                <w:szCs w:val="20"/>
                <w:vertAlign w:val="superscript"/>
              </w:rPr>
              <w:t>a</w:t>
            </w:r>
          </w:p>
        </w:tc>
        <w:tc>
          <w:tcPr>
            <w:tcW w:w="1417"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345/554 (62.3)</w:t>
            </w:r>
          </w:p>
        </w:tc>
        <w:tc>
          <w:tcPr>
            <w:tcW w:w="1418"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137/279 (49.1)</w:t>
            </w:r>
          </w:p>
        </w:tc>
        <w:tc>
          <w:tcPr>
            <w:tcW w:w="2410" w:type="dxa"/>
            <w:tcBorders>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cs="ArialNarrow"/>
                <w:b/>
                <w:snapToGrid/>
                <w:sz w:val="20"/>
                <w:szCs w:val="20"/>
                <w:lang w:eastAsia="en-AU"/>
              </w:rPr>
              <w:t>1.69 (1.26, 2.27)</w:t>
            </w:r>
            <w:r w:rsidRPr="00DE5944">
              <w:rPr>
                <w:rFonts w:ascii="Arial Narrow" w:hAnsi="Arial Narrow" w:cs="ArialNarrow"/>
                <w:b/>
                <w:snapToGrid/>
                <w:sz w:val="20"/>
                <w:szCs w:val="20"/>
                <w:vertAlign w:val="superscript"/>
                <w:lang w:eastAsia="en-AU"/>
              </w:rPr>
              <w:t>b</w:t>
            </w:r>
            <w:r w:rsidRPr="00DE5944">
              <w:rPr>
                <w:rFonts w:ascii="Arial Narrow" w:hAnsi="Arial Narrow" w:cs="ArialNarrow"/>
                <w:b/>
                <w:snapToGrid/>
                <w:sz w:val="20"/>
                <w:szCs w:val="20"/>
                <w:lang w:eastAsia="en-AU"/>
              </w:rPr>
              <w:t>, p=0.0005</w:t>
            </w:r>
          </w:p>
        </w:tc>
        <w:tc>
          <w:tcPr>
            <w:tcW w:w="2359" w:type="dxa"/>
            <w:tcBorders>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0.13 (0.06, 0.20), p=0.0003</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BLISS-52</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169/290 (58.3)</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132/287 (46.0)</w:t>
            </w:r>
          </w:p>
        </w:tc>
        <w:tc>
          <w:tcPr>
            <w:tcW w:w="2410"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napToGrid/>
                <w:sz w:val="20"/>
                <w:szCs w:val="20"/>
                <w:lang w:eastAsia="en-AU"/>
              </w:rPr>
              <w:t>1.71 (1.21, 2.41)</w:t>
            </w:r>
            <w:r w:rsidRPr="00DE5944">
              <w:rPr>
                <w:rFonts w:ascii="Arial Narrow" w:hAnsi="Arial Narrow"/>
                <w:b/>
                <w:snapToGrid/>
                <w:sz w:val="20"/>
                <w:szCs w:val="20"/>
                <w:vertAlign w:val="superscript"/>
                <w:lang w:eastAsia="en-AU"/>
              </w:rPr>
              <w:t>e</w:t>
            </w:r>
            <w:r w:rsidRPr="00DE5944">
              <w:rPr>
                <w:rFonts w:ascii="Arial Narrow" w:hAnsi="Arial Narrow"/>
                <w:b/>
                <w:snapToGrid/>
                <w:sz w:val="20"/>
                <w:szCs w:val="20"/>
                <w:lang w:eastAsia="en-AU"/>
              </w:rPr>
              <w:t>, p=0.0024</w:t>
            </w:r>
          </w:p>
        </w:tc>
        <w:tc>
          <w:tcPr>
            <w:tcW w:w="2359"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0.12 (0.04, 0.20), p=0.0029</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BLISS-76</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128/273 (46.9)</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98/275 (35.6)</w:t>
            </w:r>
          </w:p>
        </w:tc>
        <w:tc>
          <w:tcPr>
            <w:tcW w:w="2410"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napToGrid/>
                <w:sz w:val="20"/>
                <w:szCs w:val="20"/>
                <w:lang w:eastAsia="en-AU"/>
              </w:rPr>
              <w:t>1.63 (1.15, 2.32)</w:t>
            </w:r>
            <w:r w:rsidRPr="00DE5944">
              <w:rPr>
                <w:rFonts w:ascii="Arial Narrow" w:hAnsi="Arial Narrow"/>
                <w:b/>
                <w:snapToGrid/>
                <w:sz w:val="20"/>
                <w:szCs w:val="20"/>
                <w:vertAlign w:val="superscript"/>
                <w:lang w:eastAsia="en-AU"/>
              </w:rPr>
              <w:t>e</w:t>
            </w:r>
            <w:r w:rsidRPr="00DE5944">
              <w:rPr>
                <w:rFonts w:ascii="Arial Narrow" w:hAnsi="Arial Narrow"/>
                <w:b/>
                <w:snapToGrid/>
                <w:sz w:val="20"/>
                <w:szCs w:val="20"/>
                <w:lang w:eastAsia="en-AU"/>
              </w:rPr>
              <w:t>, p=0.0062</w:t>
            </w:r>
          </w:p>
        </w:tc>
        <w:tc>
          <w:tcPr>
            <w:tcW w:w="2359"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0.11 (0.03, 0.19), p=0.0071</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NE-Asia</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249/446 (55.8)</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91/217* (41.9)</w:t>
            </w:r>
          </w:p>
        </w:tc>
        <w:tc>
          <w:tcPr>
            <w:tcW w:w="2410"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2.01 (1.42, 2.86)</w:t>
            </w:r>
            <w:r w:rsidRPr="00DE5944">
              <w:rPr>
                <w:rFonts w:ascii="Arial Narrow" w:hAnsi="Arial Narrow"/>
                <w:b/>
                <w:sz w:val="20"/>
                <w:szCs w:val="20"/>
                <w:vertAlign w:val="superscript"/>
              </w:rPr>
              <w:t>f</w:t>
            </w:r>
            <w:r w:rsidRPr="00DE5944">
              <w:rPr>
                <w:rFonts w:ascii="Arial Narrow" w:hAnsi="Arial Narrow"/>
                <w:b/>
                <w:sz w:val="20"/>
                <w:szCs w:val="20"/>
              </w:rPr>
              <w:t>, p&lt;0.0001</w:t>
            </w:r>
          </w:p>
        </w:tc>
        <w:tc>
          <w:tcPr>
            <w:tcW w:w="2359"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0.14 (0.06, 0.22), p=0.0007</w:t>
            </w:r>
          </w:p>
        </w:tc>
      </w:tr>
      <w:tr w:rsidR="00172AD3" w:rsidRPr="00BE1C7D" w:rsidTr="0033010C">
        <w:tc>
          <w:tcPr>
            <w:tcW w:w="1413" w:type="dxa"/>
            <w:tcBorders>
              <w:top w:val="nil"/>
              <w:bottom w:val="single" w:sz="4" w:space="0" w:color="auto"/>
            </w:tcBorders>
            <w:shd w:val="clear" w:color="auto" w:fill="C6D9F1" w:themeFill="text2" w:themeFillTint="33"/>
          </w:tcPr>
          <w:p w:rsidR="00172AD3" w:rsidRPr="00DE5944" w:rsidRDefault="00172AD3" w:rsidP="002A518E">
            <w:pPr>
              <w:keepNext/>
              <w:keepLines/>
              <w:rPr>
                <w:rFonts w:ascii="Arial Narrow" w:hAnsi="Arial Narrow"/>
                <w:sz w:val="20"/>
                <w:szCs w:val="20"/>
                <w:vertAlign w:val="superscript"/>
              </w:rPr>
            </w:pPr>
            <w:r w:rsidRPr="00DE5944">
              <w:rPr>
                <w:rFonts w:ascii="Arial Narrow" w:hAnsi="Arial Narrow"/>
                <w:sz w:val="20"/>
                <w:szCs w:val="20"/>
              </w:rPr>
              <w:t>EMBRACE (S2K)</w:t>
            </w:r>
            <w:r w:rsidRPr="00DE5944">
              <w:rPr>
                <w:rFonts w:ascii="Arial Narrow" w:hAnsi="Arial Narrow"/>
                <w:sz w:val="20"/>
                <w:szCs w:val="20"/>
                <w:vertAlign w:val="superscript"/>
              </w:rPr>
              <w:t>g</w:t>
            </w:r>
          </w:p>
        </w:tc>
        <w:tc>
          <w:tcPr>
            <w:tcW w:w="1417"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149/298 (50.0)</w:t>
            </w:r>
          </w:p>
        </w:tc>
        <w:tc>
          <w:tcPr>
            <w:tcW w:w="1418"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63/149 (42.3)</w:t>
            </w:r>
          </w:p>
        </w:tc>
        <w:tc>
          <w:tcPr>
            <w:tcW w:w="2410" w:type="dxa"/>
            <w:tcBorders>
              <w:top w:val="nil"/>
              <w:bottom w:val="single" w:sz="4" w:space="0" w:color="auto"/>
            </w:tcBorders>
            <w:shd w:val="clear" w:color="auto" w:fill="C6D9F1" w:themeFill="text2" w:themeFillTint="33"/>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1.46 (0.97, 2.20)</w:t>
            </w:r>
            <w:r w:rsidRPr="00DE5944">
              <w:rPr>
                <w:rFonts w:ascii="Arial Narrow" w:hAnsi="Arial Narrow"/>
                <w:sz w:val="20"/>
                <w:szCs w:val="20"/>
                <w:vertAlign w:val="superscript"/>
              </w:rPr>
              <w:t>h</w:t>
            </w:r>
            <w:r w:rsidRPr="00DE5944">
              <w:rPr>
                <w:rFonts w:ascii="Arial Narrow" w:hAnsi="Arial Narrow"/>
                <w:sz w:val="20"/>
                <w:szCs w:val="20"/>
              </w:rPr>
              <w:t>, p=0.0726</w:t>
            </w:r>
          </w:p>
        </w:tc>
        <w:tc>
          <w:tcPr>
            <w:tcW w:w="2359" w:type="dxa"/>
            <w:tcBorders>
              <w:top w:val="nil"/>
              <w:bottom w:val="single" w:sz="4" w:space="0" w:color="auto"/>
            </w:tcBorders>
            <w:shd w:val="clear" w:color="auto" w:fill="C6D9F1" w:themeFill="text2" w:themeFillTint="33"/>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0.08 (-0.02, 0.17), p=0.1209</w:t>
            </w:r>
          </w:p>
        </w:tc>
      </w:tr>
      <w:tr w:rsidR="00172AD3" w:rsidRPr="00BE1C7D" w:rsidTr="0033010C">
        <w:tc>
          <w:tcPr>
            <w:tcW w:w="4248" w:type="dxa"/>
            <w:gridSpan w:val="3"/>
            <w:tcBorders>
              <w:top w:val="single" w:sz="4" w:space="0" w:color="auto"/>
            </w:tcBorders>
            <w:shd w:val="clear" w:color="auto" w:fill="C6D9F1" w:themeFill="text2" w:themeFillTint="33"/>
            <w:vAlign w:val="center"/>
          </w:tcPr>
          <w:p w:rsidR="00172AD3" w:rsidRPr="00DE5944" w:rsidRDefault="00172AD3" w:rsidP="002A518E">
            <w:pPr>
              <w:keepNext/>
              <w:keepLines/>
              <w:jc w:val="right"/>
              <w:rPr>
                <w:rFonts w:ascii="Arial Narrow" w:hAnsi="Arial Narrow"/>
                <w:sz w:val="20"/>
                <w:szCs w:val="20"/>
              </w:rPr>
            </w:pPr>
            <w:r w:rsidRPr="00DE5944">
              <w:rPr>
                <w:rFonts w:ascii="Arial Narrow" w:hAnsi="Arial Narrow"/>
                <w:sz w:val="20"/>
                <w:szCs w:val="20"/>
              </w:rPr>
              <w:t>Meta-analysis</w:t>
            </w:r>
          </w:p>
        </w:tc>
        <w:tc>
          <w:tcPr>
            <w:tcW w:w="2410" w:type="dxa"/>
            <w:tcBorders>
              <w:top w:val="single" w:sz="4" w:space="0" w:color="auto"/>
            </w:tcBorders>
            <w:shd w:val="clear" w:color="auto" w:fill="C6D9F1" w:themeFill="text2" w:themeFillTint="33"/>
          </w:tcPr>
          <w:p w:rsidR="00172AD3" w:rsidRPr="00DE5944" w:rsidRDefault="00172AD3" w:rsidP="002A518E">
            <w:pPr>
              <w:pStyle w:val="TableTextCA"/>
              <w:keepNext/>
              <w:keepLines/>
              <w:tabs>
                <w:tab w:val="left" w:pos="3234"/>
              </w:tabs>
              <w:spacing w:before="0" w:after="0"/>
              <w:rPr>
                <w:rFonts w:cs="Times New Roman"/>
                <w:b/>
                <w:szCs w:val="20"/>
              </w:rPr>
            </w:pPr>
            <w:r w:rsidRPr="00DE5944">
              <w:rPr>
                <w:rFonts w:cs="Times New Roman"/>
                <w:b/>
                <w:szCs w:val="20"/>
              </w:rPr>
              <w:t>1.70 (1.46, 1.99), p&lt;0.00001</w:t>
            </w:r>
          </w:p>
        </w:tc>
        <w:tc>
          <w:tcPr>
            <w:tcW w:w="2359" w:type="dxa"/>
            <w:tcBorders>
              <w:top w:val="single" w:sz="4" w:space="0" w:color="auto"/>
            </w:tcBorders>
            <w:shd w:val="clear" w:color="auto" w:fill="C6D9F1" w:themeFill="text2" w:themeFillTint="33"/>
          </w:tcPr>
          <w:p w:rsidR="00172AD3" w:rsidRPr="00DE5944" w:rsidRDefault="00172AD3" w:rsidP="002A518E">
            <w:pPr>
              <w:pStyle w:val="TableTextCA"/>
              <w:keepNext/>
              <w:keepLines/>
              <w:tabs>
                <w:tab w:val="left" w:pos="3234"/>
              </w:tabs>
              <w:spacing w:before="0" w:after="0"/>
              <w:rPr>
                <w:rFonts w:cs="Times New Roman"/>
                <w:b/>
                <w:szCs w:val="20"/>
              </w:rPr>
            </w:pPr>
            <w:r w:rsidRPr="00DE5944">
              <w:rPr>
                <w:rStyle w:val="TableText0"/>
                <w:b/>
                <w:sz w:val="20"/>
                <w:szCs w:val="20"/>
              </w:rPr>
              <w:t>0.12 (0.08, 0.16), p&lt;0.00001</w:t>
            </w:r>
          </w:p>
        </w:tc>
      </w:tr>
      <w:tr w:rsidR="00172AD3" w:rsidRPr="00BE1C7D" w:rsidTr="0033010C">
        <w:tc>
          <w:tcPr>
            <w:tcW w:w="9017" w:type="dxa"/>
            <w:gridSpan w:val="5"/>
            <w:tcBorders>
              <w:bottom w:val="single" w:sz="4" w:space="0" w:color="auto"/>
            </w:tcBorders>
            <w:shd w:val="clear" w:color="auto" w:fill="C6D9F1" w:themeFill="text2" w:themeFillTint="33"/>
            <w:vAlign w:val="center"/>
          </w:tcPr>
          <w:p w:rsidR="00172AD3" w:rsidRPr="00DE5944" w:rsidRDefault="00172AD3" w:rsidP="002A518E">
            <w:pPr>
              <w:keepNext/>
              <w:keepLines/>
              <w:jc w:val="left"/>
              <w:rPr>
                <w:rFonts w:ascii="Arial Narrow" w:hAnsi="Arial Narrow"/>
                <w:b/>
                <w:bCs/>
                <w:sz w:val="20"/>
                <w:szCs w:val="20"/>
              </w:rPr>
            </w:pPr>
            <w:r w:rsidRPr="00DE5944">
              <w:rPr>
                <w:rFonts w:ascii="Arial Narrow" w:hAnsi="Arial Narrow"/>
                <w:b/>
                <w:bCs/>
                <w:sz w:val="20"/>
                <w:szCs w:val="20"/>
              </w:rPr>
              <w:t xml:space="preserve">No worsening (increase of &lt;0.30 points from baseline) in PGA by Week 52 </w:t>
            </w:r>
          </w:p>
        </w:tc>
      </w:tr>
      <w:tr w:rsidR="00172AD3" w:rsidRPr="00BE1C7D" w:rsidTr="0033010C">
        <w:tc>
          <w:tcPr>
            <w:tcW w:w="1413" w:type="dxa"/>
            <w:tcBorders>
              <w:bottom w:val="nil"/>
            </w:tcBorders>
            <w:shd w:val="clear" w:color="auto" w:fill="C6D9F1" w:themeFill="text2" w:themeFillTint="33"/>
          </w:tcPr>
          <w:p w:rsidR="00172AD3" w:rsidRPr="00DE5944" w:rsidRDefault="00172AD3" w:rsidP="002A518E">
            <w:pPr>
              <w:keepNext/>
              <w:keepLines/>
              <w:rPr>
                <w:rFonts w:ascii="Arial Narrow" w:hAnsi="Arial Narrow"/>
                <w:sz w:val="20"/>
                <w:szCs w:val="20"/>
                <w:vertAlign w:val="superscript"/>
              </w:rPr>
            </w:pPr>
            <w:r w:rsidRPr="00DE5944">
              <w:rPr>
                <w:rFonts w:ascii="Arial Narrow" w:hAnsi="Arial Narrow"/>
                <w:sz w:val="20"/>
                <w:szCs w:val="20"/>
              </w:rPr>
              <w:t>BLISS-SC</w:t>
            </w:r>
            <w:r w:rsidRPr="00DE5944">
              <w:rPr>
                <w:rFonts w:ascii="Arial Narrow" w:hAnsi="Arial Narrow"/>
                <w:sz w:val="20"/>
                <w:szCs w:val="20"/>
                <w:vertAlign w:val="superscript"/>
              </w:rPr>
              <w:t>a</w:t>
            </w:r>
          </w:p>
        </w:tc>
        <w:tc>
          <w:tcPr>
            <w:tcW w:w="1417"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450/554 (81.2)</w:t>
            </w:r>
          </w:p>
        </w:tc>
        <w:tc>
          <w:tcPr>
            <w:tcW w:w="1418"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203/279 (72.8)</w:t>
            </w:r>
          </w:p>
        </w:tc>
        <w:tc>
          <w:tcPr>
            <w:tcW w:w="2410" w:type="dxa"/>
            <w:tcBorders>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cs="ArialNarrow"/>
                <w:b/>
                <w:snapToGrid/>
                <w:sz w:val="20"/>
                <w:szCs w:val="20"/>
                <w:lang w:eastAsia="en-AU"/>
              </w:rPr>
              <w:t>1.61 (1.15, 2.27)</w:t>
            </w:r>
            <w:r w:rsidRPr="00DE5944">
              <w:rPr>
                <w:rFonts w:ascii="Arial Narrow" w:hAnsi="Arial Narrow" w:cs="ArialNarrow"/>
                <w:b/>
                <w:snapToGrid/>
                <w:sz w:val="20"/>
                <w:szCs w:val="20"/>
                <w:vertAlign w:val="superscript"/>
                <w:lang w:eastAsia="en-AU"/>
              </w:rPr>
              <w:t>b, c</w:t>
            </w:r>
            <w:r w:rsidRPr="00DE5944">
              <w:rPr>
                <w:rFonts w:ascii="Arial Narrow" w:hAnsi="Arial Narrow" w:cs="ArialNarrow"/>
                <w:b/>
                <w:snapToGrid/>
                <w:sz w:val="20"/>
                <w:szCs w:val="20"/>
                <w:lang w:eastAsia="en-AU"/>
              </w:rPr>
              <w:t>, p=0.0061</w:t>
            </w:r>
          </w:p>
        </w:tc>
        <w:tc>
          <w:tcPr>
            <w:tcW w:w="2359" w:type="dxa"/>
            <w:tcBorders>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0.08 (0.02, 0.15), p=0.0070</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BLISS-52</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231/290 (79.7)</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199/287 (69.3)</w:t>
            </w:r>
          </w:p>
        </w:tc>
        <w:tc>
          <w:tcPr>
            <w:tcW w:w="2410"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napToGrid/>
                <w:sz w:val="20"/>
                <w:szCs w:val="20"/>
                <w:lang w:eastAsia="en-AU"/>
              </w:rPr>
              <w:t>1.74 (1.18, 2.55)</w:t>
            </w:r>
            <w:r w:rsidRPr="00DE5944">
              <w:rPr>
                <w:rFonts w:ascii="Arial Narrow" w:hAnsi="Arial Narrow"/>
                <w:b/>
                <w:snapToGrid/>
                <w:sz w:val="20"/>
                <w:szCs w:val="20"/>
                <w:vertAlign w:val="superscript"/>
                <w:lang w:eastAsia="en-AU"/>
              </w:rPr>
              <w:t>e, c</w:t>
            </w:r>
            <w:r w:rsidRPr="00DE5944">
              <w:rPr>
                <w:rFonts w:ascii="Arial Narrow" w:hAnsi="Arial Narrow"/>
                <w:b/>
                <w:snapToGrid/>
                <w:sz w:val="20"/>
                <w:szCs w:val="20"/>
                <w:lang w:eastAsia="en-AU"/>
              </w:rPr>
              <w:t>, p=0.0048</w:t>
            </w:r>
          </w:p>
        </w:tc>
        <w:tc>
          <w:tcPr>
            <w:tcW w:w="2359"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0.10 (0.03, 0.17), p=0.0042</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BLISS-76</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189/273 (69.2)</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173/275 (62.9)</w:t>
            </w:r>
          </w:p>
        </w:tc>
        <w:tc>
          <w:tcPr>
            <w:tcW w:w="2410"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sz w:val="20"/>
                <w:szCs w:val="20"/>
              </w:rPr>
            </w:pPr>
            <w:r w:rsidRPr="00DE5944">
              <w:rPr>
                <w:rFonts w:ascii="Arial Narrow" w:hAnsi="Arial Narrow"/>
                <w:snapToGrid/>
                <w:sz w:val="20"/>
                <w:szCs w:val="20"/>
                <w:lang w:eastAsia="en-AU"/>
              </w:rPr>
              <w:t>1.32 (0.92, 1.90)</w:t>
            </w:r>
            <w:r w:rsidRPr="00DE5944">
              <w:rPr>
                <w:rFonts w:ascii="Arial Narrow" w:hAnsi="Arial Narrow"/>
                <w:snapToGrid/>
                <w:sz w:val="20"/>
                <w:szCs w:val="20"/>
                <w:vertAlign w:val="superscript"/>
                <w:lang w:eastAsia="en-AU"/>
              </w:rPr>
              <w:t>e, c</w:t>
            </w:r>
            <w:r w:rsidRPr="00DE5944">
              <w:rPr>
                <w:rFonts w:ascii="Arial Narrow" w:hAnsi="Arial Narrow"/>
                <w:snapToGrid/>
                <w:sz w:val="20"/>
                <w:szCs w:val="20"/>
                <w:lang w:eastAsia="en-AU"/>
              </w:rPr>
              <w:t>, p=0.1258</w:t>
            </w:r>
          </w:p>
        </w:tc>
        <w:tc>
          <w:tcPr>
            <w:tcW w:w="2359"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0.06 (-0.02, 0.14), p=0.1173</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NE-Asia</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345/446 (77.4)</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149/217 (68.7)</w:t>
            </w:r>
          </w:p>
        </w:tc>
        <w:tc>
          <w:tcPr>
            <w:tcW w:w="2410"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1.57 (1.09, 2.27)</w:t>
            </w:r>
            <w:r w:rsidRPr="00DE5944">
              <w:rPr>
                <w:rFonts w:ascii="Arial Narrow" w:hAnsi="Arial Narrow"/>
                <w:b/>
                <w:sz w:val="20"/>
                <w:szCs w:val="20"/>
                <w:vertAlign w:val="superscript"/>
              </w:rPr>
              <w:t>f, c</w:t>
            </w:r>
            <w:r w:rsidRPr="00DE5944">
              <w:rPr>
                <w:rFonts w:ascii="Arial Narrow" w:hAnsi="Arial Narrow"/>
                <w:b/>
                <w:sz w:val="20"/>
                <w:szCs w:val="20"/>
              </w:rPr>
              <w:t>, p=0.0149</w:t>
            </w:r>
          </w:p>
        </w:tc>
        <w:tc>
          <w:tcPr>
            <w:tcW w:w="2359" w:type="dxa"/>
            <w:tcBorders>
              <w:top w:val="nil"/>
              <w:bottom w:val="nil"/>
            </w:tcBorders>
            <w:shd w:val="clear" w:color="auto" w:fill="C6D9F1" w:themeFill="text2" w:themeFillTint="33"/>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0.09 (0.01, 0.16), p=0.0195</w:t>
            </w:r>
          </w:p>
        </w:tc>
      </w:tr>
      <w:tr w:rsidR="00172AD3" w:rsidRPr="00BE1C7D" w:rsidTr="0033010C">
        <w:tc>
          <w:tcPr>
            <w:tcW w:w="1413" w:type="dxa"/>
            <w:tcBorders>
              <w:top w:val="nil"/>
              <w:bottom w:val="single" w:sz="4" w:space="0" w:color="auto"/>
            </w:tcBorders>
            <w:shd w:val="clear" w:color="auto" w:fill="C6D9F1" w:themeFill="text2" w:themeFillTint="33"/>
          </w:tcPr>
          <w:p w:rsidR="00172AD3" w:rsidRPr="00DE5944" w:rsidRDefault="00172AD3" w:rsidP="002A518E">
            <w:pPr>
              <w:keepNext/>
              <w:keepLines/>
              <w:rPr>
                <w:rFonts w:ascii="Arial Narrow" w:hAnsi="Arial Narrow"/>
                <w:sz w:val="20"/>
                <w:szCs w:val="20"/>
                <w:vertAlign w:val="superscript"/>
              </w:rPr>
            </w:pPr>
            <w:r w:rsidRPr="00DE5944">
              <w:rPr>
                <w:rFonts w:ascii="Arial Narrow" w:hAnsi="Arial Narrow"/>
                <w:sz w:val="20"/>
                <w:szCs w:val="20"/>
              </w:rPr>
              <w:t>EMBRACE</w:t>
            </w:r>
            <w:r w:rsidRPr="00DE5944">
              <w:rPr>
                <w:rFonts w:ascii="Arial Narrow" w:hAnsi="Arial Narrow"/>
                <w:sz w:val="20"/>
                <w:szCs w:val="20"/>
                <w:vertAlign w:val="superscript"/>
              </w:rPr>
              <w:t>g</w:t>
            </w:r>
          </w:p>
        </w:tc>
        <w:tc>
          <w:tcPr>
            <w:tcW w:w="1417"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207/298 (69.5)</w:t>
            </w:r>
          </w:p>
        </w:tc>
        <w:tc>
          <w:tcPr>
            <w:tcW w:w="1418"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96/149 (64.4)</w:t>
            </w:r>
          </w:p>
        </w:tc>
        <w:tc>
          <w:tcPr>
            <w:tcW w:w="2410" w:type="dxa"/>
            <w:tcBorders>
              <w:top w:val="nil"/>
              <w:bottom w:val="single" w:sz="4" w:space="0" w:color="auto"/>
            </w:tcBorders>
            <w:shd w:val="clear" w:color="auto" w:fill="C6D9F1" w:themeFill="text2" w:themeFillTint="33"/>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1.26 (0.82, 1.93)</w:t>
            </w:r>
            <w:r w:rsidRPr="00DE5944">
              <w:rPr>
                <w:rFonts w:ascii="Arial Narrow" w:hAnsi="Arial Narrow"/>
                <w:sz w:val="20"/>
                <w:szCs w:val="20"/>
                <w:vertAlign w:val="superscript"/>
              </w:rPr>
              <w:t>h ,c</w:t>
            </w:r>
            <w:r w:rsidRPr="00DE5944">
              <w:rPr>
                <w:rFonts w:ascii="Arial Narrow" w:hAnsi="Arial Narrow"/>
                <w:sz w:val="20"/>
                <w:szCs w:val="20"/>
              </w:rPr>
              <w:t>, p=0.2856</w:t>
            </w:r>
          </w:p>
        </w:tc>
        <w:tc>
          <w:tcPr>
            <w:tcW w:w="2359" w:type="dxa"/>
            <w:tcBorders>
              <w:top w:val="nil"/>
              <w:bottom w:val="single" w:sz="4" w:space="0" w:color="auto"/>
            </w:tcBorders>
            <w:shd w:val="clear" w:color="auto" w:fill="C6D9F1" w:themeFill="text2" w:themeFillTint="33"/>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0.05 (-0.04, 0.14), p=0.2886</w:t>
            </w:r>
          </w:p>
        </w:tc>
      </w:tr>
      <w:tr w:rsidR="00172AD3" w:rsidRPr="00BE1C7D" w:rsidTr="0033010C">
        <w:tc>
          <w:tcPr>
            <w:tcW w:w="4248" w:type="dxa"/>
            <w:gridSpan w:val="3"/>
            <w:tcBorders>
              <w:top w:val="single" w:sz="4" w:space="0" w:color="auto"/>
            </w:tcBorders>
            <w:shd w:val="clear" w:color="auto" w:fill="C6D9F1" w:themeFill="text2" w:themeFillTint="33"/>
            <w:vAlign w:val="center"/>
          </w:tcPr>
          <w:p w:rsidR="00172AD3" w:rsidRPr="00DE5944" w:rsidRDefault="00172AD3" w:rsidP="002A518E">
            <w:pPr>
              <w:keepNext/>
              <w:keepLines/>
              <w:jc w:val="right"/>
              <w:rPr>
                <w:rFonts w:ascii="Arial Narrow" w:hAnsi="Arial Narrow"/>
                <w:sz w:val="20"/>
                <w:szCs w:val="20"/>
              </w:rPr>
            </w:pPr>
            <w:r w:rsidRPr="00DE5944">
              <w:rPr>
                <w:rFonts w:ascii="Arial Narrow" w:hAnsi="Arial Narrow"/>
                <w:sz w:val="20"/>
                <w:szCs w:val="20"/>
              </w:rPr>
              <w:t>Meta-analysis</w:t>
            </w:r>
          </w:p>
        </w:tc>
        <w:tc>
          <w:tcPr>
            <w:tcW w:w="2410" w:type="dxa"/>
            <w:tcBorders>
              <w:top w:val="single" w:sz="4" w:space="0" w:color="auto"/>
            </w:tcBorders>
            <w:shd w:val="clear" w:color="auto" w:fill="C6D9F1" w:themeFill="text2" w:themeFillTint="33"/>
          </w:tcPr>
          <w:p w:rsidR="00172AD3" w:rsidRPr="00DE5944" w:rsidRDefault="00172AD3" w:rsidP="002A518E">
            <w:pPr>
              <w:pStyle w:val="TableTextCA"/>
              <w:keepNext/>
              <w:keepLines/>
              <w:tabs>
                <w:tab w:val="left" w:pos="3234"/>
              </w:tabs>
              <w:spacing w:before="0" w:after="0"/>
              <w:rPr>
                <w:rFonts w:cs="Times New Roman"/>
                <w:b/>
                <w:szCs w:val="20"/>
              </w:rPr>
            </w:pPr>
            <w:r w:rsidRPr="00DE5944">
              <w:rPr>
                <w:rFonts w:cs="Times New Roman"/>
                <w:b/>
                <w:szCs w:val="20"/>
              </w:rPr>
              <w:t>1.50 (1.27, 1.77), p&lt;0.00001</w:t>
            </w:r>
          </w:p>
        </w:tc>
        <w:tc>
          <w:tcPr>
            <w:tcW w:w="2359" w:type="dxa"/>
            <w:tcBorders>
              <w:top w:val="single" w:sz="4" w:space="0" w:color="auto"/>
            </w:tcBorders>
            <w:shd w:val="clear" w:color="auto" w:fill="C6D9F1" w:themeFill="text2" w:themeFillTint="33"/>
          </w:tcPr>
          <w:p w:rsidR="00172AD3" w:rsidRPr="00DE5944" w:rsidRDefault="00172AD3" w:rsidP="002A518E">
            <w:pPr>
              <w:pStyle w:val="TableTextCA"/>
              <w:keepNext/>
              <w:keepLines/>
              <w:tabs>
                <w:tab w:val="left" w:pos="3234"/>
              </w:tabs>
              <w:spacing w:before="0" w:after="0"/>
              <w:rPr>
                <w:rFonts w:cs="Times New Roman"/>
                <w:b/>
                <w:szCs w:val="20"/>
              </w:rPr>
            </w:pPr>
            <w:r w:rsidRPr="00DE5944">
              <w:rPr>
                <w:rStyle w:val="TableText0"/>
                <w:b/>
                <w:sz w:val="20"/>
                <w:szCs w:val="20"/>
              </w:rPr>
              <w:t>0.08 (0.05, 0.11), p&lt;0.00001</w:t>
            </w:r>
          </w:p>
        </w:tc>
      </w:tr>
      <w:tr w:rsidR="00172AD3" w:rsidRPr="00BE1C7D" w:rsidTr="0033010C">
        <w:tc>
          <w:tcPr>
            <w:tcW w:w="9017" w:type="dxa"/>
            <w:gridSpan w:val="5"/>
            <w:tcBorders>
              <w:bottom w:val="single" w:sz="4" w:space="0" w:color="auto"/>
            </w:tcBorders>
            <w:shd w:val="clear" w:color="auto" w:fill="C6D9F1" w:themeFill="text2" w:themeFillTint="33"/>
            <w:vAlign w:val="center"/>
          </w:tcPr>
          <w:p w:rsidR="00172AD3" w:rsidRPr="00DE5944" w:rsidRDefault="00172AD3" w:rsidP="002A518E">
            <w:pPr>
              <w:keepNext/>
              <w:keepLines/>
              <w:jc w:val="left"/>
              <w:rPr>
                <w:rFonts w:ascii="Arial Narrow" w:hAnsi="Arial Narrow"/>
                <w:b/>
                <w:bCs/>
                <w:sz w:val="20"/>
                <w:szCs w:val="20"/>
              </w:rPr>
            </w:pPr>
            <w:r w:rsidRPr="00DE5944">
              <w:rPr>
                <w:rFonts w:ascii="Arial Narrow" w:hAnsi="Arial Narrow"/>
                <w:b/>
                <w:bCs/>
                <w:sz w:val="20"/>
                <w:szCs w:val="20"/>
              </w:rPr>
              <w:t>No new 1A/2B BILAG domain scores  at Week 52</w:t>
            </w:r>
          </w:p>
        </w:tc>
      </w:tr>
      <w:tr w:rsidR="00172AD3" w:rsidRPr="00BE1C7D" w:rsidTr="0033010C">
        <w:tc>
          <w:tcPr>
            <w:tcW w:w="1413" w:type="dxa"/>
            <w:tcBorders>
              <w:bottom w:val="nil"/>
            </w:tcBorders>
            <w:shd w:val="clear" w:color="auto" w:fill="C6D9F1" w:themeFill="text2" w:themeFillTint="33"/>
          </w:tcPr>
          <w:p w:rsidR="00172AD3" w:rsidRPr="00DE5944" w:rsidRDefault="00172AD3" w:rsidP="002A518E">
            <w:pPr>
              <w:keepNext/>
              <w:keepLines/>
              <w:rPr>
                <w:rFonts w:ascii="Arial Narrow" w:hAnsi="Arial Narrow"/>
                <w:sz w:val="20"/>
                <w:szCs w:val="20"/>
                <w:vertAlign w:val="superscript"/>
              </w:rPr>
            </w:pPr>
            <w:r w:rsidRPr="00DE5944">
              <w:rPr>
                <w:rFonts w:ascii="Arial Narrow" w:hAnsi="Arial Narrow"/>
                <w:sz w:val="20"/>
                <w:szCs w:val="20"/>
              </w:rPr>
              <w:t>BLISS-SC</w:t>
            </w:r>
            <w:r w:rsidRPr="00DE5944">
              <w:rPr>
                <w:rFonts w:ascii="Arial Narrow" w:hAnsi="Arial Narrow"/>
                <w:sz w:val="20"/>
                <w:szCs w:val="20"/>
                <w:vertAlign w:val="superscript"/>
              </w:rPr>
              <w:t>a</w:t>
            </w:r>
          </w:p>
        </w:tc>
        <w:tc>
          <w:tcPr>
            <w:tcW w:w="1417"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448/554 (80.9)</w:t>
            </w:r>
          </w:p>
        </w:tc>
        <w:tc>
          <w:tcPr>
            <w:tcW w:w="1418"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207/279 (74.2)</w:t>
            </w:r>
          </w:p>
        </w:tc>
        <w:tc>
          <w:tcPr>
            <w:tcW w:w="2410"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cs="ArialNarrow"/>
                <w:b/>
                <w:snapToGrid/>
                <w:sz w:val="20"/>
                <w:szCs w:val="20"/>
                <w:lang w:eastAsia="en-AU"/>
              </w:rPr>
              <w:t>1.46 (1.04, 2.07)</w:t>
            </w:r>
            <w:r w:rsidRPr="00DE5944">
              <w:rPr>
                <w:rFonts w:ascii="Arial Narrow" w:hAnsi="Arial Narrow" w:cs="ArialNarrow"/>
                <w:b/>
                <w:snapToGrid/>
                <w:sz w:val="20"/>
                <w:szCs w:val="20"/>
                <w:vertAlign w:val="superscript"/>
                <w:lang w:eastAsia="en-AU"/>
              </w:rPr>
              <w:t>b ,d</w:t>
            </w:r>
            <w:r w:rsidRPr="00DE5944">
              <w:rPr>
                <w:rFonts w:ascii="Arial Narrow" w:hAnsi="Arial Narrow" w:cs="ArialNarrow"/>
                <w:b/>
                <w:snapToGrid/>
                <w:sz w:val="20"/>
                <w:szCs w:val="20"/>
                <w:lang w:eastAsia="en-AU"/>
              </w:rPr>
              <w:t>, p=0.0305</w:t>
            </w:r>
          </w:p>
        </w:tc>
        <w:tc>
          <w:tcPr>
            <w:tcW w:w="2359" w:type="dxa"/>
            <w:tcBorders>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 xml:space="preserve">0.07 (0.01, 0.13), </w:t>
            </w:r>
            <w:r w:rsidRPr="00DE5944">
              <w:rPr>
                <w:rFonts w:ascii="Arial Narrow" w:hAnsi="Arial Narrow"/>
                <w:b/>
                <w:sz w:val="20"/>
                <w:szCs w:val="20"/>
                <w:lang w:eastAsia="en-AU"/>
              </w:rPr>
              <w:t>p=</w:t>
            </w:r>
            <w:r w:rsidRPr="00DE5944">
              <w:rPr>
                <w:rFonts w:ascii="Arial Narrow" w:hAnsi="Arial Narrow"/>
                <w:b/>
                <w:sz w:val="20"/>
                <w:szCs w:val="20"/>
              </w:rPr>
              <w:t>0.0318</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BLISS-52</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236/290 (81.4)</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210/287 (73.2)</w:t>
            </w:r>
          </w:p>
        </w:tc>
        <w:tc>
          <w:tcPr>
            <w:tcW w:w="2410"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napToGrid/>
                <w:sz w:val="20"/>
                <w:szCs w:val="20"/>
                <w:lang w:eastAsia="en-AU"/>
              </w:rPr>
              <w:t>1.62 (1.09, 2.42)</w:t>
            </w:r>
            <w:r w:rsidRPr="00DE5944">
              <w:rPr>
                <w:rFonts w:ascii="Arial Narrow" w:hAnsi="Arial Narrow"/>
                <w:b/>
                <w:snapToGrid/>
                <w:sz w:val="20"/>
                <w:szCs w:val="20"/>
                <w:vertAlign w:val="superscript"/>
                <w:lang w:eastAsia="en-AU"/>
              </w:rPr>
              <w:t>e, d</w:t>
            </w:r>
            <w:r w:rsidRPr="00DE5944">
              <w:rPr>
                <w:rFonts w:ascii="Arial Narrow" w:hAnsi="Arial Narrow"/>
                <w:b/>
                <w:snapToGrid/>
                <w:sz w:val="20"/>
                <w:szCs w:val="20"/>
                <w:lang w:eastAsia="en-AU"/>
              </w:rPr>
              <w:t>, p=0.0181</w:t>
            </w:r>
          </w:p>
        </w:tc>
        <w:tc>
          <w:tcPr>
            <w:tcW w:w="2359"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 xml:space="preserve">0.08 (0.01, 0.15), </w:t>
            </w:r>
            <w:r w:rsidRPr="00DE5944">
              <w:rPr>
                <w:rFonts w:ascii="Arial Narrow" w:hAnsi="Arial Narrow"/>
                <w:b/>
                <w:sz w:val="20"/>
                <w:szCs w:val="20"/>
                <w:lang w:eastAsia="en-AU"/>
              </w:rPr>
              <w:t>p=</w:t>
            </w:r>
            <w:r w:rsidRPr="00DE5944">
              <w:rPr>
                <w:rFonts w:ascii="Arial Narrow" w:hAnsi="Arial Narrow"/>
                <w:b/>
                <w:sz w:val="20"/>
                <w:szCs w:val="20"/>
              </w:rPr>
              <w:t>0.0181</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BLISS-76</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189/273 (69.2)</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179/275 (65.1)</w:t>
            </w:r>
          </w:p>
        </w:tc>
        <w:tc>
          <w:tcPr>
            <w:tcW w:w="2410"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napToGrid/>
                <w:sz w:val="20"/>
                <w:szCs w:val="20"/>
                <w:lang w:eastAsia="en-AU"/>
              </w:rPr>
              <w:t>1.20 (0.84, 1.73)</w:t>
            </w:r>
            <w:r w:rsidRPr="00DE5944">
              <w:rPr>
                <w:rFonts w:ascii="Arial Narrow" w:hAnsi="Arial Narrow"/>
                <w:snapToGrid/>
                <w:sz w:val="20"/>
                <w:szCs w:val="20"/>
                <w:vertAlign w:val="superscript"/>
                <w:lang w:eastAsia="en-AU"/>
              </w:rPr>
              <w:t>e, d</w:t>
            </w:r>
            <w:r w:rsidRPr="00DE5944">
              <w:rPr>
                <w:rFonts w:ascii="Arial Narrow" w:hAnsi="Arial Narrow"/>
                <w:snapToGrid/>
                <w:sz w:val="20"/>
                <w:szCs w:val="20"/>
                <w:lang w:eastAsia="en-AU"/>
              </w:rPr>
              <w:t>, p=0.3193</w:t>
            </w:r>
          </w:p>
        </w:tc>
        <w:tc>
          <w:tcPr>
            <w:tcW w:w="2359"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0.04 (-0.04, 0.12),</w:t>
            </w:r>
            <w:r w:rsidRPr="00DE5944">
              <w:rPr>
                <w:rFonts w:ascii="Arial Narrow" w:hAnsi="Arial Narrow"/>
                <w:sz w:val="20"/>
                <w:szCs w:val="20"/>
                <w:lang w:eastAsia="en-AU"/>
              </w:rPr>
              <w:t xml:space="preserve"> p=</w:t>
            </w:r>
            <w:r w:rsidRPr="00DE5944">
              <w:rPr>
                <w:rFonts w:ascii="Arial Narrow" w:hAnsi="Arial Narrow"/>
                <w:sz w:val="20"/>
                <w:szCs w:val="20"/>
              </w:rPr>
              <w:t>0.3017</w:t>
            </w:r>
          </w:p>
        </w:tc>
      </w:tr>
      <w:tr w:rsidR="00172AD3" w:rsidRPr="00BE1C7D" w:rsidTr="0033010C">
        <w:tc>
          <w:tcPr>
            <w:tcW w:w="1413" w:type="dxa"/>
            <w:tcBorders>
              <w:top w:val="nil"/>
              <w:bottom w:val="nil"/>
            </w:tcBorders>
            <w:shd w:val="clear" w:color="auto" w:fill="C6D9F1" w:themeFill="text2" w:themeFillTint="33"/>
          </w:tcPr>
          <w:p w:rsidR="00172AD3" w:rsidRPr="00DE5944" w:rsidRDefault="00172AD3" w:rsidP="002A518E">
            <w:pPr>
              <w:keepNext/>
              <w:keepLines/>
              <w:rPr>
                <w:rFonts w:ascii="Arial Narrow" w:hAnsi="Arial Narrow"/>
                <w:sz w:val="20"/>
                <w:szCs w:val="20"/>
              </w:rPr>
            </w:pPr>
            <w:r w:rsidRPr="00DE5944">
              <w:rPr>
                <w:rFonts w:ascii="Arial Narrow" w:hAnsi="Arial Narrow"/>
                <w:sz w:val="20"/>
                <w:szCs w:val="20"/>
              </w:rPr>
              <w:t>NE-Asia</w:t>
            </w:r>
          </w:p>
        </w:tc>
        <w:tc>
          <w:tcPr>
            <w:tcW w:w="1417"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358/446 (80.3)</w:t>
            </w:r>
          </w:p>
        </w:tc>
        <w:tc>
          <w:tcPr>
            <w:tcW w:w="1418"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148/217 (68.2)</w:t>
            </w:r>
          </w:p>
        </w:tc>
        <w:tc>
          <w:tcPr>
            <w:tcW w:w="2410"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rPr>
              <w:t>1.91 (1.32, 2.77)</w:t>
            </w:r>
            <w:r w:rsidRPr="00DE5944">
              <w:rPr>
                <w:rFonts w:ascii="Arial Narrow" w:hAnsi="Arial Narrow"/>
                <w:b/>
                <w:sz w:val="20"/>
                <w:szCs w:val="20"/>
                <w:vertAlign w:val="superscript"/>
              </w:rPr>
              <w:t>f, d</w:t>
            </w:r>
            <w:r w:rsidRPr="00DE5944">
              <w:rPr>
                <w:rFonts w:ascii="Arial Narrow" w:hAnsi="Arial Narrow"/>
                <w:b/>
                <w:sz w:val="20"/>
                <w:szCs w:val="20"/>
              </w:rPr>
              <w:t>, p=0.0007</w:t>
            </w:r>
          </w:p>
        </w:tc>
        <w:tc>
          <w:tcPr>
            <w:tcW w:w="2359" w:type="dxa"/>
            <w:tcBorders>
              <w:top w:val="nil"/>
              <w:bottom w:val="nil"/>
            </w:tcBorders>
            <w:shd w:val="clear" w:color="auto" w:fill="C6D9F1" w:themeFill="text2" w:themeFillTint="33"/>
            <w:vAlign w:val="center"/>
          </w:tcPr>
          <w:p w:rsidR="00172AD3" w:rsidRPr="00DE5944" w:rsidRDefault="00172AD3" w:rsidP="002A518E">
            <w:pPr>
              <w:keepNext/>
              <w:keepLines/>
              <w:jc w:val="center"/>
              <w:rPr>
                <w:rFonts w:ascii="Arial Narrow" w:hAnsi="Arial Narrow"/>
                <w:b/>
                <w:sz w:val="20"/>
                <w:szCs w:val="20"/>
              </w:rPr>
            </w:pPr>
            <w:r w:rsidRPr="00DE5944">
              <w:rPr>
                <w:rFonts w:ascii="Arial Narrow" w:hAnsi="Arial Narrow"/>
                <w:b/>
                <w:sz w:val="20"/>
                <w:szCs w:val="20"/>
                <w:lang w:eastAsia="en-AU"/>
              </w:rPr>
              <w:t>0.12 (0.05, 0.19), p=0.0010</w:t>
            </w:r>
          </w:p>
        </w:tc>
      </w:tr>
      <w:tr w:rsidR="00172AD3" w:rsidRPr="00BE1C7D" w:rsidTr="0033010C">
        <w:tc>
          <w:tcPr>
            <w:tcW w:w="1413" w:type="dxa"/>
            <w:tcBorders>
              <w:top w:val="nil"/>
              <w:bottom w:val="single" w:sz="4" w:space="0" w:color="auto"/>
            </w:tcBorders>
            <w:shd w:val="clear" w:color="auto" w:fill="C6D9F1" w:themeFill="text2" w:themeFillTint="33"/>
          </w:tcPr>
          <w:p w:rsidR="00172AD3" w:rsidRPr="00DE5944" w:rsidRDefault="00172AD3" w:rsidP="002A518E">
            <w:pPr>
              <w:keepNext/>
              <w:keepLines/>
              <w:rPr>
                <w:rFonts w:ascii="Arial Narrow" w:hAnsi="Arial Narrow"/>
                <w:sz w:val="20"/>
                <w:szCs w:val="20"/>
                <w:vertAlign w:val="superscript"/>
              </w:rPr>
            </w:pPr>
            <w:r w:rsidRPr="00DE5944">
              <w:rPr>
                <w:rFonts w:ascii="Arial Narrow" w:hAnsi="Arial Narrow"/>
                <w:sz w:val="20"/>
                <w:szCs w:val="20"/>
              </w:rPr>
              <w:t>EMBRACE</w:t>
            </w:r>
            <w:r w:rsidRPr="00DE5944">
              <w:rPr>
                <w:rFonts w:ascii="Arial Narrow" w:hAnsi="Arial Narrow"/>
                <w:sz w:val="20"/>
                <w:szCs w:val="20"/>
                <w:vertAlign w:val="superscript"/>
              </w:rPr>
              <w:t>g</w:t>
            </w:r>
          </w:p>
        </w:tc>
        <w:tc>
          <w:tcPr>
            <w:tcW w:w="1417"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202/298 (67.8)</w:t>
            </w:r>
          </w:p>
        </w:tc>
        <w:tc>
          <w:tcPr>
            <w:tcW w:w="1418"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93/140 (62.4)</w:t>
            </w:r>
          </w:p>
        </w:tc>
        <w:tc>
          <w:tcPr>
            <w:tcW w:w="2410"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rPr>
              <w:t>1.24 (0.81, 1.88)</w:t>
            </w:r>
            <w:r w:rsidRPr="00DE5944">
              <w:rPr>
                <w:rFonts w:ascii="Arial Narrow" w:hAnsi="Arial Narrow"/>
                <w:sz w:val="20"/>
                <w:szCs w:val="20"/>
                <w:vertAlign w:val="superscript"/>
              </w:rPr>
              <w:t>h ,d</w:t>
            </w:r>
            <w:r w:rsidRPr="00DE5944">
              <w:rPr>
                <w:rFonts w:ascii="Arial Narrow" w:hAnsi="Arial Narrow"/>
                <w:sz w:val="20"/>
                <w:szCs w:val="20"/>
              </w:rPr>
              <w:t>, p=0.3218</w:t>
            </w:r>
          </w:p>
        </w:tc>
        <w:tc>
          <w:tcPr>
            <w:tcW w:w="2359" w:type="dxa"/>
            <w:tcBorders>
              <w:top w:val="nil"/>
              <w:bottom w:val="single" w:sz="4" w:space="0" w:color="auto"/>
            </w:tcBorders>
            <w:shd w:val="clear" w:color="auto" w:fill="C6D9F1" w:themeFill="text2" w:themeFillTint="33"/>
            <w:vAlign w:val="center"/>
          </w:tcPr>
          <w:p w:rsidR="00172AD3" w:rsidRPr="00DE5944" w:rsidRDefault="00172AD3" w:rsidP="002A518E">
            <w:pPr>
              <w:keepNext/>
              <w:keepLines/>
              <w:jc w:val="center"/>
              <w:rPr>
                <w:rFonts w:ascii="Arial Narrow" w:hAnsi="Arial Narrow"/>
                <w:sz w:val="20"/>
                <w:szCs w:val="20"/>
              </w:rPr>
            </w:pPr>
            <w:r w:rsidRPr="00DE5944">
              <w:rPr>
                <w:rFonts w:ascii="Arial Narrow" w:hAnsi="Arial Narrow"/>
                <w:sz w:val="20"/>
                <w:szCs w:val="20"/>
                <w:lang w:eastAsia="en-AU"/>
              </w:rPr>
              <w:t>0.01 (-0.08, 0.11), p=0.7785</w:t>
            </w:r>
          </w:p>
        </w:tc>
      </w:tr>
      <w:tr w:rsidR="00172AD3" w:rsidRPr="00BE1C7D" w:rsidTr="0033010C">
        <w:tc>
          <w:tcPr>
            <w:tcW w:w="4248" w:type="dxa"/>
            <w:gridSpan w:val="3"/>
            <w:tcBorders>
              <w:top w:val="single" w:sz="4" w:space="0" w:color="auto"/>
            </w:tcBorders>
            <w:shd w:val="clear" w:color="auto" w:fill="C6D9F1" w:themeFill="text2" w:themeFillTint="33"/>
            <w:vAlign w:val="center"/>
          </w:tcPr>
          <w:p w:rsidR="00172AD3" w:rsidRPr="00BE1C7D" w:rsidRDefault="00172AD3" w:rsidP="002A518E">
            <w:pPr>
              <w:keepNext/>
              <w:keepLines/>
              <w:jc w:val="right"/>
              <w:rPr>
                <w:rFonts w:ascii="Arial Narrow" w:hAnsi="Arial Narrow"/>
                <w:sz w:val="20"/>
                <w:szCs w:val="20"/>
              </w:rPr>
            </w:pPr>
            <w:r w:rsidRPr="00BE1C7D">
              <w:rPr>
                <w:rFonts w:ascii="Arial Narrow" w:hAnsi="Arial Narrow"/>
                <w:sz w:val="20"/>
                <w:szCs w:val="20"/>
              </w:rPr>
              <w:t>Meta-analysis</w:t>
            </w:r>
          </w:p>
        </w:tc>
        <w:tc>
          <w:tcPr>
            <w:tcW w:w="2410" w:type="dxa"/>
            <w:tcBorders>
              <w:top w:val="single" w:sz="4" w:space="0" w:color="auto"/>
            </w:tcBorders>
            <w:shd w:val="clear" w:color="auto" w:fill="C6D9F1" w:themeFill="text2" w:themeFillTint="33"/>
            <w:vAlign w:val="center"/>
          </w:tcPr>
          <w:p w:rsidR="00172AD3" w:rsidRPr="00BE1C7D" w:rsidRDefault="00172AD3" w:rsidP="002A518E">
            <w:pPr>
              <w:pStyle w:val="TableTextCA"/>
              <w:keepNext/>
              <w:keepLines/>
              <w:tabs>
                <w:tab w:val="left" w:pos="3234"/>
              </w:tabs>
              <w:spacing w:before="0" w:after="0"/>
              <w:rPr>
                <w:rFonts w:cs="Times New Roman"/>
                <w:b/>
                <w:szCs w:val="20"/>
              </w:rPr>
            </w:pPr>
            <w:r w:rsidRPr="00BE1C7D">
              <w:rPr>
                <w:rFonts w:cs="Times New Roman"/>
                <w:b/>
                <w:szCs w:val="20"/>
              </w:rPr>
              <w:t>1.47 (1.24, 1.74), p&lt;0.0001</w:t>
            </w:r>
          </w:p>
        </w:tc>
        <w:tc>
          <w:tcPr>
            <w:tcW w:w="2359" w:type="dxa"/>
            <w:tcBorders>
              <w:top w:val="single" w:sz="4" w:space="0" w:color="auto"/>
            </w:tcBorders>
            <w:shd w:val="clear" w:color="auto" w:fill="C6D9F1" w:themeFill="text2" w:themeFillTint="33"/>
            <w:vAlign w:val="center"/>
          </w:tcPr>
          <w:p w:rsidR="00172AD3" w:rsidRPr="00BE1C7D" w:rsidRDefault="00172AD3" w:rsidP="002A518E">
            <w:pPr>
              <w:pStyle w:val="TableTextCA"/>
              <w:keepNext/>
              <w:keepLines/>
              <w:tabs>
                <w:tab w:val="left" w:pos="3234"/>
              </w:tabs>
              <w:spacing w:before="0" w:after="0"/>
              <w:rPr>
                <w:rFonts w:cs="Times New Roman"/>
                <w:b/>
                <w:szCs w:val="20"/>
              </w:rPr>
            </w:pPr>
            <w:r w:rsidRPr="00BE1C7D">
              <w:rPr>
                <w:rStyle w:val="TableText0"/>
                <w:b/>
                <w:sz w:val="20"/>
                <w:szCs w:val="20"/>
              </w:rPr>
              <w:t>0.07 (0.04, 0.10), p&lt;0.0001</w:t>
            </w:r>
          </w:p>
        </w:tc>
      </w:tr>
    </w:tbl>
    <w:p w:rsidR="00F558A6" w:rsidRPr="001A4AE3" w:rsidRDefault="00172AD3" w:rsidP="009768AC">
      <w:pPr>
        <w:rPr>
          <w:rFonts w:ascii="Arial Narrow" w:hAnsi="Arial Narrow"/>
          <w:i/>
          <w:sz w:val="18"/>
        </w:rPr>
      </w:pPr>
      <w:r w:rsidRPr="00F337FA">
        <w:rPr>
          <w:rFonts w:ascii="Arial Narrow" w:hAnsi="Arial Narrow"/>
          <w:b/>
          <w:sz w:val="18"/>
          <w:szCs w:val="18"/>
        </w:rPr>
        <w:t>Bold</w:t>
      </w:r>
      <w:r w:rsidRPr="00F337FA">
        <w:rPr>
          <w:rFonts w:ascii="Arial Narrow" w:hAnsi="Arial Narrow"/>
          <w:sz w:val="18"/>
          <w:szCs w:val="18"/>
        </w:rPr>
        <w:t xml:space="preserve"> </w:t>
      </w:r>
      <w:r w:rsidR="000A37CD">
        <w:rPr>
          <w:rFonts w:ascii="Arial Narrow" w:hAnsi="Arial Narrow"/>
          <w:sz w:val="18"/>
          <w:szCs w:val="18"/>
        </w:rPr>
        <w:t xml:space="preserve">typography </w:t>
      </w:r>
      <w:r w:rsidRPr="00F337FA">
        <w:rPr>
          <w:rFonts w:ascii="Arial Narrow" w:hAnsi="Arial Narrow"/>
          <w:sz w:val="18"/>
          <w:szCs w:val="18"/>
        </w:rPr>
        <w:t>indicates statistically significant results.</w:t>
      </w:r>
      <w:r w:rsidR="00F558A6">
        <w:rPr>
          <w:rFonts w:ascii="Arial Narrow" w:hAnsi="Arial Narrow"/>
          <w:sz w:val="18"/>
          <w:szCs w:val="18"/>
        </w:rPr>
        <w:t xml:space="preserve"> </w:t>
      </w:r>
      <w:r w:rsidR="00F558A6">
        <w:rPr>
          <w:rFonts w:ascii="Arial Narrow" w:hAnsi="Arial Narrow"/>
          <w:sz w:val="18"/>
        </w:rPr>
        <w:t>Blue highlights indicate results previously seen by the PBAC.</w:t>
      </w:r>
    </w:p>
    <w:p w:rsidR="00172AD3" w:rsidRPr="00BE1C7D" w:rsidRDefault="00172AD3" w:rsidP="009768AC">
      <w:pPr>
        <w:widowControl/>
        <w:autoSpaceDE w:val="0"/>
        <w:autoSpaceDN w:val="0"/>
        <w:adjustRightInd w:val="0"/>
        <w:rPr>
          <w:rFonts w:ascii="Arial Narrow" w:hAnsi="Arial Narrow"/>
          <w:sz w:val="18"/>
          <w:szCs w:val="18"/>
        </w:rPr>
      </w:pPr>
      <w:r w:rsidRPr="00F337FA">
        <w:rPr>
          <w:rFonts w:ascii="Arial Narrow" w:hAnsi="Arial Narrow"/>
          <w:sz w:val="18"/>
          <w:szCs w:val="18"/>
        </w:rPr>
        <w:t xml:space="preserve">Abbreviations: BEL=belimumab; CI=confidence interval; IV=intravenous; OR=odds ratio; RD=risk difference; S2K= the primary efficacy endpoint was SRI response rate with the SLEDAI-2K scoring rules for proteinuria; SC=subcutaneous; SRI=SLE responder index; SS= the </w:t>
      </w:r>
      <w:r w:rsidRPr="00BE1C7D">
        <w:rPr>
          <w:rFonts w:ascii="Arial Narrow" w:hAnsi="Arial Narrow"/>
          <w:sz w:val="18"/>
          <w:szCs w:val="18"/>
        </w:rPr>
        <w:t>secondary efficacy endpoint was SRI response rate using SELENA-SLEDAI scoring rules for proteinuria</w:t>
      </w:r>
    </w:p>
    <w:p w:rsidR="00172AD3" w:rsidRPr="00BE1C7D" w:rsidRDefault="00172AD3" w:rsidP="009768AC">
      <w:pPr>
        <w:tabs>
          <w:tab w:val="left" w:pos="142"/>
        </w:tabs>
        <w:ind w:left="144" w:hanging="144"/>
        <w:rPr>
          <w:rFonts w:ascii="Arial Narrow" w:hAnsi="Arial Narrow"/>
          <w:sz w:val="18"/>
          <w:szCs w:val="18"/>
        </w:rPr>
      </w:pPr>
      <w:r w:rsidRPr="00BE1C7D">
        <w:rPr>
          <w:rFonts w:ascii="Arial Narrow" w:hAnsi="Arial Narrow"/>
          <w:sz w:val="18"/>
          <w:szCs w:val="18"/>
        </w:rPr>
        <w:t xml:space="preserve">* </w:t>
      </w:r>
      <w:r w:rsidRPr="00BE1C7D">
        <w:rPr>
          <w:rFonts w:ascii="Arial Narrow" w:hAnsi="Arial Narrow"/>
          <w:sz w:val="18"/>
          <w:szCs w:val="18"/>
        </w:rPr>
        <w:tab/>
        <w:t>The submission (Figure 44, p113) erroneously used N=249 instead of 219 in its RevMan analyses. This and the corresponding ORs and RDs was corrected during evaluation.</w:t>
      </w:r>
    </w:p>
    <w:p w:rsidR="00172AD3" w:rsidRPr="00BE1C7D" w:rsidRDefault="00172AD3" w:rsidP="009768AC">
      <w:pPr>
        <w:tabs>
          <w:tab w:val="left" w:pos="142"/>
        </w:tabs>
        <w:ind w:left="142" w:hanging="142"/>
        <w:rPr>
          <w:rFonts w:ascii="Arial Narrow" w:hAnsi="Arial Narrow"/>
          <w:sz w:val="18"/>
          <w:szCs w:val="18"/>
        </w:rPr>
      </w:pPr>
      <w:r w:rsidRPr="00BE1C7D">
        <w:rPr>
          <w:rFonts w:ascii="Arial Narrow" w:hAnsi="Arial Narrow"/>
          <w:sz w:val="18"/>
          <w:szCs w:val="18"/>
          <w:vertAlign w:val="superscript"/>
        </w:rPr>
        <w:t>a</w:t>
      </w:r>
      <w:r w:rsidRPr="00BE1C7D">
        <w:rPr>
          <w:rFonts w:ascii="Arial Narrow" w:hAnsi="Arial Narrow"/>
          <w:sz w:val="18"/>
          <w:szCs w:val="18"/>
        </w:rPr>
        <w:t xml:space="preserve"> </w:t>
      </w:r>
      <w:r w:rsidRPr="00BE1C7D">
        <w:rPr>
          <w:rFonts w:ascii="Arial Narrow" w:hAnsi="Arial Narrow"/>
          <w:sz w:val="18"/>
          <w:szCs w:val="18"/>
        </w:rPr>
        <w:tab/>
        <w:t>Three</w:t>
      </w:r>
      <w:r w:rsidRPr="00BE1C7D">
        <w:rPr>
          <w:rFonts w:ascii="Arial Narrow" w:hAnsi="Arial Narrow" w:cs="ArialNarrow"/>
          <w:snapToGrid/>
          <w:sz w:val="18"/>
          <w:szCs w:val="18"/>
          <w:lang w:eastAsia="en-AU"/>
        </w:rPr>
        <w:t xml:space="preserve"> ITT subjects did not have a baseline PGA assessment and, therefore, do not contribute to SRI/component analyses. </w:t>
      </w:r>
    </w:p>
    <w:p w:rsidR="00172AD3" w:rsidRPr="00BE1C7D" w:rsidRDefault="00172AD3" w:rsidP="009768AC">
      <w:pPr>
        <w:widowControl/>
        <w:tabs>
          <w:tab w:val="left" w:pos="0"/>
          <w:tab w:val="left" w:pos="142"/>
        </w:tabs>
        <w:autoSpaceDE w:val="0"/>
        <w:autoSpaceDN w:val="0"/>
        <w:adjustRightInd w:val="0"/>
        <w:ind w:left="142" w:hanging="142"/>
        <w:rPr>
          <w:rFonts w:ascii="Arial Narrow" w:hAnsi="Arial Narrow" w:cs="ArialNarrow"/>
          <w:snapToGrid/>
          <w:sz w:val="18"/>
          <w:szCs w:val="18"/>
          <w:lang w:eastAsia="en-AU"/>
        </w:rPr>
      </w:pPr>
      <w:r w:rsidRPr="00BE1C7D">
        <w:rPr>
          <w:rFonts w:ascii="Arial Narrow" w:hAnsi="Arial Narrow"/>
          <w:sz w:val="18"/>
          <w:szCs w:val="18"/>
          <w:vertAlign w:val="superscript"/>
        </w:rPr>
        <w:t>b</w:t>
      </w:r>
      <w:r w:rsidRPr="00BE1C7D">
        <w:rPr>
          <w:rFonts w:ascii="Arial Narrow" w:hAnsi="Arial Narrow"/>
          <w:sz w:val="18"/>
          <w:szCs w:val="18"/>
        </w:rPr>
        <w:t xml:space="preserve"> </w:t>
      </w:r>
      <w:r w:rsidRPr="00BE1C7D">
        <w:rPr>
          <w:rFonts w:ascii="Arial Narrow" w:hAnsi="Arial Narrow"/>
          <w:sz w:val="18"/>
          <w:szCs w:val="18"/>
        </w:rPr>
        <w:tab/>
        <w:t>Logistic</w:t>
      </w:r>
      <w:r w:rsidRPr="00BE1C7D">
        <w:rPr>
          <w:rFonts w:ascii="Arial Narrow" w:hAnsi="Arial Narrow" w:cs="ArialNarrow"/>
          <w:snapToGrid/>
          <w:sz w:val="18"/>
          <w:szCs w:val="18"/>
          <w:lang w:eastAsia="en-AU"/>
        </w:rPr>
        <w:t xml:space="preserve"> regression model with covariates treatment group, baseline SELENA SLEDAI score (</w:t>
      </w:r>
      <w:r w:rsidRPr="00BE1C7D">
        <w:rPr>
          <w:rFonts w:ascii="Arial Narrow" w:hAnsi="Arial Narrow" w:cs="Symbol"/>
          <w:snapToGrid/>
          <w:sz w:val="18"/>
          <w:szCs w:val="18"/>
          <w:lang w:eastAsia="en-AU"/>
        </w:rPr>
        <w:t>≤</w:t>
      </w:r>
      <w:r w:rsidRPr="00BE1C7D">
        <w:rPr>
          <w:rFonts w:ascii="Arial Narrow" w:hAnsi="Arial Narrow" w:cs="ArialNarrow"/>
          <w:snapToGrid/>
          <w:sz w:val="18"/>
          <w:szCs w:val="18"/>
          <w:lang w:eastAsia="en-AU"/>
        </w:rPr>
        <w:t>9 vs.</w:t>
      </w:r>
      <w:r w:rsidRPr="00BE1C7D">
        <w:rPr>
          <w:rFonts w:ascii="Arial Narrow" w:hAnsi="Arial Narrow" w:cs="Symbol"/>
          <w:snapToGrid/>
          <w:sz w:val="18"/>
          <w:szCs w:val="18"/>
          <w:lang w:eastAsia="en-AU"/>
        </w:rPr>
        <w:t>≥</w:t>
      </w:r>
      <w:r w:rsidRPr="00BE1C7D">
        <w:rPr>
          <w:rFonts w:ascii="Arial Narrow" w:hAnsi="Arial Narrow" w:cs="ArialNarrow"/>
          <w:snapToGrid/>
          <w:sz w:val="18"/>
          <w:szCs w:val="18"/>
          <w:lang w:eastAsia="en-AU"/>
        </w:rPr>
        <w:t>10), baseline complement levels (low C3 and/or C4 vs. no low C3 or C4) and race (Black vs. Other).</w:t>
      </w:r>
    </w:p>
    <w:p w:rsidR="00172AD3" w:rsidRPr="00BE1C7D" w:rsidRDefault="00172AD3" w:rsidP="009768AC">
      <w:pPr>
        <w:widowControl/>
        <w:tabs>
          <w:tab w:val="left" w:pos="0"/>
          <w:tab w:val="left" w:pos="142"/>
        </w:tabs>
        <w:autoSpaceDE w:val="0"/>
        <w:autoSpaceDN w:val="0"/>
        <w:adjustRightInd w:val="0"/>
        <w:ind w:left="142" w:hanging="142"/>
        <w:rPr>
          <w:rFonts w:ascii="Arial Narrow" w:hAnsi="Arial Narrow" w:cs="ArialNarrow"/>
          <w:snapToGrid/>
          <w:sz w:val="18"/>
          <w:szCs w:val="18"/>
          <w:lang w:eastAsia="en-AU"/>
        </w:rPr>
      </w:pPr>
      <w:r w:rsidRPr="00BE1C7D">
        <w:rPr>
          <w:rFonts w:ascii="Arial Narrow" w:hAnsi="Arial Narrow" w:cs="ArialNarrow"/>
          <w:snapToGrid/>
          <w:sz w:val="18"/>
          <w:szCs w:val="18"/>
          <w:vertAlign w:val="superscript"/>
          <w:lang w:eastAsia="en-AU"/>
        </w:rPr>
        <w:t>c</w:t>
      </w:r>
      <w:r w:rsidRPr="00BE1C7D">
        <w:rPr>
          <w:rFonts w:ascii="Arial Narrow" w:hAnsi="Arial Narrow" w:cs="ArialNarrow"/>
          <w:snapToGrid/>
          <w:sz w:val="18"/>
          <w:szCs w:val="18"/>
          <w:vertAlign w:val="superscript"/>
          <w:lang w:eastAsia="en-AU"/>
        </w:rPr>
        <w:tab/>
      </w:r>
      <w:r w:rsidRPr="00BE1C7D">
        <w:rPr>
          <w:rFonts w:ascii="Arial Narrow" w:hAnsi="Arial Narrow"/>
          <w:sz w:val="18"/>
          <w:szCs w:val="18"/>
        </w:rPr>
        <w:t>Baseline</w:t>
      </w:r>
      <w:r w:rsidRPr="00BE1C7D">
        <w:rPr>
          <w:rFonts w:ascii="Arial Narrow" w:hAnsi="Arial Narrow" w:cs="ArialNarrow"/>
          <w:snapToGrid/>
          <w:sz w:val="18"/>
          <w:szCs w:val="18"/>
          <w:lang w:eastAsia="en-AU"/>
        </w:rPr>
        <w:t xml:space="preserve"> PGA was also included in the model.</w:t>
      </w:r>
    </w:p>
    <w:p w:rsidR="00172AD3" w:rsidRPr="00BE1C7D" w:rsidRDefault="00172AD3" w:rsidP="009768AC">
      <w:pPr>
        <w:widowControl/>
        <w:tabs>
          <w:tab w:val="left" w:pos="0"/>
          <w:tab w:val="left" w:pos="142"/>
        </w:tabs>
        <w:autoSpaceDE w:val="0"/>
        <w:autoSpaceDN w:val="0"/>
        <w:adjustRightInd w:val="0"/>
        <w:ind w:left="142" w:hanging="142"/>
        <w:rPr>
          <w:rFonts w:ascii="Arial Narrow" w:hAnsi="Arial Narrow" w:cs="ArialNarrow"/>
          <w:snapToGrid/>
          <w:sz w:val="18"/>
          <w:szCs w:val="18"/>
          <w:lang w:eastAsia="en-AU"/>
        </w:rPr>
      </w:pPr>
      <w:r w:rsidRPr="00BE1C7D">
        <w:rPr>
          <w:rFonts w:ascii="Arial Narrow" w:hAnsi="Arial Narrow"/>
          <w:sz w:val="18"/>
          <w:szCs w:val="18"/>
          <w:vertAlign w:val="superscript"/>
        </w:rPr>
        <w:t>d</w:t>
      </w:r>
      <w:r w:rsidRPr="00BE1C7D">
        <w:rPr>
          <w:rFonts w:ascii="Arial Narrow" w:hAnsi="Arial Narrow"/>
          <w:sz w:val="18"/>
          <w:szCs w:val="18"/>
        </w:rPr>
        <w:t xml:space="preserve"> </w:t>
      </w:r>
      <w:r w:rsidRPr="00BE1C7D">
        <w:rPr>
          <w:rFonts w:ascii="Arial Narrow" w:hAnsi="Arial Narrow"/>
          <w:sz w:val="18"/>
          <w:szCs w:val="18"/>
        </w:rPr>
        <w:tab/>
        <w:t>Baseline</w:t>
      </w:r>
      <w:r w:rsidRPr="00BE1C7D">
        <w:rPr>
          <w:rFonts w:ascii="Arial Narrow" w:hAnsi="Arial Narrow" w:cs="ArialNarrow"/>
          <w:snapToGrid/>
          <w:sz w:val="18"/>
          <w:szCs w:val="18"/>
          <w:lang w:eastAsia="en-AU"/>
        </w:rPr>
        <w:t xml:space="preserve"> BILAG domain involvement (at least 1A/2B vs. at most 1B) was also included in the model.</w:t>
      </w:r>
    </w:p>
    <w:p w:rsidR="00172AD3" w:rsidRPr="00BE1C7D" w:rsidRDefault="00172AD3" w:rsidP="009768AC">
      <w:pPr>
        <w:widowControl/>
        <w:tabs>
          <w:tab w:val="left" w:pos="0"/>
          <w:tab w:val="left" w:pos="142"/>
        </w:tabs>
        <w:autoSpaceDE w:val="0"/>
        <w:autoSpaceDN w:val="0"/>
        <w:adjustRightInd w:val="0"/>
        <w:ind w:left="142" w:hanging="142"/>
        <w:rPr>
          <w:rFonts w:ascii="Arial Narrow" w:hAnsi="Arial Narrow" w:cs="ArialNarrow"/>
          <w:snapToGrid/>
          <w:sz w:val="18"/>
          <w:szCs w:val="18"/>
          <w:lang w:eastAsia="en-AU"/>
        </w:rPr>
      </w:pPr>
      <w:r w:rsidRPr="00BE1C7D">
        <w:rPr>
          <w:rFonts w:ascii="Arial Narrow" w:hAnsi="Arial Narrow" w:cs="ArialNarrow"/>
          <w:snapToGrid/>
          <w:sz w:val="18"/>
          <w:szCs w:val="18"/>
          <w:vertAlign w:val="superscript"/>
          <w:lang w:eastAsia="en-AU"/>
        </w:rPr>
        <w:t>e</w:t>
      </w:r>
      <w:r w:rsidRPr="00BE1C7D">
        <w:rPr>
          <w:rFonts w:ascii="Arial Narrow" w:hAnsi="Arial Narrow" w:cs="ArialNarrow"/>
          <w:snapToGrid/>
          <w:sz w:val="18"/>
          <w:szCs w:val="18"/>
          <w:lang w:eastAsia="en-AU"/>
        </w:rPr>
        <w:t xml:space="preserve"> </w:t>
      </w:r>
      <w:r w:rsidRPr="00BE1C7D">
        <w:rPr>
          <w:rFonts w:ascii="Arial Narrow" w:hAnsi="Arial Narrow" w:cs="ArialNarrow"/>
          <w:snapToGrid/>
          <w:sz w:val="18"/>
          <w:szCs w:val="18"/>
          <w:lang w:eastAsia="en-AU"/>
        </w:rPr>
        <w:tab/>
      </w:r>
      <w:r w:rsidRPr="00BE1C7D">
        <w:rPr>
          <w:rFonts w:ascii="Arial Narrow" w:hAnsi="Arial Narrow"/>
          <w:sz w:val="18"/>
          <w:szCs w:val="18"/>
        </w:rPr>
        <w:t>Logistic</w:t>
      </w:r>
      <w:r w:rsidRPr="00BE1C7D">
        <w:rPr>
          <w:rFonts w:ascii="Arial Narrow" w:hAnsi="Arial Narrow" w:cs="ArialNarrow"/>
          <w:snapToGrid/>
          <w:sz w:val="18"/>
          <w:szCs w:val="18"/>
          <w:lang w:eastAsia="en-AU"/>
        </w:rPr>
        <w:t xml:space="preserve"> regression model with covariates, including baseline SELENA SLEDAI (≤ 9 vs ≥ 10), baseline proteinuria level (&lt; 2 g/24 hour vs ≥ 2 g/24 hour equivalent) and race (African descent or indigenous-American descent vs other).</w:t>
      </w:r>
    </w:p>
    <w:p w:rsidR="00172AD3" w:rsidRPr="00BE1C7D" w:rsidRDefault="00172AD3" w:rsidP="009768AC">
      <w:pPr>
        <w:widowControl/>
        <w:tabs>
          <w:tab w:val="left" w:pos="0"/>
          <w:tab w:val="left" w:pos="142"/>
        </w:tabs>
        <w:autoSpaceDE w:val="0"/>
        <w:autoSpaceDN w:val="0"/>
        <w:adjustRightInd w:val="0"/>
        <w:ind w:left="142" w:hanging="142"/>
        <w:rPr>
          <w:rFonts w:ascii="Arial Narrow" w:hAnsi="Arial Narrow"/>
          <w:sz w:val="18"/>
          <w:szCs w:val="18"/>
        </w:rPr>
      </w:pPr>
      <w:r w:rsidRPr="00BE1C7D">
        <w:rPr>
          <w:rFonts w:ascii="Arial Narrow" w:hAnsi="Arial Narrow" w:cs="ArialNarrow"/>
          <w:snapToGrid/>
          <w:sz w:val="18"/>
          <w:szCs w:val="18"/>
          <w:vertAlign w:val="superscript"/>
          <w:lang w:eastAsia="en-AU"/>
        </w:rPr>
        <w:t>f</w:t>
      </w:r>
      <w:r w:rsidRPr="00BE1C7D">
        <w:rPr>
          <w:rFonts w:ascii="Arial Narrow" w:hAnsi="Arial Narrow" w:cs="ArialNarrow"/>
          <w:snapToGrid/>
          <w:sz w:val="18"/>
          <w:szCs w:val="18"/>
          <w:lang w:eastAsia="en-AU"/>
        </w:rPr>
        <w:t xml:space="preserve"> </w:t>
      </w:r>
      <w:r w:rsidRPr="00BE1C7D">
        <w:rPr>
          <w:rFonts w:ascii="Arial Narrow" w:hAnsi="Arial Narrow" w:cs="ArialNarrow"/>
          <w:snapToGrid/>
          <w:sz w:val="18"/>
          <w:szCs w:val="18"/>
          <w:lang w:eastAsia="en-AU"/>
        </w:rPr>
        <w:tab/>
        <w:t>Logistic regression model with independent variables treatment group, country, baseline SELENA SLEDAI score (≤ 9 vs ≥ 10) and complement levels (low C3 and/or C4 vs. no low C3 or C4).</w:t>
      </w:r>
    </w:p>
    <w:p w:rsidR="00172AD3" w:rsidRPr="00BE1C7D" w:rsidRDefault="00172AD3" w:rsidP="009768AC">
      <w:pPr>
        <w:widowControl/>
        <w:tabs>
          <w:tab w:val="left" w:pos="0"/>
          <w:tab w:val="left" w:pos="142"/>
        </w:tabs>
        <w:autoSpaceDE w:val="0"/>
        <w:autoSpaceDN w:val="0"/>
        <w:adjustRightInd w:val="0"/>
        <w:ind w:left="142" w:hanging="142"/>
        <w:rPr>
          <w:rFonts w:ascii="Arial Narrow" w:hAnsi="Arial Narrow"/>
          <w:sz w:val="18"/>
          <w:szCs w:val="18"/>
        </w:rPr>
      </w:pPr>
      <w:r w:rsidRPr="00BE1C7D">
        <w:rPr>
          <w:rFonts w:ascii="Arial Narrow" w:hAnsi="Arial Narrow"/>
          <w:sz w:val="18"/>
          <w:szCs w:val="18"/>
          <w:vertAlign w:val="superscript"/>
        </w:rPr>
        <w:t>g</w:t>
      </w:r>
      <w:r w:rsidRPr="00BE1C7D">
        <w:rPr>
          <w:rFonts w:ascii="Arial Narrow" w:hAnsi="Arial Narrow"/>
          <w:sz w:val="18"/>
          <w:szCs w:val="18"/>
        </w:rPr>
        <w:t xml:space="preserve"> </w:t>
      </w:r>
      <w:r w:rsidRPr="00BE1C7D">
        <w:rPr>
          <w:rFonts w:ascii="Arial Narrow" w:hAnsi="Arial Narrow"/>
          <w:sz w:val="18"/>
          <w:szCs w:val="18"/>
        </w:rPr>
        <w:tab/>
        <w:t>One subject in the mITT population did not have a screening or baseline PGA assessment; therefore, this subject did not contribute to the SRI/component analysis.</w:t>
      </w:r>
    </w:p>
    <w:p w:rsidR="00172AD3" w:rsidRPr="00BE1C7D" w:rsidRDefault="00172AD3" w:rsidP="009768AC">
      <w:pPr>
        <w:widowControl/>
        <w:tabs>
          <w:tab w:val="left" w:pos="0"/>
          <w:tab w:val="left" w:pos="142"/>
        </w:tabs>
        <w:autoSpaceDE w:val="0"/>
        <w:autoSpaceDN w:val="0"/>
        <w:adjustRightInd w:val="0"/>
        <w:ind w:left="142" w:hanging="142"/>
        <w:rPr>
          <w:rFonts w:ascii="Arial Narrow" w:hAnsi="Arial Narrow"/>
          <w:sz w:val="18"/>
          <w:szCs w:val="18"/>
        </w:rPr>
      </w:pPr>
      <w:r w:rsidRPr="00BE1C7D">
        <w:rPr>
          <w:rFonts w:ascii="Arial Narrow" w:hAnsi="Arial Narrow"/>
          <w:sz w:val="18"/>
          <w:szCs w:val="18"/>
          <w:vertAlign w:val="superscript"/>
        </w:rPr>
        <w:t>h</w:t>
      </w:r>
      <w:r w:rsidRPr="00BE1C7D">
        <w:rPr>
          <w:rFonts w:ascii="Arial Narrow" w:hAnsi="Arial Narrow"/>
          <w:sz w:val="18"/>
          <w:szCs w:val="18"/>
        </w:rPr>
        <w:t xml:space="preserve"> </w:t>
      </w:r>
      <w:r w:rsidRPr="00BE1C7D">
        <w:rPr>
          <w:rFonts w:ascii="Arial Narrow" w:hAnsi="Arial Narrow"/>
          <w:sz w:val="18"/>
          <w:szCs w:val="18"/>
        </w:rPr>
        <w:tab/>
        <w:t xml:space="preserve">Logistic regression model with covariates treatment group, baseline SS-S2K score </w:t>
      </w:r>
      <w:r w:rsidRPr="00BE1C7D">
        <w:rPr>
          <w:rFonts w:ascii="Arial Narrow" w:hAnsi="Arial Narrow" w:cs="ArialNarrow"/>
          <w:snapToGrid/>
          <w:sz w:val="18"/>
          <w:szCs w:val="18"/>
          <w:lang w:eastAsia="en-AU"/>
        </w:rPr>
        <w:t xml:space="preserve">(≤ 9 vs ≥ </w:t>
      </w:r>
      <w:r w:rsidRPr="00BE1C7D">
        <w:rPr>
          <w:rFonts w:ascii="Arial Narrow" w:hAnsi="Arial Narrow"/>
          <w:sz w:val="18"/>
          <w:szCs w:val="18"/>
        </w:rPr>
        <w:t>10), baseline complement levels (at least 1 low C3 and/or C4 vs. NO low C3 or C4), and region (US/Canada vs. other).</w:t>
      </w:r>
    </w:p>
    <w:p w:rsidR="00172AD3" w:rsidRPr="00BE1C7D" w:rsidRDefault="00172AD3" w:rsidP="009768AC">
      <w:pPr>
        <w:rPr>
          <w:rFonts w:ascii="Arial Narrow" w:hAnsi="Arial Narrow"/>
          <w:sz w:val="18"/>
          <w:szCs w:val="18"/>
        </w:rPr>
      </w:pPr>
      <w:r w:rsidRPr="00BE1C7D">
        <w:rPr>
          <w:rFonts w:ascii="Arial Narrow" w:hAnsi="Arial Narrow"/>
          <w:sz w:val="18"/>
          <w:szCs w:val="18"/>
        </w:rPr>
        <w:t>Source: Tables 31-34, p8</w:t>
      </w:r>
      <w:r w:rsidR="004C09A3" w:rsidRPr="00BE1C7D">
        <w:rPr>
          <w:rFonts w:ascii="Arial Narrow" w:hAnsi="Arial Narrow"/>
          <w:sz w:val="18"/>
          <w:szCs w:val="18"/>
        </w:rPr>
        <w:t>7-92</w:t>
      </w:r>
      <w:r w:rsidRPr="00BE1C7D">
        <w:rPr>
          <w:rFonts w:ascii="Arial Narrow" w:hAnsi="Arial Narrow"/>
          <w:sz w:val="18"/>
          <w:szCs w:val="18"/>
        </w:rPr>
        <w:t xml:space="preserve"> and Tables 4</w:t>
      </w:r>
      <w:r w:rsidR="004C09A3" w:rsidRPr="00BE1C7D">
        <w:rPr>
          <w:rFonts w:ascii="Arial Narrow" w:hAnsi="Arial Narrow"/>
          <w:sz w:val="18"/>
          <w:szCs w:val="18"/>
        </w:rPr>
        <w:t>9-52</w:t>
      </w:r>
      <w:r w:rsidRPr="00BE1C7D">
        <w:rPr>
          <w:rFonts w:ascii="Arial Narrow" w:hAnsi="Arial Narrow"/>
          <w:sz w:val="18"/>
          <w:szCs w:val="18"/>
        </w:rPr>
        <w:t>, p11</w:t>
      </w:r>
      <w:r w:rsidR="004C09A3" w:rsidRPr="00BE1C7D">
        <w:rPr>
          <w:rFonts w:ascii="Arial Narrow" w:hAnsi="Arial Narrow"/>
          <w:sz w:val="18"/>
          <w:szCs w:val="18"/>
        </w:rPr>
        <w:t>9-123</w:t>
      </w:r>
      <w:r w:rsidRPr="00BE1C7D">
        <w:rPr>
          <w:rFonts w:ascii="Arial Narrow" w:hAnsi="Arial Narrow"/>
          <w:sz w:val="18"/>
          <w:szCs w:val="18"/>
        </w:rPr>
        <w:t xml:space="preserve"> of the </w:t>
      </w:r>
      <w:r w:rsidR="004C09A3" w:rsidRPr="00BE1C7D">
        <w:rPr>
          <w:rFonts w:ascii="Arial Narrow" w:hAnsi="Arial Narrow"/>
          <w:sz w:val="18"/>
          <w:szCs w:val="18"/>
        </w:rPr>
        <w:t>re</w:t>
      </w:r>
      <w:r w:rsidRPr="00BE1C7D">
        <w:rPr>
          <w:rFonts w:ascii="Arial Narrow" w:hAnsi="Arial Narrow"/>
          <w:sz w:val="18"/>
          <w:szCs w:val="18"/>
        </w:rPr>
        <w:t>submission; Tables 15-16, p78-79 of BLISS-SC CSR; Tables 7-1, 7-2 p80-81 of BLISS-52 CSR; Tables 7-1, 7-2 p86-87 of BLISS-76 CSR; Tables 16-17, p64-65 of NE-Asia CSR; Tables 19-20, 28, p59-60, p81 of EMBRACE CSR.</w:t>
      </w:r>
    </w:p>
    <w:p w:rsidR="00172AD3" w:rsidRPr="0043288C" w:rsidRDefault="00172AD3" w:rsidP="00172AD3">
      <w:pPr>
        <w:widowControl/>
      </w:pPr>
    </w:p>
    <w:p w:rsidR="00080640" w:rsidRPr="00A71D95" w:rsidRDefault="00172AD3" w:rsidP="00DA711E">
      <w:pPr>
        <w:pStyle w:val="ListParagraph"/>
        <w:widowControl/>
        <w:numPr>
          <w:ilvl w:val="1"/>
          <w:numId w:val="1"/>
        </w:numPr>
        <w:rPr>
          <w:rFonts w:asciiTheme="minorHAnsi" w:eastAsiaTheme="minorHAnsi" w:hAnsiTheme="minorHAnsi" w:cstheme="minorBidi"/>
          <w:i/>
          <w:snapToGrid/>
        </w:rPr>
      </w:pPr>
      <w:r w:rsidRPr="00F06C4D">
        <w:t>BLISS</w:t>
      </w:r>
      <w:r w:rsidRPr="00F06C4D">
        <w:rPr>
          <w:rFonts w:asciiTheme="minorHAnsi" w:eastAsiaTheme="minorHAnsi" w:hAnsiTheme="minorHAnsi" w:cstheme="minorBidi"/>
          <w:snapToGrid/>
        </w:rPr>
        <w:t xml:space="preserve">-SC </w:t>
      </w:r>
      <w:r>
        <w:rPr>
          <w:rFonts w:asciiTheme="minorHAnsi" w:eastAsiaTheme="minorHAnsi" w:hAnsiTheme="minorHAnsi" w:cstheme="minorBidi"/>
          <w:snapToGrid/>
        </w:rPr>
        <w:t>demonstrated that b</w:t>
      </w:r>
      <w:r w:rsidRPr="007A3A0D">
        <w:rPr>
          <w:rFonts w:asciiTheme="minorHAnsi" w:eastAsiaTheme="minorHAnsi" w:hAnsiTheme="minorHAnsi" w:cstheme="minorBidi"/>
          <w:snapToGrid/>
        </w:rPr>
        <w:t xml:space="preserve">elimumab 200 mg SC in addition to </w:t>
      </w:r>
      <w:r>
        <w:rPr>
          <w:rFonts w:asciiTheme="minorHAnsi" w:eastAsiaTheme="minorHAnsi" w:hAnsiTheme="minorHAnsi" w:cstheme="minorBidi"/>
          <w:snapToGrid/>
        </w:rPr>
        <w:t>SOC</w:t>
      </w:r>
      <w:r w:rsidRPr="007A3A0D">
        <w:rPr>
          <w:rFonts w:asciiTheme="minorHAnsi" w:eastAsiaTheme="minorHAnsi" w:hAnsiTheme="minorHAnsi" w:cstheme="minorBidi"/>
          <w:snapToGrid/>
        </w:rPr>
        <w:t xml:space="preserve"> achieved a greater proportion of SRI responders at Week 52 compared to placebo plus </w:t>
      </w:r>
      <w:r>
        <w:rPr>
          <w:rFonts w:asciiTheme="minorHAnsi" w:eastAsiaTheme="minorHAnsi" w:hAnsiTheme="minorHAnsi" w:cstheme="minorBidi"/>
          <w:snapToGrid/>
        </w:rPr>
        <w:t xml:space="preserve">SOC (RD; 95% confidence interval [CI] = 0.13; </w:t>
      </w:r>
      <w:r w:rsidRPr="002F7DA3">
        <w:rPr>
          <w:rFonts w:asciiTheme="minorHAnsi" w:eastAsiaTheme="minorHAnsi" w:hAnsiTheme="minorHAnsi" w:cstheme="minorBidi"/>
          <w:snapToGrid/>
        </w:rPr>
        <w:t>0.06, 0.20)</w:t>
      </w:r>
      <w:r>
        <w:rPr>
          <w:rFonts w:asciiTheme="minorHAnsi" w:eastAsiaTheme="minorHAnsi" w:hAnsiTheme="minorHAnsi" w:cstheme="minorBidi"/>
          <w:snapToGrid/>
        </w:rPr>
        <w:t xml:space="preserve">. The results of BLISS-SC were similar to the results from the pooled trials (RD; 95% CI = </w:t>
      </w:r>
      <w:r w:rsidRPr="002F7DA3">
        <w:rPr>
          <w:rFonts w:asciiTheme="minorHAnsi" w:eastAsiaTheme="minorHAnsi" w:hAnsiTheme="minorHAnsi" w:cstheme="minorBidi"/>
          <w:snapToGrid/>
        </w:rPr>
        <w:t>0.12</w:t>
      </w:r>
      <w:r>
        <w:rPr>
          <w:rFonts w:asciiTheme="minorHAnsi" w:eastAsiaTheme="minorHAnsi" w:hAnsiTheme="minorHAnsi" w:cstheme="minorBidi"/>
          <w:snapToGrid/>
        </w:rPr>
        <w:t xml:space="preserve">; </w:t>
      </w:r>
      <w:r w:rsidRPr="002F7DA3">
        <w:rPr>
          <w:rFonts w:asciiTheme="minorHAnsi" w:eastAsiaTheme="minorHAnsi" w:hAnsiTheme="minorHAnsi" w:cstheme="minorBidi"/>
          <w:snapToGrid/>
        </w:rPr>
        <w:t>0.08, 0.15</w:t>
      </w:r>
      <w:r>
        <w:rPr>
          <w:rFonts w:asciiTheme="minorHAnsi" w:eastAsiaTheme="minorHAnsi" w:hAnsiTheme="minorHAnsi" w:cstheme="minorBidi"/>
          <w:snapToGrid/>
        </w:rPr>
        <w:t xml:space="preserve">). </w:t>
      </w:r>
    </w:p>
    <w:p w:rsidR="00A71D95" w:rsidRPr="00080640" w:rsidRDefault="00A71D95" w:rsidP="00DA711E">
      <w:pPr>
        <w:pStyle w:val="ListParagraph"/>
        <w:widowControl/>
        <w:numPr>
          <w:ilvl w:val="1"/>
          <w:numId w:val="1"/>
        </w:numPr>
        <w:rPr>
          <w:rFonts w:asciiTheme="minorHAnsi" w:eastAsiaTheme="minorHAnsi" w:hAnsiTheme="minorHAnsi" w:cstheme="minorBidi"/>
          <w:i/>
          <w:snapToGrid/>
        </w:rPr>
      </w:pPr>
      <w:r>
        <w:t>The sponsor noted in the pre-PBAC response that</w:t>
      </w:r>
      <w:r w:rsidRPr="001B2B1F">
        <w:t xml:space="preserve"> </w:t>
      </w:r>
      <w:r w:rsidR="00C600C7">
        <w:t xml:space="preserve">the </w:t>
      </w:r>
      <w:r>
        <w:t xml:space="preserve">treatment effect was greater in the </w:t>
      </w:r>
      <w:r w:rsidRPr="001B2B1F">
        <w:t xml:space="preserve">sub-group </w:t>
      </w:r>
      <w:r>
        <w:t>of</w:t>
      </w:r>
      <w:r w:rsidRPr="001B2B1F">
        <w:t xml:space="preserve"> patients receiving trip</w:t>
      </w:r>
      <w:r>
        <w:t>le therapy at baseline, and stated that t</w:t>
      </w:r>
      <w:r w:rsidR="00C600C7">
        <w:t>he economic model u</w:t>
      </w:r>
      <w:r w:rsidRPr="001B2B1F">
        <w:t>ses the more conservative ITT results</w:t>
      </w:r>
      <w:r w:rsidR="00C600C7">
        <w:t>,</w:t>
      </w:r>
      <w:r w:rsidRPr="001B2B1F">
        <w:t xml:space="preserve"> </w:t>
      </w:r>
      <w:r>
        <w:t>rather than subgroup results based on</w:t>
      </w:r>
      <w:r w:rsidRPr="001B2B1F">
        <w:t xml:space="preserve"> patients with characteristics similar to the PBS population.</w:t>
      </w:r>
      <w:r>
        <w:t xml:space="preserve"> In BLISS-SC the risk difference for </w:t>
      </w:r>
      <w:r w:rsidRPr="007A3A0D">
        <w:rPr>
          <w:rFonts w:asciiTheme="minorHAnsi" w:eastAsiaTheme="minorHAnsi" w:hAnsiTheme="minorHAnsi" w:cstheme="minorBidi"/>
          <w:snapToGrid/>
        </w:rPr>
        <w:t xml:space="preserve">SRI responders at Week 52 </w:t>
      </w:r>
      <w:r>
        <w:rPr>
          <w:rFonts w:asciiTheme="minorHAnsi" w:eastAsiaTheme="minorHAnsi" w:hAnsiTheme="minorHAnsi" w:cstheme="minorBidi"/>
          <w:snapToGrid/>
        </w:rPr>
        <w:t xml:space="preserve">for </w:t>
      </w:r>
      <w:r>
        <w:t>the subgroup of</w:t>
      </w:r>
      <w:r w:rsidRPr="001B2B1F">
        <w:t xml:space="preserve"> patients receiving trip</w:t>
      </w:r>
      <w:r>
        <w:t>le therapy at baseline was 0.19 (95% CI: 0.05, 0.34)</w:t>
      </w:r>
      <w:r w:rsidR="000D3E1D">
        <w:t>.</w:t>
      </w:r>
    </w:p>
    <w:p w:rsidR="00080640" w:rsidRPr="00B31196" w:rsidRDefault="00080640" w:rsidP="00D31D44">
      <w:pPr>
        <w:pStyle w:val="ListParagraph"/>
        <w:widowControl/>
        <w:numPr>
          <w:ilvl w:val="1"/>
          <w:numId w:val="1"/>
        </w:numPr>
        <w:rPr>
          <w:rFonts w:asciiTheme="minorHAnsi" w:eastAsiaTheme="minorHAnsi" w:hAnsiTheme="minorHAnsi" w:cstheme="minorBidi"/>
          <w:snapToGrid/>
        </w:rPr>
      </w:pPr>
      <w:r w:rsidRPr="00B31196">
        <w:rPr>
          <w:rFonts w:asciiTheme="minorHAnsi" w:eastAsiaTheme="minorHAnsi" w:hAnsiTheme="minorHAnsi" w:cstheme="minorBidi"/>
          <w:snapToGrid/>
        </w:rPr>
        <w:t>At its November 2019 meeting, the PBAC considered that belimumab demonstrated a modest clinical benefit compared with placebo. The response rate in the placebo arms of the trials were high, which the PBAC considered was likely due to a combination of reasons including optimisation and adherence to SOC in the clinical trial setting, as well as regression to the mean as some patients may have commenced therapy during a disease flare (paragraph 7.7, Belimumab PSD November 2019 PBAC meeting).</w:t>
      </w:r>
      <w:r w:rsidR="00AC753E" w:rsidRPr="00B31196">
        <w:rPr>
          <w:rFonts w:asciiTheme="minorHAnsi" w:eastAsiaTheme="minorHAnsi" w:hAnsiTheme="minorHAnsi" w:cstheme="minorBidi"/>
          <w:snapToGrid/>
        </w:rPr>
        <w:t xml:space="preserve"> </w:t>
      </w:r>
    </w:p>
    <w:p w:rsidR="008376CA" w:rsidRPr="00B31196" w:rsidRDefault="008376CA" w:rsidP="00DF74D9">
      <w:pPr>
        <w:pStyle w:val="ListParagraph"/>
        <w:keepNext/>
        <w:keepLines/>
        <w:numPr>
          <w:ilvl w:val="1"/>
          <w:numId w:val="1"/>
        </w:numPr>
        <w:spacing w:after="120"/>
      </w:pPr>
      <w:r w:rsidRPr="00B31196">
        <w:rPr>
          <w:rFonts w:asciiTheme="minorHAnsi" w:hAnsiTheme="minorHAnsi"/>
          <w:bCs/>
          <w:lang w:val="en-GB"/>
        </w:rPr>
        <w:t xml:space="preserve">The PBAC also </w:t>
      </w:r>
      <w:r w:rsidR="00790105" w:rsidRPr="00B31196">
        <w:rPr>
          <w:rFonts w:asciiTheme="minorHAnsi" w:hAnsiTheme="minorHAnsi"/>
          <w:bCs/>
          <w:lang w:val="en-GB"/>
        </w:rPr>
        <w:t xml:space="preserve">previously </w:t>
      </w:r>
      <w:r w:rsidRPr="00B31196">
        <w:rPr>
          <w:rFonts w:asciiTheme="minorHAnsi" w:hAnsiTheme="minorHAnsi"/>
          <w:bCs/>
          <w:lang w:val="en-GB"/>
        </w:rPr>
        <w:t xml:space="preserve">noted that </w:t>
      </w:r>
      <w:r w:rsidRPr="00B31196">
        <w:t>SRI response at Week 52 was not statistically significant in the EMBRACE trial, which was conducted in patients of African American, Native American and African descent. SLE is more common and more severe in Indigenous Australians and</w:t>
      </w:r>
      <w:r w:rsidRPr="00B31196" w:rsidDel="00A816EE">
        <w:t xml:space="preserve"> </w:t>
      </w:r>
      <w:r w:rsidRPr="00B31196">
        <w:t xml:space="preserve">the applicability of the pivotal trial, BLISS-SC, to these patients is uncertain </w:t>
      </w:r>
      <w:r w:rsidRPr="00B31196">
        <w:rPr>
          <w:rFonts w:asciiTheme="minorHAnsi" w:eastAsiaTheme="minorHAnsi" w:hAnsiTheme="minorHAnsi" w:cstheme="minorBidi"/>
          <w:snapToGrid/>
        </w:rPr>
        <w:t>(paragraph 7.8, Belimumab PSD November 2019 PBAC meeting).</w:t>
      </w:r>
    </w:p>
    <w:p w:rsidR="00D7064E" w:rsidRPr="00B31196" w:rsidRDefault="00D7064E" w:rsidP="001B2B1F">
      <w:pPr>
        <w:pStyle w:val="ListParagraph"/>
        <w:keepNext/>
        <w:keepLines/>
        <w:numPr>
          <w:ilvl w:val="1"/>
          <w:numId w:val="1"/>
        </w:numPr>
        <w:spacing w:after="120"/>
      </w:pPr>
      <w:r w:rsidRPr="00B31196">
        <w:t>The ESC noted that while the efficacy claim was based on response as measured by SRI at Week 52 (adjusted OR; 95% CI = 1.68; 1.25, 2.25</w:t>
      </w:r>
      <w:r w:rsidR="006E39D6" w:rsidRPr="00B31196">
        <w:t xml:space="preserve"> in BLISS-SC</w:t>
      </w:r>
      <w:r w:rsidRPr="00B31196">
        <w:t>), which is not used in clinical practice, a similar response was obtained in the SLEDAI</w:t>
      </w:r>
      <w:r w:rsidR="006E39D6" w:rsidRPr="00B31196">
        <w:t>-</w:t>
      </w:r>
      <w:r w:rsidRPr="00B31196">
        <w:t>based assessment (</w:t>
      </w:r>
      <w:r w:rsidRPr="00B31196">
        <w:rPr>
          <w:rFonts w:cs="Calibri"/>
        </w:rPr>
        <w:t>≥</w:t>
      </w:r>
      <w:r w:rsidRPr="00B31196">
        <w:t>4 point reduction from baseline in SELENA-SLEDAI score at Week 52: adjusted OR; 95% CI = 1.69; 1.26, 2.27</w:t>
      </w:r>
      <w:r w:rsidR="006E39D6" w:rsidRPr="00B31196">
        <w:t xml:space="preserve"> in BLISS-SC</w:t>
      </w:r>
      <w:r w:rsidRPr="00B31196">
        <w:t xml:space="preserve">), which is utilised in the economic model (SELENA-SLEDAI) and for assessment in the restriction (SLEDAI-2K). </w:t>
      </w:r>
    </w:p>
    <w:p w:rsidR="00172AD3" w:rsidRPr="00BE1C7D" w:rsidRDefault="00255943" w:rsidP="00950212">
      <w:pPr>
        <w:pStyle w:val="ListParagraph"/>
        <w:widowControl/>
        <w:numPr>
          <w:ilvl w:val="1"/>
          <w:numId w:val="1"/>
        </w:numPr>
      </w:pPr>
      <w:r>
        <w:rPr>
          <w:rFonts w:asciiTheme="minorHAnsi" w:eastAsiaTheme="minorHAnsi" w:hAnsiTheme="minorHAnsi" w:cstheme="minorBidi"/>
          <w:snapToGrid/>
        </w:rPr>
        <w:t>T</w:t>
      </w:r>
      <w:r w:rsidR="00172AD3" w:rsidRPr="00BE1C7D">
        <w:t>he probability of response rates in the model was based on the proportion of patients who achieved a ≥ 4-point reduction in the SELENA-SLEDAI at Week 24 in BLISS-SC</w:t>
      </w:r>
      <w:r w:rsidR="0002393C" w:rsidRPr="00BE1C7D">
        <w:t xml:space="preserve"> in-line with the requested restriction</w:t>
      </w:r>
      <w:r w:rsidR="00172AD3" w:rsidRPr="00BE1C7D">
        <w:t>. The difference in SELENA-SLEDAI response at Week 24 was not statistically significant</w:t>
      </w:r>
      <w:r w:rsidR="00E83E17" w:rsidRPr="00BE1C7D">
        <w:t xml:space="preserve"> </w:t>
      </w:r>
      <w:r w:rsidR="00172AD3" w:rsidRPr="00BE1C7D">
        <w:t>(</w:t>
      </w:r>
      <w:r w:rsidR="00332215" w:rsidRPr="00BE1C7D">
        <w:t>OR 1.34; 95% CI: 1.00, 1.81;</w:t>
      </w:r>
      <w:r w:rsidR="00594223" w:rsidRPr="00BE1C7D">
        <w:rPr>
          <w:rFonts w:asciiTheme="minorHAnsi" w:eastAsiaTheme="minorHAnsi" w:hAnsiTheme="minorHAnsi" w:cstheme="minorBidi"/>
          <w:snapToGrid/>
        </w:rPr>
        <w:t xml:space="preserve"> p=0.0522</w:t>
      </w:r>
      <w:r w:rsidR="00172AD3" w:rsidRPr="00BE1C7D">
        <w:t>).</w:t>
      </w:r>
      <w:r w:rsidR="001B2B1F">
        <w:t xml:space="preserve"> </w:t>
      </w:r>
    </w:p>
    <w:p w:rsidR="00594223" w:rsidRPr="00716F34" w:rsidRDefault="00594223" w:rsidP="00DA711E">
      <w:pPr>
        <w:pStyle w:val="ListParagraph"/>
        <w:widowControl/>
        <w:numPr>
          <w:ilvl w:val="1"/>
          <w:numId w:val="1"/>
        </w:numPr>
      </w:pPr>
      <w:r w:rsidRPr="00716F34">
        <w:t xml:space="preserve">Table </w:t>
      </w:r>
      <w:r w:rsidR="0045020A" w:rsidRPr="00716F34">
        <w:t>8</w:t>
      </w:r>
      <w:r w:rsidRPr="00716F34">
        <w:t xml:space="preserve"> presents analyses for SDI progression, as included in the resubmission to substantiate its approach to the economic model. The resubmission used results for the proportion of patients with SDI worsening compared with baseline at Week 52 from BLISS-SC (highlighted in green), which was previously informed by Urowitz et al 2018 in the November 2019 submission.</w:t>
      </w:r>
    </w:p>
    <w:p w:rsidR="00C22DC2" w:rsidRPr="0044160F" w:rsidRDefault="00C22DC2" w:rsidP="00DC721D">
      <w:pPr>
        <w:keepNext/>
        <w:keepLines/>
        <w:widowControl/>
        <w:jc w:val="left"/>
        <w:rPr>
          <w:rFonts w:ascii="Arial Narrow" w:hAnsi="Arial Narrow"/>
          <w:b/>
          <w:sz w:val="20"/>
          <w:szCs w:val="20"/>
        </w:rPr>
      </w:pPr>
      <w:r w:rsidRPr="0045020A">
        <w:rPr>
          <w:rFonts w:ascii="Arial Narrow" w:hAnsi="Arial Narrow"/>
          <w:b/>
          <w:sz w:val="20"/>
          <w:szCs w:val="20"/>
        </w:rPr>
        <w:lastRenderedPageBreak/>
        <w:t>Table</w:t>
      </w:r>
      <w:r w:rsidR="0045020A" w:rsidRPr="0045020A">
        <w:rPr>
          <w:rFonts w:ascii="Arial Narrow" w:hAnsi="Arial Narrow"/>
          <w:b/>
          <w:sz w:val="20"/>
          <w:szCs w:val="20"/>
        </w:rPr>
        <w:t xml:space="preserve"> 8</w:t>
      </w:r>
      <w:r w:rsidRPr="0045020A">
        <w:rPr>
          <w:rFonts w:ascii="Arial Narrow" w:hAnsi="Arial Narrow"/>
          <w:b/>
          <w:sz w:val="20"/>
          <w:szCs w:val="20"/>
        </w:rPr>
        <w:t>: SDI progression</w:t>
      </w:r>
      <w:r w:rsidRPr="0044160F">
        <w:rPr>
          <w:rFonts w:ascii="Arial Narrow" w:hAnsi="Arial Narrow"/>
          <w:b/>
          <w:sz w:val="20"/>
          <w:szCs w:val="20"/>
        </w:rPr>
        <w:t xml:space="preserve"> outcomes presented by the </w:t>
      </w:r>
      <w:r>
        <w:rPr>
          <w:rFonts w:ascii="Arial Narrow" w:hAnsi="Arial Narrow"/>
          <w:b/>
          <w:sz w:val="20"/>
          <w:szCs w:val="20"/>
        </w:rPr>
        <w:t>re</w:t>
      </w:r>
      <w:r w:rsidRPr="0044160F">
        <w:rPr>
          <w:rFonts w:ascii="Arial Narrow" w:hAnsi="Arial Narrow"/>
          <w:b/>
          <w:sz w:val="20"/>
          <w:szCs w:val="20"/>
        </w:rPr>
        <w:t>submission</w:t>
      </w:r>
      <w:r>
        <w:rPr>
          <w:rFonts w:ascii="Arial Narrow" w:hAnsi="Arial Narrow"/>
          <w:b/>
          <w:sz w:val="20"/>
          <w:szCs w:val="20"/>
        </w:rPr>
        <w:t xml:space="preserve"> (</w:t>
      </w:r>
      <w:r w:rsidRPr="001C5109">
        <w:rPr>
          <w:rFonts w:ascii="Arial Narrow" w:hAnsi="Arial Narrow"/>
          <w:b/>
          <w:sz w:val="20"/>
          <w:szCs w:val="20"/>
          <w:shd w:val="clear" w:color="auto" w:fill="D6E3BC" w:themeFill="accent3" w:themeFillTint="66"/>
        </w:rPr>
        <w:t>and used in the economic model</w:t>
      </w:r>
      <w:r>
        <w:rPr>
          <w:rFonts w:ascii="Arial Narrow" w:hAnsi="Arial Narrow"/>
          <w:b/>
          <w:sz w:val="20"/>
          <w:szCs w:val="20"/>
        </w:rPr>
        <w:t>)</w:t>
      </w:r>
    </w:p>
    <w:tbl>
      <w:tblPr>
        <w:tblStyle w:val="TableGrid"/>
        <w:tblW w:w="0" w:type="auto"/>
        <w:tblCellMar>
          <w:left w:w="28" w:type="dxa"/>
          <w:right w:w="28" w:type="dxa"/>
        </w:tblCellMar>
        <w:tblLook w:val="04A0" w:firstRow="1" w:lastRow="0" w:firstColumn="1" w:lastColumn="0" w:noHBand="0" w:noVBand="1"/>
        <w:tblCaption w:val="Table 8: SDI progression outcomes presented by the resubmission (and used in the economic model)"/>
      </w:tblPr>
      <w:tblGrid>
        <w:gridCol w:w="1696"/>
        <w:gridCol w:w="1169"/>
        <w:gridCol w:w="1170"/>
        <w:gridCol w:w="1169"/>
        <w:gridCol w:w="1170"/>
        <w:gridCol w:w="2643"/>
      </w:tblGrid>
      <w:tr w:rsidR="00C22DC2" w:rsidRPr="00BE1C7D" w:rsidTr="00413C17">
        <w:trPr>
          <w:tblHeader/>
        </w:trPr>
        <w:tc>
          <w:tcPr>
            <w:tcW w:w="1696" w:type="dxa"/>
            <w:vAlign w:val="center"/>
          </w:tcPr>
          <w:p w:rsidR="00C22DC2" w:rsidRPr="00BE1C7D" w:rsidRDefault="00C22DC2" w:rsidP="00DC721D">
            <w:pPr>
              <w:keepNext/>
              <w:keepLines/>
              <w:jc w:val="left"/>
              <w:rPr>
                <w:rFonts w:ascii="Arial Narrow" w:hAnsi="Arial Narrow"/>
                <w:sz w:val="20"/>
                <w:szCs w:val="18"/>
              </w:rPr>
            </w:pPr>
          </w:p>
        </w:tc>
        <w:tc>
          <w:tcPr>
            <w:tcW w:w="2339" w:type="dxa"/>
            <w:gridSpan w:val="2"/>
            <w:vAlign w:val="center"/>
          </w:tcPr>
          <w:p w:rsidR="00C22DC2" w:rsidRPr="00BE1C7D" w:rsidRDefault="00C22DC2" w:rsidP="00DC721D">
            <w:pPr>
              <w:keepNext/>
              <w:keepLines/>
              <w:jc w:val="center"/>
              <w:rPr>
                <w:rFonts w:ascii="Arial Narrow" w:hAnsi="Arial Narrow"/>
                <w:sz w:val="20"/>
                <w:szCs w:val="18"/>
                <w:lang w:val="de-DE"/>
              </w:rPr>
            </w:pPr>
            <w:r w:rsidRPr="00BE1C7D">
              <w:rPr>
                <w:rFonts w:ascii="Arial Narrow" w:hAnsi="Arial Narrow"/>
                <w:b/>
                <w:bCs/>
                <w:sz w:val="20"/>
                <w:szCs w:val="18"/>
                <w:lang w:val="de-DE"/>
              </w:rPr>
              <w:t>BEL (200mg SC/ 10mg/kg IV)</w:t>
            </w:r>
          </w:p>
        </w:tc>
        <w:tc>
          <w:tcPr>
            <w:tcW w:w="2339" w:type="dxa"/>
            <w:gridSpan w:val="2"/>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b/>
                <w:bCs/>
                <w:sz w:val="20"/>
                <w:szCs w:val="18"/>
              </w:rPr>
              <w:t>PBO</w:t>
            </w:r>
          </w:p>
        </w:tc>
        <w:tc>
          <w:tcPr>
            <w:tcW w:w="2643" w:type="dxa"/>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b/>
                <w:bCs/>
                <w:sz w:val="20"/>
                <w:szCs w:val="20"/>
              </w:rPr>
              <w:t>BEL v PBO</w:t>
            </w:r>
          </w:p>
        </w:tc>
      </w:tr>
      <w:tr w:rsidR="00C22DC2" w:rsidRPr="00BE1C7D" w:rsidTr="00E2610E">
        <w:tc>
          <w:tcPr>
            <w:tcW w:w="1696" w:type="dxa"/>
          </w:tcPr>
          <w:p w:rsidR="00C22DC2" w:rsidRPr="00BE1C7D" w:rsidRDefault="00C22DC2" w:rsidP="00DC721D">
            <w:pPr>
              <w:keepNext/>
              <w:keepLines/>
              <w:jc w:val="left"/>
              <w:rPr>
                <w:rFonts w:ascii="Arial Narrow" w:hAnsi="Arial Narrow"/>
                <w:b/>
                <w:bCs/>
                <w:sz w:val="20"/>
                <w:szCs w:val="18"/>
              </w:rPr>
            </w:pPr>
            <w:r w:rsidRPr="00BE1C7D">
              <w:rPr>
                <w:rFonts w:ascii="Arial Narrow" w:hAnsi="Arial Narrow"/>
                <w:b/>
                <w:bCs/>
                <w:sz w:val="20"/>
                <w:szCs w:val="18"/>
              </w:rPr>
              <w:t>Change from baseline at Week 52</w:t>
            </w:r>
          </w:p>
        </w:tc>
        <w:tc>
          <w:tcPr>
            <w:tcW w:w="1169" w:type="dxa"/>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Baseline mean (SD)</w:t>
            </w:r>
          </w:p>
        </w:tc>
        <w:tc>
          <w:tcPr>
            <w:tcW w:w="1170" w:type="dxa"/>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LS mean Δ (SD/SE)</w:t>
            </w:r>
          </w:p>
        </w:tc>
        <w:tc>
          <w:tcPr>
            <w:tcW w:w="1169" w:type="dxa"/>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Baseline mean (SD)</w:t>
            </w:r>
          </w:p>
        </w:tc>
        <w:tc>
          <w:tcPr>
            <w:tcW w:w="1170" w:type="dxa"/>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LS mean Δ (SD/SE)</w:t>
            </w:r>
          </w:p>
        </w:tc>
        <w:tc>
          <w:tcPr>
            <w:tcW w:w="2643" w:type="dxa"/>
            <w:vAlign w:val="center"/>
          </w:tcPr>
          <w:p w:rsidR="00C22DC2" w:rsidRPr="00BE1C7D" w:rsidRDefault="00C22DC2" w:rsidP="00DC721D">
            <w:pPr>
              <w:keepNext/>
              <w:keepLines/>
              <w:jc w:val="center"/>
              <w:rPr>
                <w:rFonts w:ascii="Arial Narrow" w:hAnsi="Arial Narrow"/>
                <w:b/>
                <w:sz w:val="20"/>
                <w:szCs w:val="18"/>
              </w:rPr>
            </w:pPr>
            <w:r w:rsidRPr="00BE1C7D">
              <w:rPr>
                <w:rFonts w:ascii="Arial Narrow" w:hAnsi="Arial Narrow"/>
                <w:b/>
                <w:sz w:val="20"/>
                <w:szCs w:val="18"/>
              </w:rPr>
              <w:t>LS mean Δ treatment diff. (95%CI)</w:t>
            </w:r>
          </w:p>
        </w:tc>
      </w:tr>
      <w:tr w:rsidR="00C22DC2" w:rsidRPr="00BE1C7D" w:rsidTr="00E2610E">
        <w:tc>
          <w:tcPr>
            <w:tcW w:w="6374" w:type="dxa"/>
            <w:gridSpan w:val="5"/>
            <w:vAlign w:val="center"/>
          </w:tcPr>
          <w:p w:rsidR="00C22DC2" w:rsidRPr="00BE1C7D" w:rsidRDefault="00C22DC2" w:rsidP="00DC721D">
            <w:pPr>
              <w:keepNext/>
              <w:keepLines/>
              <w:jc w:val="left"/>
              <w:rPr>
                <w:rFonts w:ascii="Arial Narrow" w:hAnsi="Arial Narrow"/>
                <w:sz w:val="20"/>
                <w:szCs w:val="18"/>
              </w:rPr>
            </w:pPr>
            <w:r w:rsidRPr="00BE1C7D">
              <w:rPr>
                <w:rFonts w:ascii="Arial Narrow" w:hAnsi="Arial Narrow"/>
                <w:b/>
                <w:bCs/>
                <w:sz w:val="20"/>
                <w:szCs w:val="18"/>
              </w:rPr>
              <w:t>LS mean change in SDI score at Week 52</w:t>
            </w:r>
          </w:p>
        </w:tc>
        <w:tc>
          <w:tcPr>
            <w:tcW w:w="2643" w:type="dxa"/>
            <w:vAlign w:val="center"/>
          </w:tcPr>
          <w:p w:rsidR="00C22DC2" w:rsidRPr="00BE1C7D" w:rsidRDefault="00C22DC2" w:rsidP="00DC721D">
            <w:pPr>
              <w:keepNext/>
              <w:keepLines/>
              <w:jc w:val="center"/>
              <w:rPr>
                <w:rFonts w:ascii="Arial Narrow" w:hAnsi="Arial Narrow"/>
                <w:b/>
                <w:bCs/>
                <w:sz w:val="20"/>
                <w:szCs w:val="18"/>
              </w:rPr>
            </w:pPr>
          </w:p>
        </w:tc>
      </w:tr>
      <w:tr w:rsidR="00C22DC2" w:rsidRPr="00BE1C7D" w:rsidTr="00E4095C">
        <w:tc>
          <w:tcPr>
            <w:tcW w:w="1696" w:type="dxa"/>
          </w:tcPr>
          <w:p w:rsidR="00C22DC2" w:rsidRPr="00BE1C7D" w:rsidRDefault="00C22DC2" w:rsidP="00DC721D">
            <w:pPr>
              <w:keepNext/>
              <w:keepLines/>
              <w:jc w:val="left"/>
              <w:rPr>
                <w:rFonts w:ascii="Arial Narrow" w:hAnsi="Arial Narrow"/>
                <w:sz w:val="20"/>
                <w:szCs w:val="18"/>
                <w:vertAlign w:val="superscript"/>
              </w:rPr>
            </w:pPr>
            <w:r w:rsidRPr="00BE1C7D">
              <w:rPr>
                <w:rFonts w:ascii="Arial Narrow" w:hAnsi="Arial Narrow"/>
                <w:sz w:val="20"/>
                <w:szCs w:val="18"/>
              </w:rPr>
              <w:t>BLISS-SC</w:t>
            </w:r>
            <w:r w:rsidRPr="00BE1C7D">
              <w:rPr>
                <w:rFonts w:ascii="Arial Narrow" w:hAnsi="Arial Narrow"/>
                <w:sz w:val="20"/>
                <w:szCs w:val="18"/>
                <w:vertAlign w:val="superscript"/>
              </w:rPr>
              <w:t>1</w:t>
            </w:r>
          </w:p>
        </w:tc>
        <w:tc>
          <w:tcPr>
            <w:tcW w:w="1169"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0.6 (1.00)</w:t>
            </w:r>
          </w:p>
        </w:tc>
        <w:tc>
          <w:tcPr>
            <w:tcW w:w="1170"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0.0 (0.01</w:t>
            </w:r>
            <w:r w:rsidRPr="00BE1C7D">
              <w:rPr>
                <w:rFonts w:ascii="Arial Narrow" w:hAnsi="Arial Narrow"/>
                <w:sz w:val="18"/>
                <w:szCs w:val="18"/>
                <w:vertAlign w:val="superscript"/>
              </w:rPr>
              <w:t>†</w:t>
            </w:r>
            <w:r w:rsidRPr="00BE1C7D">
              <w:rPr>
                <w:rFonts w:ascii="Arial Narrow" w:hAnsi="Arial Narrow"/>
                <w:sz w:val="20"/>
                <w:szCs w:val="20"/>
                <w:lang w:eastAsia="en-AU"/>
              </w:rPr>
              <w:t>)</w:t>
            </w:r>
          </w:p>
        </w:tc>
        <w:tc>
          <w:tcPr>
            <w:tcW w:w="1169"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0.7 (1.19)</w:t>
            </w:r>
          </w:p>
        </w:tc>
        <w:tc>
          <w:tcPr>
            <w:tcW w:w="1170"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0.1 (0.02</w:t>
            </w:r>
            <w:r w:rsidRPr="00BE1C7D">
              <w:rPr>
                <w:rFonts w:ascii="Arial Narrow" w:hAnsi="Arial Narrow"/>
                <w:sz w:val="18"/>
                <w:szCs w:val="18"/>
                <w:vertAlign w:val="superscript"/>
              </w:rPr>
              <w:t>†</w:t>
            </w:r>
            <w:r w:rsidRPr="00BE1C7D">
              <w:rPr>
                <w:rFonts w:ascii="Arial Narrow" w:hAnsi="Arial Narrow"/>
                <w:sz w:val="20"/>
                <w:szCs w:val="20"/>
                <w:lang w:eastAsia="en-AU"/>
              </w:rPr>
              <w:t>)</w:t>
            </w:r>
          </w:p>
        </w:tc>
        <w:tc>
          <w:tcPr>
            <w:tcW w:w="2643"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vertAlign w:val="superscript"/>
              </w:rPr>
            </w:pPr>
            <w:r w:rsidRPr="00BE1C7D">
              <w:rPr>
                <w:rFonts w:ascii="Arial Narrow" w:hAnsi="Arial Narrow"/>
                <w:sz w:val="20"/>
                <w:szCs w:val="20"/>
              </w:rPr>
              <w:t>-0.0 (-0.1, 0.0), p=0.1174</w:t>
            </w:r>
          </w:p>
        </w:tc>
      </w:tr>
      <w:tr w:rsidR="00C22DC2" w:rsidRPr="00BE1C7D" w:rsidTr="00E4095C">
        <w:tc>
          <w:tcPr>
            <w:tcW w:w="1696" w:type="dxa"/>
          </w:tcPr>
          <w:p w:rsidR="00C22DC2" w:rsidRPr="00BE1C7D" w:rsidRDefault="00C22DC2" w:rsidP="00DC721D">
            <w:pPr>
              <w:keepNext/>
              <w:keepLines/>
              <w:jc w:val="left"/>
              <w:rPr>
                <w:rFonts w:ascii="Arial Narrow" w:hAnsi="Arial Narrow"/>
                <w:sz w:val="20"/>
                <w:szCs w:val="18"/>
                <w:vertAlign w:val="superscript"/>
              </w:rPr>
            </w:pPr>
            <w:r w:rsidRPr="00BE1C7D">
              <w:rPr>
                <w:rFonts w:ascii="Arial Narrow" w:hAnsi="Arial Narrow"/>
                <w:sz w:val="20"/>
                <w:szCs w:val="18"/>
              </w:rPr>
              <w:t>BLISS-52</w:t>
            </w:r>
            <w:r w:rsidRPr="00BE1C7D">
              <w:rPr>
                <w:rFonts w:ascii="Arial Narrow" w:hAnsi="Arial Narrow"/>
                <w:sz w:val="20"/>
                <w:szCs w:val="18"/>
                <w:vertAlign w:val="superscript"/>
              </w:rPr>
              <w:t>2</w:t>
            </w:r>
          </w:p>
        </w:tc>
        <w:tc>
          <w:tcPr>
            <w:tcW w:w="1169"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0.55 (0.06)</w:t>
            </w:r>
            <w:r w:rsidRPr="00BE1C7D">
              <w:rPr>
                <w:rFonts w:ascii="Arial Narrow" w:hAnsi="Arial Narrow"/>
                <w:sz w:val="20"/>
                <w:szCs w:val="20"/>
                <w:vertAlign w:val="superscript"/>
              </w:rPr>
              <w:t>†</w:t>
            </w:r>
          </w:p>
        </w:tc>
        <w:tc>
          <w:tcPr>
            <w:tcW w:w="1170"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0.08 (0.02</w:t>
            </w:r>
            <w:r w:rsidRPr="00BE1C7D">
              <w:rPr>
                <w:rFonts w:ascii="Arial Narrow" w:hAnsi="Arial Narrow"/>
                <w:sz w:val="18"/>
                <w:szCs w:val="18"/>
                <w:vertAlign w:val="superscript"/>
              </w:rPr>
              <w:t>†</w:t>
            </w:r>
            <w:r w:rsidRPr="00BE1C7D">
              <w:rPr>
                <w:rFonts w:ascii="Arial Narrow" w:hAnsi="Arial Narrow"/>
                <w:sz w:val="20"/>
                <w:szCs w:val="20"/>
                <w:lang w:eastAsia="en-AU"/>
              </w:rPr>
              <w:t>)</w:t>
            </w:r>
          </w:p>
        </w:tc>
        <w:tc>
          <w:tcPr>
            <w:tcW w:w="1169"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0.55 (0.05)</w:t>
            </w:r>
            <w:r w:rsidRPr="00BE1C7D">
              <w:rPr>
                <w:rFonts w:ascii="Arial Narrow" w:hAnsi="Arial Narrow"/>
                <w:sz w:val="20"/>
                <w:szCs w:val="20"/>
                <w:vertAlign w:val="superscript"/>
              </w:rPr>
              <w:t>†</w:t>
            </w:r>
          </w:p>
        </w:tc>
        <w:tc>
          <w:tcPr>
            <w:tcW w:w="1170"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0.10 (0.02</w:t>
            </w:r>
            <w:r w:rsidRPr="00BE1C7D">
              <w:rPr>
                <w:rFonts w:ascii="Arial Narrow" w:hAnsi="Arial Narrow"/>
                <w:sz w:val="18"/>
                <w:szCs w:val="18"/>
                <w:vertAlign w:val="superscript"/>
              </w:rPr>
              <w:t>†</w:t>
            </w:r>
            <w:r w:rsidRPr="00BE1C7D">
              <w:rPr>
                <w:rFonts w:ascii="Arial Narrow" w:hAnsi="Arial Narrow"/>
                <w:sz w:val="20"/>
                <w:szCs w:val="20"/>
                <w:lang w:eastAsia="en-AU"/>
              </w:rPr>
              <w:t>)</w:t>
            </w:r>
          </w:p>
        </w:tc>
        <w:tc>
          <w:tcPr>
            <w:tcW w:w="2643"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rPr>
              <w:t>-0.02 (-0.06, 0.02), p=0.4222</w:t>
            </w:r>
          </w:p>
        </w:tc>
      </w:tr>
      <w:tr w:rsidR="00C22DC2" w:rsidRPr="00BE1C7D" w:rsidTr="00E4095C">
        <w:tc>
          <w:tcPr>
            <w:tcW w:w="1696" w:type="dxa"/>
          </w:tcPr>
          <w:p w:rsidR="00C22DC2" w:rsidRPr="00BE1C7D" w:rsidRDefault="00C22DC2" w:rsidP="00DC721D">
            <w:pPr>
              <w:keepNext/>
              <w:keepLines/>
              <w:jc w:val="left"/>
              <w:rPr>
                <w:rFonts w:ascii="Arial Narrow" w:hAnsi="Arial Narrow"/>
                <w:sz w:val="20"/>
                <w:szCs w:val="18"/>
                <w:vertAlign w:val="superscript"/>
              </w:rPr>
            </w:pPr>
            <w:r w:rsidRPr="00BE1C7D">
              <w:rPr>
                <w:rFonts w:ascii="Arial Narrow" w:hAnsi="Arial Narrow"/>
                <w:sz w:val="20"/>
                <w:szCs w:val="18"/>
              </w:rPr>
              <w:t>BLISS-76</w:t>
            </w:r>
            <w:r w:rsidRPr="00BE1C7D">
              <w:rPr>
                <w:rFonts w:ascii="Arial Narrow" w:hAnsi="Arial Narrow"/>
                <w:sz w:val="20"/>
                <w:szCs w:val="18"/>
                <w:vertAlign w:val="superscript"/>
              </w:rPr>
              <w:t>2</w:t>
            </w:r>
          </w:p>
        </w:tc>
        <w:tc>
          <w:tcPr>
            <w:tcW w:w="1169"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0.94 (0.08)</w:t>
            </w:r>
            <w:r w:rsidRPr="00BE1C7D">
              <w:rPr>
                <w:rFonts w:ascii="Arial Narrow" w:hAnsi="Arial Narrow"/>
                <w:sz w:val="20"/>
                <w:szCs w:val="20"/>
                <w:vertAlign w:val="superscript"/>
              </w:rPr>
              <w:t>†</w:t>
            </w:r>
          </w:p>
        </w:tc>
        <w:tc>
          <w:tcPr>
            <w:tcW w:w="1170"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0.059 (0.031</w:t>
            </w:r>
            <w:r w:rsidRPr="00BE1C7D">
              <w:rPr>
                <w:rFonts w:ascii="Arial Narrow" w:hAnsi="Arial Narrow"/>
                <w:sz w:val="18"/>
                <w:szCs w:val="18"/>
                <w:vertAlign w:val="superscript"/>
              </w:rPr>
              <w:t>†</w:t>
            </w:r>
            <w:r w:rsidRPr="00BE1C7D">
              <w:rPr>
                <w:rFonts w:ascii="Arial Narrow" w:hAnsi="Arial Narrow"/>
                <w:sz w:val="20"/>
                <w:szCs w:val="20"/>
                <w:lang w:eastAsia="en-AU"/>
              </w:rPr>
              <w:t>)</w:t>
            </w:r>
          </w:p>
        </w:tc>
        <w:tc>
          <w:tcPr>
            <w:tcW w:w="1169"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0.99 (0.09)</w:t>
            </w:r>
            <w:r w:rsidRPr="00BE1C7D">
              <w:rPr>
                <w:rFonts w:ascii="Arial Narrow" w:hAnsi="Arial Narrow"/>
                <w:sz w:val="20"/>
                <w:szCs w:val="20"/>
                <w:vertAlign w:val="superscript"/>
              </w:rPr>
              <w:t>†</w:t>
            </w:r>
          </w:p>
        </w:tc>
        <w:tc>
          <w:tcPr>
            <w:tcW w:w="1170"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0.084 (0.032</w:t>
            </w:r>
            <w:r w:rsidRPr="00BE1C7D">
              <w:rPr>
                <w:rFonts w:ascii="Arial Narrow" w:hAnsi="Arial Narrow"/>
                <w:sz w:val="18"/>
                <w:szCs w:val="18"/>
                <w:vertAlign w:val="superscript"/>
              </w:rPr>
              <w:t>†</w:t>
            </w:r>
            <w:r w:rsidRPr="00BE1C7D">
              <w:rPr>
                <w:rFonts w:ascii="Arial Narrow" w:hAnsi="Arial Narrow"/>
                <w:sz w:val="20"/>
                <w:szCs w:val="20"/>
                <w:lang w:eastAsia="en-AU"/>
              </w:rPr>
              <w:t>)</w:t>
            </w:r>
          </w:p>
        </w:tc>
        <w:tc>
          <w:tcPr>
            <w:tcW w:w="2643"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rPr>
              <w:t>-0.025 (-0.077, 0.027), p=0.3415</w:t>
            </w:r>
          </w:p>
        </w:tc>
      </w:tr>
      <w:tr w:rsidR="00C22DC2" w:rsidRPr="00BE1C7D" w:rsidTr="00E4095C">
        <w:tc>
          <w:tcPr>
            <w:tcW w:w="1696" w:type="dxa"/>
          </w:tcPr>
          <w:p w:rsidR="00C22DC2" w:rsidRPr="00BE1C7D" w:rsidRDefault="00C22DC2" w:rsidP="00DC721D">
            <w:pPr>
              <w:keepNext/>
              <w:keepLines/>
              <w:jc w:val="left"/>
              <w:rPr>
                <w:rFonts w:ascii="Arial Narrow" w:hAnsi="Arial Narrow"/>
                <w:sz w:val="20"/>
                <w:szCs w:val="18"/>
              </w:rPr>
            </w:pPr>
            <w:r w:rsidRPr="00BE1C7D">
              <w:rPr>
                <w:rFonts w:ascii="Arial Narrow" w:hAnsi="Arial Narrow"/>
                <w:sz w:val="20"/>
                <w:szCs w:val="18"/>
              </w:rPr>
              <w:t>NE-ASIA</w:t>
            </w:r>
            <w:r w:rsidRPr="00BE1C7D">
              <w:rPr>
                <w:rFonts w:ascii="Arial Narrow" w:hAnsi="Arial Narrow"/>
                <w:sz w:val="20"/>
                <w:szCs w:val="18"/>
                <w:vertAlign w:val="superscript"/>
              </w:rPr>
              <w:t>3</w:t>
            </w:r>
          </w:p>
        </w:tc>
        <w:tc>
          <w:tcPr>
            <w:tcW w:w="1169"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0.2 (0.55)</w:t>
            </w:r>
          </w:p>
        </w:tc>
        <w:tc>
          <w:tcPr>
            <w:tcW w:w="1170"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0.0 (0.15)</w:t>
            </w:r>
            <w:r w:rsidRPr="00BE1C7D">
              <w:rPr>
                <w:rFonts w:ascii="Arial Narrow" w:hAnsi="Arial Narrow"/>
                <w:sz w:val="20"/>
                <w:szCs w:val="20"/>
                <w:vertAlign w:val="superscript"/>
              </w:rPr>
              <w:t>‡</w:t>
            </w:r>
          </w:p>
        </w:tc>
        <w:tc>
          <w:tcPr>
            <w:tcW w:w="1169"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0.3 (0.61)</w:t>
            </w:r>
          </w:p>
        </w:tc>
        <w:tc>
          <w:tcPr>
            <w:tcW w:w="1170"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0.0 (0.19)</w:t>
            </w:r>
            <w:r w:rsidRPr="00BE1C7D">
              <w:rPr>
                <w:rFonts w:ascii="Arial Narrow" w:hAnsi="Arial Narrow"/>
                <w:sz w:val="20"/>
                <w:szCs w:val="20"/>
                <w:vertAlign w:val="superscript"/>
              </w:rPr>
              <w:t>‡</w:t>
            </w:r>
          </w:p>
        </w:tc>
        <w:tc>
          <w:tcPr>
            <w:tcW w:w="2643"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highlight w:val="yellow"/>
              </w:rPr>
            </w:pPr>
            <w:r w:rsidRPr="00BE1C7D">
              <w:rPr>
                <w:rFonts w:ascii="Arial Narrow" w:hAnsi="Arial Narrow"/>
                <w:sz w:val="20"/>
                <w:szCs w:val="20"/>
              </w:rPr>
              <w:t>NR, p=0.8843</w:t>
            </w:r>
            <w:r w:rsidRPr="00BE1C7D">
              <w:rPr>
                <w:rFonts w:ascii="Arial Narrow" w:hAnsi="Arial Narrow"/>
                <w:sz w:val="20"/>
                <w:szCs w:val="20"/>
                <w:vertAlign w:val="superscript"/>
              </w:rPr>
              <w:t>4</w:t>
            </w:r>
          </w:p>
        </w:tc>
      </w:tr>
      <w:tr w:rsidR="00C22DC2" w:rsidRPr="00BE1C7D" w:rsidTr="00E4095C">
        <w:tc>
          <w:tcPr>
            <w:tcW w:w="1696" w:type="dxa"/>
          </w:tcPr>
          <w:p w:rsidR="00C22DC2" w:rsidRPr="00BE1C7D" w:rsidRDefault="00C22DC2" w:rsidP="00DC721D">
            <w:pPr>
              <w:keepNext/>
              <w:keepLines/>
              <w:jc w:val="left"/>
              <w:rPr>
                <w:rFonts w:ascii="Arial Narrow" w:hAnsi="Arial Narrow"/>
                <w:sz w:val="20"/>
                <w:szCs w:val="18"/>
                <w:vertAlign w:val="superscript"/>
              </w:rPr>
            </w:pPr>
            <w:r w:rsidRPr="00BE1C7D">
              <w:rPr>
                <w:rFonts w:ascii="Arial Narrow" w:hAnsi="Arial Narrow"/>
                <w:sz w:val="20"/>
                <w:szCs w:val="18"/>
              </w:rPr>
              <w:t>EMBRACE</w:t>
            </w:r>
            <w:r w:rsidRPr="00BE1C7D">
              <w:rPr>
                <w:rFonts w:ascii="Arial Narrow" w:hAnsi="Arial Narrow"/>
                <w:sz w:val="20"/>
                <w:szCs w:val="18"/>
                <w:vertAlign w:val="superscript"/>
              </w:rPr>
              <w:t>5</w:t>
            </w:r>
          </w:p>
        </w:tc>
        <w:tc>
          <w:tcPr>
            <w:tcW w:w="1169"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0.6 (0.98)</w:t>
            </w:r>
          </w:p>
        </w:tc>
        <w:tc>
          <w:tcPr>
            <w:tcW w:w="1170"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0.0 (0.01</w:t>
            </w:r>
            <w:r w:rsidRPr="00BE1C7D">
              <w:rPr>
                <w:rFonts w:ascii="Arial Narrow" w:hAnsi="Arial Narrow"/>
                <w:sz w:val="18"/>
                <w:szCs w:val="18"/>
                <w:vertAlign w:val="superscript"/>
              </w:rPr>
              <w:t>†</w:t>
            </w:r>
            <w:r w:rsidRPr="00BE1C7D">
              <w:rPr>
                <w:rFonts w:ascii="Arial Narrow" w:hAnsi="Arial Narrow"/>
                <w:sz w:val="20"/>
                <w:szCs w:val="20"/>
                <w:lang w:eastAsia="en-AU"/>
              </w:rPr>
              <w:t>)</w:t>
            </w:r>
            <w:r w:rsidRPr="00BE1C7D">
              <w:rPr>
                <w:rFonts w:ascii="Arial Narrow" w:hAnsi="Arial Narrow"/>
                <w:sz w:val="20"/>
                <w:szCs w:val="20"/>
                <w:vertAlign w:val="superscript"/>
                <w:lang w:eastAsia="en-AU"/>
              </w:rPr>
              <w:t>‡</w:t>
            </w:r>
          </w:p>
        </w:tc>
        <w:tc>
          <w:tcPr>
            <w:tcW w:w="1169"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0.7 (1.06)</w:t>
            </w:r>
          </w:p>
        </w:tc>
        <w:tc>
          <w:tcPr>
            <w:tcW w:w="1170"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rPr>
            </w:pPr>
            <w:r w:rsidRPr="00BE1C7D">
              <w:rPr>
                <w:rFonts w:ascii="Arial Narrow" w:hAnsi="Arial Narrow"/>
                <w:sz w:val="20"/>
                <w:szCs w:val="20"/>
                <w:lang w:eastAsia="en-AU"/>
              </w:rPr>
              <w:t>0.0 (0.02</w:t>
            </w:r>
            <w:r w:rsidRPr="00BE1C7D">
              <w:rPr>
                <w:rFonts w:ascii="Arial Narrow" w:hAnsi="Arial Narrow"/>
                <w:sz w:val="18"/>
                <w:szCs w:val="18"/>
                <w:vertAlign w:val="superscript"/>
              </w:rPr>
              <w:t>†</w:t>
            </w:r>
            <w:r w:rsidRPr="00BE1C7D">
              <w:rPr>
                <w:rFonts w:ascii="Arial Narrow" w:hAnsi="Arial Narrow"/>
                <w:sz w:val="20"/>
                <w:szCs w:val="20"/>
                <w:lang w:eastAsia="en-AU"/>
              </w:rPr>
              <w:t>)</w:t>
            </w:r>
            <w:r w:rsidRPr="00BE1C7D">
              <w:rPr>
                <w:rFonts w:ascii="Arial Narrow" w:hAnsi="Arial Narrow"/>
                <w:sz w:val="20"/>
                <w:szCs w:val="20"/>
                <w:vertAlign w:val="superscript"/>
                <w:lang w:eastAsia="en-AU"/>
              </w:rPr>
              <w:t>‡</w:t>
            </w:r>
          </w:p>
        </w:tc>
        <w:tc>
          <w:tcPr>
            <w:tcW w:w="2643"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20"/>
                <w:highlight w:val="yellow"/>
              </w:rPr>
            </w:pPr>
            <w:r w:rsidRPr="00BE1C7D">
              <w:rPr>
                <w:rFonts w:ascii="Arial Narrow" w:hAnsi="Arial Narrow"/>
                <w:sz w:val="20"/>
                <w:szCs w:val="20"/>
              </w:rPr>
              <w:t>NR, p=0.7660</w:t>
            </w:r>
            <w:r w:rsidRPr="00BE1C7D">
              <w:rPr>
                <w:rFonts w:ascii="Arial Narrow" w:hAnsi="Arial Narrow"/>
                <w:sz w:val="20"/>
                <w:szCs w:val="20"/>
                <w:vertAlign w:val="superscript"/>
              </w:rPr>
              <w:t>4</w:t>
            </w:r>
          </w:p>
        </w:tc>
      </w:tr>
      <w:tr w:rsidR="00C22DC2" w:rsidRPr="00BE1C7D" w:rsidTr="00E2610E">
        <w:tc>
          <w:tcPr>
            <w:tcW w:w="6374" w:type="dxa"/>
            <w:gridSpan w:val="5"/>
            <w:vAlign w:val="center"/>
          </w:tcPr>
          <w:p w:rsidR="00C22DC2" w:rsidRPr="00BE1C7D" w:rsidRDefault="00C22DC2" w:rsidP="00DC721D">
            <w:pPr>
              <w:keepNext/>
              <w:keepLines/>
              <w:jc w:val="right"/>
              <w:rPr>
                <w:rFonts w:ascii="Arial Narrow" w:hAnsi="Arial Narrow"/>
                <w:sz w:val="20"/>
                <w:szCs w:val="20"/>
                <w:lang w:eastAsia="en-AU"/>
              </w:rPr>
            </w:pPr>
            <w:r w:rsidRPr="00BE1C7D">
              <w:rPr>
                <w:rFonts w:ascii="Arial Narrow" w:hAnsi="Arial Narrow"/>
                <w:sz w:val="20"/>
                <w:szCs w:val="20"/>
                <w:lang w:eastAsia="en-AU"/>
              </w:rPr>
              <w:t>Meta-analysis</w:t>
            </w:r>
          </w:p>
        </w:tc>
        <w:tc>
          <w:tcPr>
            <w:tcW w:w="2643" w:type="dxa"/>
            <w:vAlign w:val="center"/>
          </w:tcPr>
          <w:p w:rsidR="00C22DC2" w:rsidRPr="00BE1C7D" w:rsidRDefault="00C22DC2" w:rsidP="00DC721D">
            <w:pPr>
              <w:keepNext/>
              <w:keepLines/>
              <w:jc w:val="center"/>
              <w:rPr>
                <w:rFonts w:ascii="Arial Narrow" w:hAnsi="Arial Narrow"/>
                <w:sz w:val="20"/>
                <w:szCs w:val="20"/>
                <w:highlight w:val="yellow"/>
              </w:rPr>
            </w:pPr>
            <w:r w:rsidRPr="00BE1C7D">
              <w:rPr>
                <w:rFonts w:ascii="Arial Narrow" w:hAnsi="Arial Narrow"/>
                <w:sz w:val="20"/>
                <w:szCs w:val="20"/>
              </w:rPr>
              <w:t>-0.03 (-0.07, 0.01)</w:t>
            </w:r>
          </w:p>
        </w:tc>
      </w:tr>
      <w:tr w:rsidR="00127531" w:rsidRPr="00BE1C7D" w:rsidTr="00127531">
        <w:tc>
          <w:tcPr>
            <w:tcW w:w="6374" w:type="dxa"/>
            <w:gridSpan w:val="5"/>
            <w:tcBorders>
              <w:right w:val="single" w:sz="4" w:space="0" w:color="FFFFFF" w:themeColor="background1"/>
            </w:tcBorders>
            <w:vAlign w:val="center"/>
          </w:tcPr>
          <w:p w:rsidR="00127531" w:rsidRPr="00BE1C7D" w:rsidRDefault="00127531" w:rsidP="00DC721D">
            <w:pPr>
              <w:keepNext/>
              <w:keepLines/>
              <w:jc w:val="left"/>
              <w:rPr>
                <w:rFonts w:ascii="Arial Narrow" w:hAnsi="Arial Narrow"/>
                <w:b/>
                <w:bCs/>
                <w:sz w:val="20"/>
                <w:szCs w:val="18"/>
              </w:rPr>
            </w:pPr>
          </w:p>
        </w:tc>
        <w:tc>
          <w:tcPr>
            <w:tcW w:w="2643" w:type="dxa"/>
            <w:tcBorders>
              <w:left w:val="single" w:sz="4" w:space="0" w:color="FFFFFF" w:themeColor="background1"/>
            </w:tcBorders>
            <w:vAlign w:val="center"/>
          </w:tcPr>
          <w:p w:rsidR="00127531" w:rsidRPr="00BE1C7D" w:rsidRDefault="00127531" w:rsidP="00DC721D">
            <w:pPr>
              <w:keepNext/>
              <w:keepLines/>
              <w:jc w:val="center"/>
              <w:rPr>
                <w:rFonts w:ascii="Arial Narrow" w:hAnsi="Arial Narrow"/>
                <w:b/>
                <w:sz w:val="20"/>
                <w:szCs w:val="18"/>
              </w:rPr>
            </w:pPr>
            <w:r w:rsidRPr="00BE1C7D">
              <w:rPr>
                <w:rFonts w:ascii="Arial Narrow" w:hAnsi="Arial Narrow"/>
                <w:b/>
                <w:sz w:val="20"/>
                <w:szCs w:val="18"/>
              </w:rPr>
              <w:t>OR (95%CI)</w:t>
            </w:r>
          </w:p>
        </w:tc>
      </w:tr>
      <w:tr w:rsidR="00C22DC2" w:rsidRPr="00BE1C7D" w:rsidTr="00E2610E">
        <w:tc>
          <w:tcPr>
            <w:tcW w:w="6374" w:type="dxa"/>
            <w:gridSpan w:val="5"/>
            <w:vAlign w:val="center"/>
          </w:tcPr>
          <w:p w:rsidR="00C22DC2" w:rsidRPr="00127531" w:rsidRDefault="00C22DC2" w:rsidP="00127531">
            <w:pPr>
              <w:keepNext/>
              <w:keepLines/>
              <w:jc w:val="left"/>
              <w:rPr>
                <w:rFonts w:ascii="Arial Narrow" w:hAnsi="Arial Narrow"/>
                <w:sz w:val="20"/>
                <w:szCs w:val="18"/>
              </w:rPr>
            </w:pPr>
            <w:r w:rsidRPr="00BE1C7D">
              <w:rPr>
                <w:rFonts w:ascii="Arial Narrow" w:hAnsi="Arial Narrow"/>
                <w:b/>
                <w:bCs/>
                <w:sz w:val="20"/>
                <w:szCs w:val="18"/>
              </w:rPr>
              <w:t>SDI worsening (Δ&gt;0) compared with baseline at Week 52</w:t>
            </w:r>
            <w:r w:rsidR="00127531">
              <w:rPr>
                <w:rFonts w:ascii="Arial Narrow" w:hAnsi="Arial Narrow"/>
                <w:b/>
                <w:bCs/>
                <w:sz w:val="20"/>
                <w:szCs w:val="18"/>
              </w:rPr>
              <w:t xml:space="preserve"> </w:t>
            </w:r>
          </w:p>
        </w:tc>
        <w:tc>
          <w:tcPr>
            <w:tcW w:w="2643" w:type="dxa"/>
            <w:vAlign w:val="center"/>
          </w:tcPr>
          <w:p w:rsidR="00C22DC2" w:rsidRPr="0056678A" w:rsidRDefault="00127531" w:rsidP="00127531">
            <w:pPr>
              <w:keepNext/>
              <w:keepLines/>
              <w:jc w:val="center"/>
              <w:rPr>
                <w:rFonts w:ascii="Arial Narrow" w:hAnsi="Arial Narrow"/>
                <w:b/>
                <w:sz w:val="20"/>
                <w:szCs w:val="18"/>
              </w:rPr>
            </w:pPr>
            <w:r w:rsidRPr="0056678A">
              <w:rPr>
                <w:rFonts w:ascii="Arial Narrow" w:hAnsi="Arial Narrow"/>
                <w:bCs/>
                <w:sz w:val="20"/>
                <w:szCs w:val="18"/>
              </w:rPr>
              <w:t>Note: OR &lt; 1 favours belimumab</w:t>
            </w:r>
          </w:p>
        </w:tc>
      </w:tr>
      <w:tr w:rsidR="00C22DC2" w:rsidRPr="00BE1C7D" w:rsidTr="00E4095C">
        <w:tc>
          <w:tcPr>
            <w:tcW w:w="1696" w:type="dxa"/>
          </w:tcPr>
          <w:p w:rsidR="00C22DC2" w:rsidRPr="00BE1C7D" w:rsidRDefault="00C22DC2" w:rsidP="00DC721D">
            <w:pPr>
              <w:keepNext/>
              <w:keepLines/>
              <w:jc w:val="left"/>
              <w:rPr>
                <w:rFonts w:ascii="Arial Narrow" w:hAnsi="Arial Narrow"/>
                <w:sz w:val="20"/>
                <w:szCs w:val="18"/>
                <w:vertAlign w:val="superscript"/>
              </w:rPr>
            </w:pPr>
            <w:r w:rsidRPr="00BE1C7D">
              <w:rPr>
                <w:rFonts w:ascii="Arial Narrow" w:hAnsi="Arial Narrow"/>
                <w:sz w:val="20"/>
                <w:szCs w:val="18"/>
              </w:rPr>
              <w:t>BLISS-SC</w:t>
            </w:r>
            <w:r w:rsidRPr="00BE1C7D">
              <w:rPr>
                <w:rFonts w:ascii="Arial Narrow" w:hAnsi="Arial Narrow"/>
                <w:sz w:val="20"/>
                <w:szCs w:val="18"/>
                <w:vertAlign w:val="superscript"/>
              </w:rPr>
              <w:t>6</w:t>
            </w:r>
          </w:p>
        </w:tc>
        <w:tc>
          <w:tcPr>
            <w:tcW w:w="2339" w:type="dxa"/>
            <w:gridSpan w:val="2"/>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13/556 (2.3%)</w:t>
            </w:r>
          </w:p>
        </w:tc>
        <w:tc>
          <w:tcPr>
            <w:tcW w:w="2339" w:type="dxa"/>
            <w:gridSpan w:val="2"/>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14/280 (5.0%)</w:t>
            </w:r>
          </w:p>
        </w:tc>
        <w:tc>
          <w:tcPr>
            <w:tcW w:w="2643" w:type="dxa"/>
            <w:shd w:val="clear" w:color="auto" w:fill="D6E3BC" w:themeFill="accent3" w:themeFillTint="66"/>
            <w:vAlign w:val="center"/>
          </w:tcPr>
          <w:p w:rsidR="00C22DC2" w:rsidRPr="00BE1C7D" w:rsidRDefault="00C22DC2" w:rsidP="00DC721D">
            <w:pPr>
              <w:keepNext/>
              <w:keepLines/>
              <w:jc w:val="center"/>
              <w:rPr>
                <w:rFonts w:ascii="Arial Narrow" w:hAnsi="Arial Narrow"/>
                <w:sz w:val="20"/>
                <w:szCs w:val="18"/>
                <w:vertAlign w:val="superscript"/>
              </w:rPr>
            </w:pPr>
            <w:r w:rsidRPr="00BE1C7D">
              <w:rPr>
                <w:rFonts w:ascii="Arial Narrow" w:hAnsi="Arial Narrow"/>
                <w:sz w:val="20"/>
                <w:szCs w:val="18"/>
              </w:rPr>
              <w:t>0.47 (0.22, 1.02), p=0.0558</w:t>
            </w:r>
          </w:p>
        </w:tc>
      </w:tr>
      <w:tr w:rsidR="00C22DC2" w:rsidRPr="00BE1C7D" w:rsidTr="00E4095C">
        <w:tc>
          <w:tcPr>
            <w:tcW w:w="1696" w:type="dxa"/>
          </w:tcPr>
          <w:p w:rsidR="00C22DC2" w:rsidRPr="00BE1C7D" w:rsidRDefault="00C22DC2" w:rsidP="00DC721D">
            <w:pPr>
              <w:keepNext/>
              <w:keepLines/>
              <w:jc w:val="left"/>
              <w:rPr>
                <w:rFonts w:ascii="Arial Narrow" w:hAnsi="Arial Narrow"/>
                <w:sz w:val="20"/>
                <w:szCs w:val="18"/>
                <w:vertAlign w:val="superscript"/>
              </w:rPr>
            </w:pPr>
            <w:r w:rsidRPr="00BE1C7D">
              <w:rPr>
                <w:rFonts w:ascii="Arial Narrow" w:hAnsi="Arial Narrow"/>
                <w:sz w:val="20"/>
                <w:szCs w:val="18"/>
              </w:rPr>
              <w:t>EMBRACE</w:t>
            </w:r>
            <w:r w:rsidRPr="00BE1C7D">
              <w:rPr>
                <w:rFonts w:ascii="Arial Narrow" w:hAnsi="Arial Narrow"/>
                <w:sz w:val="20"/>
                <w:szCs w:val="18"/>
                <w:vertAlign w:val="superscript"/>
              </w:rPr>
              <w:t>7</w:t>
            </w:r>
          </w:p>
        </w:tc>
        <w:tc>
          <w:tcPr>
            <w:tcW w:w="2339" w:type="dxa"/>
            <w:gridSpan w:val="2"/>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8/299 (2.7%)</w:t>
            </w:r>
          </w:p>
        </w:tc>
        <w:tc>
          <w:tcPr>
            <w:tcW w:w="2339" w:type="dxa"/>
            <w:gridSpan w:val="2"/>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5/149 (3.4%)</w:t>
            </w:r>
          </w:p>
        </w:tc>
        <w:tc>
          <w:tcPr>
            <w:tcW w:w="2643"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0.90 (0.28, 2.86), p=0.8607</w:t>
            </w:r>
          </w:p>
        </w:tc>
      </w:tr>
      <w:tr w:rsidR="00C22DC2" w:rsidRPr="00BE1C7D" w:rsidTr="00E4095C">
        <w:tc>
          <w:tcPr>
            <w:tcW w:w="6374" w:type="dxa"/>
            <w:gridSpan w:val="5"/>
            <w:vAlign w:val="center"/>
          </w:tcPr>
          <w:p w:rsidR="00C22DC2" w:rsidRPr="00BE1C7D" w:rsidRDefault="00C22DC2" w:rsidP="00DC721D">
            <w:pPr>
              <w:keepNext/>
              <w:keepLines/>
              <w:jc w:val="right"/>
              <w:rPr>
                <w:rFonts w:ascii="Arial Narrow" w:hAnsi="Arial Narrow"/>
                <w:sz w:val="20"/>
                <w:szCs w:val="18"/>
              </w:rPr>
            </w:pPr>
            <w:r w:rsidRPr="00BE1C7D">
              <w:rPr>
                <w:rFonts w:ascii="Arial Narrow" w:hAnsi="Arial Narrow"/>
                <w:sz w:val="20"/>
                <w:szCs w:val="18"/>
              </w:rPr>
              <w:t>Meta-analysis</w:t>
            </w:r>
          </w:p>
        </w:tc>
        <w:tc>
          <w:tcPr>
            <w:tcW w:w="2643" w:type="dxa"/>
            <w:shd w:val="clear" w:color="auto" w:fill="C6D9F1" w:themeFill="text2" w:themeFillTint="33"/>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0.57 (0.30, 1.09), p=0.09</w:t>
            </w:r>
          </w:p>
        </w:tc>
      </w:tr>
      <w:tr w:rsidR="00C22DC2" w:rsidRPr="00BE1C7D" w:rsidTr="00E2610E">
        <w:tc>
          <w:tcPr>
            <w:tcW w:w="6374" w:type="dxa"/>
            <w:gridSpan w:val="5"/>
            <w:vAlign w:val="center"/>
          </w:tcPr>
          <w:p w:rsidR="00C22DC2" w:rsidRPr="00BE1C7D" w:rsidRDefault="00C22DC2" w:rsidP="00DC721D">
            <w:pPr>
              <w:keepNext/>
              <w:keepLines/>
              <w:jc w:val="left"/>
              <w:rPr>
                <w:rFonts w:ascii="Arial Narrow" w:hAnsi="Arial Narrow"/>
                <w:b/>
                <w:sz w:val="20"/>
                <w:szCs w:val="18"/>
              </w:rPr>
            </w:pPr>
            <w:r w:rsidRPr="00BE1C7D">
              <w:rPr>
                <w:rFonts w:ascii="Arial Narrow" w:hAnsi="Arial Narrow"/>
                <w:b/>
                <w:sz w:val="20"/>
                <w:szCs w:val="18"/>
              </w:rPr>
              <w:t>Patients remaining free from SDI progression at Week 52</w:t>
            </w:r>
          </w:p>
        </w:tc>
        <w:tc>
          <w:tcPr>
            <w:tcW w:w="2643" w:type="dxa"/>
            <w:vAlign w:val="center"/>
          </w:tcPr>
          <w:p w:rsidR="00C22DC2" w:rsidRPr="0056678A" w:rsidRDefault="00127531" w:rsidP="00127531">
            <w:pPr>
              <w:keepNext/>
              <w:keepLines/>
              <w:jc w:val="center"/>
              <w:rPr>
                <w:rFonts w:ascii="Arial Narrow" w:hAnsi="Arial Narrow"/>
                <w:sz w:val="20"/>
                <w:szCs w:val="18"/>
              </w:rPr>
            </w:pPr>
            <w:r w:rsidRPr="0056678A">
              <w:rPr>
                <w:rFonts w:ascii="Arial Narrow" w:hAnsi="Arial Narrow"/>
                <w:sz w:val="20"/>
                <w:szCs w:val="18"/>
              </w:rPr>
              <w:t>Note: OR &gt; 1 favours belimumab</w:t>
            </w:r>
          </w:p>
        </w:tc>
      </w:tr>
      <w:tr w:rsidR="00C22DC2" w:rsidRPr="00BE1C7D" w:rsidTr="00E2610E">
        <w:tc>
          <w:tcPr>
            <w:tcW w:w="1696" w:type="dxa"/>
          </w:tcPr>
          <w:p w:rsidR="00C22DC2" w:rsidRPr="00BE1C7D" w:rsidRDefault="00C22DC2" w:rsidP="00DC721D">
            <w:pPr>
              <w:keepNext/>
              <w:keepLines/>
              <w:jc w:val="left"/>
              <w:rPr>
                <w:rFonts w:ascii="Arial Narrow" w:hAnsi="Arial Narrow"/>
                <w:sz w:val="20"/>
                <w:szCs w:val="18"/>
              </w:rPr>
            </w:pPr>
            <w:r w:rsidRPr="00BE1C7D">
              <w:rPr>
                <w:rFonts w:ascii="Arial Narrow" w:hAnsi="Arial Narrow"/>
                <w:sz w:val="20"/>
                <w:szCs w:val="18"/>
              </w:rPr>
              <w:t>BLISS-SC</w:t>
            </w:r>
            <w:r w:rsidRPr="00BE1C7D">
              <w:rPr>
                <w:rFonts w:ascii="Arial Narrow" w:hAnsi="Arial Narrow"/>
                <w:sz w:val="20"/>
                <w:szCs w:val="18"/>
                <w:vertAlign w:val="superscript"/>
              </w:rPr>
              <w:t>6</w:t>
            </w:r>
          </w:p>
        </w:tc>
        <w:tc>
          <w:tcPr>
            <w:tcW w:w="2339" w:type="dxa"/>
            <w:gridSpan w:val="2"/>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446/556 (80.2%)</w:t>
            </w:r>
          </w:p>
        </w:tc>
        <w:tc>
          <w:tcPr>
            <w:tcW w:w="2339" w:type="dxa"/>
            <w:gridSpan w:val="2"/>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203/280 (72.5%)</w:t>
            </w:r>
          </w:p>
        </w:tc>
        <w:tc>
          <w:tcPr>
            <w:tcW w:w="2643" w:type="dxa"/>
            <w:vAlign w:val="center"/>
          </w:tcPr>
          <w:p w:rsidR="00C22DC2" w:rsidRPr="00BE1C7D" w:rsidRDefault="00C22DC2" w:rsidP="00DC721D">
            <w:pPr>
              <w:keepNext/>
              <w:keepLines/>
              <w:jc w:val="center"/>
              <w:rPr>
                <w:rFonts w:ascii="Arial Narrow" w:hAnsi="Arial Narrow"/>
                <w:b/>
                <w:sz w:val="20"/>
                <w:szCs w:val="18"/>
              </w:rPr>
            </w:pPr>
            <w:r w:rsidRPr="00BE1C7D">
              <w:rPr>
                <w:rFonts w:ascii="Arial Narrow" w:hAnsi="Arial Narrow"/>
                <w:b/>
                <w:sz w:val="20"/>
                <w:szCs w:val="18"/>
              </w:rPr>
              <w:t>1.54 (1.10, 2.16), p=0.0123</w:t>
            </w:r>
          </w:p>
        </w:tc>
      </w:tr>
      <w:tr w:rsidR="00C22DC2" w:rsidRPr="00BE1C7D" w:rsidTr="00E2610E">
        <w:tc>
          <w:tcPr>
            <w:tcW w:w="1696" w:type="dxa"/>
          </w:tcPr>
          <w:p w:rsidR="00C22DC2" w:rsidRPr="00BE1C7D" w:rsidRDefault="00C22DC2" w:rsidP="00DC721D">
            <w:pPr>
              <w:keepNext/>
              <w:keepLines/>
              <w:jc w:val="left"/>
              <w:rPr>
                <w:rFonts w:ascii="Arial Narrow" w:hAnsi="Arial Narrow"/>
                <w:sz w:val="20"/>
                <w:szCs w:val="18"/>
              </w:rPr>
            </w:pPr>
            <w:r w:rsidRPr="00BE1C7D">
              <w:rPr>
                <w:rFonts w:ascii="Arial Narrow" w:hAnsi="Arial Narrow"/>
                <w:sz w:val="20"/>
                <w:szCs w:val="18"/>
              </w:rPr>
              <w:t>NE-ASIA</w:t>
            </w:r>
            <w:r w:rsidRPr="00BE1C7D">
              <w:rPr>
                <w:rFonts w:ascii="Arial Narrow" w:hAnsi="Arial Narrow"/>
                <w:sz w:val="20"/>
                <w:szCs w:val="18"/>
                <w:vertAlign w:val="superscript"/>
              </w:rPr>
              <w:t>8</w:t>
            </w:r>
          </w:p>
        </w:tc>
        <w:tc>
          <w:tcPr>
            <w:tcW w:w="2339" w:type="dxa"/>
            <w:gridSpan w:val="2"/>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359/447 (80.3%)</w:t>
            </w:r>
          </w:p>
        </w:tc>
        <w:tc>
          <w:tcPr>
            <w:tcW w:w="2339" w:type="dxa"/>
            <w:gridSpan w:val="2"/>
            <w:vAlign w:val="center"/>
          </w:tcPr>
          <w:p w:rsidR="00C22DC2" w:rsidRPr="00BE1C7D" w:rsidRDefault="00C22DC2" w:rsidP="00DC721D">
            <w:pPr>
              <w:keepNext/>
              <w:keepLines/>
              <w:jc w:val="center"/>
              <w:rPr>
                <w:rFonts w:ascii="Arial Narrow" w:hAnsi="Arial Narrow"/>
                <w:sz w:val="20"/>
                <w:szCs w:val="18"/>
              </w:rPr>
            </w:pPr>
            <w:r w:rsidRPr="00BE1C7D">
              <w:rPr>
                <w:rFonts w:ascii="Arial Narrow" w:hAnsi="Arial Narrow"/>
                <w:sz w:val="20"/>
                <w:szCs w:val="18"/>
              </w:rPr>
              <w:t>160/226 (70.8%)</w:t>
            </w:r>
          </w:p>
        </w:tc>
        <w:tc>
          <w:tcPr>
            <w:tcW w:w="2643" w:type="dxa"/>
            <w:vAlign w:val="center"/>
          </w:tcPr>
          <w:p w:rsidR="00C22DC2" w:rsidRPr="00BE1C7D" w:rsidRDefault="00C22DC2" w:rsidP="00DC721D">
            <w:pPr>
              <w:keepNext/>
              <w:keepLines/>
              <w:jc w:val="center"/>
              <w:rPr>
                <w:rFonts w:ascii="Arial Narrow" w:hAnsi="Arial Narrow"/>
                <w:b/>
                <w:sz w:val="20"/>
                <w:szCs w:val="18"/>
              </w:rPr>
            </w:pPr>
            <w:r w:rsidRPr="00BE1C7D">
              <w:rPr>
                <w:rFonts w:ascii="Arial Narrow" w:hAnsi="Arial Narrow"/>
                <w:b/>
                <w:sz w:val="20"/>
                <w:szCs w:val="18"/>
              </w:rPr>
              <w:t>1.69 (1.17, 2.46), p=0.0056</w:t>
            </w:r>
          </w:p>
        </w:tc>
      </w:tr>
      <w:tr w:rsidR="00C22DC2" w:rsidRPr="00BE1C7D" w:rsidTr="00E2610E">
        <w:tc>
          <w:tcPr>
            <w:tcW w:w="6374" w:type="dxa"/>
            <w:gridSpan w:val="5"/>
            <w:vAlign w:val="center"/>
          </w:tcPr>
          <w:p w:rsidR="00C22DC2" w:rsidRPr="00BE1C7D" w:rsidRDefault="00C22DC2" w:rsidP="00DC721D">
            <w:pPr>
              <w:keepNext/>
              <w:keepLines/>
              <w:jc w:val="right"/>
              <w:rPr>
                <w:rFonts w:ascii="Arial Narrow" w:hAnsi="Arial Narrow"/>
                <w:sz w:val="20"/>
                <w:szCs w:val="18"/>
              </w:rPr>
            </w:pPr>
            <w:r w:rsidRPr="00BE1C7D">
              <w:rPr>
                <w:rFonts w:ascii="Arial Narrow" w:hAnsi="Arial Narrow"/>
                <w:sz w:val="20"/>
                <w:szCs w:val="18"/>
              </w:rPr>
              <w:t>Meta-analysis</w:t>
            </w:r>
          </w:p>
        </w:tc>
        <w:tc>
          <w:tcPr>
            <w:tcW w:w="2643" w:type="dxa"/>
            <w:vAlign w:val="center"/>
          </w:tcPr>
          <w:p w:rsidR="00C22DC2" w:rsidRPr="00BE1C7D" w:rsidRDefault="00C22DC2" w:rsidP="00DC721D">
            <w:pPr>
              <w:keepNext/>
              <w:keepLines/>
              <w:jc w:val="center"/>
              <w:rPr>
                <w:rFonts w:ascii="Arial Narrow" w:hAnsi="Arial Narrow"/>
                <w:b/>
                <w:sz w:val="20"/>
                <w:szCs w:val="18"/>
              </w:rPr>
            </w:pPr>
            <w:r w:rsidRPr="00BE1C7D">
              <w:rPr>
                <w:rFonts w:ascii="Arial Narrow" w:hAnsi="Arial Narrow"/>
                <w:b/>
                <w:sz w:val="20"/>
                <w:szCs w:val="18"/>
              </w:rPr>
              <w:t>1.6</w:t>
            </w:r>
            <w:r w:rsidR="0079734C" w:rsidRPr="00BE1C7D">
              <w:rPr>
                <w:rFonts w:ascii="Arial Narrow" w:hAnsi="Arial Narrow"/>
                <w:b/>
                <w:sz w:val="20"/>
                <w:szCs w:val="18"/>
              </w:rPr>
              <w:t>1</w:t>
            </w:r>
            <w:r w:rsidRPr="00BE1C7D">
              <w:rPr>
                <w:rFonts w:ascii="Arial Narrow" w:hAnsi="Arial Narrow"/>
                <w:b/>
                <w:sz w:val="20"/>
                <w:szCs w:val="18"/>
              </w:rPr>
              <w:t xml:space="preserve"> (1.25, 2.0</w:t>
            </w:r>
            <w:r w:rsidR="0079734C" w:rsidRPr="00BE1C7D">
              <w:rPr>
                <w:rFonts w:ascii="Arial Narrow" w:hAnsi="Arial Narrow"/>
                <w:b/>
                <w:sz w:val="20"/>
                <w:szCs w:val="18"/>
              </w:rPr>
              <w:t>6</w:t>
            </w:r>
            <w:r w:rsidRPr="00BE1C7D">
              <w:rPr>
                <w:rFonts w:ascii="Arial Narrow" w:hAnsi="Arial Narrow"/>
                <w:b/>
                <w:sz w:val="20"/>
                <w:szCs w:val="18"/>
              </w:rPr>
              <w:t>)</w:t>
            </w:r>
          </w:p>
        </w:tc>
      </w:tr>
    </w:tbl>
    <w:p w:rsidR="00C22DC2" w:rsidRDefault="00C22DC2" w:rsidP="00FE3F50">
      <w:pPr>
        <w:keepNext/>
        <w:keepLines/>
        <w:widowControl/>
        <w:autoSpaceDE w:val="0"/>
        <w:autoSpaceDN w:val="0"/>
        <w:adjustRightInd w:val="0"/>
        <w:rPr>
          <w:rFonts w:ascii="Arial Narrow" w:hAnsi="Arial Narrow"/>
          <w:sz w:val="18"/>
          <w:szCs w:val="18"/>
        </w:rPr>
      </w:pPr>
      <w:r w:rsidRPr="00F337FA">
        <w:rPr>
          <w:rFonts w:ascii="Arial Narrow" w:hAnsi="Arial Narrow"/>
          <w:b/>
          <w:sz w:val="18"/>
          <w:szCs w:val="18"/>
        </w:rPr>
        <w:t>Bold</w:t>
      </w:r>
      <w:r w:rsidRPr="00F337FA">
        <w:rPr>
          <w:rFonts w:ascii="Arial Narrow" w:hAnsi="Arial Narrow"/>
          <w:sz w:val="18"/>
          <w:szCs w:val="18"/>
        </w:rPr>
        <w:t xml:space="preserve"> indicates statistically significant results.</w:t>
      </w:r>
      <w:r w:rsidR="00527B8D">
        <w:rPr>
          <w:rFonts w:ascii="Arial Narrow" w:hAnsi="Arial Narrow"/>
          <w:sz w:val="18"/>
          <w:szCs w:val="18"/>
        </w:rPr>
        <w:t xml:space="preserve"> Green highlights indicate results used in the modelled economic evaluation.</w:t>
      </w:r>
    </w:p>
    <w:p w:rsidR="00C22DC2" w:rsidRPr="000A6A19" w:rsidRDefault="00C22DC2" w:rsidP="00FE3F50">
      <w:pPr>
        <w:keepNext/>
        <w:keepLines/>
        <w:widowControl/>
        <w:rPr>
          <w:rFonts w:ascii="Arial Narrow" w:hAnsi="Arial Narrow"/>
          <w:sz w:val="18"/>
          <w:szCs w:val="18"/>
        </w:rPr>
      </w:pPr>
      <w:r w:rsidRPr="000A6A19">
        <w:rPr>
          <w:rFonts w:ascii="Arial Narrow" w:hAnsi="Arial Narrow"/>
          <w:sz w:val="18"/>
          <w:szCs w:val="18"/>
        </w:rPr>
        <w:t>Abbreviations:</w:t>
      </w:r>
      <w:r>
        <w:rPr>
          <w:rFonts w:ascii="Arial Narrow" w:hAnsi="Arial Narrow"/>
          <w:sz w:val="18"/>
          <w:szCs w:val="18"/>
        </w:rPr>
        <w:t xml:space="preserve"> </w:t>
      </w:r>
      <w:r w:rsidRPr="007D0DA6">
        <w:rPr>
          <w:rFonts w:ascii="Arial Narrow" w:hAnsi="Arial Narrow"/>
          <w:sz w:val="20"/>
          <w:szCs w:val="18"/>
        </w:rPr>
        <w:t>Δ</w:t>
      </w:r>
      <w:r w:rsidRPr="007B2180">
        <w:rPr>
          <w:rFonts w:ascii="Arial Narrow" w:hAnsi="Arial Narrow"/>
          <w:sz w:val="18"/>
          <w:szCs w:val="18"/>
        </w:rPr>
        <w:t>=change;</w:t>
      </w:r>
      <w:r w:rsidRPr="000A6A19">
        <w:rPr>
          <w:rFonts w:ascii="Arial Narrow" w:hAnsi="Arial Narrow"/>
          <w:sz w:val="18"/>
          <w:szCs w:val="18"/>
        </w:rPr>
        <w:t xml:space="preserve"> BEL=belimumab; CI=confidence interval; IV=intravenous; </w:t>
      </w:r>
      <w:r>
        <w:rPr>
          <w:rFonts w:ascii="Arial Narrow" w:hAnsi="Arial Narrow"/>
          <w:sz w:val="18"/>
          <w:szCs w:val="18"/>
        </w:rPr>
        <w:t xml:space="preserve">LS=least squares; NR=not reported; </w:t>
      </w:r>
      <w:r w:rsidRPr="000A6A19">
        <w:rPr>
          <w:rFonts w:ascii="Arial Narrow" w:hAnsi="Arial Narrow"/>
          <w:sz w:val="18"/>
          <w:szCs w:val="18"/>
        </w:rPr>
        <w:t>OR=odds ratio;</w:t>
      </w:r>
      <w:r>
        <w:rPr>
          <w:rFonts w:ascii="Arial Narrow" w:hAnsi="Arial Narrow"/>
          <w:sz w:val="18"/>
          <w:szCs w:val="18"/>
        </w:rPr>
        <w:t xml:space="preserve"> PBO=placebo;</w:t>
      </w:r>
      <w:r w:rsidRPr="000A6A19">
        <w:rPr>
          <w:rFonts w:ascii="Arial Narrow" w:hAnsi="Arial Narrow"/>
          <w:sz w:val="18"/>
          <w:szCs w:val="18"/>
        </w:rPr>
        <w:t xml:space="preserve"> SC=subcutaneous; </w:t>
      </w:r>
      <w:r>
        <w:rPr>
          <w:rFonts w:ascii="Arial Narrow" w:hAnsi="Arial Narrow"/>
          <w:sz w:val="18"/>
          <w:szCs w:val="18"/>
        </w:rPr>
        <w:t>SD=standard deviation; SDI=</w:t>
      </w:r>
      <w:r w:rsidRPr="000A6A19">
        <w:rPr>
          <w:rFonts w:ascii="Arial Narrow" w:hAnsi="Arial Narrow"/>
          <w:sz w:val="18"/>
          <w:szCs w:val="18"/>
        </w:rPr>
        <w:t xml:space="preserve"> </w:t>
      </w:r>
      <w:r w:rsidRPr="00381629">
        <w:rPr>
          <w:rFonts w:ascii="Arial Narrow" w:hAnsi="Arial Narrow"/>
          <w:sz w:val="18"/>
          <w:szCs w:val="18"/>
        </w:rPr>
        <w:t>SLICC/ACR Damage Index</w:t>
      </w:r>
      <w:r>
        <w:rPr>
          <w:rFonts w:ascii="Arial Narrow" w:hAnsi="Arial Narrow"/>
          <w:sz w:val="18"/>
          <w:szCs w:val="18"/>
        </w:rPr>
        <w:t>; SE=standard error</w:t>
      </w:r>
    </w:p>
    <w:p w:rsidR="00C22DC2" w:rsidRDefault="00C22DC2" w:rsidP="00FE3F50">
      <w:pPr>
        <w:keepNext/>
        <w:keepLines/>
        <w:widowControl/>
        <w:ind w:left="165" w:hanging="165"/>
        <w:rPr>
          <w:rFonts w:ascii="Arial Narrow" w:hAnsi="Arial Narrow"/>
          <w:sz w:val="18"/>
          <w:szCs w:val="18"/>
        </w:rPr>
      </w:pPr>
      <w:r>
        <w:rPr>
          <w:rFonts w:ascii="Arial Narrow" w:hAnsi="Arial Narrow"/>
          <w:sz w:val="18"/>
          <w:szCs w:val="18"/>
          <w:vertAlign w:val="superscript"/>
        </w:rPr>
        <w:t>1</w:t>
      </w:r>
      <w:r>
        <w:rPr>
          <w:rFonts w:ascii="Arial Narrow" w:hAnsi="Arial Narrow"/>
          <w:sz w:val="18"/>
          <w:szCs w:val="18"/>
          <w:vertAlign w:val="superscript"/>
        </w:rPr>
        <w:tab/>
      </w:r>
      <w:r>
        <w:rPr>
          <w:rFonts w:ascii="Arial Narrow" w:hAnsi="Arial Narrow"/>
          <w:sz w:val="18"/>
          <w:szCs w:val="18"/>
        </w:rPr>
        <w:t xml:space="preserve">Rank </w:t>
      </w:r>
      <w:r w:rsidRPr="00381629">
        <w:rPr>
          <w:rFonts w:ascii="Arial Narrow" w:hAnsi="Arial Narrow"/>
          <w:sz w:val="18"/>
          <w:szCs w:val="18"/>
        </w:rPr>
        <w:t xml:space="preserve">analysis of covariance (ANCOVA) model comparing </w:t>
      </w:r>
      <w:r>
        <w:rPr>
          <w:rFonts w:ascii="Arial Narrow" w:hAnsi="Arial Narrow"/>
          <w:sz w:val="18"/>
          <w:szCs w:val="18"/>
        </w:rPr>
        <w:t>b</w:t>
      </w:r>
      <w:r w:rsidRPr="00381629">
        <w:rPr>
          <w:rFonts w:ascii="Arial Narrow" w:hAnsi="Arial Narrow"/>
          <w:sz w:val="18"/>
          <w:szCs w:val="18"/>
        </w:rPr>
        <w:t xml:space="preserve">elimumab and </w:t>
      </w:r>
      <w:r>
        <w:rPr>
          <w:rFonts w:ascii="Arial Narrow" w:hAnsi="Arial Narrow"/>
          <w:sz w:val="18"/>
          <w:szCs w:val="18"/>
        </w:rPr>
        <w:t>p</w:t>
      </w:r>
      <w:r w:rsidRPr="00381629">
        <w:rPr>
          <w:rFonts w:ascii="Arial Narrow" w:hAnsi="Arial Narrow"/>
          <w:sz w:val="18"/>
          <w:szCs w:val="18"/>
        </w:rPr>
        <w:t>lacebo with</w:t>
      </w:r>
      <w:r>
        <w:rPr>
          <w:rFonts w:ascii="Arial Narrow" w:hAnsi="Arial Narrow"/>
          <w:sz w:val="18"/>
          <w:szCs w:val="18"/>
        </w:rPr>
        <w:t xml:space="preserve"> </w:t>
      </w:r>
      <w:r w:rsidRPr="00381629">
        <w:rPr>
          <w:rFonts w:ascii="Arial Narrow" w:hAnsi="Arial Narrow"/>
          <w:sz w:val="18"/>
          <w:szCs w:val="18"/>
        </w:rPr>
        <w:t>covariates for treatment group, baseline SLICC/ACR Damage Index score, baseline SELENA SLEDAI score</w:t>
      </w:r>
      <w:r>
        <w:rPr>
          <w:rFonts w:ascii="Arial Narrow" w:hAnsi="Arial Narrow"/>
          <w:sz w:val="18"/>
          <w:szCs w:val="18"/>
        </w:rPr>
        <w:t xml:space="preserve"> </w:t>
      </w:r>
      <w:r w:rsidRPr="00381629">
        <w:rPr>
          <w:rFonts w:ascii="Arial Narrow" w:hAnsi="Arial Narrow"/>
          <w:sz w:val="18"/>
          <w:szCs w:val="18"/>
        </w:rPr>
        <w:t>(&lt;=9 vs. &gt;=10), baseline complement levels (low C3 and/or C4 vs. no low C3 or C4) and race</w:t>
      </w:r>
      <w:r>
        <w:rPr>
          <w:rFonts w:ascii="Arial Narrow" w:hAnsi="Arial Narrow"/>
          <w:sz w:val="18"/>
          <w:szCs w:val="18"/>
        </w:rPr>
        <w:t xml:space="preserve"> </w:t>
      </w:r>
      <w:r w:rsidRPr="00381629">
        <w:rPr>
          <w:rFonts w:ascii="Arial Narrow" w:hAnsi="Arial Narrow"/>
          <w:sz w:val="18"/>
          <w:szCs w:val="18"/>
        </w:rPr>
        <w:t>(black vs. other).</w:t>
      </w:r>
    </w:p>
    <w:p w:rsidR="00C22DC2" w:rsidRDefault="00C22DC2" w:rsidP="00FE3F50">
      <w:pPr>
        <w:keepNext/>
        <w:keepLines/>
        <w:widowControl/>
        <w:ind w:left="165" w:hanging="165"/>
        <w:rPr>
          <w:rFonts w:ascii="Arial Narrow" w:hAnsi="Arial Narrow"/>
          <w:sz w:val="18"/>
          <w:szCs w:val="18"/>
        </w:rPr>
      </w:pPr>
      <w:r>
        <w:rPr>
          <w:rFonts w:ascii="Arial Narrow" w:hAnsi="Arial Narrow"/>
          <w:sz w:val="18"/>
          <w:szCs w:val="18"/>
          <w:vertAlign w:val="superscript"/>
        </w:rPr>
        <w:t>2</w:t>
      </w:r>
      <w:r>
        <w:rPr>
          <w:rFonts w:ascii="Arial Narrow" w:hAnsi="Arial Narrow"/>
          <w:sz w:val="18"/>
          <w:szCs w:val="18"/>
          <w:vertAlign w:val="superscript"/>
        </w:rPr>
        <w:tab/>
      </w:r>
      <w:r w:rsidRPr="0099674C">
        <w:rPr>
          <w:rFonts w:ascii="Arial Narrow" w:hAnsi="Arial Narrow"/>
          <w:sz w:val="18"/>
          <w:szCs w:val="18"/>
        </w:rPr>
        <w:t>ANCOVA model for the comparison between each belimumab dose and placebo, adjusted for the</w:t>
      </w:r>
      <w:r>
        <w:rPr>
          <w:rFonts w:ascii="Arial Narrow" w:hAnsi="Arial Narrow"/>
          <w:sz w:val="18"/>
          <w:szCs w:val="18"/>
        </w:rPr>
        <w:t xml:space="preserve"> </w:t>
      </w:r>
      <w:r w:rsidRPr="0099674C">
        <w:rPr>
          <w:rFonts w:ascii="Arial Narrow" w:hAnsi="Arial Narrow"/>
          <w:sz w:val="18"/>
          <w:szCs w:val="18"/>
        </w:rPr>
        <w:t>baseline damage index score, baseline SELENA SLEDAI score (&lt;=9 vs. &gt;=10), baseline proteinuria level (&lt;2 g/24 hour vs. &gt;=2 g/24 hour equivalent) and race (African descent or indigenous−American</w:t>
      </w:r>
      <w:r>
        <w:rPr>
          <w:rFonts w:ascii="Arial Narrow" w:hAnsi="Arial Narrow"/>
          <w:sz w:val="18"/>
          <w:szCs w:val="18"/>
        </w:rPr>
        <w:t xml:space="preserve"> </w:t>
      </w:r>
      <w:r w:rsidRPr="0099674C">
        <w:rPr>
          <w:rFonts w:ascii="Arial Narrow" w:hAnsi="Arial Narrow"/>
          <w:sz w:val="18"/>
          <w:szCs w:val="18"/>
        </w:rPr>
        <w:t xml:space="preserve">descent </w:t>
      </w:r>
      <w:r w:rsidR="002A518E" w:rsidRPr="0099674C">
        <w:rPr>
          <w:rFonts w:ascii="Arial Narrow" w:hAnsi="Arial Narrow"/>
          <w:sz w:val="18"/>
          <w:szCs w:val="18"/>
        </w:rPr>
        <w:t>vs. other</w:t>
      </w:r>
      <w:r w:rsidRPr="0099674C">
        <w:rPr>
          <w:rFonts w:ascii="Arial Narrow" w:hAnsi="Arial Narrow"/>
          <w:sz w:val="18"/>
          <w:szCs w:val="18"/>
        </w:rPr>
        <w:t>)</w:t>
      </w:r>
    </w:p>
    <w:p w:rsidR="00C22DC2" w:rsidRDefault="00C22DC2" w:rsidP="00FE3F50">
      <w:pPr>
        <w:keepNext/>
        <w:keepLines/>
        <w:widowControl/>
        <w:ind w:left="165" w:hanging="165"/>
        <w:rPr>
          <w:rFonts w:ascii="Arial Narrow" w:hAnsi="Arial Narrow"/>
          <w:sz w:val="18"/>
          <w:szCs w:val="18"/>
        </w:rPr>
      </w:pPr>
      <w:r>
        <w:rPr>
          <w:rFonts w:ascii="Arial Narrow" w:hAnsi="Arial Narrow"/>
          <w:sz w:val="18"/>
          <w:szCs w:val="18"/>
          <w:vertAlign w:val="superscript"/>
        </w:rPr>
        <w:t>3</w:t>
      </w:r>
      <w:r>
        <w:rPr>
          <w:rFonts w:ascii="Arial Narrow" w:hAnsi="Arial Narrow"/>
          <w:sz w:val="18"/>
          <w:szCs w:val="18"/>
        </w:rPr>
        <w:tab/>
      </w:r>
      <w:r w:rsidRPr="00297779">
        <w:rPr>
          <w:rFonts w:ascii="Arial Narrow" w:hAnsi="Arial Narrow"/>
          <w:sz w:val="18"/>
          <w:szCs w:val="18"/>
        </w:rPr>
        <w:t xml:space="preserve">ANCOVA model comparing </w:t>
      </w:r>
      <w:r>
        <w:rPr>
          <w:rFonts w:ascii="Arial Narrow" w:hAnsi="Arial Narrow"/>
          <w:sz w:val="18"/>
          <w:szCs w:val="18"/>
        </w:rPr>
        <w:t>b</w:t>
      </w:r>
      <w:r w:rsidRPr="00297779">
        <w:rPr>
          <w:rFonts w:ascii="Arial Narrow" w:hAnsi="Arial Narrow"/>
          <w:sz w:val="18"/>
          <w:szCs w:val="18"/>
        </w:rPr>
        <w:t xml:space="preserve">elimumab and </w:t>
      </w:r>
      <w:r>
        <w:rPr>
          <w:rFonts w:ascii="Arial Narrow" w:hAnsi="Arial Narrow"/>
          <w:sz w:val="18"/>
          <w:szCs w:val="18"/>
        </w:rPr>
        <w:t>p</w:t>
      </w:r>
      <w:r w:rsidRPr="00297779">
        <w:rPr>
          <w:rFonts w:ascii="Arial Narrow" w:hAnsi="Arial Narrow"/>
          <w:sz w:val="18"/>
          <w:szCs w:val="18"/>
        </w:rPr>
        <w:t>lacebo with</w:t>
      </w:r>
      <w:r>
        <w:rPr>
          <w:rFonts w:ascii="Arial Narrow" w:hAnsi="Arial Narrow"/>
          <w:sz w:val="18"/>
          <w:szCs w:val="18"/>
        </w:rPr>
        <w:t xml:space="preserve"> </w:t>
      </w:r>
      <w:r w:rsidRPr="00297779">
        <w:rPr>
          <w:rFonts w:ascii="Arial Narrow" w:hAnsi="Arial Narrow"/>
          <w:sz w:val="18"/>
          <w:szCs w:val="18"/>
        </w:rPr>
        <w:t>independent variables treatment group, baseline SLICC/ACR Damage Index score, country, baseline SELENA SLEDAI score</w:t>
      </w:r>
      <w:r>
        <w:rPr>
          <w:rFonts w:ascii="Arial Narrow" w:hAnsi="Arial Narrow"/>
          <w:sz w:val="18"/>
          <w:szCs w:val="18"/>
        </w:rPr>
        <w:t xml:space="preserve"> </w:t>
      </w:r>
      <w:r w:rsidRPr="00297779">
        <w:rPr>
          <w:rFonts w:ascii="Arial Narrow" w:hAnsi="Arial Narrow"/>
          <w:sz w:val="18"/>
          <w:szCs w:val="18"/>
        </w:rPr>
        <w:t>(&lt;=9 vs. &gt;=10) and complement levels (low C3 and/or C4 vs. no low C3 or C4).</w:t>
      </w:r>
    </w:p>
    <w:p w:rsidR="00C22DC2" w:rsidRDefault="00C22DC2" w:rsidP="00FE3F50">
      <w:pPr>
        <w:keepNext/>
        <w:keepLines/>
        <w:widowControl/>
        <w:rPr>
          <w:rFonts w:ascii="Arial Narrow" w:hAnsi="Arial Narrow"/>
          <w:sz w:val="18"/>
          <w:szCs w:val="18"/>
        </w:rPr>
      </w:pPr>
      <w:r>
        <w:rPr>
          <w:rFonts w:ascii="Arial Narrow" w:hAnsi="Arial Narrow"/>
          <w:sz w:val="18"/>
          <w:szCs w:val="18"/>
          <w:vertAlign w:val="superscript"/>
        </w:rPr>
        <w:t>4</w:t>
      </w:r>
      <w:r>
        <w:rPr>
          <w:rFonts w:ascii="Arial Narrow" w:hAnsi="Arial Narrow"/>
          <w:sz w:val="18"/>
          <w:szCs w:val="18"/>
        </w:rPr>
        <w:tab/>
      </w:r>
      <w:r w:rsidRPr="00CD2A8B">
        <w:rPr>
          <w:rFonts w:ascii="Arial Narrow" w:hAnsi="Arial Narrow"/>
          <w:sz w:val="18"/>
          <w:szCs w:val="18"/>
        </w:rPr>
        <w:t>Only subjects with a baseline and post baseline assessment are included in the analysis.</w:t>
      </w:r>
    </w:p>
    <w:p w:rsidR="00C22DC2" w:rsidRDefault="00C22DC2" w:rsidP="00FE3F50">
      <w:pPr>
        <w:keepNext/>
        <w:keepLines/>
        <w:widowControl/>
        <w:rPr>
          <w:rFonts w:ascii="Arial Narrow" w:hAnsi="Arial Narrow"/>
          <w:sz w:val="18"/>
          <w:szCs w:val="18"/>
        </w:rPr>
      </w:pPr>
      <w:r>
        <w:rPr>
          <w:rFonts w:ascii="Arial Narrow" w:hAnsi="Arial Narrow"/>
          <w:sz w:val="18"/>
          <w:szCs w:val="18"/>
          <w:vertAlign w:val="superscript"/>
        </w:rPr>
        <w:t>5</w:t>
      </w:r>
      <w:r>
        <w:rPr>
          <w:rFonts w:ascii="Arial Narrow" w:hAnsi="Arial Narrow"/>
          <w:sz w:val="18"/>
          <w:szCs w:val="18"/>
        </w:rPr>
        <w:tab/>
      </w:r>
      <w:r w:rsidRPr="00CD2A8B">
        <w:rPr>
          <w:rFonts w:ascii="Arial Narrow" w:hAnsi="Arial Narrow"/>
          <w:sz w:val="18"/>
          <w:szCs w:val="18"/>
        </w:rPr>
        <w:t>Exact Wilcoxon Rank Sum test.</w:t>
      </w:r>
    </w:p>
    <w:p w:rsidR="00C22DC2" w:rsidRDefault="00C22DC2" w:rsidP="00FE3F50">
      <w:pPr>
        <w:keepNext/>
        <w:keepLines/>
        <w:widowControl/>
        <w:ind w:left="165" w:hanging="165"/>
        <w:rPr>
          <w:rFonts w:ascii="Arial Narrow" w:hAnsi="Arial Narrow"/>
          <w:sz w:val="18"/>
          <w:szCs w:val="18"/>
        </w:rPr>
      </w:pPr>
      <w:r>
        <w:rPr>
          <w:rFonts w:ascii="Arial Narrow" w:hAnsi="Arial Narrow"/>
          <w:sz w:val="18"/>
          <w:szCs w:val="18"/>
          <w:vertAlign w:val="superscript"/>
        </w:rPr>
        <w:t>6</w:t>
      </w:r>
      <w:r>
        <w:rPr>
          <w:rFonts w:ascii="Arial Narrow" w:hAnsi="Arial Narrow"/>
          <w:sz w:val="18"/>
          <w:szCs w:val="18"/>
        </w:rPr>
        <w:tab/>
      </w:r>
      <w:r w:rsidRPr="00BC2472">
        <w:rPr>
          <w:rFonts w:ascii="Arial Narrow" w:hAnsi="Arial Narrow"/>
          <w:sz w:val="18"/>
          <w:szCs w:val="18"/>
        </w:rPr>
        <w:t>logistic regression model</w:t>
      </w:r>
      <w:r>
        <w:rPr>
          <w:rFonts w:ascii="Arial Narrow" w:hAnsi="Arial Narrow"/>
          <w:sz w:val="18"/>
          <w:szCs w:val="18"/>
        </w:rPr>
        <w:t xml:space="preserve"> </w:t>
      </w:r>
      <w:r w:rsidRPr="00BC2472">
        <w:rPr>
          <w:rFonts w:ascii="Arial Narrow" w:hAnsi="Arial Narrow"/>
          <w:sz w:val="18"/>
          <w:szCs w:val="18"/>
        </w:rPr>
        <w:t>for the comparison between Belimumab and Placebo with covariates treatment group,</w:t>
      </w:r>
      <w:r>
        <w:rPr>
          <w:rFonts w:ascii="Arial Narrow" w:hAnsi="Arial Narrow"/>
          <w:sz w:val="18"/>
          <w:szCs w:val="18"/>
        </w:rPr>
        <w:t xml:space="preserve"> </w:t>
      </w:r>
      <w:r w:rsidRPr="00BC2472">
        <w:rPr>
          <w:rFonts w:ascii="Arial Narrow" w:hAnsi="Arial Narrow"/>
          <w:sz w:val="18"/>
          <w:szCs w:val="18"/>
        </w:rPr>
        <w:t>baseline SLICC/ACR Damage Index score, baseline SELENA SLEDAI score (&lt;=9 vs. &gt;=10),</w:t>
      </w:r>
      <w:r>
        <w:rPr>
          <w:rFonts w:ascii="Arial Narrow" w:hAnsi="Arial Narrow"/>
          <w:sz w:val="18"/>
          <w:szCs w:val="18"/>
        </w:rPr>
        <w:t xml:space="preserve"> </w:t>
      </w:r>
      <w:r w:rsidRPr="00BC2472">
        <w:rPr>
          <w:rFonts w:ascii="Arial Narrow" w:hAnsi="Arial Narrow"/>
          <w:sz w:val="18"/>
          <w:szCs w:val="18"/>
        </w:rPr>
        <w:t>baseline complement levels (low C3 and/or C4 vs. no low C3 or C4) and race (black vs. other).</w:t>
      </w:r>
    </w:p>
    <w:p w:rsidR="00C22DC2" w:rsidRDefault="00C22DC2" w:rsidP="00FE3F50">
      <w:pPr>
        <w:keepNext/>
        <w:keepLines/>
        <w:widowControl/>
        <w:ind w:left="165" w:hanging="165"/>
        <w:rPr>
          <w:rFonts w:ascii="Arial Narrow" w:hAnsi="Arial Narrow"/>
          <w:sz w:val="18"/>
          <w:szCs w:val="18"/>
        </w:rPr>
      </w:pPr>
      <w:r>
        <w:rPr>
          <w:rFonts w:ascii="Arial Narrow" w:hAnsi="Arial Narrow"/>
          <w:sz w:val="18"/>
          <w:szCs w:val="18"/>
          <w:vertAlign w:val="superscript"/>
        </w:rPr>
        <w:t>7</w:t>
      </w:r>
      <w:r>
        <w:rPr>
          <w:rFonts w:ascii="Arial Narrow" w:hAnsi="Arial Narrow"/>
          <w:sz w:val="18"/>
          <w:szCs w:val="18"/>
        </w:rPr>
        <w:tab/>
      </w:r>
      <w:r w:rsidRPr="00BC2472">
        <w:rPr>
          <w:rFonts w:ascii="Arial Narrow" w:hAnsi="Arial Narrow"/>
          <w:sz w:val="18"/>
          <w:szCs w:val="18"/>
        </w:rPr>
        <w:t>logistic regression model for the</w:t>
      </w:r>
      <w:r>
        <w:rPr>
          <w:rFonts w:ascii="Arial Narrow" w:hAnsi="Arial Narrow"/>
          <w:sz w:val="18"/>
          <w:szCs w:val="18"/>
        </w:rPr>
        <w:t xml:space="preserve"> </w:t>
      </w:r>
      <w:r w:rsidRPr="00BC2472">
        <w:rPr>
          <w:rFonts w:ascii="Arial Narrow" w:hAnsi="Arial Narrow"/>
          <w:sz w:val="18"/>
          <w:szCs w:val="18"/>
        </w:rPr>
        <w:t>comparison between Belimumab and Placebo with covariates treatment group, baseline SLICC/ACR Damage</w:t>
      </w:r>
      <w:r>
        <w:rPr>
          <w:rFonts w:ascii="Arial Narrow" w:hAnsi="Arial Narrow"/>
          <w:sz w:val="18"/>
          <w:szCs w:val="18"/>
        </w:rPr>
        <w:t xml:space="preserve"> </w:t>
      </w:r>
      <w:r w:rsidRPr="00BC2472">
        <w:rPr>
          <w:rFonts w:ascii="Arial Narrow" w:hAnsi="Arial Narrow"/>
          <w:sz w:val="18"/>
          <w:szCs w:val="18"/>
        </w:rPr>
        <w:t>Index Score, baseline SS-S2K score (&lt;=9 vs. &gt;=10), baseline complement levels [(At least one C3/C4 Low)</w:t>
      </w:r>
      <w:r>
        <w:rPr>
          <w:rFonts w:ascii="Arial Narrow" w:hAnsi="Arial Narrow"/>
          <w:sz w:val="18"/>
          <w:szCs w:val="18"/>
        </w:rPr>
        <w:t xml:space="preserve"> </w:t>
      </w:r>
      <w:r w:rsidRPr="00BC2472">
        <w:rPr>
          <w:rFonts w:ascii="Arial Narrow" w:hAnsi="Arial Narrow"/>
          <w:sz w:val="18"/>
          <w:szCs w:val="18"/>
        </w:rPr>
        <w:t>vs. (No C3/C4 Low)] and region (US/Canada vs. Rest of World).</w:t>
      </w:r>
    </w:p>
    <w:p w:rsidR="00C22DC2" w:rsidRPr="003D4ED7" w:rsidRDefault="00C22DC2" w:rsidP="00FE3F50">
      <w:pPr>
        <w:keepNext/>
        <w:keepLines/>
        <w:widowControl/>
        <w:ind w:left="165" w:hanging="165"/>
        <w:rPr>
          <w:rFonts w:ascii="Arial Narrow" w:hAnsi="Arial Narrow"/>
          <w:sz w:val="18"/>
          <w:szCs w:val="18"/>
        </w:rPr>
      </w:pPr>
      <w:r>
        <w:rPr>
          <w:rFonts w:ascii="Arial Narrow" w:hAnsi="Arial Narrow"/>
          <w:sz w:val="18"/>
          <w:szCs w:val="18"/>
          <w:vertAlign w:val="superscript"/>
        </w:rPr>
        <w:t>8</w:t>
      </w:r>
      <w:r>
        <w:rPr>
          <w:rFonts w:ascii="Arial Narrow" w:hAnsi="Arial Narrow"/>
          <w:sz w:val="18"/>
          <w:szCs w:val="18"/>
        </w:rPr>
        <w:tab/>
      </w:r>
      <w:r w:rsidRPr="004F250A">
        <w:rPr>
          <w:rFonts w:ascii="Arial Narrow" w:hAnsi="Arial Narrow"/>
          <w:sz w:val="18"/>
          <w:szCs w:val="18"/>
        </w:rPr>
        <w:t>logistic regression model for the comparison</w:t>
      </w:r>
      <w:r>
        <w:rPr>
          <w:rFonts w:ascii="Arial Narrow" w:hAnsi="Arial Narrow"/>
          <w:sz w:val="18"/>
          <w:szCs w:val="18"/>
        </w:rPr>
        <w:t xml:space="preserve"> </w:t>
      </w:r>
      <w:r w:rsidRPr="004F250A">
        <w:rPr>
          <w:rFonts w:ascii="Arial Narrow" w:hAnsi="Arial Narrow"/>
          <w:sz w:val="18"/>
          <w:szCs w:val="18"/>
        </w:rPr>
        <w:t>between Belimumab and Placebo with independent variables treatment group, baseline SLICC/ACR Damage Index</w:t>
      </w:r>
      <w:r>
        <w:rPr>
          <w:rFonts w:ascii="Arial Narrow" w:hAnsi="Arial Narrow"/>
          <w:sz w:val="18"/>
          <w:szCs w:val="18"/>
        </w:rPr>
        <w:t xml:space="preserve"> </w:t>
      </w:r>
      <w:r w:rsidRPr="004F250A">
        <w:rPr>
          <w:rFonts w:ascii="Arial Narrow" w:hAnsi="Arial Narrow"/>
          <w:sz w:val="18"/>
          <w:szCs w:val="18"/>
        </w:rPr>
        <w:t>score, baseline SELENA SLEDAI score (&lt;=9 vs. &gt;=10) and complement levels (low C3 and/or C4 vs. no low C3</w:t>
      </w:r>
      <w:r>
        <w:rPr>
          <w:rFonts w:ascii="Arial Narrow" w:hAnsi="Arial Narrow"/>
          <w:sz w:val="18"/>
          <w:szCs w:val="18"/>
        </w:rPr>
        <w:t xml:space="preserve"> </w:t>
      </w:r>
      <w:r w:rsidRPr="004F250A">
        <w:rPr>
          <w:rFonts w:ascii="Arial Narrow" w:hAnsi="Arial Narrow"/>
          <w:sz w:val="18"/>
          <w:szCs w:val="18"/>
        </w:rPr>
        <w:t>or C4).</w:t>
      </w:r>
    </w:p>
    <w:p w:rsidR="00C22DC2" w:rsidRPr="003D4ED7" w:rsidRDefault="00C22DC2" w:rsidP="00FE3F50">
      <w:pPr>
        <w:keepNext/>
        <w:keepLines/>
        <w:widowControl/>
        <w:rPr>
          <w:rFonts w:ascii="Arial Narrow" w:hAnsi="Arial Narrow"/>
          <w:sz w:val="18"/>
          <w:szCs w:val="18"/>
        </w:rPr>
      </w:pPr>
      <w:r w:rsidRPr="003D4ED7">
        <w:rPr>
          <w:rFonts w:ascii="Arial Narrow" w:hAnsi="Arial Narrow"/>
          <w:sz w:val="18"/>
          <w:szCs w:val="18"/>
          <w:vertAlign w:val="superscript"/>
        </w:rPr>
        <w:t>†</w:t>
      </w:r>
      <w:r>
        <w:rPr>
          <w:rFonts w:ascii="Arial Narrow" w:hAnsi="Arial Narrow"/>
          <w:sz w:val="18"/>
          <w:szCs w:val="18"/>
        </w:rPr>
        <w:tab/>
      </w:r>
      <w:r w:rsidRPr="003D4ED7">
        <w:rPr>
          <w:rFonts w:ascii="Arial Narrow" w:hAnsi="Arial Narrow"/>
          <w:sz w:val="18"/>
          <w:szCs w:val="18"/>
        </w:rPr>
        <w:t>SE</w:t>
      </w:r>
      <w:r w:rsidR="00362142">
        <w:rPr>
          <w:rFonts w:ascii="Arial Narrow" w:hAnsi="Arial Narrow"/>
          <w:sz w:val="18"/>
          <w:szCs w:val="18"/>
          <w:vertAlign w:val="superscript"/>
        </w:rPr>
        <w:t xml:space="preserve">   </w:t>
      </w:r>
      <w:r w:rsidRPr="003D4ED7">
        <w:rPr>
          <w:rFonts w:ascii="Arial Narrow" w:hAnsi="Arial Narrow"/>
          <w:sz w:val="18"/>
          <w:szCs w:val="18"/>
          <w:vertAlign w:val="superscript"/>
        </w:rPr>
        <w:t>‡</w:t>
      </w:r>
      <w:r>
        <w:rPr>
          <w:rFonts w:ascii="Arial Narrow" w:hAnsi="Arial Narrow"/>
          <w:sz w:val="18"/>
          <w:szCs w:val="18"/>
        </w:rPr>
        <w:tab/>
      </w:r>
      <w:r w:rsidR="00362142">
        <w:rPr>
          <w:rFonts w:ascii="Arial Narrow" w:hAnsi="Arial Narrow"/>
          <w:sz w:val="18"/>
          <w:szCs w:val="18"/>
        </w:rPr>
        <w:t xml:space="preserve"> </w:t>
      </w:r>
      <w:r w:rsidRPr="003D4ED7">
        <w:rPr>
          <w:rFonts w:ascii="Arial Narrow" w:hAnsi="Arial Narrow"/>
          <w:sz w:val="18"/>
          <w:szCs w:val="18"/>
        </w:rPr>
        <w:t>Unadjusted mean change</w:t>
      </w:r>
    </w:p>
    <w:p w:rsidR="00C22DC2" w:rsidRDefault="00C22DC2" w:rsidP="00FE3F50">
      <w:pPr>
        <w:keepNext/>
        <w:keepLines/>
        <w:widowControl/>
        <w:rPr>
          <w:rFonts w:ascii="Arial Narrow" w:hAnsi="Arial Narrow"/>
          <w:sz w:val="18"/>
          <w:szCs w:val="18"/>
        </w:rPr>
      </w:pPr>
      <w:r w:rsidRPr="003D4ED7">
        <w:rPr>
          <w:rFonts w:ascii="Arial Narrow" w:hAnsi="Arial Narrow"/>
          <w:sz w:val="18"/>
          <w:szCs w:val="18"/>
        </w:rPr>
        <w:t xml:space="preserve">Source: Tables </w:t>
      </w:r>
      <w:r>
        <w:rPr>
          <w:rFonts w:ascii="Arial Narrow" w:hAnsi="Arial Narrow"/>
          <w:sz w:val="18"/>
          <w:szCs w:val="18"/>
        </w:rPr>
        <w:t>55 – 57</w:t>
      </w:r>
      <w:r w:rsidRPr="003D4ED7">
        <w:rPr>
          <w:rFonts w:ascii="Arial Narrow" w:hAnsi="Arial Narrow"/>
          <w:sz w:val="18"/>
          <w:szCs w:val="18"/>
        </w:rPr>
        <w:t xml:space="preserve"> of the </w:t>
      </w:r>
      <w:r>
        <w:rPr>
          <w:rFonts w:ascii="Arial Narrow" w:hAnsi="Arial Narrow"/>
          <w:sz w:val="18"/>
          <w:szCs w:val="18"/>
        </w:rPr>
        <w:t>re</w:t>
      </w:r>
      <w:r w:rsidRPr="003D4ED7">
        <w:rPr>
          <w:rFonts w:ascii="Arial Narrow" w:hAnsi="Arial Narrow"/>
          <w:sz w:val="18"/>
          <w:szCs w:val="18"/>
        </w:rPr>
        <w:t xml:space="preserve">submission; Tables 2.32, </w:t>
      </w:r>
      <w:r>
        <w:rPr>
          <w:rFonts w:ascii="Arial Narrow" w:hAnsi="Arial Narrow"/>
          <w:sz w:val="18"/>
          <w:szCs w:val="18"/>
        </w:rPr>
        <w:t xml:space="preserve">2.34, 2.36 </w:t>
      </w:r>
      <w:r w:rsidRPr="003D4ED7">
        <w:rPr>
          <w:rFonts w:ascii="Arial Narrow" w:hAnsi="Arial Narrow"/>
          <w:sz w:val="18"/>
          <w:szCs w:val="18"/>
        </w:rPr>
        <w:t>of BLISS-SC CSR, Table TE10</w:t>
      </w:r>
      <w:r w:rsidRPr="00090267">
        <w:rPr>
          <w:rFonts w:ascii="Arial Narrow" w:hAnsi="Arial Narrow"/>
          <w:sz w:val="18"/>
          <w:szCs w:val="18"/>
        </w:rPr>
        <w:t>.2, of BLISS-52 CSR; Table TE10.2 of BLISS-76 CSR; Table</w:t>
      </w:r>
      <w:r>
        <w:rPr>
          <w:rFonts w:ascii="Arial Narrow" w:hAnsi="Arial Narrow"/>
          <w:sz w:val="18"/>
          <w:szCs w:val="18"/>
        </w:rPr>
        <w:t>s</w:t>
      </w:r>
      <w:r w:rsidRPr="00090267">
        <w:rPr>
          <w:rFonts w:ascii="Arial Narrow" w:hAnsi="Arial Narrow"/>
          <w:sz w:val="18"/>
          <w:szCs w:val="18"/>
        </w:rPr>
        <w:t xml:space="preserve"> 2.23</w:t>
      </w:r>
      <w:r>
        <w:rPr>
          <w:rFonts w:ascii="Arial Narrow" w:hAnsi="Arial Narrow"/>
          <w:sz w:val="18"/>
          <w:szCs w:val="18"/>
        </w:rPr>
        <w:t>, 2.24</w:t>
      </w:r>
      <w:r w:rsidRPr="00090267">
        <w:rPr>
          <w:rFonts w:ascii="Arial Narrow" w:hAnsi="Arial Narrow"/>
          <w:sz w:val="18"/>
          <w:szCs w:val="18"/>
        </w:rPr>
        <w:t xml:space="preserve"> of NE-Asia CSR; p97</w:t>
      </w:r>
      <w:r>
        <w:rPr>
          <w:rFonts w:ascii="Arial Narrow" w:hAnsi="Arial Narrow"/>
          <w:sz w:val="18"/>
          <w:szCs w:val="18"/>
        </w:rPr>
        <w:t xml:space="preserve"> and Tables 2.34, 2.36</w:t>
      </w:r>
      <w:r w:rsidRPr="00090267">
        <w:rPr>
          <w:rFonts w:ascii="Arial Narrow" w:hAnsi="Arial Narrow"/>
          <w:sz w:val="18"/>
          <w:szCs w:val="18"/>
        </w:rPr>
        <w:t xml:space="preserve"> of EMBRACE CSR</w:t>
      </w:r>
    </w:p>
    <w:p w:rsidR="00C22DC2" w:rsidRDefault="00C22DC2" w:rsidP="00C22DC2">
      <w:pPr>
        <w:widowControl/>
      </w:pPr>
    </w:p>
    <w:p w:rsidR="0011016C" w:rsidRPr="00B02EC7" w:rsidRDefault="0011016C" w:rsidP="003C3DBA">
      <w:pPr>
        <w:pStyle w:val="ListParagraph"/>
        <w:widowControl/>
        <w:numPr>
          <w:ilvl w:val="1"/>
          <w:numId w:val="1"/>
        </w:numPr>
      </w:pPr>
      <w:r w:rsidRPr="00B02EC7">
        <w:t xml:space="preserve">Although the odds ratio of 0.47 from BLISS-SC for SDI worsening was more conservative than the previously used hazard ratio of 0.391 from Urowitz et al 2018, it was more favourable than the results of the meta-analysis (BLISS-SC + EMBRACE) of OR = 0.57. Results from a Phase IV trial, </w:t>
      </w:r>
      <w:r w:rsidRPr="00E63CD1">
        <w:t>BASE, indicated</w:t>
      </w:r>
      <w:r w:rsidRPr="00B02EC7">
        <w:t xml:space="preserve"> that at Week 52, SDI worsening compared with baseline was reported for 3.2% of </w:t>
      </w:r>
      <w:r w:rsidR="00AB245C" w:rsidRPr="00B02EC7">
        <w:t xml:space="preserve">patients </w:t>
      </w:r>
      <w:r w:rsidRPr="00B02EC7">
        <w:t>in the placebo group and 2.8% in the belimumab 10 mg/kg group (OR</w:t>
      </w:r>
      <w:r w:rsidR="001E03E0" w:rsidRPr="00B02EC7">
        <w:t xml:space="preserve"> </w:t>
      </w:r>
      <w:r w:rsidRPr="00B02EC7">
        <w:t xml:space="preserve">= 0.87, 95% CI: 0.58, 1.31, </w:t>
      </w:r>
      <w:r w:rsidRPr="00B02EC7">
        <w:lastRenderedPageBreak/>
        <w:t>p=0.5033) (p114 BASE CSR). The results from BASE are similar to that from EMBRACE (OR</w:t>
      </w:r>
      <w:r w:rsidR="001E03E0" w:rsidRPr="00B02EC7">
        <w:t xml:space="preserve"> </w:t>
      </w:r>
      <w:r w:rsidRPr="00B02EC7">
        <w:t xml:space="preserve">= 0.90, 95% CI: 0.28, 2.86; p=0.8607). </w:t>
      </w:r>
    </w:p>
    <w:p w:rsidR="00172AD3" w:rsidRPr="0056678A" w:rsidRDefault="00C063DF" w:rsidP="00A42B14">
      <w:pPr>
        <w:pStyle w:val="ListParagraph"/>
        <w:widowControl/>
        <w:numPr>
          <w:ilvl w:val="1"/>
          <w:numId w:val="1"/>
        </w:numPr>
      </w:pPr>
      <w:r w:rsidRPr="0056678A">
        <w:t>Overall, belimumab did not confer any statistically significant benefits compared to placebo in terms of the LS mean change in SDI score or SDI worsening from baseline to Week 52, however, this may be due to the trials not being sufficiently powered for these endpoints. Nonetheless, the point estimates favoured belimumab.</w:t>
      </w:r>
      <w:r w:rsidR="00F110FA" w:rsidRPr="0056678A">
        <w:t xml:space="preserve"> The ESC noted that the outcome used in the economic model,</w:t>
      </w:r>
      <w:r w:rsidR="00F80F25" w:rsidRPr="0056678A">
        <w:t xml:space="preserve"> </w:t>
      </w:r>
      <w:r w:rsidR="00F110FA" w:rsidRPr="0056678A">
        <w:t xml:space="preserve">SDI </w:t>
      </w:r>
      <w:r w:rsidR="00F80F25" w:rsidRPr="0056678A">
        <w:rPr>
          <w:rFonts w:asciiTheme="minorHAnsi" w:hAnsiTheme="minorHAnsi" w:cstheme="minorHAnsi"/>
          <w:szCs w:val="24"/>
        </w:rPr>
        <w:t>worsening</w:t>
      </w:r>
      <w:r w:rsidR="00F110FA" w:rsidRPr="0056678A">
        <w:rPr>
          <w:rFonts w:asciiTheme="minorHAnsi" w:hAnsiTheme="minorHAnsi" w:cstheme="minorHAnsi"/>
          <w:szCs w:val="24"/>
        </w:rPr>
        <w:t xml:space="preserve"> compared with baseline at Week 52, almost reached statistical significance (</w:t>
      </w:r>
      <w:r w:rsidR="00013A92" w:rsidRPr="0056678A">
        <w:rPr>
          <w:rFonts w:asciiTheme="minorHAnsi" w:hAnsiTheme="minorHAnsi" w:cstheme="minorHAnsi"/>
          <w:szCs w:val="24"/>
        </w:rPr>
        <w:t>BLISS-SC OR</w:t>
      </w:r>
      <w:r w:rsidR="00F110FA" w:rsidRPr="0056678A">
        <w:rPr>
          <w:rFonts w:asciiTheme="minorHAnsi" w:hAnsiTheme="minorHAnsi" w:cstheme="minorHAnsi"/>
          <w:szCs w:val="24"/>
        </w:rPr>
        <w:t xml:space="preserve">; 95% CI = 0.47; 0.22, 1.02, p=0.0558). The </w:t>
      </w:r>
      <w:r w:rsidR="001871A5">
        <w:rPr>
          <w:rFonts w:asciiTheme="minorHAnsi" w:hAnsiTheme="minorHAnsi" w:cstheme="minorHAnsi"/>
          <w:szCs w:val="24"/>
        </w:rPr>
        <w:t>Pre-Sub-Committee Response (</w:t>
      </w:r>
      <w:r w:rsidR="00F110FA" w:rsidRPr="0056678A">
        <w:rPr>
          <w:rFonts w:asciiTheme="minorHAnsi" w:hAnsiTheme="minorHAnsi" w:cstheme="minorHAnsi"/>
          <w:szCs w:val="24"/>
        </w:rPr>
        <w:t>PSCR</w:t>
      </w:r>
      <w:r w:rsidR="001871A5">
        <w:rPr>
          <w:rFonts w:asciiTheme="minorHAnsi" w:hAnsiTheme="minorHAnsi" w:cstheme="minorHAnsi"/>
          <w:szCs w:val="24"/>
        </w:rPr>
        <w:t>)</w:t>
      </w:r>
      <w:r w:rsidR="00F110FA" w:rsidRPr="0056678A">
        <w:rPr>
          <w:rFonts w:asciiTheme="minorHAnsi" w:hAnsiTheme="minorHAnsi" w:cstheme="minorHAnsi"/>
          <w:szCs w:val="24"/>
        </w:rPr>
        <w:t xml:space="preserve"> </w:t>
      </w:r>
      <w:r w:rsidR="00F8402F" w:rsidRPr="0056678A">
        <w:rPr>
          <w:rFonts w:asciiTheme="minorHAnsi" w:hAnsiTheme="minorHAnsi" w:cstheme="minorHAnsi"/>
          <w:szCs w:val="24"/>
        </w:rPr>
        <w:t>stated</w:t>
      </w:r>
      <w:r w:rsidR="00F110FA" w:rsidRPr="0056678A">
        <w:rPr>
          <w:rFonts w:asciiTheme="minorHAnsi" w:hAnsiTheme="minorHAnsi" w:cstheme="minorHAnsi"/>
          <w:szCs w:val="24"/>
        </w:rPr>
        <w:t xml:space="preserve"> that this analysis applied a last observation carried forward (LOCF) assumption to patients with missing data, where patients lost to follow up </w:t>
      </w:r>
      <w:r w:rsidR="00F8402F" w:rsidRPr="0056678A">
        <w:rPr>
          <w:rFonts w:asciiTheme="minorHAnsi" w:hAnsiTheme="minorHAnsi" w:cstheme="minorHAnsi"/>
          <w:szCs w:val="24"/>
        </w:rPr>
        <w:t>(</w:t>
      </w:r>
      <w:r w:rsidR="00F110FA" w:rsidRPr="0056678A">
        <w:rPr>
          <w:rFonts w:asciiTheme="minorHAnsi" w:hAnsiTheme="minorHAnsi" w:cstheme="minorHAnsi"/>
          <w:szCs w:val="24"/>
        </w:rPr>
        <w:t>who had not experienced SDI progression</w:t>
      </w:r>
      <w:r w:rsidR="00F8402F" w:rsidRPr="0056678A">
        <w:rPr>
          <w:rFonts w:asciiTheme="minorHAnsi" w:hAnsiTheme="minorHAnsi" w:cstheme="minorHAnsi"/>
          <w:szCs w:val="24"/>
        </w:rPr>
        <w:t>)</w:t>
      </w:r>
      <w:r w:rsidR="00F80F25" w:rsidRPr="0056678A">
        <w:rPr>
          <w:rFonts w:asciiTheme="minorHAnsi" w:hAnsiTheme="minorHAnsi" w:cstheme="minorHAnsi"/>
          <w:szCs w:val="24"/>
        </w:rPr>
        <w:t xml:space="preserve"> were assumed to remain free of SDI progression. Since more patients in the SOC arm were lost to follow up (23.6% SOC arm compared with 16.7% belimumab arm)</w:t>
      </w:r>
      <w:r w:rsidR="00EF51E8" w:rsidRPr="0056678A">
        <w:rPr>
          <w:rFonts w:asciiTheme="minorHAnsi" w:hAnsiTheme="minorHAnsi" w:cstheme="minorHAnsi"/>
          <w:szCs w:val="24"/>
        </w:rPr>
        <w:t>, th</w:t>
      </w:r>
      <w:r w:rsidR="00F8402F" w:rsidRPr="0056678A">
        <w:rPr>
          <w:rFonts w:asciiTheme="minorHAnsi" w:hAnsiTheme="minorHAnsi" w:cstheme="minorHAnsi"/>
          <w:szCs w:val="24"/>
        </w:rPr>
        <w:t>e PSCR claimed that th</w:t>
      </w:r>
      <w:r w:rsidR="00EF51E8" w:rsidRPr="0056678A">
        <w:rPr>
          <w:rFonts w:asciiTheme="minorHAnsi" w:hAnsiTheme="minorHAnsi" w:cstheme="minorHAnsi"/>
          <w:szCs w:val="24"/>
        </w:rPr>
        <w:t xml:space="preserve">is analysis </w:t>
      </w:r>
      <w:r w:rsidR="005A6DCD" w:rsidRPr="0056678A">
        <w:rPr>
          <w:rFonts w:asciiTheme="minorHAnsi" w:hAnsiTheme="minorHAnsi" w:cstheme="minorHAnsi"/>
          <w:szCs w:val="24"/>
        </w:rPr>
        <w:t>was</w:t>
      </w:r>
      <w:r w:rsidR="00EF51E8" w:rsidRPr="0056678A">
        <w:rPr>
          <w:rFonts w:asciiTheme="minorHAnsi" w:hAnsiTheme="minorHAnsi" w:cstheme="minorHAnsi"/>
          <w:szCs w:val="24"/>
        </w:rPr>
        <w:t xml:space="preserve"> biased against belimumab.</w:t>
      </w:r>
      <w:r w:rsidR="00A42B14" w:rsidRPr="0056678A">
        <w:rPr>
          <w:rFonts w:asciiTheme="minorHAnsi" w:hAnsiTheme="minorHAnsi" w:cstheme="minorHAnsi"/>
          <w:szCs w:val="24"/>
        </w:rPr>
        <w:t xml:space="preserve"> The </w:t>
      </w:r>
      <w:r w:rsidR="00F8402F" w:rsidRPr="0056678A">
        <w:rPr>
          <w:rFonts w:asciiTheme="minorHAnsi" w:hAnsiTheme="minorHAnsi" w:cstheme="minorHAnsi"/>
          <w:szCs w:val="24"/>
        </w:rPr>
        <w:t>PSCR</w:t>
      </w:r>
      <w:r w:rsidR="00A42B14" w:rsidRPr="0056678A">
        <w:rPr>
          <w:rFonts w:asciiTheme="minorHAnsi" w:hAnsiTheme="minorHAnsi" w:cstheme="minorHAnsi"/>
          <w:szCs w:val="24"/>
        </w:rPr>
        <w:t xml:space="preserve"> </w:t>
      </w:r>
      <w:r w:rsidR="00F8402F" w:rsidRPr="0056678A">
        <w:rPr>
          <w:rFonts w:asciiTheme="minorHAnsi" w:hAnsiTheme="minorHAnsi" w:cstheme="minorHAnsi"/>
          <w:szCs w:val="24"/>
        </w:rPr>
        <w:t>stated</w:t>
      </w:r>
      <w:r w:rsidR="00A42B14" w:rsidRPr="0056678A">
        <w:rPr>
          <w:rFonts w:asciiTheme="minorHAnsi" w:hAnsiTheme="minorHAnsi" w:cstheme="minorHAnsi"/>
          <w:szCs w:val="24"/>
        </w:rPr>
        <w:t xml:space="preserve"> that if the same data are analysed using a non-responder imputation</w:t>
      </w:r>
      <w:r w:rsidR="00013A92" w:rsidRPr="0056678A">
        <w:rPr>
          <w:rFonts w:asciiTheme="minorHAnsi" w:hAnsiTheme="minorHAnsi" w:cstheme="minorHAnsi"/>
          <w:szCs w:val="24"/>
        </w:rPr>
        <w:t xml:space="preserve"> (all patients lost to follo</w:t>
      </w:r>
      <w:r w:rsidR="00910D2C" w:rsidRPr="0056678A">
        <w:rPr>
          <w:rFonts w:asciiTheme="minorHAnsi" w:hAnsiTheme="minorHAnsi" w:cstheme="minorHAnsi"/>
          <w:szCs w:val="24"/>
        </w:rPr>
        <w:t>w-</w:t>
      </w:r>
      <w:r w:rsidR="00013A92" w:rsidRPr="0056678A">
        <w:rPr>
          <w:rFonts w:asciiTheme="minorHAnsi" w:hAnsiTheme="minorHAnsi" w:cstheme="minorHAnsi"/>
          <w:szCs w:val="24"/>
        </w:rPr>
        <w:t>up were assumed to have SDI progression)</w:t>
      </w:r>
      <w:r w:rsidR="00A42B14" w:rsidRPr="0056678A">
        <w:rPr>
          <w:rFonts w:asciiTheme="minorHAnsi" w:hAnsiTheme="minorHAnsi" w:cstheme="minorHAnsi"/>
          <w:szCs w:val="24"/>
        </w:rPr>
        <w:t>, the result is presented as</w:t>
      </w:r>
      <w:r w:rsidRPr="0056678A">
        <w:t xml:space="preserve"> </w:t>
      </w:r>
      <w:r w:rsidR="001E03E0" w:rsidRPr="0056678A">
        <w:t>a</w:t>
      </w:r>
      <w:r w:rsidRPr="0056678A">
        <w:t xml:space="preserve"> significantly higher proportion of patients treated with belimumab remain</w:t>
      </w:r>
      <w:r w:rsidR="00A42B14" w:rsidRPr="0056678A">
        <w:t>ing</w:t>
      </w:r>
      <w:r w:rsidRPr="0056678A">
        <w:t xml:space="preserve"> free from SDI progression at Week 52 compared to placebo patients</w:t>
      </w:r>
      <w:r w:rsidR="001E03E0" w:rsidRPr="0056678A">
        <w:t xml:space="preserve"> (BLISS-SC OR = 1.54, 95% CI: 1.10, 2.16, p=0.0123</w:t>
      </w:r>
      <w:r w:rsidR="007E600D" w:rsidRPr="0056678A">
        <w:t>, Table 8</w:t>
      </w:r>
      <w:r w:rsidR="001E03E0" w:rsidRPr="0056678A">
        <w:t>)</w:t>
      </w:r>
      <w:r w:rsidRPr="0056678A">
        <w:t>.</w:t>
      </w:r>
      <w:r w:rsidR="00AC753E" w:rsidRPr="0056678A">
        <w:t xml:space="preserve"> The </w:t>
      </w:r>
      <w:r w:rsidR="00FA21DE" w:rsidRPr="0056678A">
        <w:t>ESC not</w:t>
      </w:r>
      <w:r w:rsidR="00910D2C" w:rsidRPr="0056678A">
        <w:t>ed that patients lost to follow-</w:t>
      </w:r>
      <w:r w:rsidR="00FA21DE" w:rsidRPr="0056678A">
        <w:t>up were handled diffe</w:t>
      </w:r>
      <w:r w:rsidR="00013A92" w:rsidRPr="0056678A">
        <w:t xml:space="preserve">rently for these outcomes, which </w:t>
      </w:r>
      <w:r w:rsidR="00FA21DE" w:rsidRPr="0056678A">
        <w:t>introduced bias in different directions for the outcomes and influenced the significance of the results.</w:t>
      </w:r>
    </w:p>
    <w:p w:rsidR="00735E1D" w:rsidRPr="0056678A" w:rsidRDefault="00735E1D" w:rsidP="00735E1D">
      <w:pPr>
        <w:pStyle w:val="ListParagraph"/>
        <w:widowControl/>
        <w:numPr>
          <w:ilvl w:val="1"/>
          <w:numId w:val="1"/>
        </w:numPr>
      </w:pPr>
      <w:r w:rsidRPr="0056678A">
        <w:t>The ESC considered there remains uncertainty with regards to the effect of belimumab on SDI progression, given</w:t>
      </w:r>
      <w:r w:rsidRPr="0056678A">
        <w:rPr>
          <w:iCs/>
        </w:rPr>
        <w:t>:</w:t>
      </w:r>
    </w:p>
    <w:p w:rsidR="009E2DFC" w:rsidRPr="009E2DFC" w:rsidRDefault="009E2DFC" w:rsidP="00A23229">
      <w:pPr>
        <w:pStyle w:val="ListParagraph"/>
        <w:numPr>
          <w:ilvl w:val="0"/>
          <w:numId w:val="22"/>
        </w:numPr>
        <w:spacing w:after="120"/>
        <w:ind w:left="1276" w:hanging="425"/>
        <w:contextualSpacing/>
        <w:rPr>
          <w:iCs/>
        </w:rPr>
      </w:pPr>
      <w:r w:rsidRPr="004C3AB5">
        <w:t>the lack of statistically significant result</w:t>
      </w:r>
      <w:r>
        <w:t>s</w:t>
      </w:r>
      <w:r w:rsidRPr="004C3AB5">
        <w:t xml:space="preserve"> for most measures of organ damage progression, but acknowledging the short duration of the </w:t>
      </w:r>
      <w:r>
        <w:t>studies</w:t>
      </w:r>
      <w:r w:rsidRPr="004C3AB5">
        <w:t xml:space="preserve"> and that the </w:t>
      </w:r>
      <w:r>
        <w:t>studies</w:t>
      </w:r>
      <w:r w:rsidRPr="004C3AB5">
        <w:t xml:space="preserve"> we</w:t>
      </w:r>
      <w:r>
        <w:t xml:space="preserve">re not powered for this </w:t>
      </w:r>
      <w:r w:rsidRPr="009E2DFC">
        <w:t>outcome</w:t>
      </w:r>
      <w:r>
        <w:t>;</w:t>
      </w:r>
    </w:p>
    <w:p w:rsidR="00735E1D" w:rsidRPr="0056678A" w:rsidRDefault="00735E1D" w:rsidP="00A23229">
      <w:pPr>
        <w:pStyle w:val="ListParagraph"/>
        <w:numPr>
          <w:ilvl w:val="0"/>
          <w:numId w:val="22"/>
        </w:numPr>
        <w:spacing w:after="120"/>
        <w:ind w:left="1276" w:hanging="425"/>
        <w:contextualSpacing/>
        <w:rPr>
          <w:iCs/>
        </w:rPr>
      </w:pPr>
      <w:r w:rsidRPr="0056678A">
        <w:t xml:space="preserve">The magnitude of the effect </w:t>
      </w:r>
      <w:r w:rsidR="003F5C3F" w:rsidRPr="0056678A">
        <w:rPr>
          <w:szCs w:val="24"/>
        </w:rPr>
        <w:t>varied between studies;</w:t>
      </w:r>
    </w:p>
    <w:p w:rsidR="001A387D" w:rsidRPr="0098627C" w:rsidRDefault="00735E1D" w:rsidP="00A23229">
      <w:pPr>
        <w:pStyle w:val="ListParagraph"/>
        <w:numPr>
          <w:ilvl w:val="0"/>
          <w:numId w:val="22"/>
        </w:numPr>
        <w:spacing w:after="120"/>
        <w:ind w:left="1276" w:hanging="425"/>
      </w:pPr>
      <w:r w:rsidRPr="0056678A">
        <w:t>The handling of patients lost to follow-up differed for each measure and reached statistical significance for the outcome of ‘patients remaining free from SDI progression’, in which patients lost to follow-up (who were more prevalent in the SOC arm) were assumed to be treatment failures.</w:t>
      </w:r>
    </w:p>
    <w:p w:rsidR="002E5059" w:rsidRDefault="00172AD3" w:rsidP="003C3DBA">
      <w:pPr>
        <w:pStyle w:val="ListParagraph"/>
        <w:widowControl/>
        <w:numPr>
          <w:ilvl w:val="1"/>
          <w:numId w:val="1"/>
        </w:numPr>
      </w:pPr>
      <w:r w:rsidRPr="00F839C6">
        <w:t xml:space="preserve">The </w:t>
      </w:r>
      <w:r w:rsidR="00D878B3">
        <w:t>re</w:t>
      </w:r>
      <w:r w:rsidRPr="00F839C6">
        <w:t xml:space="preserve">submission </w:t>
      </w:r>
      <w:r w:rsidR="00D62338">
        <w:t xml:space="preserve">retained the </w:t>
      </w:r>
      <w:r w:rsidRPr="00F839C6">
        <w:t xml:space="preserve">real-world evidence </w:t>
      </w:r>
      <w:r w:rsidR="00D62338">
        <w:t>studies Bruce et al 2015 and Urowitz et al 201</w:t>
      </w:r>
      <w:r w:rsidR="0072728F">
        <w:t>8</w:t>
      </w:r>
      <w:r w:rsidR="00D62338">
        <w:t xml:space="preserve">, despite no longer using the latter to inform the economic model inputs. </w:t>
      </w:r>
      <w:r w:rsidR="003F4F71">
        <w:t>The resubmission defended Urowitz et al 201</w:t>
      </w:r>
      <w:r w:rsidR="002E5059">
        <w:t>8</w:t>
      </w:r>
      <w:r w:rsidR="003F4F71">
        <w:t>,</w:t>
      </w:r>
      <w:r w:rsidR="003F4F71" w:rsidRPr="003F4F71">
        <w:t xml:space="preserve"> to support </w:t>
      </w:r>
      <w:r w:rsidR="003F4F71">
        <w:t>the economic model’s</w:t>
      </w:r>
      <w:r w:rsidR="003F4F71" w:rsidRPr="003F4F71">
        <w:t xml:space="preserve"> assumption of continuing SDI benefit over time whilst response</w:t>
      </w:r>
      <w:r w:rsidR="003F4F71">
        <w:t xml:space="preserve"> to belimumab</w:t>
      </w:r>
      <w:r w:rsidR="003F4F71" w:rsidRPr="003F4F71">
        <w:t xml:space="preserve"> is maintained.</w:t>
      </w:r>
      <w:r w:rsidR="003F4F71">
        <w:t xml:space="preserve"> </w:t>
      </w:r>
    </w:p>
    <w:p w:rsidR="002E5059" w:rsidRPr="00B02EC7" w:rsidRDefault="002E5059" w:rsidP="00DA711E">
      <w:pPr>
        <w:pStyle w:val="ListParagraph"/>
        <w:widowControl/>
        <w:numPr>
          <w:ilvl w:val="1"/>
          <w:numId w:val="1"/>
        </w:numPr>
      </w:pPr>
      <w:r w:rsidRPr="00B02EC7">
        <w:t xml:space="preserve">Urowitz et al 2018 compared organ damage progression in </w:t>
      </w:r>
      <w:r w:rsidR="00CA15EE" w:rsidRPr="00B02EC7">
        <w:t xml:space="preserve">SLE </w:t>
      </w:r>
      <w:r w:rsidRPr="00B02EC7">
        <w:t xml:space="preserve">patients who received belimumab in the BLISS-76 long term extension (LTE) study with propensity score matched patients </w:t>
      </w:r>
      <w:r w:rsidR="00CA15EE" w:rsidRPr="00B02EC7">
        <w:t>on</w:t>
      </w:r>
      <w:r w:rsidRPr="00B02EC7">
        <w:t xml:space="preserve"> SOC from the Toronto Lupus Cohort. The study compared the </w:t>
      </w:r>
      <w:r w:rsidRPr="00B02EC7">
        <w:lastRenderedPageBreak/>
        <w:t xml:space="preserve">time to organ damage progression in patients with ≥1 year of follow-up, which indicated that patients treated with belimumab were 61% less likely to progress to a higher SDI score over any given year of follow-up compared with patients treated with SOC (hazard ratio =0.391; 95% CI: 0.253, 0.605). A patient treated with belimumab had a 3.5% annual probability of organ damage progression compared to an 8.7% probability with SOC alone. However, </w:t>
      </w:r>
      <w:r w:rsidRPr="00B02EC7">
        <w:rPr>
          <w:lang w:val="en-GB"/>
        </w:rPr>
        <w:t xml:space="preserve">the ESC and the PBAC </w:t>
      </w:r>
      <w:r w:rsidR="00033AA5">
        <w:rPr>
          <w:lang w:val="en-GB"/>
        </w:rPr>
        <w:t xml:space="preserve">previously </w:t>
      </w:r>
      <w:r w:rsidRPr="00B02EC7">
        <w:rPr>
          <w:lang w:val="en-GB"/>
        </w:rPr>
        <w:t>considered that Urowitz et al 2018 had a high risk of bias, was not reliable and had unclear applicability to the PBS population (paragraphs 6.29, 6.30, 6.46 and 7.9 of the Belimumab PSD, November 2019 PBAC meeting).</w:t>
      </w:r>
    </w:p>
    <w:p w:rsidR="00172AD3" w:rsidRPr="00467BD6" w:rsidRDefault="00172AD3" w:rsidP="00DA711E">
      <w:pPr>
        <w:pStyle w:val="ListParagraph"/>
        <w:widowControl/>
        <w:numPr>
          <w:ilvl w:val="1"/>
          <w:numId w:val="1"/>
        </w:numPr>
      </w:pPr>
      <w:r w:rsidRPr="00B02EC7">
        <w:t>Bruce et al 2015 investigated factors associated with the development and progression of organ damage in the Systemic Lupus International Collaborating Clinics (SLICC) inception cohort</w:t>
      </w:r>
      <w:r w:rsidR="00275F89" w:rsidRPr="00B02EC7">
        <w:t xml:space="preserve"> (patients treated with SOC)</w:t>
      </w:r>
      <w:r w:rsidRPr="00B02EC7">
        <w:t xml:space="preserve">. Patients were enrolled within 15 months of developing four or more 1997 ACR classification criteria for SLE. The authors modelled the progression of organ damage (SDI score) over time using a seven-state model, based on the patients’ SDI scores at each visit. Initially, there were 11 states, however as there were relatively few patients in the states above five, these were subsequently collapsed to SDI ≥5. </w:t>
      </w:r>
      <w:r w:rsidR="00D62338" w:rsidRPr="00B02EC7">
        <w:t xml:space="preserve">As per the previous submission, the </w:t>
      </w:r>
      <w:r w:rsidRPr="00B02EC7">
        <w:t xml:space="preserve">transition probabilities </w:t>
      </w:r>
      <w:r w:rsidR="0072728F" w:rsidRPr="00B02EC7">
        <w:t>for the SOC cohort were</w:t>
      </w:r>
      <w:r w:rsidR="00D62338" w:rsidRPr="00B02EC7">
        <w:t xml:space="preserve"> sourced</w:t>
      </w:r>
      <w:r w:rsidRPr="00B02EC7">
        <w:t xml:space="preserve"> from Bruce et al</w:t>
      </w:r>
      <w:r w:rsidR="0072728F" w:rsidRPr="00B02EC7">
        <w:t xml:space="preserve"> 2015</w:t>
      </w:r>
      <w:r w:rsidRPr="00B02EC7">
        <w:t xml:space="preserve">. </w:t>
      </w:r>
      <w:r w:rsidR="00D62338" w:rsidRPr="00B02EC7">
        <w:t>The ESC and the PBAC previously considered that the reliability and applicability of the Bruce et al 2015 model predictions were unclear</w:t>
      </w:r>
      <w:r w:rsidR="00467BD6">
        <w:t xml:space="preserve">, as </w:t>
      </w:r>
      <w:r w:rsidR="00467BD6" w:rsidRPr="000E5154">
        <w:t xml:space="preserve">outlined in </w:t>
      </w:r>
      <w:r w:rsidR="000E5154" w:rsidRPr="009D1E8D">
        <w:t>paragraph 6.4</w:t>
      </w:r>
      <w:r w:rsidR="006B742E" w:rsidRPr="009D1E8D">
        <w:t>8</w:t>
      </w:r>
      <w:r w:rsidR="00DB6500" w:rsidRPr="00467BD6">
        <w:t xml:space="preserve"> below. </w:t>
      </w:r>
    </w:p>
    <w:p w:rsidR="004706A3" w:rsidRPr="00B02EC7" w:rsidRDefault="004706A3" w:rsidP="004706A3">
      <w:pPr>
        <w:pStyle w:val="ListParagraph"/>
        <w:widowControl/>
        <w:numPr>
          <w:ilvl w:val="1"/>
          <w:numId w:val="1"/>
        </w:numPr>
        <w:rPr>
          <w:szCs w:val="24"/>
        </w:rPr>
      </w:pPr>
      <w:r>
        <w:rPr>
          <w:szCs w:val="24"/>
        </w:rPr>
        <w:t xml:space="preserve">The resubmission maintained that </w:t>
      </w:r>
      <w:r>
        <w:t>reducing</w:t>
      </w:r>
      <w:r w:rsidRPr="00384D93">
        <w:t xml:space="preserve"> SLE disease activity</w:t>
      </w:r>
      <w:r>
        <w:t xml:space="preserve"> reduces </w:t>
      </w:r>
      <w:r w:rsidRPr="00384D93">
        <w:t>organ damage accrual</w:t>
      </w:r>
      <w:r>
        <w:t xml:space="preserve"> over</w:t>
      </w:r>
      <w:r w:rsidRPr="00384D93">
        <w:t xml:space="preserve"> the longer term</w:t>
      </w:r>
      <w:r>
        <w:t xml:space="preserve">. It reiterated that the </w:t>
      </w:r>
      <w:r w:rsidRPr="006F0FFC">
        <w:t xml:space="preserve">treatment durations </w:t>
      </w:r>
      <w:r w:rsidRPr="00B02EC7">
        <w:t>in the randomised trials have been too short and/or underpowered to ascertain the benefit of belimumab in the prevention of organ damage progression. It also argued that as a ‘by-product’ of its impact on SLE disease activity, belimumab lessens the requirement for high doses of corticosteroid to treat SLE flares in the short term, thereby reducing corticosteroid related organ damage in the longer term. Results of a key secondary endpoint in BLISS-SC, conducted in the subgroup who were receiving &gt;7.5 mg/day of prednisone at baseline, showed a numerically higher proportion of belimumab patients reduced their steroid dose by ≥ 25% to ≤ 7.5 mg/day during Weeks 40 to 52 compared to placebo patients; however the difference was not statistically significant (OR= 1.65; 95% CI: 0.95, 2.84; p=0.0732).</w:t>
      </w:r>
    </w:p>
    <w:p w:rsidR="004706A3" w:rsidRPr="00387F54" w:rsidRDefault="004706A3" w:rsidP="004706A3">
      <w:pPr>
        <w:pStyle w:val="ListParagraph"/>
        <w:widowControl/>
        <w:numPr>
          <w:ilvl w:val="1"/>
          <w:numId w:val="1"/>
        </w:numPr>
        <w:rPr>
          <w:i/>
          <w:iCs/>
        </w:rPr>
      </w:pPr>
      <w:r>
        <w:rPr>
          <w:iCs/>
        </w:rPr>
        <w:t xml:space="preserve">The resubmission proposed biological reasoning and referenced non-randomised studies to further support its claim that SLE disease activity is an appropriate surrogate measure for the target clinical outcome (TCO) of organ damage progression, </w:t>
      </w:r>
      <w:r>
        <w:t xml:space="preserve">as measured by the SDI score. It argued that the usefulness of SDI as a TCO in the economic evaluation is maximised as per the PBAC Surrogate to Final Outcome Working Group (STFOWG) Report, which states (p20), “If the TCO is irreversible and patient-centred, rather than reversible and disease centred, and there is a long duration of follow-up of the measurement of the TCO, the usefulness of the results of </w:t>
      </w:r>
      <w:r>
        <w:lastRenderedPageBreak/>
        <w:t xml:space="preserve">these measures for assessing their clinical relevance and for their use in modelled economic evaluations is maximised.” </w:t>
      </w:r>
    </w:p>
    <w:p w:rsidR="004706A3" w:rsidRPr="00B02EC7" w:rsidRDefault="004706A3" w:rsidP="004706A3">
      <w:pPr>
        <w:pStyle w:val="ListParagraph"/>
        <w:widowControl/>
        <w:numPr>
          <w:ilvl w:val="1"/>
          <w:numId w:val="1"/>
        </w:numPr>
        <w:rPr>
          <w:iCs/>
        </w:rPr>
      </w:pPr>
      <w:r w:rsidRPr="00B02EC7">
        <w:t xml:space="preserve">The resubmission conceded that while providing support to the underlying rationale for including SDI in the economic model, the available studies do not provide the specific parameters required to relate response to SDI in the structure of the economic model. However, it argued that on balance the evidence </w:t>
      </w:r>
      <w:r w:rsidR="00FD34F7">
        <w:t>provided</w:t>
      </w:r>
      <w:r w:rsidRPr="00B02EC7">
        <w:t xml:space="preserve"> support</w:t>
      </w:r>
      <w:r w:rsidR="003A317B">
        <w:t>ed</w:t>
      </w:r>
      <w:r w:rsidRPr="00B02EC7">
        <w:t xml:space="preserve"> the proposition that disease activity corresponds with future organ damage and that treatment with belimumab to reduce disease activity will prevent future organ damage. It maintained that it is appropriate for the economic model to include a benefit of belimumab with respect to SDI and the prevention of organ damage, given that belimumab has a proven effect on SLE disease activity. </w:t>
      </w:r>
      <w:r w:rsidR="00456AE1" w:rsidRPr="00B02EC7">
        <w:t xml:space="preserve">However, as shown in Table 8, only one of three SDI outcomes at Week 52 showed a statistically significant advantage </w:t>
      </w:r>
      <w:r w:rsidR="006817D2" w:rsidRPr="00B02EC7">
        <w:t>for</w:t>
      </w:r>
      <w:r w:rsidR="00456AE1" w:rsidRPr="00B02EC7">
        <w:t xml:space="preserve"> belimumab over SOC. </w:t>
      </w:r>
    </w:p>
    <w:p w:rsidR="004706A3" w:rsidRPr="00B02EC7" w:rsidRDefault="004706A3" w:rsidP="004706A3">
      <w:pPr>
        <w:pStyle w:val="ListParagraph"/>
        <w:widowControl/>
        <w:numPr>
          <w:ilvl w:val="1"/>
          <w:numId w:val="1"/>
        </w:numPr>
      </w:pPr>
      <w:r w:rsidRPr="00B02EC7">
        <w:t xml:space="preserve">Table 9 presents the results of other outcomes included in the economic model (annual rate of any flares and severe flares). Treatment with belimumab was associated with a statistically significantly reduced risk of flares, with the relative risk being lower for severe flares compared to any flare. </w:t>
      </w:r>
    </w:p>
    <w:p w:rsidR="004706A3" w:rsidRPr="00B02EC7" w:rsidRDefault="004706A3" w:rsidP="00DF74D9">
      <w:pPr>
        <w:keepNext/>
        <w:keepLines/>
        <w:rPr>
          <w:rStyle w:val="CommentReference"/>
        </w:rPr>
      </w:pPr>
      <w:r w:rsidRPr="0043288C">
        <w:rPr>
          <w:rStyle w:val="CommentReference"/>
        </w:rPr>
        <w:t xml:space="preserve">Table </w:t>
      </w:r>
      <w:r>
        <w:rPr>
          <w:rStyle w:val="CommentReference"/>
        </w:rPr>
        <w:t>9:</w:t>
      </w:r>
      <w:r w:rsidRPr="0043288C">
        <w:rPr>
          <w:rStyle w:val="CommentReference"/>
        </w:rPr>
        <w:t xml:space="preserve"> </w:t>
      </w:r>
      <w:r w:rsidRPr="0043288C">
        <w:rPr>
          <w:rFonts w:ascii="Arial Narrow" w:hAnsi="Arial Narrow"/>
          <w:b/>
          <w:bCs/>
          <w:sz w:val="20"/>
          <w:szCs w:val="20"/>
        </w:rPr>
        <w:t>Other</w:t>
      </w:r>
      <w:r>
        <w:rPr>
          <w:rFonts w:ascii="Arial Narrow" w:hAnsi="Arial Narrow"/>
          <w:b/>
          <w:bCs/>
          <w:sz w:val="20"/>
          <w:szCs w:val="20"/>
        </w:rPr>
        <w:t xml:space="preserve"> outcomes used in the economic model </w:t>
      </w:r>
      <w:r w:rsidRPr="00B02EC7">
        <w:rPr>
          <w:rFonts w:ascii="Arial Narrow" w:hAnsi="Arial Narrow"/>
          <w:b/>
          <w:bCs/>
          <w:sz w:val="20"/>
          <w:szCs w:val="20"/>
        </w:rPr>
        <w:t>(</w:t>
      </w:r>
      <w:r w:rsidRPr="00B02EC7">
        <w:rPr>
          <w:rFonts w:ascii="Arial Narrow" w:hAnsi="Arial Narrow"/>
          <w:b/>
          <w:bCs/>
          <w:sz w:val="20"/>
          <w:szCs w:val="20"/>
          <w:shd w:val="clear" w:color="auto" w:fill="D6E3BC" w:themeFill="accent3" w:themeFillTint="66"/>
        </w:rPr>
        <w:t>highlighted green</w:t>
      </w:r>
      <w:r w:rsidRPr="00B02EC7">
        <w:rPr>
          <w:rFonts w:ascii="Arial Narrow" w:hAnsi="Arial Narrow"/>
          <w:b/>
          <w:bCs/>
          <w:sz w:val="20"/>
          <w:szCs w:val="20"/>
        </w:rPr>
        <w:t>)</w:t>
      </w:r>
    </w:p>
    <w:tbl>
      <w:tblPr>
        <w:tblStyle w:val="TableGrid"/>
        <w:tblW w:w="0" w:type="auto"/>
        <w:tblLayout w:type="fixed"/>
        <w:tblCellMar>
          <w:left w:w="28" w:type="dxa"/>
          <w:right w:w="28" w:type="dxa"/>
        </w:tblCellMar>
        <w:tblLook w:val="04A0" w:firstRow="1" w:lastRow="0" w:firstColumn="1" w:lastColumn="0" w:noHBand="0" w:noVBand="1"/>
        <w:tblCaption w:val="Table 9: Other outcomes used in the economic model (highlighted green)"/>
      </w:tblPr>
      <w:tblGrid>
        <w:gridCol w:w="988"/>
        <w:gridCol w:w="779"/>
        <w:gridCol w:w="780"/>
        <w:gridCol w:w="992"/>
        <w:gridCol w:w="709"/>
        <w:gridCol w:w="47"/>
        <w:gridCol w:w="756"/>
        <w:gridCol w:w="756"/>
        <w:gridCol w:w="992"/>
        <w:gridCol w:w="709"/>
        <w:gridCol w:w="1509"/>
      </w:tblGrid>
      <w:tr w:rsidR="004706A3" w:rsidRPr="007D0DA6" w:rsidTr="00413C17">
        <w:trPr>
          <w:tblHeader/>
        </w:trPr>
        <w:tc>
          <w:tcPr>
            <w:tcW w:w="988" w:type="dxa"/>
            <w:vMerge w:val="restart"/>
            <w:vAlign w:val="center"/>
          </w:tcPr>
          <w:p w:rsidR="004706A3" w:rsidRPr="00DC10B8" w:rsidRDefault="004706A3" w:rsidP="00DF74D9">
            <w:pPr>
              <w:keepNext/>
              <w:keepLines/>
              <w:jc w:val="left"/>
              <w:rPr>
                <w:rFonts w:ascii="Arial Narrow" w:hAnsi="Arial Narrow"/>
                <w:b/>
                <w:bCs/>
                <w:sz w:val="20"/>
                <w:szCs w:val="20"/>
                <w:vertAlign w:val="superscript"/>
              </w:rPr>
            </w:pPr>
            <w:r w:rsidRPr="007D0DA6">
              <w:rPr>
                <w:rFonts w:ascii="Arial Narrow" w:hAnsi="Arial Narrow"/>
                <w:b/>
                <w:bCs/>
                <w:sz w:val="20"/>
                <w:szCs w:val="20"/>
              </w:rPr>
              <w:t>Annual rate of flares</w:t>
            </w:r>
            <w:r>
              <w:rPr>
                <w:rFonts w:ascii="Arial Narrow" w:hAnsi="Arial Narrow"/>
                <w:b/>
                <w:bCs/>
                <w:sz w:val="20"/>
                <w:szCs w:val="20"/>
                <w:vertAlign w:val="superscript"/>
              </w:rPr>
              <w:t>a</w:t>
            </w:r>
          </w:p>
        </w:tc>
        <w:tc>
          <w:tcPr>
            <w:tcW w:w="3260" w:type="dxa"/>
            <w:gridSpan w:val="4"/>
            <w:vAlign w:val="center"/>
          </w:tcPr>
          <w:p w:rsidR="004706A3" w:rsidRPr="007D0DA6" w:rsidRDefault="004706A3" w:rsidP="00DF74D9">
            <w:pPr>
              <w:keepNext/>
              <w:keepLines/>
              <w:jc w:val="center"/>
              <w:rPr>
                <w:rFonts w:ascii="Arial Narrow" w:hAnsi="Arial Narrow"/>
                <w:b/>
                <w:bCs/>
                <w:sz w:val="20"/>
                <w:szCs w:val="20"/>
              </w:rPr>
            </w:pPr>
            <w:r>
              <w:rPr>
                <w:rFonts w:ascii="Arial Narrow" w:hAnsi="Arial Narrow"/>
                <w:b/>
                <w:bCs/>
                <w:sz w:val="20"/>
                <w:szCs w:val="18"/>
                <w:lang w:val="de-DE"/>
              </w:rPr>
              <w:t>BEL (200mg SC</w:t>
            </w:r>
            <w:r w:rsidRPr="00506C56">
              <w:rPr>
                <w:rFonts w:ascii="Arial Narrow" w:hAnsi="Arial Narrow"/>
                <w:b/>
                <w:bCs/>
                <w:sz w:val="20"/>
                <w:szCs w:val="18"/>
                <w:lang w:val="de-DE"/>
              </w:rPr>
              <w:t>)</w:t>
            </w:r>
          </w:p>
        </w:tc>
        <w:tc>
          <w:tcPr>
            <w:tcW w:w="3260" w:type="dxa"/>
            <w:gridSpan w:val="5"/>
            <w:vAlign w:val="center"/>
          </w:tcPr>
          <w:p w:rsidR="004706A3" w:rsidRPr="007D0DA6" w:rsidRDefault="004706A3" w:rsidP="00DF74D9">
            <w:pPr>
              <w:keepNext/>
              <w:keepLines/>
              <w:jc w:val="center"/>
              <w:rPr>
                <w:rFonts w:ascii="Arial Narrow" w:hAnsi="Arial Narrow"/>
                <w:b/>
                <w:bCs/>
                <w:sz w:val="20"/>
                <w:szCs w:val="20"/>
              </w:rPr>
            </w:pPr>
            <w:r>
              <w:rPr>
                <w:rFonts w:ascii="Arial Narrow" w:hAnsi="Arial Narrow"/>
                <w:b/>
                <w:bCs/>
                <w:sz w:val="20"/>
                <w:szCs w:val="20"/>
              </w:rPr>
              <w:t>Placebo</w:t>
            </w:r>
          </w:p>
        </w:tc>
        <w:tc>
          <w:tcPr>
            <w:tcW w:w="1509" w:type="dxa"/>
            <w:vAlign w:val="center"/>
          </w:tcPr>
          <w:p w:rsidR="004706A3" w:rsidRPr="007D0DA6" w:rsidRDefault="004706A3" w:rsidP="00DF74D9">
            <w:pPr>
              <w:keepNext/>
              <w:keepLines/>
              <w:jc w:val="center"/>
              <w:rPr>
                <w:rFonts w:ascii="Arial Narrow" w:hAnsi="Arial Narrow"/>
                <w:b/>
                <w:bCs/>
                <w:sz w:val="20"/>
                <w:szCs w:val="20"/>
              </w:rPr>
            </w:pPr>
            <w:r>
              <w:rPr>
                <w:rFonts w:ascii="Arial Narrow" w:hAnsi="Arial Narrow"/>
                <w:b/>
                <w:bCs/>
                <w:sz w:val="20"/>
                <w:szCs w:val="20"/>
              </w:rPr>
              <w:t>BEL vs Placebo</w:t>
            </w:r>
          </w:p>
        </w:tc>
      </w:tr>
      <w:tr w:rsidR="004706A3" w:rsidRPr="007D0DA6" w:rsidTr="00413C17">
        <w:trPr>
          <w:tblHeader/>
        </w:trPr>
        <w:tc>
          <w:tcPr>
            <w:tcW w:w="988" w:type="dxa"/>
            <w:vMerge/>
            <w:vAlign w:val="center"/>
          </w:tcPr>
          <w:p w:rsidR="004706A3" w:rsidRPr="007D0DA6" w:rsidRDefault="004706A3" w:rsidP="00DF74D9">
            <w:pPr>
              <w:keepNext/>
              <w:keepLines/>
              <w:jc w:val="left"/>
              <w:rPr>
                <w:rFonts w:ascii="Arial Narrow" w:hAnsi="Arial Narrow"/>
                <w:b/>
                <w:bCs/>
                <w:sz w:val="20"/>
                <w:szCs w:val="20"/>
              </w:rPr>
            </w:pPr>
          </w:p>
        </w:tc>
        <w:tc>
          <w:tcPr>
            <w:tcW w:w="779" w:type="dxa"/>
            <w:vAlign w:val="center"/>
          </w:tcPr>
          <w:p w:rsidR="004706A3" w:rsidRPr="002349A0" w:rsidRDefault="004706A3" w:rsidP="00DF74D9">
            <w:pPr>
              <w:keepNext/>
              <w:keepLines/>
              <w:jc w:val="center"/>
              <w:rPr>
                <w:rFonts w:ascii="Arial Narrow" w:hAnsi="Arial Narrow"/>
                <w:bCs/>
                <w:sz w:val="20"/>
                <w:szCs w:val="20"/>
              </w:rPr>
            </w:pPr>
            <w:r w:rsidRPr="002349A0">
              <w:rPr>
                <w:rFonts w:ascii="Arial Narrow" w:hAnsi="Arial Narrow"/>
                <w:bCs/>
                <w:sz w:val="20"/>
                <w:szCs w:val="20"/>
              </w:rPr>
              <w:t>Pt-years at risk</w:t>
            </w:r>
          </w:p>
        </w:tc>
        <w:tc>
          <w:tcPr>
            <w:tcW w:w="780" w:type="dxa"/>
            <w:vAlign w:val="center"/>
          </w:tcPr>
          <w:p w:rsidR="004706A3" w:rsidRPr="002349A0" w:rsidRDefault="004706A3" w:rsidP="00DF74D9">
            <w:pPr>
              <w:keepNext/>
              <w:keepLines/>
              <w:jc w:val="center"/>
              <w:rPr>
                <w:rFonts w:ascii="Arial Narrow" w:hAnsi="Arial Narrow"/>
                <w:bCs/>
                <w:sz w:val="20"/>
                <w:szCs w:val="20"/>
              </w:rPr>
            </w:pPr>
            <w:r w:rsidRPr="002349A0">
              <w:rPr>
                <w:rFonts w:ascii="Arial Narrow" w:hAnsi="Arial Narrow"/>
                <w:bCs/>
                <w:sz w:val="20"/>
                <w:szCs w:val="20"/>
              </w:rPr>
              <w:t>Total flares</w:t>
            </w:r>
          </w:p>
        </w:tc>
        <w:tc>
          <w:tcPr>
            <w:tcW w:w="992" w:type="dxa"/>
            <w:vAlign w:val="center"/>
          </w:tcPr>
          <w:p w:rsidR="004706A3" w:rsidRPr="005751EE" w:rsidRDefault="004706A3" w:rsidP="00DF74D9">
            <w:pPr>
              <w:keepNext/>
              <w:keepLines/>
              <w:jc w:val="center"/>
              <w:rPr>
                <w:rFonts w:ascii="Arial Narrow" w:hAnsi="Arial Narrow"/>
                <w:bCs/>
                <w:sz w:val="20"/>
                <w:szCs w:val="20"/>
                <w:vertAlign w:val="superscript"/>
              </w:rPr>
            </w:pPr>
            <w:r>
              <w:rPr>
                <w:rFonts w:ascii="Arial Narrow" w:hAnsi="Arial Narrow"/>
                <w:bCs/>
                <w:sz w:val="20"/>
                <w:szCs w:val="20"/>
              </w:rPr>
              <w:t>Unadjusted r</w:t>
            </w:r>
            <w:r w:rsidRPr="002349A0">
              <w:rPr>
                <w:rFonts w:ascii="Arial Narrow" w:hAnsi="Arial Narrow"/>
                <w:bCs/>
                <w:sz w:val="20"/>
                <w:szCs w:val="20"/>
              </w:rPr>
              <w:t>ate</w:t>
            </w:r>
            <w:r>
              <w:rPr>
                <w:rFonts w:ascii="Arial Narrow" w:hAnsi="Arial Narrow"/>
                <w:bCs/>
                <w:sz w:val="20"/>
                <w:szCs w:val="20"/>
                <w:vertAlign w:val="superscript"/>
              </w:rPr>
              <w:t>b</w:t>
            </w:r>
          </w:p>
        </w:tc>
        <w:tc>
          <w:tcPr>
            <w:tcW w:w="756" w:type="dxa"/>
            <w:gridSpan w:val="2"/>
            <w:vAlign w:val="center"/>
          </w:tcPr>
          <w:p w:rsidR="004706A3" w:rsidRPr="002349A0" w:rsidRDefault="004706A3" w:rsidP="00DF74D9">
            <w:pPr>
              <w:keepNext/>
              <w:keepLines/>
              <w:jc w:val="center"/>
              <w:rPr>
                <w:rFonts w:ascii="Arial Narrow" w:hAnsi="Arial Narrow"/>
                <w:bCs/>
                <w:sz w:val="20"/>
                <w:szCs w:val="20"/>
              </w:rPr>
            </w:pPr>
            <w:r w:rsidRPr="002349A0">
              <w:rPr>
                <w:rFonts w:ascii="Arial Narrow" w:hAnsi="Arial Narrow"/>
                <w:bCs/>
                <w:sz w:val="20"/>
                <w:szCs w:val="20"/>
              </w:rPr>
              <w:t>Adjusted rate</w:t>
            </w:r>
          </w:p>
        </w:tc>
        <w:tc>
          <w:tcPr>
            <w:tcW w:w="756" w:type="dxa"/>
            <w:vAlign w:val="center"/>
          </w:tcPr>
          <w:p w:rsidR="004706A3" w:rsidRPr="002349A0" w:rsidRDefault="004706A3" w:rsidP="00DF74D9">
            <w:pPr>
              <w:keepNext/>
              <w:keepLines/>
              <w:jc w:val="center"/>
              <w:rPr>
                <w:rFonts w:ascii="Arial Narrow" w:hAnsi="Arial Narrow"/>
                <w:bCs/>
                <w:sz w:val="20"/>
                <w:szCs w:val="20"/>
              </w:rPr>
            </w:pPr>
            <w:r w:rsidRPr="002349A0">
              <w:rPr>
                <w:rFonts w:ascii="Arial Narrow" w:hAnsi="Arial Narrow"/>
                <w:bCs/>
                <w:sz w:val="20"/>
                <w:szCs w:val="20"/>
              </w:rPr>
              <w:t>Pt-years at risk</w:t>
            </w:r>
          </w:p>
        </w:tc>
        <w:tc>
          <w:tcPr>
            <w:tcW w:w="756" w:type="dxa"/>
            <w:vAlign w:val="center"/>
          </w:tcPr>
          <w:p w:rsidR="004706A3" w:rsidRPr="002349A0" w:rsidRDefault="004706A3" w:rsidP="00DF74D9">
            <w:pPr>
              <w:keepNext/>
              <w:keepLines/>
              <w:jc w:val="center"/>
              <w:rPr>
                <w:rFonts w:ascii="Arial Narrow" w:hAnsi="Arial Narrow"/>
                <w:bCs/>
                <w:sz w:val="20"/>
                <w:szCs w:val="20"/>
              </w:rPr>
            </w:pPr>
            <w:r w:rsidRPr="002349A0">
              <w:rPr>
                <w:rFonts w:ascii="Arial Narrow" w:hAnsi="Arial Narrow"/>
                <w:bCs/>
                <w:sz w:val="20"/>
                <w:szCs w:val="20"/>
              </w:rPr>
              <w:t>Total flares</w:t>
            </w:r>
          </w:p>
        </w:tc>
        <w:tc>
          <w:tcPr>
            <w:tcW w:w="992" w:type="dxa"/>
            <w:vAlign w:val="center"/>
          </w:tcPr>
          <w:p w:rsidR="004706A3" w:rsidRPr="005751EE" w:rsidRDefault="004706A3" w:rsidP="00DF74D9">
            <w:pPr>
              <w:keepNext/>
              <w:keepLines/>
              <w:jc w:val="center"/>
              <w:rPr>
                <w:rFonts w:ascii="Arial Narrow" w:hAnsi="Arial Narrow"/>
                <w:bCs/>
                <w:sz w:val="20"/>
                <w:szCs w:val="20"/>
                <w:vertAlign w:val="superscript"/>
              </w:rPr>
            </w:pPr>
            <w:r>
              <w:rPr>
                <w:rFonts w:ascii="Arial Narrow" w:hAnsi="Arial Narrow"/>
                <w:bCs/>
                <w:sz w:val="20"/>
                <w:szCs w:val="20"/>
              </w:rPr>
              <w:t>Unadjusted r</w:t>
            </w:r>
            <w:r w:rsidRPr="002349A0">
              <w:rPr>
                <w:rFonts w:ascii="Arial Narrow" w:hAnsi="Arial Narrow"/>
                <w:bCs/>
                <w:sz w:val="20"/>
                <w:szCs w:val="20"/>
              </w:rPr>
              <w:t>ate</w:t>
            </w:r>
            <w:r>
              <w:rPr>
                <w:rFonts w:ascii="Arial Narrow" w:hAnsi="Arial Narrow"/>
                <w:bCs/>
                <w:sz w:val="20"/>
                <w:szCs w:val="20"/>
                <w:vertAlign w:val="superscript"/>
              </w:rPr>
              <w:t>b</w:t>
            </w:r>
          </w:p>
        </w:tc>
        <w:tc>
          <w:tcPr>
            <w:tcW w:w="709" w:type="dxa"/>
            <w:vAlign w:val="center"/>
          </w:tcPr>
          <w:p w:rsidR="004706A3" w:rsidRPr="002349A0" w:rsidRDefault="004706A3" w:rsidP="00DF74D9">
            <w:pPr>
              <w:keepNext/>
              <w:keepLines/>
              <w:jc w:val="center"/>
              <w:rPr>
                <w:rFonts w:ascii="Arial Narrow" w:hAnsi="Arial Narrow"/>
                <w:bCs/>
                <w:sz w:val="20"/>
                <w:szCs w:val="20"/>
              </w:rPr>
            </w:pPr>
            <w:r w:rsidRPr="002349A0">
              <w:rPr>
                <w:rFonts w:ascii="Arial Narrow" w:hAnsi="Arial Narrow"/>
                <w:bCs/>
                <w:sz w:val="20"/>
                <w:szCs w:val="20"/>
              </w:rPr>
              <w:t>Adjusted rate</w:t>
            </w:r>
          </w:p>
        </w:tc>
        <w:tc>
          <w:tcPr>
            <w:tcW w:w="1509" w:type="dxa"/>
            <w:vAlign w:val="center"/>
          </w:tcPr>
          <w:p w:rsidR="004706A3" w:rsidRPr="007D0DA6" w:rsidRDefault="004706A3" w:rsidP="00DF74D9">
            <w:pPr>
              <w:keepNext/>
              <w:keepLines/>
              <w:jc w:val="center"/>
              <w:rPr>
                <w:rFonts w:ascii="Arial Narrow" w:hAnsi="Arial Narrow"/>
                <w:b/>
                <w:bCs/>
                <w:sz w:val="20"/>
                <w:szCs w:val="20"/>
              </w:rPr>
            </w:pPr>
            <w:r w:rsidRPr="007D0DA6">
              <w:rPr>
                <w:rFonts w:ascii="Arial Narrow" w:hAnsi="Arial Narrow"/>
                <w:b/>
                <w:bCs/>
                <w:sz w:val="20"/>
                <w:szCs w:val="20"/>
              </w:rPr>
              <w:t>Adjusted Rate Ratio (95%CI)</w:t>
            </w:r>
          </w:p>
        </w:tc>
      </w:tr>
      <w:tr w:rsidR="004706A3" w:rsidRPr="007D0DA6" w:rsidTr="00F01E4E">
        <w:tc>
          <w:tcPr>
            <w:tcW w:w="9017" w:type="dxa"/>
            <w:gridSpan w:val="11"/>
            <w:tcBorders>
              <w:bottom w:val="single" w:sz="4" w:space="0" w:color="auto"/>
            </w:tcBorders>
            <w:vAlign w:val="center"/>
          </w:tcPr>
          <w:p w:rsidR="004706A3" w:rsidRPr="007D0DA6" w:rsidRDefault="004706A3" w:rsidP="00DF74D9">
            <w:pPr>
              <w:keepNext/>
              <w:keepLines/>
              <w:jc w:val="left"/>
              <w:rPr>
                <w:rFonts w:ascii="Arial Narrow" w:hAnsi="Arial Narrow"/>
                <w:sz w:val="20"/>
                <w:szCs w:val="20"/>
              </w:rPr>
            </w:pPr>
            <w:r w:rsidRPr="007D0DA6">
              <w:rPr>
                <w:rFonts w:ascii="Arial Narrow" w:hAnsi="Arial Narrow"/>
                <w:b/>
                <w:bCs/>
                <w:sz w:val="20"/>
                <w:szCs w:val="18"/>
              </w:rPr>
              <w:t xml:space="preserve">Any flare </w:t>
            </w:r>
            <w:r w:rsidRPr="007D0DA6">
              <w:rPr>
                <w:rFonts w:ascii="Arial Narrow" w:hAnsi="Arial Narrow"/>
                <w:b/>
                <w:bCs/>
                <w:sz w:val="20"/>
                <w:szCs w:val="20"/>
              </w:rPr>
              <w:t>(mild / moderate / severe)</w:t>
            </w:r>
          </w:p>
        </w:tc>
      </w:tr>
      <w:tr w:rsidR="004706A3" w:rsidRPr="0033010C" w:rsidTr="00F01E4E">
        <w:tc>
          <w:tcPr>
            <w:tcW w:w="988" w:type="dxa"/>
            <w:tcBorders>
              <w:bottom w:val="nil"/>
            </w:tcBorders>
            <w:shd w:val="clear" w:color="auto" w:fill="C6D9F1" w:themeFill="text2" w:themeFillTint="33"/>
          </w:tcPr>
          <w:p w:rsidR="004706A3" w:rsidRPr="007D0DA6" w:rsidRDefault="004706A3" w:rsidP="00DF74D9">
            <w:pPr>
              <w:keepNext/>
              <w:keepLines/>
              <w:jc w:val="left"/>
              <w:rPr>
                <w:rFonts w:ascii="Arial Narrow" w:hAnsi="Arial Narrow"/>
                <w:sz w:val="20"/>
                <w:szCs w:val="20"/>
              </w:rPr>
            </w:pPr>
            <w:r w:rsidRPr="0033010C">
              <w:rPr>
                <w:rFonts w:ascii="Arial Narrow" w:hAnsi="Arial Narrow"/>
                <w:sz w:val="20"/>
                <w:szCs w:val="20"/>
              </w:rPr>
              <w:t>BLISS-SC</w:t>
            </w:r>
          </w:p>
        </w:tc>
        <w:tc>
          <w:tcPr>
            <w:tcW w:w="779" w:type="dxa"/>
            <w:tcBorders>
              <w:bottom w:val="nil"/>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506.5</w:t>
            </w:r>
          </w:p>
        </w:tc>
        <w:tc>
          <w:tcPr>
            <w:tcW w:w="780" w:type="dxa"/>
            <w:tcBorders>
              <w:bottom w:val="nil"/>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847</w:t>
            </w:r>
          </w:p>
        </w:tc>
        <w:tc>
          <w:tcPr>
            <w:tcW w:w="992" w:type="dxa"/>
            <w:tcBorders>
              <w:bottom w:val="nil"/>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1.7</w:t>
            </w:r>
          </w:p>
        </w:tc>
        <w:tc>
          <w:tcPr>
            <w:tcW w:w="756" w:type="dxa"/>
            <w:gridSpan w:val="2"/>
            <w:tcBorders>
              <w:bottom w:val="nil"/>
            </w:tcBorders>
            <w:shd w:val="clear" w:color="auto" w:fill="D6E3BC" w:themeFill="accent3" w:themeFillTint="66"/>
            <w:vAlign w:val="center"/>
          </w:tcPr>
          <w:p w:rsidR="004706A3" w:rsidRPr="0033010C" w:rsidRDefault="004706A3" w:rsidP="00DF74D9">
            <w:pPr>
              <w:keepNext/>
              <w:keepLines/>
              <w:jc w:val="center"/>
              <w:rPr>
                <w:rFonts w:ascii="Arial Narrow" w:hAnsi="Arial Narrow"/>
                <w:sz w:val="20"/>
                <w:szCs w:val="20"/>
              </w:rPr>
            </w:pPr>
            <w:r w:rsidRPr="007D0DA6">
              <w:rPr>
                <w:rFonts w:ascii="Arial Narrow" w:hAnsi="Arial Narrow"/>
                <w:sz w:val="20"/>
                <w:szCs w:val="20"/>
              </w:rPr>
              <w:t>2.0</w:t>
            </w:r>
          </w:p>
        </w:tc>
        <w:tc>
          <w:tcPr>
            <w:tcW w:w="756" w:type="dxa"/>
            <w:tcBorders>
              <w:bottom w:val="nil"/>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244.9</w:t>
            </w:r>
          </w:p>
        </w:tc>
        <w:tc>
          <w:tcPr>
            <w:tcW w:w="756" w:type="dxa"/>
            <w:tcBorders>
              <w:bottom w:val="nil"/>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493</w:t>
            </w:r>
          </w:p>
        </w:tc>
        <w:tc>
          <w:tcPr>
            <w:tcW w:w="992" w:type="dxa"/>
            <w:tcBorders>
              <w:bottom w:val="nil"/>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2.0</w:t>
            </w:r>
          </w:p>
        </w:tc>
        <w:tc>
          <w:tcPr>
            <w:tcW w:w="709" w:type="dxa"/>
            <w:tcBorders>
              <w:bottom w:val="nil"/>
            </w:tcBorders>
            <w:shd w:val="clear" w:color="auto" w:fill="D6E3BC" w:themeFill="accent3" w:themeFillTint="66"/>
            <w:vAlign w:val="center"/>
          </w:tcPr>
          <w:p w:rsidR="004706A3" w:rsidRPr="0033010C" w:rsidRDefault="004706A3" w:rsidP="00DF74D9">
            <w:pPr>
              <w:keepNext/>
              <w:keepLines/>
              <w:jc w:val="center"/>
              <w:rPr>
                <w:rFonts w:ascii="Arial Narrow" w:hAnsi="Arial Narrow"/>
                <w:sz w:val="20"/>
                <w:szCs w:val="20"/>
              </w:rPr>
            </w:pPr>
            <w:r w:rsidRPr="007D0DA6">
              <w:rPr>
                <w:rFonts w:ascii="Arial Narrow" w:hAnsi="Arial Narrow"/>
                <w:sz w:val="20"/>
                <w:szCs w:val="20"/>
              </w:rPr>
              <w:t>2.5</w:t>
            </w:r>
          </w:p>
        </w:tc>
        <w:tc>
          <w:tcPr>
            <w:tcW w:w="1509" w:type="dxa"/>
            <w:tcBorders>
              <w:bottom w:val="nil"/>
            </w:tcBorders>
            <w:shd w:val="clear" w:color="auto" w:fill="C6D9F1" w:themeFill="text2" w:themeFillTint="33"/>
            <w:vAlign w:val="center"/>
          </w:tcPr>
          <w:p w:rsidR="004706A3" w:rsidRPr="0033010C" w:rsidRDefault="004706A3" w:rsidP="00DF74D9">
            <w:pPr>
              <w:keepNext/>
              <w:keepLines/>
              <w:jc w:val="center"/>
              <w:rPr>
                <w:rFonts w:ascii="Arial Narrow" w:hAnsi="Arial Narrow"/>
                <w:sz w:val="20"/>
                <w:szCs w:val="20"/>
              </w:rPr>
            </w:pPr>
            <w:r w:rsidRPr="0033010C">
              <w:rPr>
                <w:rFonts w:ascii="Arial Narrow" w:hAnsi="Arial Narrow"/>
                <w:sz w:val="20"/>
                <w:szCs w:val="20"/>
              </w:rPr>
              <w:t>0.81 (0.69,0.97)</w:t>
            </w:r>
            <w:r w:rsidRPr="0089562F">
              <w:rPr>
                <w:rFonts w:ascii="Arial Narrow" w:hAnsi="Arial Narrow"/>
                <w:sz w:val="20"/>
                <w:szCs w:val="20"/>
                <w:vertAlign w:val="superscript"/>
              </w:rPr>
              <w:t>c</w:t>
            </w:r>
          </w:p>
        </w:tc>
      </w:tr>
      <w:tr w:rsidR="004706A3" w:rsidRPr="007D0DA6" w:rsidTr="00F01E4E">
        <w:tc>
          <w:tcPr>
            <w:tcW w:w="9017" w:type="dxa"/>
            <w:gridSpan w:val="11"/>
            <w:tcBorders>
              <w:bottom w:val="single" w:sz="4" w:space="0" w:color="auto"/>
            </w:tcBorders>
            <w:vAlign w:val="center"/>
          </w:tcPr>
          <w:p w:rsidR="004706A3" w:rsidRPr="007D0DA6" w:rsidRDefault="004706A3" w:rsidP="00DF74D9">
            <w:pPr>
              <w:keepNext/>
              <w:keepLines/>
              <w:jc w:val="left"/>
              <w:rPr>
                <w:rFonts w:ascii="Arial Narrow" w:hAnsi="Arial Narrow"/>
                <w:sz w:val="20"/>
                <w:szCs w:val="20"/>
              </w:rPr>
            </w:pPr>
            <w:r w:rsidRPr="007D0DA6">
              <w:rPr>
                <w:rFonts w:ascii="Arial Narrow" w:hAnsi="Arial Narrow"/>
                <w:b/>
                <w:bCs/>
                <w:sz w:val="20"/>
                <w:szCs w:val="20"/>
              </w:rPr>
              <w:t>Severe flare</w:t>
            </w:r>
          </w:p>
        </w:tc>
      </w:tr>
      <w:tr w:rsidR="004706A3" w:rsidRPr="007D0DA6" w:rsidTr="00F01E4E">
        <w:tc>
          <w:tcPr>
            <w:tcW w:w="988" w:type="dxa"/>
            <w:tcBorders>
              <w:bottom w:val="single" w:sz="4" w:space="0" w:color="auto"/>
            </w:tcBorders>
            <w:shd w:val="clear" w:color="auto" w:fill="C6D9F1" w:themeFill="text2" w:themeFillTint="33"/>
          </w:tcPr>
          <w:p w:rsidR="004706A3" w:rsidRPr="007D0DA6" w:rsidRDefault="004706A3" w:rsidP="00DF74D9">
            <w:pPr>
              <w:keepNext/>
              <w:keepLines/>
              <w:rPr>
                <w:rFonts w:ascii="Arial Narrow" w:hAnsi="Arial Narrow"/>
                <w:sz w:val="20"/>
                <w:szCs w:val="20"/>
              </w:rPr>
            </w:pPr>
            <w:r>
              <w:rPr>
                <w:rFonts w:ascii="Arial Narrow" w:hAnsi="Arial Narrow"/>
                <w:sz w:val="20"/>
                <w:szCs w:val="18"/>
              </w:rPr>
              <w:t>BLISS-SC</w:t>
            </w:r>
          </w:p>
        </w:tc>
        <w:tc>
          <w:tcPr>
            <w:tcW w:w="779" w:type="dxa"/>
            <w:tcBorders>
              <w:bottom w:val="single" w:sz="4" w:space="0" w:color="auto"/>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506.5</w:t>
            </w:r>
          </w:p>
        </w:tc>
        <w:tc>
          <w:tcPr>
            <w:tcW w:w="780" w:type="dxa"/>
            <w:tcBorders>
              <w:bottom w:val="single" w:sz="4" w:space="0" w:color="auto"/>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82</w:t>
            </w:r>
          </w:p>
        </w:tc>
        <w:tc>
          <w:tcPr>
            <w:tcW w:w="992" w:type="dxa"/>
            <w:tcBorders>
              <w:bottom w:val="single" w:sz="4" w:space="0" w:color="auto"/>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0.2</w:t>
            </w:r>
          </w:p>
        </w:tc>
        <w:tc>
          <w:tcPr>
            <w:tcW w:w="756" w:type="dxa"/>
            <w:gridSpan w:val="2"/>
            <w:tcBorders>
              <w:bottom w:val="single" w:sz="4" w:space="0" w:color="auto"/>
            </w:tcBorders>
            <w:shd w:val="clear" w:color="auto" w:fill="D6E3BC" w:themeFill="accent3" w:themeFillTint="66"/>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0.2</w:t>
            </w:r>
          </w:p>
        </w:tc>
        <w:tc>
          <w:tcPr>
            <w:tcW w:w="756" w:type="dxa"/>
            <w:tcBorders>
              <w:bottom w:val="single" w:sz="4" w:space="0" w:color="auto"/>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244.9</w:t>
            </w:r>
          </w:p>
        </w:tc>
        <w:tc>
          <w:tcPr>
            <w:tcW w:w="756" w:type="dxa"/>
            <w:tcBorders>
              <w:bottom w:val="single" w:sz="4" w:space="0" w:color="auto"/>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70</w:t>
            </w:r>
          </w:p>
        </w:tc>
        <w:tc>
          <w:tcPr>
            <w:tcW w:w="992" w:type="dxa"/>
            <w:tcBorders>
              <w:bottom w:val="single" w:sz="4" w:space="0" w:color="auto"/>
            </w:tcBorders>
            <w:shd w:val="clear" w:color="auto" w:fill="C6D9F1" w:themeFill="text2" w:themeFillTint="33"/>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0.3</w:t>
            </w:r>
          </w:p>
        </w:tc>
        <w:tc>
          <w:tcPr>
            <w:tcW w:w="709" w:type="dxa"/>
            <w:tcBorders>
              <w:bottom w:val="single" w:sz="4" w:space="0" w:color="auto"/>
            </w:tcBorders>
            <w:shd w:val="clear" w:color="auto" w:fill="D6E3BC" w:themeFill="accent3" w:themeFillTint="66"/>
            <w:vAlign w:val="center"/>
          </w:tcPr>
          <w:p w:rsidR="004706A3" w:rsidRPr="007D0DA6" w:rsidRDefault="004706A3" w:rsidP="00DF74D9">
            <w:pPr>
              <w:keepNext/>
              <w:keepLines/>
              <w:jc w:val="center"/>
              <w:rPr>
                <w:rFonts w:ascii="Arial Narrow" w:hAnsi="Arial Narrow"/>
                <w:sz w:val="20"/>
                <w:szCs w:val="20"/>
              </w:rPr>
            </w:pPr>
            <w:r w:rsidRPr="007D0DA6">
              <w:rPr>
                <w:rFonts w:ascii="Arial Narrow" w:hAnsi="Arial Narrow"/>
                <w:sz w:val="20"/>
                <w:szCs w:val="20"/>
              </w:rPr>
              <w:t>0.4</w:t>
            </w:r>
          </w:p>
        </w:tc>
        <w:tc>
          <w:tcPr>
            <w:tcW w:w="1509" w:type="dxa"/>
            <w:tcBorders>
              <w:bottom w:val="single" w:sz="4" w:space="0" w:color="auto"/>
            </w:tcBorders>
            <w:shd w:val="clear" w:color="auto" w:fill="C6D9F1" w:themeFill="text2" w:themeFillTint="33"/>
            <w:vAlign w:val="center"/>
          </w:tcPr>
          <w:p w:rsidR="004706A3" w:rsidRPr="00900FB3" w:rsidRDefault="004706A3" w:rsidP="00DF74D9">
            <w:pPr>
              <w:keepNext/>
              <w:keepLines/>
              <w:jc w:val="center"/>
              <w:rPr>
                <w:rFonts w:ascii="Arial Narrow" w:hAnsi="Arial Narrow"/>
                <w:sz w:val="20"/>
                <w:szCs w:val="20"/>
                <w:vertAlign w:val="superscript"/>
              </w:rPr>
            </w:pPr>
            <w:r w:rsidRPr="00900FB3">
              <w:rPr>
                <w:rFonts w:ascii="Arial Narrow" w:hAnsi="Arial Narrow"/>
                <w:bCs/>
                <w:sz w:val="20"/>
                <w:szCs w:val="20"/>
              </w:rPr>
              <w:t>0.54 (0.33,0.88)</w:t>
            </w:r>
            <w:r w:rsidRPr="00900FB3">
              <w:rPr>
                <w:rFonts w:ascii="Arial Narrow" w:hAnsi="Arial Narrow"/>
                <w:bCs/>
                <w:sz w:val="20"/>
                <w:szCs w:val="20"/>
                <w:vertAlign w:val="superscript"/>
              </w:rPr>
              <w:t>c</w:t>
            </w:r>
          </w:p>
        </w:tc>
      </w:tr>
    </w:tbl>
    <w:p w:rsidR="004706A3" w:rsidRDefault="004706A3" w:rsidP="00DF74D9">
      <w:pPr>
        <w:keepNext/>
        <w:keepLines/>
        <w:rPr>
          <w:rFonts w:ascii="Arial Narrow" w:hAnsi="Arial Narrow"/>
          <w:sz w:val="18"/>
        </w:rPr>
      </w:pPr>
      <w:r>
        <w:rPr>
          <w:rFonts w:ascii="Arial Narrow" w:hAnsi="Arial Narrow"/>
          <w:sz w:val="18"/>
          <w:szCs w:val="18"/>
        </w:rPr>
        <w:t xml:space="preserve">Abbreviations: BEL=belimumab; SC=subcutaneous. </w:t>
      </w:r>
      <w:r>
        <w:rPr>
          <w:rFonts w:ascii="Arial Narrow" w:hAnsi="Arial Narrow"/>
          <w:sz w:val="18"/>
        </w:rPr>
        <w:t>Blue highlights indicate results previously seen by the PBAC.</w:t>
      </w:r>
    </w:p>
    <w:p w:rsidR="004706A3" w:rsidRPr="005751EE" w:rsidRDefault="004706A3" w:rsidP="00DF74D9">
      <w:pPr>
        <w:keepNext/>
        <w:keepLines/>
        <w:tabs>
          <w:tab w:val="left" w:pos="142"/>
        </w:tabs>
        <w:ind w:left="142" w:hanging="142"/>
        <w:rPr>
          <w:rFonts w:ascii="Arial Narrow" w:hAnsi="Arial Narrow"/>
          <w:sz w:val="18"/>
          <w:szCs w:val="18"/>
        </w:rPr>
      </w:pPr>
      <w:r w:rsidRPr="00CE0F85">
        <w:rPr>
          <w:rFonts w:ascii="Arial Narrow" w:hAnsi="Arial Narrow"/>
          <w:sz w:val="18"/>
          <w:szCs w:val="18"/>
          <w:vertAlign w:val="superscript"/>
        </w:rPr>
        <w:t>a</w:t>
      </w:r>
      <w:r w:rsidRPr="005751EE">
        <w:rPr>
          <w:rFonts w:ascii="Arial Narrow" w:hAnsi="Arial Narrow"/>
          <w:sz w:val="18"/>
          <w:szCs w:val="18"/>
        </w:rPr>
        <w:t xml:space="preserve"> </w:t>
      </w:r>
      <w:r>
        <w:rPr>
          <w:rFonts w:ascii="Arial Narrow" w:hAnsi="Arial Narrow"/>
          <w:sz w:val="18"/>
          <w:szCs w:val="18"/>
        </w:rPr>
        <w:tab/>
      </w:r>
      <w:r w:rsidRPr="005751EE">
        <w:rPr>
          <w:rFonts w:ascii="Arial Narrow" w:hAnsi="Arial Narrow"/>
          <w:sz w:val="18"/>
          <w:szCs w:val="18"/>
        </w:rPr>
        <w:t xml:space="preserve">Five subjects did not have a post baseline flare assessment. Severe flares that were triggered only by an increase in SELENA SLEDAI score to &gt;12 were reported as mild/moderate flares if the change from the previous visit was at least three points and were excluded otherwise. </w:t>
      </w:r>
    </w:p>
    <w:p w:rsidR="004706A3" w:rsidRPr="005751EE" w:rsidRDefault="004706A3" w:rsidP="00DF74D9">
      <w:pPr>
        <w:keepNext/>
        <w:keepLines/>
        <w:tabs>
          <w:tab w:val="left" w:pos="142"/>
        </w:tabs>
        <w:ind w:left="142" w:hanging="142"/>
        <w:rPr>
          <w:rFonts w:ascii="Arial Narrow" w:hAnsi="Arial Narrow"/>
          <w:sz w:val="18"/>
          <w:szCs w:val="18"/>
        </w:rPr>
      </w:pPr>
      <w:r w:rsidRPr="00CE0F85">
        <w:rPr>
          <w:rFonts w:ascii="Arial Narrow" w:hAnsi="Arial Narrow"/>
          <w:sz w:val="18"/>
          <w:szCs w:val="18"/>
          <w:vertAlign w:val="superscript"/>
        </w:rPr>
        <w:t>b</w:t>
      </w:r>
      <w:r w:rsidRPr="005751EE">
        <w:rPr>
          <w:rFonts w:ascii="Arial Narrow" w:hAnsi="Arial Narrow"/>
          <w:sz w:val="18"/>
          <w:szCs w:val="18"/>
        </w:rPr>
        <w:t xml:space="preserve"> </w:t>
      </w:r>
      <w:r>
        <w:rPr>
          <w:rFonts w:ascii="Arial Narrow" w:hAnsi="Arial Narrow"/>
          <w:sz w:val="18"/>
          <w:szCs w:val="18"/>
        </w:rPr>
        <w:tab/>
      </w:r>
      <w:r w:rsidRPr="005751EE">
        <w:rPr>
          <w:rFonts w:ascii="Arial Narrow" w:hAnsi="Arial Narrow"/>
          <w:sz w:val="18"/>
          <w:szCs w:val="18"/>
        </w:rPr>
        <w:t>Unadjusted rate per subject-year = total number of flares/total patient years in trial.</w:t>
      </w:r>
    </w:p>
    <w:p w:rsidR="004706A3" w:rsidRDefault="004706A3" w:rsidP="00DF74D9">
      <w:pPr>
        <w:keepNext/>
        <w:keepLines/>
        <w:tabs>
          <w:tab w:val="left" w:pos="142"/>
        </w:tabs>
        <w:ind w:left="142" w:hanging="142"/>
        <w:rPr>
          <w:rFonts w:ascii="Arial Narrow" w:hAnsi="Arial Narrow"/>
          <w:sz w:val="18"/>
          <w:szCs w:val="18"/>
        </w:rPr>
      </w:pPr>
      <w:r w:rsidRPr="00CE0F85">
        <w:rPr>
          <w:rFonts w:ascii="Arial Narrow" w:hAnsi="Arial Narrow"/>
          <w:sz w:val="18"/>
          <w:szCs w:val="18"/>
          <w:vertAlign w:val="superscript"/>
        </w:rPr>
        <w:t>c</w:t>
      </w:r>
      <w:r w:rsidRPr="005751EE">
        <w:rPr>
          <w:rFonts w:ascii="Arial Narrow" w:hAnsi="Arial Narrow"/>
          <w:sz w:val="18"/>
          <w:szCs w:val="18"/>
        </w:rPr>
        <w:t xml:space="preserve"> </w:t>
      </w:r>
      <w:r>
        <w:rPr>
          <w:rFonts w:ascii="Arial Narrow" w:hAnsi="Arial Narrow"/>
          <w:sz w:val="18"/>
          <w:szCs w:val="18"/>
        </w:rPr>
        <w:tab/>
      </w:r>
      <w:r w:rsidRPr="005751EE">
        <w:rPr>
          <w:rFonts w:ascii="Arial Narrow" w:hAnsi="Arial Narrow"/>
          <w:sz w:val="18"/>
          <w:szCs w:val="18"/>
        </w:rPr>
        <w:t xml:space="preserve">From negative binomial regression with the number of flares as the dependent variable and adjusting for </w:t>
      </w:r>
      <w:r>
        <w:rPr>
          <w:rFonts w:ascii="Arial Narrow" w:hAnsi="Arial Narrow"/>
          <w:sz w:val="18"/>
          <w:szCs w:val="18"/>
        </w:rPr>
        <w:t>baseline SELENA SLEDAI score (≤9 vs. ≥</w:t>
      </w:r>
      <w:r w:rsidRPr="005751EE">
        <w:rPr>
          <w:rFonts w:ascii="Arial Narrow" w:hAnsi="Arial Narrow"/>
          <w:sz w:val="18"/>
          <w:szCs w:val="18"/>
        </w:rPr>
        <w:t>10), baseline complement levels, (low C3 and/or C4 vs. no low C3 or C4) and race (black vs. other). Adjustment is also made for subject's follow-up time by including log follow-up time (years) as an offset variable.</w:t>
      </w:r>
    </w:p>
    <w:p w:rsidR="004706A3" w:rsidRPr="004706A3" w:rsidRDefault="004706A3" w:rsidP="00DF74D9">
      <w:pPr>
        <w:keepNext/>
        <w:keepLines/>
        <w:rPr>
          <w:rFonts w:ascii="Arial Narrow" w:hAnsi="Arial Narrow"/>
          <w:sz w:val="18"/>
          <w:szCs w:val="18"/>
        </w:rPr>
      </w:pPr>
      <w:r w:rsidRPr="00D66561">
        <w:rPr>
          <w:rFonts w:ascii="Arial Narrow" w:hAnsi="Arial Narrow"/>
          <w:sz w:val="18"/>
          <w:szCs w:val="18"/>
        </w:rPr>
        <w:t>Source: Table 30, p112</w:t>
      </w:r>
      <w:r>
        <w:rPr>
          <w:rFonts w:ascii="Arial Narrow" w:hAnsi="Arial Narrow"/>
          <w:sz w:val="18"/>
          <w:szCs w:val="18"/>
        </w:rPr>
        <w:t xml:space="preserve"> of BLISS-SC CSR</w:t>
      </w:r>
    </w:p>
    <w:p w:rsidR="00172AD3" w:rsidRPr="00901612" w:rsidRDefault="00172AD3" w:rsidP="00901612">
      <w:pPr>
        <w:ind w:left="720" w:hanging="720"/>
      </w:pPr>
    </w:p>
    <w:p w:rsidR="00172AD3" w:rsidRPr="00ED7E3E" w:rsidRDefault="00172AD3" w:rsidP="00172AD3">
      <w:pPr>
        <w:pStyle w:val="Heading2"/>
      </w:pPr>
      <w:bookmarkStart w:id="16" w:name="_Toc40113252"/>
      <w:r w:rsidRPr="00ED7E3E">
        <w:t>Comparative harms</w:t>
      </w:r>
      <w:bookmarkEnd w:id="16"/>
    </w:p>
    <w:p w:rsidR="00172AD3" w:rsidRPr="00ED7E3E" w:rsidRDefault="00172AD3" w:rsidP="00172AD3">
      <w:pPr>
        <w:ind w:left="720" w:hanging="720"/>
      </w:pPr>
    </w:p>
    <w:p w:rsidR="00DA3DE1" w:rsidRPr="005C22F2" w:rsidRDefault="00172AD3" w:rsidP="00DA711E">
      <w:pPr>
        <w:pStyle w:val="ListParagraph"/>
        <w:widowControl/>
        <w:numPr>
          <w:ilvl w:val="1"/>
          <w:numId w:val="1"/>
        </w:numPr>
        <w:rPr>
          <w:rStyle w:val="CommentReference"/>
          <w:rFonts w:ascii="Calibri" w:hAnsi="Calibri"/>
          <w:b w:val="0"/>
          <w:sz w:val="24"/>
          <w:szCs w:val="22"/>
        </w:rPr>
      </w:pPr>
      <w:r w:rsidRPr="00960B0D">
        <w:t xml:space="preserve">Table </w:t>
      </w:r>
      <w:r w:rsidR="0045020A">
        <w:t>10</w:t>
      </w:r>
      <w:r w:rsidRPr="00960B0D">
        <w:t xml:space="preserve"> presents</w:t>
      </w:r>
      <w:r w:rsidRPr="00181AE9">
        <w:t xml:space="preserve"> a summary of adverse </w:t>
      </w:r>
      <w:r w:rsidRPr="005C22F2">
        <w:t>events (AEs) from the pivotal BLISS-SC trial</w:t>
      </w:r>
      <w:r w:rsidR="00C90A9F" w:rsidRPr="005C22F2">
        <w:t>; which was unchanged from the previous submission</w:t>
      </w:r>
      <w:r w:rsidRPr="005C22F2">
        <w:t>.</w:t>
      </w:r>
    </w:p>
    <w:p w:rsidR="00172AD3" w:rsidRPr="00ED7E3E" w:rsidRDefault="00997528" w:rsidP="00CE2B7C">
      <w:pPr>
        <w:pStyle w:val="ListParagraph"/>
        <w:keepNext/>
        <w:spacing w:after="0"/>
        <w:ind w:left="0"/>
        <w:rPr>
          <w:rStyle w:val="CommentReference"/>
        </w:rPr>
      </w:pPr>
      <w:r>
        <w:rPr>
          <w:rStyle w:val="CommentReference"/>
        </w:rPr>
        <w:lastRenderedPageBreak/>
        <w:t xml:space="preserve">Table </w:t>
      </w:r>
      <w:r w:rsidR="0045020A">
        <w:rPr>
          <w:rStyle w:val="CommentReference"/>
        </w:rPr>
        <w:t>10</w:t>
      </w:r>
      <w:r>
        <w:rPr>
          <w:rStyle w:val="CommentReference"/>
        </w:rPr>
        <w:t xml:space="preserve">: </w:t>
      </w:r>
      <w:r w:rsidR="00172AD3" w:rsidRPr="00960B0D">
        <w:rPr>
          <w:rStyle w:val="CommentReference"/>
        </w:rPr>
        <w:t>Summary</w:t>
      </w:r>
      <w:r w:rsidR="00172AD3" w:rsidRPr="00ED7E3E">
        <w:rPr>
          <w:rStyle w:val="CommentReference"/>
        </w:rPr>
        <w:t xml:space="preserve"> of </w:t>
      </w:r>
      <w:r w:rsidR="00172AD3">
        <w:rPr>
          <w:rStyle w:val="CommentReference"/>
        </w:rPr>
        <w:t>key adverse events in the pivotal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3"/>
        <w:gridCol w:w="1886"/>
        <w:gridCol w:w="1636"/>
        <w:gridCol w:w="1715"/>
        <w:gridCol w:w="1657"/>
      </w:tblGrid>
      <w:tr w:rsidR="00172AD3" w:rsidRPr="00B02EC7" w:rsidTr="0011582A">
        <w:trPr>
          <w:tblHeader/>
        </w:trPr>
        <w:tc>
          <w:tcPr>
            <w:tcW w:w="1177" w:type="pct"/>
            <w:vAlign w:val="center"/>
          </w:tcPr>
          <w:p w:rsidR="00172AD3" w:rsidRPr="00B02EC7" w:rsidRDefault="00172AD3" w:rsidP="00CE2B7C">
            <w:pPr>
              <w:pStyle w:val="Tabletext"/>
              <w:keepNext/>
              <w:rPr>
                <w:b/>
                <w:szCs w:val="20"/>
              </w:rPr>
            </w:pPr>
            <w:r w:rsidRPr="00B02EC7">
              <w:rPr>
                <w:b/>
                <w:szCs w:val="20"/>
              </w:rPr>
              <w:t>Trial ID</w:t>
            </w:r>
          </w:p>
        </w:tc>
        <w:tc>
          <w:tcPr>
            <w:tcW w:w="1046" w:type="pct"/>
            <w:vAlign w:val="center"/>
          </w:tcPr>
          <w:p w:rsidR="00172AD3" w:rsidRPr="00B02EC7" w:rsidRDefault="00172AD3" w:rsidP="00CE2B7C">
            <w:pPr>
              <w:pStyle w:val="Tabletext"/>
              <w:keepNext/>
              <w:jc w:val="center"/>
              <w:rPr>
                <w:b/>
                <w:szCs w:val="20"/>
              </w:rPr>
            </w:pPr>
            <w:r w:rsidRPr="00B02EC7">
              <w:rPr>
                <w:b/>
                <w:szCs w:val="20"/>
              </w:rPr>
              <w:t xml:space="preserve">BEL </w:t>
            </w:r>
            <w:r w:rsidRPr="00B02EC7">
              <w:rPr>
                <w:b/>
                <w:bCs/>
                <w:szCs w:val="18"/>
                <w:lang w:val="de-DE"/>
              </w:rPr>
              <w:t xml:space="preserve">200mg SC </w:t>
            </w:r>
            <w:r w:rsidRPr="00B02EC7">
              <w:rPr>
                <w:b/>
                <w:szCs w:val="20"/>
              </w:rPr>
              <w:t>n/N (%)</w:t>
            </w:r>
          </w:p>
        </w:tc>
        <w:tc>
          <w:tcPr>
            <w:tcW w:w="907" w:type="pct"/>
            <w:vAlign w:val="center"/>
          </w:tcPr>
          <w:p w:rsidR="00172AD3" w:rsidRPr="00B02EC7" w:rsidRDefault="00172AD3" w:rsidP="00CE2B7C">
            <w:pPr>
              <w:pStyle w:val="Tabletext"/>
              <w:keepNext/>
              <w:jc w:val="center"/>
              <w:rPr>
                <w:b/>
                <w:szCs w:val="20"/>
              </w:rPr>
            </w:pPr>
            <w:r w:rsidRPr="00B02EC7">
              <w:rPr>
                <w:b/>
                <w:szCs w:val="20"/>
              </w:rPr>
              <w:t>PBO n/N (%)</w:t>
            </w:r>
          </w:p>
        </w:tc>
        <w:tc>
          <w:tcPr>
            <w:tcW w:w="951" w:type="pct"/>
            <w:vAlign w:val="center"/>
          </w:tcPr>
          <w:p w:rsidR="00172AD3" w:rsidRPr="00B02EC7" w:rsidRDefault="00172AD3" w:rsidP="00CE2B7C">
            <w:pPr>
              <w:pStyle w:val="Tabletext"/>
              <w:keepNext/>
              <w:jc w:val="center"/>
              <w:rPr>
                <w:b/>
                <w:szCs w:val="20"/>
              </w:rPr>
            </w:pPr>
            <w:r w:rsidRPr="00B02EC7">
              <w:rPr>
                <w:b/>
                <w:szCs w:val="20"/>
              </w:rPr>
              <w:t>OR</w:t>
            </w:r>
            <w:r w:rsidRPr="00B02EC7" w:rsidDel="00B34E6F">
              <w:rPr>
                <w:b/>
                <w:szCs w:val="20"/>
              </w:rPr>
              <w:t xml:space="preserve"> </w:t>
            </w:r>
            <w:r w:rsidRPr="00B02EC7">
              <w:rPr>
                <w:b/>
                <w:szCs w:val="20"/>
              </w:rPr>
              <w:t>(95% CI)</w:t>
            </w:r>
          </w:p>
        </w:tc>
        <w:tc>
          <w:tcPr>
            <w:tcW w:w="919" w:type="pct"/>
            <w:vAlign w:val="center"/>
          </w:tcPr>
          <w:p w:rsidR="00172AD3" w:rsidRPr="00B02EC7" w:rsidRDefault="00172AD3" w:rsidP="00CE2B7C">
            <w:pPr>
              <w:pStyle w:val="Tabletext"/>
              <w:keepNext/>
              <w:jc w:val="center"/>
              <w:rPr>
                <w:b/>
                <w:szCs w:val="20"/>
              </w:rPr>
            </w:pPr>
            <w:r w:rsidRPr="00B02EC7">
              <w:rPr>
                <w:b/>
                <w:szCs w:val="20"/>
              </w:rPr>
              <w:t>RD (95% CI)</w:t>
            </w:r>
          </w:p>
        </w:tc>
      </w:tr>
      <w:tr w:rsidR="00172AD3" w:rsidRPr="00B02EC7" w:rsidTr="0033010C">
        <w:tc>
          <w:tcPr>
            <w:tcW w:w="4081" w:type="pct"/>
            <w:gridSpan w:val="4"/>
            <w:shd w:val="clear" w:color="auto" w:fill="C6D9F1" w:themeFill="text2" w:themeFillTint="33"/>
            <w:vAlign w:val="center"/>
          </w:tcPr>
          <w:p w:rsidR="00172AD3" w:rsidRPr="00B02EC7" w:rsidRDefault="00172AD3" w:rsidP="00CE2B7C">
            <w:pPr>
              <w:pStyle w:val="Tabletext"/>
              <w:keepNext/>
              <w:rPr>
                <w:b/>
                <w:bCs/>
                <w:szCs w:val="20"/>
              </w:rPr>
            </w:pPr>
            <w:r w:rsidRPr="00B02EC7">
              <w:rPr>
                <w:b/>
                <w:bCs/>
                <w:szCs w:val="20"/>
              </w:rPr>
              <w:t>Belimumab SC formulation (BLISS-SC)</w:t>
            </w:r>
          </w:p>
        </w:tc>
        <w:tc>
          <w:tcPr>
            <w:tcW w:w="919" w:type="pct"/>
            <w:shd w:val="clear" w:color="auto" w:fill="C6D9F1" w:themeFill="text2" w:themeFillTint="33"/>
            <w:vAlign w:val="center"/>
          </w:tcPr>
          <w:p w:rsidR="00172AD3" w:rsidRPr="00B02EC7" w:rsidRDefault="00172AD3" w:rsidP="00CE2B7C">
            <w:pPr>
              <w:pStyle w:val="Tabletext"/>
              <w:keepNext/>
              <w:rPr>
                <w:b/>
                <w:bCs/>
                <w:szCs w:val="20"/>
              </w:rPr>
            </w:pPr>
          </w:p>
        </w:tc>
      </w:tr>
      <w:tr w:rsidR="00172AD3" w:rsidRPr="00B02EC7" w:rsidTr="0033010C">
        <w:tc>
          <w:tcPr>
            <w:tcW w:w="1177" w:type="pct"/>
            <w:shd w:val="clear" w:color="auto" w:fill="C6D9F1" w:themeFill="text2" w:themeFillTint="33"/>
            <w:vAlign w:val="center"/>
          </w:tcPr>
          <w:p w:rsidR="00172AD3" w:rsidRPr="00B02EC7" w:rsidRDefault="00172AD3" w:rsidP="00CE2B7C">
            <w:pPr>
              <w:pStyle w:val="Tabletext"/>
              <w:keepNext/>
              <w:rPr>
                <w:szCs w:val="20"/>
              </w:rPr>
            </w:pPr>
            <w:r w:rsidRPr="00B02EC7">
              <w:rPr>
                <w:szCs w:val="20"/>
                <w:lang w:eastAsia="en-AU"/>
              </w:rPr>
              <w:t>Any AE</w:t>
            </w:r>
          </w:p>
        </w:tc>
        <w:tc>
          <w:tcPr>
            <w:tcW w:w="1046"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449/556 (80.8%)</w:t>
            </w:r>
          </w:p>
        </w:tc>
        <w:tc>
          <w:tcPr>
            <w:tcW w:w="907"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236/280 (84.3%)</w:t>
            </w:r>
          </w:p>
        </w:tc>
        <w:tc>
          <w:tcPr>
            <w:tcW w:w="951" w:type="pct"/>
            <w:shd w:val="clear" w:color="auto" w:fill="C6D9F1" w:themeFill="text2" w:themeFillTint="33"/>
          </w:tcPr>
          <w:p w:rsidR="00172AD3" w:rsidRPr="00B02EC7" w:rsidRDefault="00172AD3" w:rsidP="00CE2B7C">
            <w:pPr>
              <w:pStyle w:val="Tabletext"/>
              <w:keepNext/>
              <w:jc w:val="center"/>
              <w:rPr>
                <w:szCs w:val="20"/>
              </w:rPr>
            </w:pPr>
            <w:r w:rsidRPr="00B02EC7">
              <w:rPr>
                <w:szCs w:val="20"/>
              </w:rPr>
              <w:t>0.78 (0.53, 1.15)</w:t>
            </w:r>
          </w:p>
        </w:tc>
        <w:tc>
          <w:tcPr>
            <w:tcW w:w="919"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-0.04 (-0.09, 0.02)</w:t>
            </w:r>
          </w:p>
        </w:tc>
      </w:tr>
      <w:tr w:rsidR="00172AD3" w:rsidRPr="00B02EC7" w:rsidTr="0033010C">
        <w:tc>
          <w:tcPr>
            <w:tcW w:w="1177" w:type="pct"/>
            <w:shd w:val="clear" w:color="auto" w:fill="C6D9F1" w:themeFill="text2" w:themeFillTint="33"/>
            <w:vAlign w:val="center"/>
          </w:tcPr>
          <w:p w:rsidR="00172AD3" w:rsidRPr="00B02EC7" w:rsidRDefault="00172AD3" w:rsidP="00CE2B7C">
            <w:pPr>
              <w:pStyle w:val="Tabletext"/>
              <w:keepNext/>
              <w:rPr>
                <w:szCs w:val="20"/>
                <w:lang w:eastAsia="en-AU"/>
              </w:rPr>
            </w:pPr>
            <w:r w:rsidRPr="00B02EC7">
              <w:rPr>
                <w:szCs w:val="20"/>
                <w:lang w:eastAsia="en-AU"/>
              </w:rPr>
              <w:t>Related AE</w:t>
            </w:r>
          </w:p>
        </w:tc>
        <w:tc>
          <w:tcPr>
            <w:tcW w:w="1046"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173/556 (31.1%)</w:t>
            </w:r>
          </w:p>
        </w:tc>
        <w:tc>
          <w:tcPr>
            <w:tcW w:w="907"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73/280 (26.1%)</w:t>
            </w:r>
          </w:p>
        </w:tc>
        <w:tc>
          <w:tcPr>
            <w:tcW w:w="951" w:type="pct"/>
            <w:shd w:val="clear" w:color="auto" w:fill="C6D9F1" w:themeFill="text2" w:themeFillTint="33"/>
          </w:tcPr>
          <w:p w:rsidR="00172AD3" w:rsidRPr="00B02EC7" w:rsidRDefault="00172AD3" w:rsidP="00CE2B7C">
            <w:pPr>
              <w:pStyle w:val="Tabletext"/>
              <w:keepNext/>
              <w:jc w:val="center"/>
              <w:rPr>
                <w:szCs w:val="20"/>
              </w:rPr>
            </w:pPr>
            <w:r w:rsidRPr="00B02EC7">
              <w:rPr>
                <w:szCs w:val="20"/>
              </w:rPr>
              <w:t>1.28 (0.93, 1.77)</w:t>
            </w:r>
          </w:p>
        </w:tc>
        <w:tc>
          <w:tcPr>
            <w:tcW w:w="919"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0.05 (-0.01, 0.11)</w:t>
            </w:r>
          </w:p>
        </w:tc>
      </w:tr>
      <w:tr w:rsidR="00172AD3" w:rsidRPr="00B02EC7" w:rsidTr="0033010C">
        <w:tc>
          <w:tcPr>
            <w:tcW w:w="1177" w:type="pct"/>
            <w:shd w:val="clear" w:color="auto" w:fill="C6D9F1" w:themeFill="text2" w:themeFillTint="33"/>
            <w:vAlign w:val="center"/>
          </w:tcPr>
          <w:p w:rsidR="00172AD3" w:rsidRPr="00B02EC7" w:rsidRDefault="00172AD3" w:rsidP="00CE2B7C">
            <w:pPr>
              <w:pStyle w:val="Tabletext"/>
              <w:keepNext/>
              <w:rPr>
                <w:szCs w:val="20"/>
                <w:lang w:eastAsia="en-AU"/>
              </w:rPr>
            </w:pPr>
            <w:r w:rsidRPr="00B02EC7">
              <w:rPr>
                <w:szCs w:val="20"/>
                <w:lang w:eastAsia="en-AU"/>
              </w:rPr>
              <w:t>Serious AE</w:t>
            </w:r>
          </w:p>
        </w:tc>
        <w:tc>
          <w:tcPr>
            <w:tcW w:w="1046"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60/556 (10.8%)</w:t>
            </w:r>
          </w:p>
        </w:tc>
        <w:tc>
          <w:tcPr>
            <w:tcW w:w="907"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44/280 (15.7%)</w:t>
            </w:r>
          </w:p>
        </w:tc>
        <w:tc>
          <w:tcPr>
            <w:tcW w:w="951" w:type="pct"/>
            <w:shd w:val="clear" w:color="auto" w:fill="C6D9F1" w:themeFill="text2" w:themeFillTint="33"/>
          </w:tcPr>
          <w:p w:rsidR="00172AD3" w:rsidRPr="00B02EC7" w:rsidRDefault="00172AD3" w:rsidP="00CE2B7C">
            <w:pPr>
              <w:pStyle w:val="Tabletext"/>
              <w:keepNext/>
              <w:jc w:val="center"/>
              <w:rPr>
                <w:b/>
                <w:bCs/>
                <w:szCs w:val="20"/>
              </w:rPr>
            </w:pPr>
            <w:r w:rsidRPr="00B02EC7">
              <w:rPr>
                <w:b/>
                <w:bCs/>
                <w:szCs w:val="20"/>
              </w:rPr>
              <w:t>0.65 (0.43, 0.99)</w:t>
            </w:r>
          </w:p>
        </w:tc>
        <w:tc>
          <w:tcPr>
            <w:tcW w:w="919"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-0.05 (-0.10, 0.00)</w:t>
            </w:r>
          </w:p>
        </w:tc>
      </w:tr>
      <w:tr w:rsidR="00172AD3" w:rsidRPr="00B02EC7" w:rsidTr="0033010C">
        <w:tc>
          <w:tcPr>
            <w:tcW w:w="1177" w:type="pct"/>
            <w:shd w:val="clear" w:color="auto" w:fill="C6D9F1" w:themeFill="text2" w:themeFillTint="33"/>
            <w:vAlign w:val="center"/>
          </w:tcPr>
          <w:p w:rsidR="00172AD3" w:rsidRPr="00B02EC7" w:rsidRDefault="00172AD3" w:rsidP="00CE2B7C">
            <w:pPr>
              <w:pStyle w:val="Tabletext"/>
              <w:keepNext/>
              <w:rPr>
                <w:szCs w:val="20"/>
                <w:lang w:eastAsia="en-AU"/>
              </w:rPr>
            </w:pPr>
            <w:r w:rsidRPr="00B02EC7">
              <w:rPr>
                <w:szCs w:val="20"/>
                <w:lang w:eastAsia="en-AU"/>
              </w:rPr>
              <w:t>Severe AE</w:t>
            </w:r>
          </w:p>
        </w:tc>
        <w:tc>
          <w:tcPr>
            <w:tcW w:w="1046"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55/556 (9.9%)</w:t>
            </w:r>
          </w:p>
        </w:tc>
        <w:tc>
          <w:tcPr>
            <w:tcW w:w="907"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40/280 (14.3%)</w:t>
            </w:r>
          </w:p>
        </w:tc>
        <w:tc>
          <w:tcPr>
            <w:tcW w:w="951" w:type="pct"/>
            <w:shd w:val="clear" w:color="auto" w:fill="C6D9F1" w:themeFill="text2" w:themeFillTint="33"/>
          </w:tcPr>
          <w:p w:rsidR="00172AD3" w:rsidRPr="00B02EC7" w:rsidRDefault="00172AD3" w:rsidP="00CE2B7C">
            <w:pPr>
              <w:pStyle w:val="Tabletext"/>
              <w:keepNext/>
              <w:jc w:val="center"/>
              <w:rPr>
                <w:szCs w:val="20"/>
              </w:rPr>
            </w:pPr>
            <w:r w:rsidRPr="00B02EC7">
              <w:rPr>
                <w:szCs w:val="20"/>
              </w:rPr>
              <w:t>0.66 (0.43, 1.02)</w:t>
            </w:r>
          </w:p>
        </w:tc>
        <w:tc>
          <w:tcPr>
            <w:tcW w:w="919"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-0.04 (-0.09, 0.00)</w:t>
            </w:r>
          </w:p>
        </w:tc>
      </w:tr>
      <w:tr w:rsidR="00172AD3" w:rsidRPr="00B02EC7" w:rsidTr="0033010C">
        <w:tc>
          <w:tcPr>
            <w:tcW w:w="1177" w:type="pct"/>
            <w:shd w:val="clear" w:color="auto" w:fill="C6D9F1" w:themeFill="text2" w:themeFillTint="33"/>
            <w:vAlign w:val="center"/>
          </w:tcPr>
          <w:p w:rsidR="00172AD3" w:rsidRPr="00B02EC7" w:rsidRDefault="00172AD3" w:rsidP="00CE2B7C">
            <w:pPr>
              <w:pStyle w:val="Tabletext"/>
              <w:keepNext/>
              <w:rPr>
                <w:szCs w:val="20"/>
              </w:rPr>
            </w:pPr>
            <w:r w:rsidRPr="00B02EC7">
              <w:rPr>
                <w:szCs w:val="20"/>
                <w:lang w:eastAsia="en-AU"/>
              </w:rPr>
              <w:t>Discontinuation due to AE</w:t>
            </w:r>
          </w:p>
        </w:tc>
        <w:tc>
          <w:tcPr>
            <w:tcW w:w="1046"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40/556 (7.2%)</w:t>
            </w:r>
          </w:p>
        </w:tc>
        <w:tc>
          <w:tcPr>
            <w:tcW w:w="907"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25/280 (8.9%)</w:t>
            </w:r>
          </w:p>
        </w:tc>
        <w:tc>
          <w:tcPr>
            <w:tcW w:w="951" w:type="pct"/>
            <w:shd w:val="clear" w:color="auto" w:fill="C6D9F1" w:themeFill="text2" w:themeFillTint="33"/>
          </w:tcPr>
          <w:p w:rsidR="00172AD3" w:rsidRPr="00B02EC7" w:rsidRDefault="00172AD3" w:rsidP="00CE2B7C">
            <w:pPr>
              <w:pStyle w:val="Tabletext"/>
              <w:keepNext/>
              <w:jc w:val="center"/>
              <w:rPr>
                <w:szCs w:val="20"/>
              </w:rPr>
            </w:pPr>
            <w:r w:rsidRPr="00B02EC7">
              <w:rPr>
                <w:szCs w:val="20"/>
              </w:rPr>
              <w:t>0.79(0.47, 1.33)</w:t>
            </w:r>
          </w:p>
        </w:tc>
        <w:tc>
          <w:tcPr>
            <w:tcW w:w="919"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-0.02 (-0.06, 0.02)</w:t>
            </w:r>
          </w:p>
        </w:tc>
      </w:tr>
      <w:tr w:rsidR="00172AD3" w:rsidRPr="00B02EC7" w:rsidTr="0033010C">
        <w:tc>
          <w:tcPr>
            <w:tcW w:w="1177" w:type="pct"/>
            <w:shd w:val="clear" w:color="auto" w:fill="C6D9F1" w:themeFill="text2" w:themeFillTint="33"/>
            <w:vAlign w:val="center"/>
          </w:tcPr>
          <w:p w:rsidR="00172AD3" w:rsidRPr="00B02EC7" w:rsidRDefault="00172AD3" w:rsidP="00CE2B7C">
            <w:pPr>
              <w:pStyle w:val="Tabletext"/>
              <w:keepNext/>
              <w:rPr>
                <w:szCs w:val="20"/>
                <w:lang w:eastAsia="en-AU"/>
              </w:rPr>
            </w:pPr>
            <w:r w:rsidRPr="00B02EC7">
              <w:rPr>
                <w:szCs w:val="20"/>
                <w:lang w:eastAsia="en-AU"/>
              </w:rPr>
              <w:t>Deaths</w:t>
            </w:r>
          </w:p>
        </w:tc>
        <w:tc>
          <w:tcPr>
            <w:tcW w:w="1046"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3</w:t>
            </w:r>
            <w:r w:rsidRPr="00B02EC7">
              <w:rPr>
                <w:szCs w:val="20"/>
                <w:vertAlign w:val="superscript"/>
              </w:rPr>
              <w:t xml:space="preserve"> a</w:t>
            </w:r>
            <w:r w:rsidRPr="00B02EC7">
              <w:rPr>
                <w:szCs w:val="20"/>
              </w:rPr>
              <w:t xml:space="preserve"> /556 (0.5%)</w:t>
            </w:r>
          </w:p>
        </w:tc>
        <w:tc>
          <w:tcPr>
            <w:tcW w:w="907"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2/280 (0.7%)</w:t>
            </w:r>
          </w:p>
        </w:tc>
        <w:tc>
          <w:tcPr>
            <w:tcW w:w="951" w:type="pct"/>
            <w:shd w:val="clear" w:color="auto" w:fill="C6D9F1" w:themeFill="text2" w:themeFillTint="33"/>
          </w:tcPr>
          <w:p w:rsidR="00172AD3" w:rsidRPr="00B02EC7" w:rsidRDefault="00172AD3" w:rsidP="00CE2B7C">
            <w:pPr>
              <w:pStyle w:val="Tabletext"/>
              <w:keepNext/>
              <w:jc w:val="center"/>
              <w:rPr>
                <w:szCs w:val="20"/>
              </w:rPr>
            </w:pPr>
            <w:r w:rsidRPr="00B02EC7">
              <w:rPr>
                <w:szCs w:val="20"/>
              </w:rPr>
              <w:t>0.75 (0.13, 4.54)</w:t>
            </w:r>
          </w:p>
        </w:tc>
        <w:tc>
          <w:tcPr>
            <w:tcW w:w="919"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0 (-0.01, 0.01)</w:t>
            </w:r>
          </w:p>
        </w:tc>
      </w:tr>
      <w:tr w:rsidR="00172AD3" w:rsidRPr="00B02EC7" w:rsidTr="0033010C">
        <w:tc>
          <w:tcPr>
            <w:tcW w:w="1177" w:type="pct"/>
            <w:shd w:val="clear" w:color="auto" w:fill="C6D9F1" w:themeFill="text2" w:themeFillTint="33"/>
            <w:vAlign w:val="center"/>
          </w:tcPr>
          <w:p w:rsidR="00172AD3" w:rsidRPr="00B02EC7" w:rsidRDefault="00172AD3" w:rsidP="00CE2B7C">
            <w:pPr>
              <w:pStyle w:val="Tabletext"/>
              <w:keepNext/>
              <w:rPr>
                <w:szCs w:val="20"/>
                <w:lang w:eastAsia="en-AU"/>
              </w:rPr>
            </w:pPr>
            <w:r w:rsidRPr="00B02EC7">
              <w:rPr>
                <w:szCs w:val="20"/>
                <w:lang w:eastAsia="en-AU"/>
              </w:rPr>
              <w:t>Local injection site reactions</w:t>
            </w:r>
          </w:p>
        </w:tc>
        <w:tc>
          <w:tcPr>
            <w:tcW w:w="1046"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34/556 (6.1%)</w:t>
            </w:r>
          </w:p>
        </w:tc>
        <w:tc>
          <w:tcPr>
            <w:tcW w:w="907" w:type="pct"/>
            <w:shd w:val="clear" w:color="auto" w:fill="C6D9F1" w:themeFill="text2" w:themeFillTint="33"/>
            <w:vAlign w:val="center"/>
          </w:tcPr>
          <w:p w:rsidR="00172AD3" w:rsidRPr="00B02EC7" w:rsidRDefault="00172AD3" w:rsidP="00CE2B7C">
            <w:pPr>
              <w:pStyle w:val="Tabletext"/>
              <w:keepNext/>
              <w:jc w:val="center"/>
              <w:rPr>
                <w:szCs w:val="20"/>
              </w:rPr>
            </w:pPr>
            <w:r w:rsidRPr="00B02EC7">
              <w:rPr>
                <w:szCs w:val="20"/>
              </w:rPr>
              <w:t>7/280 (2.5%)</w:t>
            </w:r>
          </w:p>
        </w:tc>
        <w:tc>
          <w:tcPr>
            <w:tcW w:w="951" w:type="pct"/>
            <w:shd w:val="clear" w:color="auto" w:fill="C6D9F1" w:themeFill="text2" w:themeFillTint="33"/>
          </w:tcPr>
          <w:p w:rsidR="00172AD3" w:rsidRPr="00B02EC7" w:rsidRDefault="00172AD3" w:rsidP="00CE2B7C">
            <w:pPr>
              <w:pStyle w:val="Tabletext"/>
              <w:keepNext/>
              <w:jc w:val="center"/>
              <w:rPr>
                <w:b/>
                <w:bCs/>
                <w:iCs/>
                <w:szCs w:val="20"/>
              </w:rPr>
            </w:pPr>
            <w:r w:rsidRPr="00B02EC7">
              <w:rPr>
                <w:b/>
                <w:bCs/>
                <w:iCs/>
                <w:szCs w:val="20"/>
              </w:rPr>
              <w:t>2.54 (1.11, 5.81)</w:t>
            </w:r>
          </w:p>
        </w:tc>
        <w:tc>
          <w:tcPr>
            <w:tcW w:w="919" w:type="pct"/>
            <w:shd w:val="clear" w:color="auto" w:fill="C6D9F1" w:themeFill="text2" w:themeFillTint="33"/>
            <w:vAlign w:val="center"/>
          </w:tcPr>
          <w:p w:rsidR="00172AD3" w:rsidRPr="00B02EC7" w:rsidRDefault="00172AD3" w:rsidP="00CE2B7C">
            <w:pPr>
              <w:pStyle w:val="Tabletext"/>
              <w:keepNext/>
              <w:jc w:val="center"/>
              <w:rPr>
                <w:b/>
                <w:bCs/>
                <w:iCs/>
                <w:szCs w:val="20"/>
              </w:rPr>
            </w:pPr>
            <w:r w:rsidRPr="00B02EC7">
              <w:rPr>
                <w:b/>
                <w:bCs/>
                <w:iCs/>
                <w:szCs w:val="20"/>
              </w:rPr>
              <w:t>0.04 (0.01, 0.06)</w:t>
            </w:r>
          </w:p>
        </w:tc>
      </w:tr>
      <w:tr w:rsidR="00172AD3" w:rsidRPr="00B02EC7" w:rsidTr="0033010C">
        <w:tc>
          <w:tcPr>
            <w:tcW w:w="1177" w:type="pct"/>
            <w:shd w:val="clear" w:color="auto" w:fill="C6D9F1" w:themeFill="text2" w:themeFillTint="33"/>
            <w:vAlign w:val="center"/>
          </w:tcPr>
          <w:p w:rsidR="00172AD3" w:rsidRPr="00B02EC7" w:rsidRDefault="00172AD3" w:rsidP="00CE2B7C">
            <w:pPr>
              <w:pStyle w:val="Tabletext"/>
              <w:keepNext/>
              <w:rPr>
                <w:iCs/>
                <w:szCs w:val="20"/>
                <w:lang w:eastAsia="en-AU"/>
              </w:rPr>
            </w:pPr>
            <w:r w:rsidRPr="00B02EC7">
              <w:rPr>
                <w:iCs/>
                <w:szCs w:val="20"/>
                <w:lang w:eastAsia="en-AU"/>
              </w:rPr>
              <w:t>Injection site pain</w:t>
            </w:r>
          </w:p>
        </w:tc>
        <w:tc>
          <w:tcPr>
            <w:tcW w:w="1046" w:type="pct"/>
            <w:shd w:val="clear" w:color="auto" w:fill="C6D9F1" w:themeFill="text2" w:themeFillTint="33"/>
            <w:vAlign w:val="center"/>
          </w:tcPr>
          <w:p w:rsidR="00172AD3" w:rsidRPr="00B02EC7" w:rsidRDefault="00172AD3" w:rsidP="00CE2B7C">
            <w:pPr>
              <w:pStyle w:val="Tabletext"/>
              <w:keepNext/>
              <w:jc w:val="center"/>
              <w:rPr>
                <w:iCs/>
                <w:szCs w:val="20"/>
              </w:rPr>
            </w:pPr>
            <w:r w:rsidRPr="00B02EC7">
              <w:rPr>
                <w:iCs/>
                <w:szCs w:val="20"/>
              </w:rPr>
              <w:t>10/556 (1.8%)</w:t>
            </w:r>
          </w:p>
        </w:tc>
        <w:tc>
          <w:tcPr>
            <w:tcW w:w="907" w:type="pct"/>
            <w:shd w:val="clear" w:color="auto" w:fill="C6D9F1" w:themeFill="text2" w:themeFillTint="33"/>
            <w:vAlign w:val="center"/>
          </w:tcPr>
          <w:p w:rsidR="00172AD3" w:rsidRPr="00B02EC7" w:rsidRDefault="00172AD3" w:rsidP="00CE2B7C">
            <w:pPr>
              <w:pStyle w:val="Tabletext"/>
              <w:keepNext/>
              <w:jc w:val="center"/>
              <w:rPr>
                <w:iCs/>
                <w:szCs w:val="20"/>
              </w:rPr>
            </w:pPr>
            <w:r w:rsidRPr="00B02EC7">
              <w:rPr>
                <w:iCs/>
                <w:szCs w:val="20"/>
              </w:rPr>
              <w:t>1/280 (0.4%)</w:t>
            </w:r>
          </w:p>
        </w:tc>
        <w:tc>
          <w:tcPr>
            <w:tcW w:w="951" w:type="pct"/>
            <w:shd w:val="clear" w:color="auto" w:fill="C6D9F1" w:themeFill="text2" w:themeFillTint="33"/>
          </w:tcPr>
          <w:p w:rsidR="00172AD3" w:rsidRPr="00B02EC7" w:rsidRDefault="00172AD3" w:rsidP="00CE2B7C">
            <w:pPr>
              <w:pStyle w:val="Tabletext"/>
              <w:keepNext/>
              <w:jc w:val="center"/>
              <w:rPr>
                <w:iCs/>
                <w:szCs w:val="20"/>
              </w:rPr>
            </w:pPr>
            <w:r w:rsidRPr="00B02EC7">
              <w:rPr>
                <w:iCs/>
                <w:szCs w:val="20"/>
              </w:rPr>
              <w:t>5.11 (0.65, 40.12)</w:t>
            </w:r>
          </w:p>
        </w:tc>
        <w:tc>
          <w:tcPr>
            <w:tcW w:w="919" w:type="pct"/>
            <w:shd w:val="clear" w:color="auto" w:fill="C6D9F1" w:themeFill="text2" w:themeFillTint="33"/>
            <w:vAlign w:val="center"/>
          </w:tcPr>
          <w:p w:rsidR="00172AD3" w:rsidRPr="00B02EC7" w:rsidRDefault="00172AD3" w:rsidP="00CE2B7C">
            <w:pPr>
              <w:pStyle w:val="Tabletext"/>
              <w:keepNext/>
              <w:jc w:val="center"/>
              <w:rPr>
                <w:iCs/>
                <w:szCs w:val="20"/>
              </w:rPr>
            </w:pPr>
            <w:r w:rsidRPr="00B02EC7">
              <w:rPr>
                <w:iCs/>
                <w:szCs w:val="20"/>
              </w:rPr>
              <w:t>0.01 (0.00, 0.03)</w:t>
            </w:r>
          </w:p>
        </w:tc>
      </w:tr>
    </w:tbl>
    <w:p w:rsidR="00172AD3" w:rsidRPr="00B02EC7" w:rsidRDefault="00172AD3" w:rsidP="00172AD3">
      <w:pPr>
        <w:pStyle w:val="TableFooter"/>
        <w:rPr>
          <w:szCs w:val="18"/>
        </w:rPr>
      </w:pPr>
      <w:r w:rsidRPr="00B02EC7">
        <w:rPr>
          <w:rStyle w:val="CommentReference"/>
          <w:bCs/>
          <w:iCs/>
          <w:sz w:val="18"/>
          <w:szCs w:val="18"/>
        </w:rPr>
        <w:t xml:space="preserve">Bold </w:t>
      </w:r>
      <w:r w:rsidRPr="00B02EC7">
        <w:rPr>
          <w:rStyle w:val="CommentReference"/>
          <w:b w:val="0"/>
          <w:bCs/>
          <w:iCs/>
          <w:sz w:val="18"/>
          <w:szCs w:val="18"/>
        </w:rPr>
        <w:t>typography indicate statistically significant differences</w:t>
      </w:r>
      <w:r w:rsidRPr="00B02EC7">
        <w:rPr>
          <w:rStyle w:val="CommentReference"/>
          <w:bCs/>
          <w:iCs/>
          <w:sz w:val="18"/>
          <w:szCs w:val="18"/>
        </w:rPr>
        <w:t xml:space="preserve">.  </w:t>
      </w:r>
      <w:r w:rsidR="00527B8D" w:rsidRPr="00B02EC7">
        <w:rPr>
          <w:szCs w:val="18"/>
        </w:rPr>
        <w:t>Blue highlights indicate results previously seen by the PBAC.</w:t>
      </w:r>
    </w:p>
    <w:p w:rsidR="00172AD3" w:rsidRPr="00B02EC7" w:rsidRDefault="00172AD3" w:rsidP="00172AD3">
      <w:pPr>
        <w:pStyle w:val="TableFooter"/>
        <w:rPr>
          <w:rFonts w:eastAsia="Calibri"/>
          <w:szCs w:val="18"/>
        </w:rPr>
      </w:pPr>
      <w:r w:rsidRPr="00B02EC7">
        <w:rPr>
          <w:szCs w:val="18"/>
        </w:rPr>
        <w:t xml:space="preserve">Abbreviations: </w:t>
      </w:r>
      <w:r w:rsidRPr="00B02EC7">
        <w:rPr>
          <w:rFonts w:eastAsia="Calibri"/>
          <w:szCs w:val="18"/>
        </w:rPr>
        <w:t>CI = confidence interval; n = number of participants with event; N = total participants in group</w:t>
      </w:r>
    </w:p>
    <w:p w:rsidR="00172AD3" w:rsidRPr="00B02EC7" w:rsidRDefault="00172AD3" w:rsidP="00172AD3">
      <w:pPr>
        <w:pStyle w:val="TableFooter"/>
        <w:tabs>
          <w:tab w:val="left" w:pos="142"/>
        </w:tabs>
        <w:ind w:left="142" w:hanging="142"/>
        <w:rPr>
          <w:rFonts w:eastAsia="Calibri"/>
          <w:szCs w:val="18"/>
        </w:rPr>
      </w:pPr>
      <w:r w:rsidRPr="00B02EC7">
        <w:rPr>
          <w:rFonts w:eastAsia="Calibri"/>
          <w:szCs w:val="18"/>
          <w:vertAlign w:val="superscript"/>
        </w:rPr>
        <w:t>a</w:t>
      </w:r>
      <w:r w:rsidRPr="00B02EC7">
        <w:rPr>
          <w:rFonts w:eastAsia="Calibri"/>
          <w:szCs w:val="18"/>
        </w:rPr>
        <w:tab/>
        <w:t>Two deaths considered possibly related to study agent. One was hospitalized 15 days after last dose of belimumab and died of tuberculosis of the central nervous system.  The other was hospitalized 9 days after the last dose of belimumab and experienced urosepsis 15 days after the last dose, and subsequently died 9 days after urosepsis onset.  The third death (from bacterial sepsis) was considered probably not related to study agent.</w:t>
      </w:r>
    </w:p>
    <w:p w:rsidR="00172AD3" w:rsidRDefault="00172AD3" w:rsidP="00172AD3">
      <w:pPr>
        <w:pStyle w:val="ListParagraph"/>
        <w:spacing w:after="0"/>
        <w:ind w:left="0"/>
      </w:pPr>
    </w:p>
    <w:p w:rsidR="0072728F" w:rsidRDefault="00172AD3" w:rsidP="00DA711E">
      <w:pPr>
        <w:pStyle w:val="ListParagraph"/>
        <w:widowControl/>
        <w:numPr>
          <w:ilvl w:val="1"/>
          <w:numId w:val="1"/>
        </w:numPr>
        <w:rPr>
          <w:iCs/>
        </w:rPr>
      </w:pPr>
      <w:r w:rsidRPr="007435E7">
        <w:rPr>
          <w:iCs/>
        </w:rPr>
        <w:t>The incidence of any AE, related AE, severe AE, and discontinuations due to AE were similar between belimumab and SOC. The proportion of patients with serious AEs was significantly lower for belimumab versus placebo in BLISS-SC. In BLISS-SC, local injection site reactions occurred in 6.1% and 2.5% of subjects in the belimumab and placebo groups, respectively. All local injection site reactions were mild or moderate in severity. The most frequently reported AEs for belimumab were headache, viral upper respiratory tract infection, urinary tract infection, nasopharyngitis and nausea.</w:t>
      </w:r>
    </w:p>
    <w:p w:rsidR="0072728F" w:rsidRPr="0072728F" w:rsidRDefault="0072728F" w:rsidP="00DA711E">
      <w:pPr>
        <w:pStyle w:val="ListParagraph"/>
        <w:widowControl/>
        <w:numPr>
          <w:ilvl w:val="1"/>
          <w:numId w:val="1"/>
        </w:numPr>
        <w:spacing w:line="259" w:lineRule="auto"/>
        <w:rPr>
          <w:i/>
        </w:rPr>
      </w:pPr>
      <w:r>
        <w:t>The TGA PI</w:t>
      </w:r>
      <w:r>
        <w:rPr>
          <w:rStyle w:val="FootnoteReference"/>
        </w:rPr>
        <w:footnoteReference w:id="5"/>
      </w:r>
      <w:r>
        <w:t xml:space="preserve"> (p13) stated, “there were more deaths reported with (belimumab) than with placebo during the controlled period of the intravenous clinical trials… No single cause of death predominated. Aetiologies included infection, cardiovascular disease and suicide... </w:t>
      </w:r>
      <w:r w:rsidRPr="0034513D">
        <w:t xml:space="preserve">In the controlled trial of </w:t>
      </w:r>
      <w:r>
        <w:t>(belimumab)</w:t>
      </w:r>
      <w:r w:rsidRPr="0034513D">
        <w:t xml:space="preserve"> administered subcutaneously (N = 836), a total of 5 deaths</w:t>
      </w:r>
      <w:r>
        <w:t xml:space="preserve"> </w:t>
      </w:r>
      <w:r w:rsidRPr="0034513D">
        <w:t>occurred during the placebo-controlled, double-blind treatment period (0.7% [2/280] of</w:t>
      </w:r>
      <w:r>
        <w:t xml:space="preserve"> </w:t>
      </w:r>
      <w:r w:rsidRPr="0034513D">
        <w:t xml:space="preserve">patients receiving placebo and 0.5% [3/556] of patients receiving </w:t>
      </w:r>
      <w:r>
        <w:t>[belimumab]</w:t>
      </w:r>
      <w:r w:rsidRPr="0034513D">
        <w:t>). Infection was</w:t>
      </w:r>
      <w:r>
        <w:t xml:space="preserve"> </w:t>
      </w:r>
      <w:r w:rsidRPr="0034513D">
        <w:t>the most common cause of death.</w:t>
      </w:r>
      <w:r>
        <w:t xml:space="preserve"> The physicians should discuss this imbalance with their patients prior to initiating therapy.”</w:t>
      </w:r>
    </w:p>
    <w:p w:rsidR="0072728F" w:rsidRPr="00B02EC7" w:rsidRDefault="0072728F" w:rsidP="00DA711E">
      <w:pPr>
        <w:pStyle w:val="ListParagraph"/>
        <w:numPr>
          <w:ilvl w:val="1"/>
          <w:numId w:val="1"/>
        </w:numPr>
      </w:pPr>
      <w:r w:rsidRPr="00B02EC7">
        <w:t xml:space="preserve">Across the five trials, more patients died in the belimumab 200 mg SC or 10 mg/kg IV arms (10/1920 = 0.52%) than in the placebo </w:t>
      </w:r>
      <w:r w:rsidRPr="005C22F2">
        <w:t xml:space="preserve">arms (6/1242 = 0.48%). Deaths in the belimumab arms </w:t>
      </w:r>
      <w:r w:rsidR="00FD34F7">
        <w:t>are</w:t>
      </w:r>
      <w:r w:rsidR="00FD34F7" w:rsidRPr="005C22F2">
        <w:t xml:space="preserve"> </w:t>
      </w:r>
      <w:r w:rsidRPr="005C22F2">
        <w:t>higher if the 1 mg/kg arms (from BLISS-52 and BLISS-76) are also included (14/2479 = 0.56%). The results</w:t>
      </w:r>
      <w:r w:rsidRPr="005C22F2">
        <w:rPr>
          <w:vertAlign w:val="superscript"/>
        </w:rPr>
        <w:footnoteReference w:id="6"/>
      </w:r>
      <w:r w:rsidRPr="005C22F2">
        <w:t xml:space="preserve"> for BASE indicated</w:t>
      </w:r>
      <w:r w:rsidRPr="00B02EC7">
        <w:t xml:space="preserve"> that on-treatment all-cause mortality, infection and malignancy rates were similar between belimumab and </w:t>
      </w:r>
      <w:r w:rsidRPr="00B02EC7">
        <w:lastRenderedPageBreak/>
        <w:t xml:space="preserve">placebo, with imbalances observed in serious depression, serious suicidal ideation/behaviour and self-injury events, and serious infusion/hypersensitivity reactions. </w:t>
      </w:r>
    </w:p>
    <w:p w:rsidR="00172AD3" w:rsidRPr="007C76C1" w:rsidRDefault="0072728F" w:rsidP="00DA711E">
      <w:pPr>
        <w:pStyle w:val="ListParagraph"/>
        <w:widowControl/>
        <w:numPr>
          <w:ilvl w:val="1"/>
          <w:numId w:val="1"/>
        </w:numPr>
      </w:pPr>
      <w:r w:rsidRPr="007C76C1">
        <w:t xml:space="preserve">The resubmission presented the same data </w:t>
      </w:r>
      <w:r w:rsidR="007C76C1">
        <w:t xml:space="preserve">as the previous submission, </w:t>
      </w:r>
      <w:r w:rsidRPr="007C76C1">
        <w:t>on potential safety concerns beyond those identified in the clinical trials from the Periodic Benefit Risk Evaluation Report (PBRER) for belimumab (9 March 2018 to 8 March 2019) and Risk Management Plan (RMP).</w:t>
      </w:r>
      <w:r w:rsidR="007C76C1">
        <w:t xml:space="preserve"> </w:t>
      </w:r>
      <w:r w:rsidR="00172AD3" w:rsidRPr="007C76C1">
        <w:rPr>
          <w:iCs/>
        </w:rPr>
        <w:t>Important identified risks associated with belimumab</w:t>
      </w:r>
      <w:r w:rsidR="00997528" w:rsidRPr="007C76C1">
        <w:rPr>
          <w:iCs/>
        </w:rPr>
        <w:t xml:space="preserve"> included p</w:t>
      </w:r>
      <w:r w:rsidR="00172AD3" w:rsidRPr="007C76C1">
        <w:rPr>
          <w:iCs/>
        </w:rPr>
        <w:t>sychiatric events including depression and suicidality;</w:t>
      </w:r>
      <w:r w:rsidR="00997528" w:rsidRPr="007C76C1">
        <w:rPr>
          <w:iCs/>
        </w:rPr>
        <w:t xml:space="preserve"> h</w:t>
      </w:r>
      <w:r w:rsidR="00172AD3" w:rsidRPr="007C76C1">
        <w:rPr>
          <w:iCs/>
        </w:rPr>
        <w:t>ypersensitivity and infusion- or injection-related systemic reactions; and</w:t>
      </w:r>
      <w:r w:rsidR="00997528" w:rsidRPr="007C76C1">
        <w:rPr>
          <w:iCs/>
        </w:rPr>
        <w:t xml:space="preserve"> infections.</w:t>
      </w:r>
    </w:p>
    <w:p w:rsidR="00172AD3" w:rsidRPr="00ED7E3E" w:rsidRDefault="00172AD3" w:rsidP="00172AD3">
      <w:pPr>
        <w:pStyle w:val="ListParagraph"/>
        <w:spacing w:after="0"/>
        <w:ind w:left="0"/>
      </w:pPr>
    </w:p>
    <w:p w:rsidR="00172AD3" w:rsidRPr="00ED7E3E" w:rsidRDefault="00172AD3" w:rsidP="00172AD3">
      <w:pPr>
        <w:pStyle w:val="Heading2"/>
      </w:pPr>
      <w:bookmarkStart w:id="17" w:name="_Toc40113253"/>
      <w:r w:rsidRPr="00ED7E3E">
        <w:t>Benefits/harms</w:t>
      </w:r>
      <w:bookmarkEnd w:id="17"/>
    </w:p>
    <w:p w:rsidR="00172AD3" w:rsidRPr="00417F19" w:rsidRDefault="00172AD3" w:rsidP="00172AD3"/>
    <w:p w:rsidR="00172AD3" w:rsidRDefault="00172AD3" w:rsidP="00DA711E">
      <w:pPr>
        <w:pStyle w:val="ListParagraph"/>
        <w:widowControl/>
        <w:numPr>
          <w:ilvl w:val="1"/>
          <w:numId w:val="1"/>
        </w:numPr>
      </w:pPr>
      <w:r w:rsidRPr="00F770BB">
        <w:rPr>
          <w:rFonts w:cs="Calibri"/>
          <w:snapToGrid/>
          <w:szCs w:val="24"/>
          <w:lang w:eastAsia="en-AU"/>
        </w:rPr>
        <w:t xml:space="preserve">Table </w:t>
      </w:r>
      <w:r w:rsidR="0045020A">
        <w:rPr>
          <w:rFonts w:cs="Calibri"/>
          <w:snapToGrid/>
          <w:szCs w:val="24"/>
          <w:lang w:eastAsia="en-AU"/>
        </w:rPr>
        <w:t>11</w:t>
      </w:r>
      <w:r w:rsidRPr="00F770BB">
        <w:rPr>
          <w:rFonts w:cs="Calibri"/>
          <w:snapToGrid/>
          <w:szCs w:val="24"/>
          <w:lang w:eastAsia="en-AU"/>
        </w:rPr>
        <w:t xml:space="preserve"> presents a summary of the comparative </w:t>
      </w:r>
      <w:r w:rsidRPr="00F770BB">
        <w:t>benefits and harms for belimumab versus placebo in the pivotal trial, BLISS-SC</w:t>
      </w:r>
      <w:r>
        <w:t>.</w:t>
      </w:r>
    </w:p>
    <w:p w:rsidR="00172AD3" w:rsidRPr="00417F19" w:rsidRDefault="00172AD3" w:rsidP="00DC721D">
      <w:pPr>
        <w:keepNext/>
        <w:keepLines/>
        <w:widowControl/>
        <w:rPr>
          <w:rFonts w:ascii="Arial Narrow" w:hAnsi="Arial Narrow"/>
          <w:b/>
          <w:sz w:val="20"/>
          <w:szCs w:val="20"/>
        </w:rPr>
      </w:pPr>
      <w:r w:rsidRPr="00F770BB">
        <w:rPr>
          <w:rFonts w:ascii="Arial Narrow" w:hAnsi="Arial Narrow"/>
          <w:b/>
          <w:sz w:val="20"/>
          <w:szCs w:val="20"/>
        </w:rPr>
        <w:t xml:space="preserve">Table </w:t>
      </w:r>
      <w:r w:rsidR="0045020A">
        <w:rPr>
          <w:rFonts w:ascii="Arial Narrow" w:hAnsi="Arial Narrow"/>
          <w:b/>
          <w:sz w:val="20"/>
          <w:szCs w:val="20"/>
        </w:rPr>
        <w:t>11</w:t>
      </w:r>
      <w:r w:rsidRPr="00F770BB">
        <w:rPr>
          <w:rFonts w:ascii="Arial Narrow" w:hAnsi="Arial Narrow"/>
          <w:b/>
          <w:sz w:val="20"/>
          <w:szCs w:val="20"/>
        </w:rPr>
        <w:t>: Sum</w:t>
      </w:r>
      <w:r w:rsidRPr="00417F19">
        <w:rPr>
          <w:rFonts w:ascii="Arial Narrow" w:hAnsi="Arial Narrow"/>
          <w:b/>
          <w:sz w:val="20"/>
          <w:szCs w:val="20"/>
        </w:rPr>
        <w:t>mary of comparative benefits and harms across the 52-week BLISS-SC trial</w:t>
      </w:r>
    </w:p>
    <w:tbl>
      <w:tblPr>
        <w:tblStyle w:val="TableGrid"/>
        <w:tblW w:w="4995" w:type="pct"/>
        <w:tblInd w:w="28" w:type="dxa"/>
        <w:tblLayout w:type="fixed"/>
        <w:tblCellMar>
          <w:left w:w="28" w:type="dxa"/>
          <w:right w:w="28" w:type="dxa"/>
        </w:tblCellMar>
        <w:tblLook w:val="04A0" w:firstRow="1" w:lastRow="0" w:firstColumn="1" w:lastColumn="0" w:noHBand="0" w:noVBand="1"/>
        <w:tblCaption w:val="Table 11: Summary of comparative benefits and harms across the 52-week BLISS-SC trial"/>
      </w:tblPr>
      <w:tblGrid>
        <w:gridCol w:w="1247"/>
        <w:gridCol w:w="1558"/>
        <w:gridCol w:w="72"/>
        <w:gridCol w:w="1490"/>
        <w:gridCol w:w="1270"/>
        <w:gridCol w:w="18"/>
        <w:gridCol w:w="1258"/>
        <w:gridCol w:w="18"/>
        <w:gridCol w:w="2077"/>
      </w:tblGrid>
      <w:tr w:rsidR="00172AD3" w:rsidRPr="00417F19" w:rsidTr="0011582A">
        <w:trPr>
          <w:trHeight w:val="150"/>
        </w:trPr>
        <w:tc>
          <w:tcPr>
            <w:tcW w:w="5000" w:type="pct"/>
            <w:gridSpan w:val="9"/>
            <w:shd w:val="clear" w:color="auto" w:fill="auto"/>
            <w:vAlign w:val="center"/>
          </w:tcPr>
          <w:p w:rsidR="00172AD3" w:rsidRPr="00417F19" w:rsidRDefault="00172AD3" w:rsidP="00DC721D">
            <w:pPr>
              <w:keepNext/>
              <w:keepLines/>
              <w:rPr>
                <w:rFonts w:ascii="Arial Narrow" w:hAnsi="Arial Narrow"/>
                <w:b/>
                <w:sz w:val="20"/>
                <w:szCs w:val="20"/>
                <w:u w:val="single"/>
              </w:rPr>
            </w:pPr>
            <w:r w:rsidRPr="00417F19">
              <w:rPr>
                <w:rFonts w:ascii="Arial Narrow" w:hAnsi="Arial Narrow"/>
                <w:b/>
                <w:sz w:val="20"/>
                <w:szCs w:val="20"/>
                <w:u w:val="single"/>
              </w:rPr>
              <w:t>Benefits</w:t>
            </w:r>
          </w:p>
        </w:tc>
      </w:tr>
      <w:tr w:rsidR="00172AD3" w:rsidRPr="00417F19" w:rsidTr="0011582A">
        <w:trPr>
          <w:trHeight w:val="150"/>
        </w:trPr>
        <w:tc>
          <w:tcPr>
            <w:tcW w:w="5000" w:type="pct"/>
            <w:gridSpan w:val="9"/>
            <w:shd w:val="clear" w:color="auto" w:fill="auto"/>
            <w:vAlign w:val="center"/>
          </w:tcPr>
          <w:p w:rsidR="00172AD3" w:rsidRPr="00417F19" w:rsidRDefault="00172AD3" w:rsidP="00DC721D">
            <w:pPr>
              <w:keepNext/>
              <w:keepLines/>
              <w:rPr>
                <w:rFonts w:ascii="Arial Narrow" w:hAnsi="Arial Narrow"/>
                <w:sz w:val="20"/>
                <w:szCs w:val="20"/>
              </w:rPr>
            </w:pPr>
            <w:r w:rsidRPr="00417F19">
              <w:rPr>
                <w:rFonts w:ascii="Arial Narrow" w:hAnsi="Arial Narrow"/>
                <w:b/>
                <w:sz w:val="20"/>
                <w:szCs w:val="20"/>
              </w:rPr>
              <w:t>Responder rates at Week 52</w:t>
            </w:r>
            <w:r>
              <w:rPr>
                <w:rFonts w:ascii="Arial Narrow" w:hAnsi="Arial Narrow"/>
                <w:b/>
                <w:sz w:val="20"/>
                <w:szCs w:val="20"/>
              </w:rPr>
              <w:t xml:space="preserve"> for the primary composite outcome of SRI and its component indexes</w:t>
            </w:r>
          </w:p>
        </w:tc>
      </w:tr>
      <w:tr w:rsidR="00172AD3" w:rsidRPr="00417F19" w:rsidTr="0011582A">
        <w:trPr>
          <w:trHeight w:val="150"/>
        </w:trPr>
        <w:tc>
          <w:tcPr>
            <w:tcW w:w="692" w:type="pct"/>
            <w:vMerge w:val="restart"/>
            <w:shd w:val="clear" w:color="auto" w:fill="auto"/>
            <w:vAlign w:val="center"/>
          </w:tcPr>
          <w:p w:rsidR="00172AD3" w:rsidRPr="00417F19" w:rsidRDefault="00172AD3" w:rsidP="00DC721D">
            <w:pPr>
              <w:keepNext/>
              <w:keepLines/>
              <w:rPr>
                <w:rFonts w:ascii="Arial Narrow" w:hAnsi="Arial Narrow"/>
                <w:b/>
                <w:sz w:val="20"/>
                <w:szCs w:val="20"/>
              </w:rPr>
            </w:pPr>
            <w:r w:rsidRPr="00417F19">
              <w:rPr>
                <w:rFonts w:ascii="Arial Narrow" w:hAnsi="Arial Narrow"/>
                <w:b/>
                <w:sz w:val="20"/>
                <w:szCs w:val="20"/>
              </w:rPr>
              <w:t>Index</w:t>
            </w:r>
          </w:p>
        </w:tc>
        <w:tc>
          <w:tcPr>
            <w:tcW w:w="865" w:type="pct"/>
            <w:vMerge w:val="restart"/>
            <w:vAlign w:val="center"/>
          </w:tcPr>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Belimumab</w:t>
            </w:r>
          </w:p>
        </w:tc>
        <w:tc>
          <w:tcPr>
            <w:tcW w:w="867" w:type="pct"/>
            <w:gridSpan w:val="2"/>
            <w:vMerge w:val="restart"/>
            <w:vAlign w:val="center"/>
          </w:tcPr>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Placebo</w:t>
            </w:r>
          </w:p>
        </w:tc>
        <w:tc>
          <w:tcPr>
            <w:tcW w:w="1423" w:type="pct"/>
            <w:gridSpan w:val="4"/>
            <w:shd w:val="clear" w:color="auto" w:fill="auto"/>
            <w:vAlign w:val="center"/>
          </w:tcPr>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Events/100 patients</w:t>
            </w:r>
          </w:p>
        </w:tc>
        <w:tc>
          <w:tcPr>
            <w:tcW w:w="1153" w:type="pct"/>
            <w:vMerge w:val="restart"/>
            <w:shd w:val="clear" w:color="auto" w:fill="auto"/>
            <w:vAlign w:val="center"/>
          </w:tcPr>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RD</w:t>
            </w:r>
          </w:p>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(95% CI)</w:t>
            </w:r>
          </w:p>
        </w:tc>
      </w:tr>
      <w:tr w:rsidR="00172AD3" w:rsidRPr="00417F19" w:rsidTr="0011582A">
        <w:trPr>
          <w:trHeight w:val="315"/>
        </w:trPr>
        <w:tc>
          <w:tcPr>
            <w:tcW w:w="692" w:type="pct"/>
            <w:vMerge/>
            <w:shd w:val="clear" w:color="auto" w:fill="auto"/>
            <w:vAlign w:val="center"/>
          </w:tcPr>
          <w:p w:rsidR="00172AD3" w:rsidRPr="00417F19" w:rsidRDefault="00172AD3" w:rsidP="00DC721D">
            <w:pPr>
              <w:keepNext/>
              <w:keepLines/>
              <w:rPr>
                <w:rFonts w:ascii="Arial Narrow" w:hAnsi="Arial Narrow"/>
                <w:sz w:val="20"/>
                <w:szCs w:val="20"/>
              </w:rPr>
            </w:pPr>
          </w:p>
        </w:tc>
        <w:tc>
          <w:tcPr>
            <w:tcW w:w="865" w:type="pct"/>
            <w:vMerge/>
            <w:shd w:val="clear" w:color="auto" w:fill="auto"/>
            <w:vAlign w:val="center"/>
          </w:tcPr>
          <w:p w:rsidR="00172AD3" w:rsidRPr="00417F19" w:rsidRDefault="00172AD3" w:rsidP="00DC721D">
            <w:pPr>
              <w:keepNext/>
              <w:keepLines/>
              <w:jc w:val="center"/>
              <w:rPr>
                <w:rFonts w:ascii="Arial Narrow" w:hAnsi="Arial Narrow"/>
                <w:sz w:val="20"/>
                <w:szCs w:val="20"/>
              </w:rPr>
            </w:pPr>
          </w:p>
        </w:tc>
        <w:tc>
          <w:tcPr>
            <w:tcW w:w="867" w:type="pct"/>
            <w:gridSpan w:val="2"/>
            <w:vMerge/>
            <w:shd w:val="clear" w:color="auto" w:fill="auto"/>
            <w:vAlign w:val="center"/>
          </w:tcPr>
          <w:p w:rsidR="00172AD3" w:rsidRPr="00417F19" w:rsidRDefault="00172AD3" w:rsidP="00DC721D">
            <w:pPr>
              <w:keepNext/>
              <w:keepLines/>
              <w:jc w:val="center"/>
              <w:rPr>
                <w:rFonts w:ascii="Arial Narrow" w:hAnsi="Arial Narrow"/>
                <w:sz w:val="20"/>
                <w:szCs w:val="20"/>
              </w:rPr>
            </w:pPr>
          </w:p>
        </w:tc>
        <w:tc>
          <w:tcPr>
            <w:tcW w:w="715" w:type="pct"/>
            <w:gridSpan w:val="2"/>
            <w:shd w:val="clear" w:color="auto" w:fill="auto"/>
            <w:vAlign w:val="center"/>
          </w:tcPr>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Belimumab</w:t>
            </w:r>
          </w:p>
        </w:tc>
        <w:tc>
          <w:tcPr>
            <w:tcW w:w="708" w:type="pct"/>
            <w:gridSpan w:val="2"/>
            <w:shd w:val="clear" w:color="auto" w:fill="auto"/>
            <w:vAlign w:val="center"/>
          </w:tcPr>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Placebo</w:t>
            </w:r>
          </w:p>
        </w:tc>
        <w:tc>
          <w:tcPr>
            <w:tcW w:w="1153" w:type="pct"/>
            <w:vMerge/>
            <w:shd w:val="clear" w:color="auto" w:fill="auto"/>
            <w:vAlign w:val="center"/>
          </w:tcPr>
          <w:p w:rsidR="00172AD3" w:rsidRPr="00417F19" w:rsidRDefault="00172AD3" w:rsidP="00DC721D">
            <w:pPr>
              <w:keepNext/>
              <w:keepLines/>
              <w:rPr>
                <w:rFonts w:ascii="Arial Narrow" w:hAnsi="Arial Narrow"/>
                <w:sz w:val="20"/>
                <w:szCs w:val="20"/>
              </w:rPr>
            </w:pPr>
          </w:p>
        </w:tc>
      </w:tr>
      <w:tr w:rsidR="00172AD3" w:rsidRPr="00417F19" w:rsidTr="0033010C">
        <w:tc>
          <w:tcPr>
            <w:tcW w:w="692" w:type="pct"/>
            <w:shd w:val="clear" w:color="auto" w:fill="C6D9F1" w:themeFill="text2" w:themeFillTint="33"/>
            <w:vAlign w:val="center"/>
          </w:tcPr>
          <w:p w:rsidR="00172AD3" w:rsidRPr="00417F19" w:rsidRDefault="00172AD3" w:rsidP="00DC721D">
            <w:pPr>
              <w:keepNext/>
              <w:keepLines/>
              <w:rPr>
                <w:rFonts w:ascii="Arial Narrow" w:hAnsi="Arial Narrow"/>
                <w:sz w:val="20"/>
                <w:szCs w:val="20"/>
              </w:rPr>
            </w:pPr>
            <w:r w:rsidRPr="00417F19">
              <w:rPr>
                <w:rFonts w:ascii="Arial Narrow" w:hAnsi="Arial Narrow"/>
                <w:sz w:val="20"/>
                <w:szCs w:val="20"/>
              </w:rPr>
              <w:t>SRI</w:t>
            </w:r>
          </w:p>
        </w:tc>
        <w:tc>
          <w:tcPr>
            <w:tcW w:w="865" w:type="pct"/>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Pr>
                <w:rFonts w:ascii="Arial Narrow" w:hAnsi="Arial Narrow"/>
                <w:sz w:val="20"/>
                <w:szCs w:val="20"/>
              </w:rPr>
              <w:t>340/554</w:t>
            </w:r>
          </w:p>
        </w:tc>
        <w:tc>
          <w:tcPr>
            <w:tcW w:w="867"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Pr>
                <w:rFonts w:ascii="Arial Narrow" w:hAnsi="Arial Narrow"/>
                <w:sz w:val="20"/>
                <w:szCs w:val="20"/>
              </w:rPr>
              <w:t>135/279</w:t>
            </w:r>
          </w:p>
        </w:tc>
        <w:tc>
          <w:tcPr>
            <w:tcW w:w="715"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A20282">
              <w:rPr>
                <w:rFonts w:ascii="Arial Narrow" w:hAnsi="Arial Narrow"/>
                <w:sz w:val="20"/>
                <w:szCs w:val="20"/>
              </w:rPr>
              <w:t>61.4</w:t>
            </w:r>
          </w:p>
        </w:tc>
        <w:tc>
          <w:tcPr>
            <w:tcW w:w="708"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A20282">
              <w:rPr>
                <w:rFonts w:ascii="Arial Narrow" w:hAnsi="Arial Narrow"/>
                <w:sz w:val="20"/>
                <w:szCs w:val="20"/>
              </w:rPr>
              <w:t>48.4</w:t>
            </w:r>
          </w:p>
        </w:tc>
        <w:tc>
          <w:tcPr>
            <w:tcW w:w="1153" w:type="pct"/>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2955DF">
              <w:rPr>
                <w:rFonts w:ascii="Arial Narrow" w:hAnsi="Arial Narrow"/>
                <w:b/>
                <w:sz w:val="20"/>
                <w:szCs w:val="20"/>
              </w:rPr>
              <w:t>0.13 (0.06, 0.20), p=0.0004</w:t>
            </w:r>
          </w:p>
        </w:tc>
      </w:tr>
      <w:tr w:rsidR="00172AD3" w:rsidRPr="00417F19" w:rsidTr="0033010C">
        <w:tc>
          <w:tcPr>
            <w:tcW w:w="692" w:type="pct"/>
            <w:shd w:val="clear" w:color="auto" w:fill="C6D9F1" w:themeFill="text2" w:themeFillTint="33"/>
            <w:vAlign w:val="center"/>
          </w:tcPr>
          <w:p w:rsidR="00172AD3" w:rsidRPr="00417F19" w:rsidRDefault="00172AD3" w:rsidP="00DC721D">
            <w:pPr>
              <w:keepNext/>
              <w:keepLines/>
              <w:ind w:left="170"/>
              <w:rPr>
                <w:rFonts w:ascii="Arial Narrow" w:hAnsi="Arial Narrow"/>
                <w:sz w:val="20"/>
                <w:szCs w:val="20"/>
              </w:rPr>
            </w:pPr>
            <w:r w:rsidRPr="00417F19">
              <w:rPr>
                <w:rFonts w:ascii="Arial Narrow" w:hAnsi="Arial Narrow"/>
                <w:sz w:val="20"/>
                <w:szCs w:val="20"/>
              </w:rPr>
              <w:t>SELENA-SLEDAI</w:t>
            </w:r>
          </w:p>
        </w:tc>
        <w:tc>
          <w:tcPr>
            <w:tcW w:w="865" w:type="pct"/>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Pr>
                <w:rFonts w:ascii="Arial Narrow" w:hAnsi="Arial Narrow"/>
                <w:sz w:val="20"/>
                <w:szCs w:val="20"/>
              </w:rPr>
              <w:t>345/554</w:t>
            </w:r>
          </w:p>
        </w:tc>
        <w:tc>
          <w:tcPr>
            <w:tcW w:w="867"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Pr>
                <w:rFonts w:ascii="Arial Narrow" w:hAnsi="Arial Narrow"/>
                <w:sz w:val="20"/>
                <w:szCs w:val="20"/>
              </w:rPr>
              <w:t>137/279</w:t>
            </w:r>
          </w:p>
        </w:tc>
        <w:tc>
          <w:tcPr>
            <w:tcW w:w="715"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A20282">
              <w:rPr>
                <w:rFonts w:ascii="Arial Narrow" w:hAnsi="Arial Narrow"/>
                <w:sz w:val="20"/>
                <w:szCs w:val="20"/>
              </w:rPr>
              <w:t>62.3</w:t>
            </w:r>
          </w:p>
        </w:tc>
        <w:tc>
          <w:tcPr>
            <w:tcW w:w="708"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A20282">
              <w:rPr>
                <w:rFonts w:ascii="Arial Narrow" w:hAnsi="Arial Narrow"/>
                <w:sz w:val="20"/>
                <w:szCs w:val="20"/>
              </w:rPr>
              <w:t>49.1</w:t>
            </w:r>
          </w:p>
        </w:tc>
        <w:tc>
          <w:tcPr>
            <w:tcW w:w="1153" w:type="pct"/>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2955DF">
              <w:rPr>
                <w:rFonts w:ascii="Arial Narrow" w:hAnsi="Arial Narrow"/>
                <w:b/>
                <w:sz w:val="20"/>
                <w:szCs w:val="20"/>
              </w:rPr>
              <w:t>0.13 (0.06, 0.20), p=0.0003</w:t>
            </w:r>
          </w:p>
        </w:tc>
      </w:tr>
      <w:tr w:rsidR="00172AD3" w:rsidRPr="00417F19" w:rsidTr="0033010C">
        <w:tc>
          <w:tcPr>
            <w:tcW w:w="692" w:type="pct"/>
            <w:shd w:val="clear" w:color="auto" w:fill="C6D9F1" w:themeFill="text2" w:themeFillTint="33"/>
            <w:vAlign w:val="center"/>
          </w:tcPr>
          <w:p w:rsidR="00172AD3" w:rsidRPr="00417F19" w:rsidRDefault="00172AD3" w:rsidP="00DC721D">
            <w:pPr>
              <w:keepNext/>
              <w:keepLines/>
              <w:ind w:left="170"/>
              <w:rPr>
                <w:rFonts w:ascii="Arial Narrow" w:hAnsi="Arial Narrow"/>
                <w:sz w:val="20"/>
                <w:szCs w:val="20"/>
              </w:rPr>
            </w:pPr>
            <w:r>
              <w:rPr>
                <w:rFonts w:ascii="Arial Narrow" w:hAnsi="Arial Narrow"/>
                <w:sz w:val="20"/>
                <w:szCs w:val="20"/>
              </w:rPr>
              <w:t>PGA</w:t>
            </w:r>
          </w:p>
        </w:tc>
        <w:tc>
          <w:tcPr>
            <w:tcW w:w="865" w:type="pct"/>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Pr>
                <w:rFonts w:ascii="Arial Narrow" w:hAnsi="Arial Narrow"/>
                <w:sz w:val="20"/>
                <w:szCs w:val="20"/>
              </w:rPr>
              <w:t>450/554</w:t>
            </w:r>
          </w:p>
        </w:tc>
        <w:tc>
          <w:tcPr>
            <w:tcW w:w="867"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Pr>
                <w:rFonts w:ascii="Arial Narrow" w:hAnsi="Arial Narrow"/>
                <w:sz w:val="20"/>
                <w:szCs w:val="20"/>
              </w:rPr>
              <w:t>203/279</w:t>
            </w:r>
          </w:p>
        </w:tc>
        <w:tc>
          <w:tcPr>
            <w:tcW w:w="715"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A20282">
              <w:rPr>
                <w:rFonts w:ascii="Arial Narrow" w:hAnsi="Arial Narrow"/>
                <w:sz w:val="20"/>
                <w:szCs w:val="20"/>
              </w:rPr>
              <w:t>81.2</w:t>
            </w:r>
          </w:p>
        </w:tc>
        <w:tc>
          <w:tcPr>
            <w:tcW w:w="708"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A20282">
              <w:rPr>
                <w:rFonts w:ascii="Arial Narrow" w:hAnsi="Arial Narrow"/>
                <w:sz w:val="20"/>
                <w:szCs w:val="20"/>
              </w:rPr>
              <w:t>72.8</w:t>
            </w:r>
          </w:p>
        </w:tc>
        <w:tc>
          <w:tcPr>
            <w:tcW w:w="1153" w:type="pct"/>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1F798F">
              <w:rPr>
                <w:rFonts w:ascii="Arial Narrow" w:hAnsi="Arial Narrow"/>
                <w:b/>
                <w:sz w:val="20"/>
                <w:szCs w:val="20"/>
              </w:rPr>
              <w:t>0.08 (0.02, 0.15), p=0.0070</w:t>
            </w:r>
          </w:p>
        </w:tc>
      </w:tr>
      <w:tr w:rsidR="00172AD3" w:rsidRPr="00417F19" w:rsidTr="0033010C">
        <w:tc>
          <w:tcPr>
            <w:tcW w:w="692" w:type="pct"/>
            <w:shd w:val="clear" w:color="auto" w:fill="C6D9F1" w:themeFill="text2" w:themeFillTint="33"/>
            <w:vAlign w:val="center"/>
          </w:tcPr>
          <w:p w:rsidR="00172AD3" w:rsidRPr="00417F19" w:rsidRDefault="00172AD3" w:rsidP="00DC721D">
            <w:pPr>
              <w:keepNext/>
              <w:keepLines/>
              <w:ind w:left="170"/>
              <w:rPr>
                <w:rFonts w:ascii="Arial Narrow" w:hAnsi="Arial Narrow"/>
                <w:sz w:val="20"/>
                <w:szCs w:val="20"/>
              </w:rPr>
            </w:pPr>
            <w:r>
              <w:rPr>
                <w:rFonts w:ascii="Arial Narrow" w:hAnsi="Arial Narrow"/>
                <w:sz w:val="20"/>
                <w:szCs w:val="20"/>
              </w:rPr>
              <w:t>BILAG</w:t>
            </w:r>
          </w:p>
        </w:tc>
        <w:tc>
          <w:tcPr>
            <w:tcW w:w="865" w:type="pct"/>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Pr>
                <w:rFonts w:ascii="Arial Narrow" w:hAnsi="Arial Narrow"/>
                <w:sz w:val="20"/>
                <w:szCs w:val="20"/>
              </w:rPr>
              <w:t>448/554</w:t>
            </w:r>
          </w:p>
        </w:tc>
        <w:tc>
          <w:tcPr>
            <w:tcW w:w="867"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Pr>
                <w:rFonts w:ascii="Arial Narrow" w:hAnsi="Arial Narrow"/>
                <w:sz w:val="20"/>
                <w:szCs w:val="20"/>
              </w:rPr>
              <w:t>207/279</w:t>
            </w:r>
          </w:p>
        </w:tc>
        <w:tc>
          <w:tcPr>
            <w:tcW w:w="715"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A20282">
              <w:rPr>
                <w:rFonts w:ascii="Arial Narrow" w:hAnsi="Arial Narrow"/>
                <w:sz w:val="20"/>
                <w:szCs w:val="20"/>
              </w:rPr>
              <w:t>80.9</w:t>
            </w:r>
          </w:p>
        </w:tc>
        <w:tc>
          <w:tcPr>
            <w:tcW w:w="708" w:type="pct"/>
            <w:gridSpan w:val="2"/>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A20282">
              <w:rPr>
                <w:rFonts w:ascii="Arial Narrow" w:hAnsi="Arial Narrow"/>
                <w:sz w:val="20"/>
                <w:szCs w:val="20"/>
              </w:rPr>
              <w:t>74.2</w:t>
            </w:r>
          </w:p>
        </w:tc>
        <w:tc>
          <w:tcPr>
            <w:tcW w:w="1153" w:type="pct"/>
            <w:shd w:val="clear" w:color="auto" w:fill="C6D9F1" w:themeFill="text2" w:themeFillTint="33"/>
            <w:vAlign w:val="center"/>
          </w:tcPr>
          <w:p w:rsidR="00172AD3" w:rsidRPr="00417F19" w:rsidRDefault="00172AD3" w:rsidP="00DC721D">
            <w:pPr>
              <w:keepNext/>
              <w:keepLines/>
              <w:jc w:val="center"/>
              <w:rPr>
                <w:rFonts w:ascii="Arial Narrow" w:hAnsi="Arial Narrow"/>
                <w:sz w:val="20"/>
                <w:szCs w:val="20"/>
              </w:rPr>
            </w:pPr>
            <w:r w:rsidRPr="001F798F">
              <w:rPr>
                <w:rFonts w:ascii="Arial Narrow" w:hAnsi="Arial Narrow"/>
                <w:b/>
                <w:sz w:val="20"/>
                <w:szCs w:val="20"/>
              </w:rPr>
              <w:t xml:space="preserve">0.07 (0.01, 0.13), </w:t>
            </w:r>
            <w:r w:rsidRPr="001F798F">
              <w:rPr>
                <w:rFonts w:ascii="Arial Narrow" w:hAnsi="Arial Narrow"/>
                <w:b/>
                <w:sz w:val="20"/>
                <w:szCs w:val="20"/>
                <w:lang w:eastAsia="en-AU"/>
              </w:rPr>
              <w:t>p=</w:t>
            </w:r>
            <w:r w:rsidRPr="001F798F">
              <w:rPr>
                <w:rFonts w:ascii="Arial Narrow" w:hAnsi="Arial Narrow"/>
                <w:b/>
                <w:sz w:val="20"/>
                <w:szCs w:val="20"/>
              </w:rPr>
              <w:t>0.0318</w:t>
            </w:r>
          </w:p>
        </w:tc>
      </w:tr>
      <w:tr w:rsidR="00172AD3" w:rsidRPr="00417F19" w:rsidTr="0011582A">
        <w:tc>
          <w:tcPr>
            <w:tcW w:w="5000" w:type="pct"/>
            <w:gridSpan w:val="9"/>
            <w:tcBorders>
              <w:top w:val="double" w:sz="4" w:space="0" w:color="auto"/>
            </w:tcBorders>
            <w:shd w:val="clear" w:color="auto" w:fill="auto"/>
            <w:vAlign w:val="center"/>
          </w:tcPr>
          <w:p w:rsidR="00172AD3" w:rsidRPr="00417F19" w:rsidRDefault="00172AD3" w:rsidP="00DC721D">
            <w:pPr>
              <w:keepNext/>
              <w:keepLines/>
              <w:rPr>
                <w:rFonts w:ascii="Arial Narrow" w:hAnsi="Arial Narrow"/>
                <w:b/>
                <w:sz w:val="20"/>
                <w:szCs w:val="20"/>
                <w:u w:val="single"/>
              </w:rPr>
            </w:pPr>
            <w:r w:rsidRPr="00417F19">
              <w:rPr>
                <w:rFonts w:ascii="Arial Narrow" w:hAnsi="Arial Narrow"/>
                <w:b/>
                <w:sz w:val="20"/>
                <w:szCs w:val="20"/>
                <w:u w:val="single"/>
              </w:rPr>
              <w:t>Harms</w:t>
            </w:r>
          </w:p>
        </w:tc>
      </w:tr>
      <w:tr w:rsidR="00172AD3" w:rsidRPr="00417F19" w:rsidTr="0011582A">
        <w:trPr>
          <w:trHeight w:val="70"/>
        </w:trPr>
        <w:tc>
          <w:tcPr>
            <w:tcW w:w="692" w:type="pct"/>
            <w:vMerge w:val="restart"/>
            <w:shd w:val="clear" w:color="auto" w:fill="auto"/>
            <w:vAlign w:val="center"/>
          </w:tcPr>
          <w:p w:rsidR="00172AD3" w:rsidRPr="00417F19" w:rsidRDefault="00172AD3" w:rsidP="00DC721D">
            <w:pPr>
              <w:keepNext/>
              <w:keepLines/>
              <w:rPr>
                <w:rFonts w:ascii="Arial Narrow" w:hAnsi="Arial Narrow"/>
                <w:sz w:val="20"/>
                <w:szCs w:val="20"/>
              </w:rPr>
            </w:pPr>
          </w:p>
        </w:tc>
        <w:tc>
          <w:tcPr>
            <w:tcW w:w="905" w:type="pct"/>
            <w:gridSpan w:val="2"/>
            <w:vMerge w:val="restart"/>
            <w:shd w:val="clear" w:color="auto" w:fill="auto"/>
            <w:vAlign w:val="center"/>
          </w:tcPr>
          <w:p w:rsidR="00172AD3" w:rsidRPr="00417F19" w:rsidRDefault="00172AD3" w:rsidP="00DC721D">
            <w:pPr>
              <w:keepNext/>
              <w:keepLines/>
              <w:jc w:val="center"/>
              <w:rPr>
                <w:rFonts w:ascii="Arial Narrow" w:hAnsi="Arial Narrow"/>
                <w:b/>
                <w:sz w:val="20"/>
                <w:szCs w:val="20"/>
                <w:vertAlign w:val="superscript"/>
              </w:rPr>
            </w:pPr>
            <w:r w:rsidRPr="00417F19">
              <w:rPr>
                <w:rFonts w:ascii="Arial Narrow" w:hAnsi="Arial Narrow"/>
                <w:b/>
                <w:sz w:val="20"/>
                <w:szCs w:val="20"/>
              </w:rPr>
              <w:t>Belimumab</w:t>
            </w:r>
          </w:p>
        </w:tc>
        <w:tc>
          <w:tcPr>
            <w:tcW w:w="827" w:type="pct"/>
            <w:vMerge w:val="restart"/>
            <w:shd w:val="clear" w:color="auto" w:fill="auto"/>
            <w:vAlign w:val="center"/>
          </w:tcPr>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Placebo</w:t>
            </w:r>
          </w:p>
        </w:tc>
        <w:tc>
          <w:tcPr>
            <w:tcW w:w="1413" w:type="pct"/>
            <w:gridSpan w:val="3"/>
            <w:shd w:val="clear" w:color="auto" w:fill="auto"/>
            <w:vAlign w:val="center"/>
          </w:tcPr>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Events/100 patients</w:t>
            </w:r>
          </w:p>
        </w:tc>
        <w:tc>
          <w:tcPr>
            <w:tcW w:w="1163" w:type="pct"/>
            <w:gridSpan w:val="2"/>
            <w:vMerge w:val="restart"/>
            <w:shd w:val="clear" w:color="auto" w:fill="auto"/>
            <w:vAlign w:val="center"/>
          </w:tcPr>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RD</w:t>
            </w:r>
          </w:p>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(95% CI)</w:t>
            </w:r>
          </w:p>
        </w:tc>
      </w:tr>
      <w:tr w:rsidR="00172AD3" w:rsidRPr="00417F19" w:rsidTr="0011582A">
        <w:trPr>
          <w:trHeight w:val="390"/>
        </w:trPr>
        <w:tc>
          <w:tcPr>
            <w:tcW w:w="692" w:type="pct"/>
            <w:vMerge/>
            <w:shd w:val="clear" w:color="auto" w:fill="auto"/>
            <w:vAlign w:val="center"/>
          </w:tcPr>
          <w:p w:rsidR="00172AD3" w:rsidRPr="00417F19" w:rsidRDefault="00172AD3" w:rsidP="00DC721D">
            <w:pPr>
              <w:keepNext/>
              <w:keepLines/>
              <w:rPr>
                <w:rFonts w:ascii="Arial Narrow" w:hAnsi="Arial Narrow"/>
                <w:sz w:val="20"/>
                <w:szCs w:val="20"/>
              </w:rPr>
            </w:pPr>
          </w:p>
        </w:tc>
        <w:tc>
          <w:tcPr>
            <w:tcW w:w="905" w:type="pct"/>
            <w:gridSpan w:val="2"/>
            <w:vMerge/>
            <w:shd w:val="clear" w:color="auto" w:fill="auto"/>
            <w:vAlign w:val="center"/>
          </w:tcPr>
          <w:p w:rsidR="00172AD3" w:rsidRPr="00417F19" w:rsidRDefault="00172AD3" w:rsidP="00DC721D">
            <w:pPr>
              <w:keepNext/>
              <w:keepLines/>
              <w:jc w:val="center"/>
              <w:rPr>
                <w:rFonts w:ascii="Arial Narrow" w:hAnsi="Arial Narrow"/>
                <w:sz w:val="20"/>
                <w:szCs w:val="20"/>
              </w:rPr>
            </w:pPr>
          </w:p>
        </w:tc>
        <w:tc>
          <w:tcPr>
            <w:tcW w:w="827" w:type="pct"/>
            <w:vMerge/>
            <w:shd w:val="clear" w:color="auto" w:fill="auto"/>
            <w:vAlign w:val="center"/>
          </w:tcPr>
          <w:p w:rsidR="00172AD3" w:rsidRPr="00417F19" w:rsidRDefault="00172AD3" w:rsidP="00DC721D">
            <w:pPr>
              <w:keepNext/>
              <w:keepLines/>
              <w:jc w:val="center"/>
              <w:rPr>
                <w:rFonts w:ascii="Arial Narrow" w:hAnsi="Arial Narrow"/>
                <w:sz w:val="20"/>
                <w:szCs w:val="20"/>
              </w:rPr>
            </w:pPr>
          </w:p>
        </w:tc>
        <w:tc>
          <w:tcPr>
            <w:tcW w:w="705" w:type="pct"/>
            <w:shd w:val="clear" w:color="auto" w:fill="auto"/>
            <w:vAlign w:val="center"/>
          </w:tcPr>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Belimumab</w:t>
            </w:r>
          </w:p>
        </w:tc>
        <w:tc>
          <w:tcPr>
            <w:tcW w:w="708" w:type="pct"/>
            <w:gridSpan w:val="2"/>
            <w:shd w:val="clear" w:color="auto" w:fill="auto"/>
            <w:vAlign w:val="center"/>
          </w:tcPr>
          <w:p w:rsidR="00172AD3" w:rsidRPr="00417F19" w:rsidRDefault="00172AD3" w:rsidP="00DC721D">
            <w:pPr>
              <w:keepNext/>
              <w:keepLines/>
              <w:jc w:val="center"/>
              <w:rPr>
                <w:rFonts w:ascii="Arial Narrow" w:hAnsi="Arial Narrow"/>
                <w:b/>
                <w:sz w:val="20"/>
                <w:szCs w:val="20"/>
              </w:rPr>
            </w:pPr>
            <w:r w:rsidRPr="00417F19">
              <w:rPr>
                <w:rFonts w:ascii="Arial Narrow" w:hAnsi="Arial Narrow"/>
                <w:b/>
                <w:sz w:val="20"/>
                <w:szCs w:val="20"/>
              </w:rPr>
              <w:t>Placebo</w:t>
            </w:r>
          </w:p>
        </w:tc>
        <w:tc>
          <w:tcPr>
            <w:tcW w:w="1163" w:type="pct"/>
            <w:gridSpan w:val="2"/>
            <w:vMerge/>
            <w:shd w:val="clear" w:color="auto" w:fill="auto"/>
            <w:vAlign w:val="center"/>
          </w:tcPr>
          <w:p w:rsidR="00172AD3" w:rsidRPr="00417F19" w:rsidRDefault="00172AD3" w:rsidP="00DC721D">
            <w:pPr>
              <w:keepNext/>
              <w:keepLines/>
              <w:rPr>
                <w:rFonts w:ascii="Arial Narrow" w:hAnsi="Arial Narrow"/>
                <w:sz w:val="20"/>
                <w:szCs w:val="20"/>
              </w:rPr>
            </w:pPr>
          </w:p>
        </w:tc>
      </w:tr>
      <w:tr w:rsidR="00172AD3" w:rsidRPr="00417F19" w:rsidTr="0033010C">
        <w:tc>
          <w:tcPr>
            <w:tcW w:w="692" w:type="pct"/>
            <w:shd w:val="clear" w:color="auto" w:fill="C6D9F1" w:themeFill="text2" w:themeFillTint="33"/>
            <w:vAlign w:val="center"/>
          </w:tcPr>
          <w:p w:rsidR="00172AD3" w:rsidRPr="003E2C05" w:rsidRDefault="003E2C05" w:rsidP="00DC721D">
            <w:pPr>
              <w:keepNext/>
              <w:keepLines/>
              <w:rPr>
                <w:rFonts w:ascii="Arial Narrow" w:hAnsi="Arial Narrow"/>
                <w:bCs/>
                <w:sz w:val="20"/>
                <w:szCs w:val="20"/>
              </w:rPr>
            </w:pPr>
            <w:r w:rsidRPr="003E2C05">
              <w:rPr>
                <w:rFonts w:ascii="Arial Narrow" w:hAnsi="Arial Narrow"/>
                <w:bCs/>
                <w:sz w:val="20"/>
                <w:szCs w:val="20"/>
              </w:rPr>
              <w:t>Local injection site reactions</w:t>
            </w:r>
          </w:p>
        </w:tc>
        <w:tc>
          <w:tcPr>
            <w:tcW w:w="905" w:type="pct"/>
            <w:gridSpan w:val="2"/>
            <w:shd w:val="clear" w:color="auto" w:fill="C6D9F1" w:themeFill="text2" w:themeFillTint="33"/>
            <w:vAlign w:val="center"/>
          </w:tcPr>
          <w:p w:rsidR="00172AD3" w:rsidRPr="002315BC" w:rsidRDefault="00172AD3" w:rsidP="00DC721D">
            <w:pPr>
              <w:keepNext/>
              <w:keepLines/>
              <w:jc w:val="center"/>
              <w:rPr>
                <w:rFonts w:ascii="Arial Narrow" w:hAnsi="Arial Narrow"/>
                <w:sz w:val="20"/>
                <w:szCs w:val="20"/>
              </w:rPr>
            </w:pPr>
            <w:r w:rsidRPr="002315BC">
              <w:rPr>
                <w:rFonts w:ascii="Arial Narrow" w:hAnsi="Arial Narrow"/>
                <w:sz w:val="20"/>
                <w:szCs w:val="20"/>
              </w:rPr>
              <w:t>34/556</w:t>
            </w:r>
          </w:p>
        </w:tc>
        <w:tc>
          <w:tcPr>
            <w:tcW w:w="827" w:type="pct"/>
            <w:shd w:val="clear" w:color="auto" w:fill="C6D9F1" w:themeFill="text2" w:themeFillTint="33"/>
            <w:vAlign w:val="center"/>
          </w:tcPr>
          <w:p w:rsidR="00172AD3" w:rsidRPr="002315BC" w:rsidRDefault="00172AD3" w:rsidP="00DC721D">
            <w:pPr>
              <w:keepNext/>
              <w:keepLines/>
              <w:jc w:val="center"/>
              <w:rPr>
                <w:rFonts w:ascii="Arial Narrow" w:hAnsi="Arial Narrow"/>
                <w:sz w:val="20"/>
                <w:szCs w:val="20"/>
              </w:rPr>
            </w:pPr>
            <w:r w:rsidRPr="002315BC">
              <w:rPr>
                <w:rFonts w:ascii="Arial Narrow" w:hAnsi="Arial Narrow"/>
                <w:sz w:val="20"/>
                <w:szCs w:val="20"/>
              </w:rPr>
              <w:t>7/280</w:t>
            </w:r>
          </w:p>
        </w:tc>
        <w:tc>
          <w:tcPr>
            <w:tcW w:w="705" w:type="pct"/>
            <w:shd w:val="clear" w:color="auto" w:fill="C6D9F1" w:themeFill="text2" w:themeFillTint="33"/>
            <w:vAlign w:val="center"/>
          </w:tcPr>
          <w:p w:rsidR="00172AD3" w:rsidRPr="002315BC" w:rsidRDefault="00172AD3" w:rsidP="00DC721D">
            <w:pPr>
              <w:keepNext/>
              <w:keepLines/>
              <w:jc w:val="center"/>
              <w:rPr>
                <w:rFonts w:ascii="Arial Narrow" w:hAnsi="Arial Narrow"/>
                <w:sz w:val="20"/>
                <w:szCs w:val="20"/>
              </w:rPr>
            </w:pPr>
            <w:r w:rsidRPr="002315BC">
              <w:rPr>
                <w:rFonts w:ascii="Arial Narrow" w:hAnsi="Arial Narrow"/>
                <w:sz w:val="20"/>
                <w:szCs w:val="20"/>
              </w:rPr>
              <w:t>6.1</w:t>
            </w:r>
          </w:p>
        </w:tc>
        <w:tc>
          <w:tcPr>
            <w:tcW w:w="708" w:type="pct"/>
            <w:gridSpan w:val="2"/>
            <w:shd w:val="clear" w:color="auto" w:fill="C6D9F1" w:themeFill="text2" w:themeFillTint="33"/>
            <w:vAlign w:val="center"/>
          </w:tcPr>
          <w:p w:rsidR="00172AD3" w:rsidRPr="002315BC" w:rsidRDefault="00172AD3" w:rsidP="00DC721D">
            <w:pPr>
              <w:keepNext/>
              <w:keepLines/>
              <w:jc w:val="center"/>
              <w:rPr>
                <w:rFonts w:ascii="Arial Narrow" w:hAnsi="Arial Narrow"/>
                <w:sz w:val="20"/>
                <w:szCs w:val="20"/>
              </w:rPr>
            </w:pPr>
            <w:r w:rsidRPr="002315BC">
              <w:rPr>
                <w:rFonts w:ascii="Arial Narrow" w:hAnsi="Arial Narrow"/>
                <w:sz w:val="20"/>
                <w:szCs w:val="20"/>
              </w:rPr>
              <w:t>2.5</w:t>
            </w:r>
          </w:p>
        </w:tc>
        <w:tc>
          <w:tcPr>
            <w:tcW w:w="1163" w:type="pct"/>
            <w:gridSpan w:val="2"/>
            <w:shd w:val="clear" w:color="auto" w:fill="C6D9F1" w:themeFill="text2" w:themeFillTint="33"/>
            <w:vAlign w:val="center"/>
          </w:tcPr>
          <w:p w:rsidR="00172AD3" w:rsidRPr="002315BC" w:rsidRDefault="00172AD3" w:rsidP="00DC721D">
            <w:pPr>
              <w:keepNext/>
              <w:keepLines/>
              <w:jc w:val="center"/>
              <w:rPr>
                <w:rFonts w:ascii="Arial Narrow" w:hAnsi="Arial Narrow"/>
                <w:sz w:val="20"/>
                <w:szCs w:val="20"/>
              </w:rPr>
            </w:pPr>
            <w:r w:rsidRPr="002315BC">
              <w:rPr>
                <w:rFonts w:ascii="Arial Narrow" w:hAnsi="Arial Narrow"/>
                <w:b/>
                <w:bCs/>
                <w:iCs/>
                <w:sz w:val="20"/>
                <w:szCs w:val="20"/>
              </w:rPr>
              <w:t>0.04 (0.01, 0.06)</w:t>
            </w:r>
          </w:p>
        </w:tc>
      </w:tr>
      <w:tr w:rsidR="00172AD3" w:rsidRPr="00417F19" w:rsidTr="0033010C">
        <w:tc>
          <w:tcPr>
            <w:tcW w:w="692" w:type="pct"/>
            <w:shd w:val="clear" w:color="auto" w:fill="C6D9F1" w:themeFill="text2" w:themeFillTint="33"/>
            <w:vAlign w:val="center"/>
          </w:tcPr>
          <w:p w:rsidR="00172AD3" w:rsidRPr="003E2C05" w:rsidRDefault="003E2C05" w:rsidP="00DC721D">
            <w:pPr>
              <w:keepNext/>
              <w:keepLines/>
              <w:rPr>
                <w:rFonts w:ascii="Arial Narrow" w:hAnsi="Arial Narrow"/>
                <w:bCs/>
                <w:sz w:val="20"/>
                <w:szCs w:val="20"/>
              </w:rPr>
            </w:pPr>
            <w:r w:rsidRPr="003E2C05">
              <w:rPr>
                <w:rFonts w:ascii="Arial Narrow" w:hAnsi="Arial Narrow"/>
                <w:bCs/>
                <w:sz w:val="20"/>
                <w:szCs w:val="20"/>
              </w:rPr>
              <w:t>Injection site pain</w:t>
            </w:r>
          </w:p>
        </w:tc>
        <w:tc>
          <w:tcPr>
            <w:tcW w:w="905" w:type="pct"/>
            <w:gridSpan w:val="2"/>
            <w:shd w:val="clear" w:color="auto" w:fill="C6D9F1" w:themeFill="text2" w:themeFillTint="33"/>
            <w:vAlign w:val="center"/>
          </w:tcPr>
          <w:p w:rsidR="00172AD3" w:rsidRPr="002315BC" w:rsidRDefault="00172AD3" w:rsidP="00DC721D">
            <w:pPr>
              <w:keepNext/>
              <w:keepLines/>
              <w:jc w:val="center"/>
              <w:rPr>
                <w:rFonts w:ascii="Arial Narrow" w:hAnsi="Arial Narrow"/>
                <w:sz w:val="20"/>
                <w:szCs w:val="20"/>
              </w:rPr>
            </w:pPr>
            <w:r w:rsidRPr="002315BC">
              <w:rPr>
                <w:rFonts w:ascii="Arial Narrow" w:hAnsi="Arial Narrow"/>
                <w:iCs/>
                <w:sz w:val="20"/>
                <w:szCs w:val="20"/>
              </w:rPr>
              <w:t>10/556</w:t>
            </w:r>
          </w:p>
        </w:tc>
        <w:tc>
          <w:tcPr>
            <w:tcW w:w="827" w:type="pct"/>
            <w:shd w:val="clear" w:color="auto" w:fill="C6D9F1" w:themeFill="text2" w:themeFillTint="33"/>
            <w:vAlign w:val="center"/>
          </w:tcPr>
          <w:p w:rsidR="00172AD3" w:rsidRPr="002315BC" w:rsidRDefault="00172AD3" w:rsidP="00DC721D">
            <w:pPr>
              <w:keepNext/>
              <w:keepLines/>
              <w:jc w:val="center"/>
              <w:rPr>
                <w:rFonts w:ascii="Arial Narrow" w:hAnsi="Arial Narrow"/>
                <w:sz w:val="20"/>
                <w:szCs w:val="20"/>
              </w:rPr>
            </w:pPr>
            <w:r w:rsidRPr="002315BC">
              <w:rPr>
                <w:rFonts w:ascii="Arial Narrow" w:hAnsi="Arial Narrow"/>
                <w:iCs/>
                <w:sz w:val="20"/>
                <w:szCs w:val="20"/>
              </w:rPr>
              <w:t>1/280</w:t>
            </w:r>
          </w:p>
        </w:tc>
        <w:tc>
          <w:tcPr>
            <w:tcW w:w="705" w:type="pct"/>
            <w:shd w:val="clear" w:color="auto" w:fill="C6D9F1" w:themeFill="text2" w:themeFillTint="33"/>
            <w:vAlign w:val="center"/>
          </w:tcPr>
          <w:p w:rsidR="00172AD3" w:rsidRPr="002315BC" w:rsidRDefault="00172AD3" w:rsidP="00DC721D">
            <w:pPr>
              <w:keepNext/>
              <w:keepLines/>
              <w:jc w:val="center"/>
              <w:rPr>
                <w:rFonts w:ascii="Arial Narrow" w:hAnsi="Arial Narrow"/>
                <w:sz w:val="20"/>
                <w:szCs w:val="20"/>
              </w:rPr>
            </w:pPr>
            <w:r w:rsidRPr="002315BC">
              <w:rPr>
                <w:rFonts w:ascii="Arial Narrow" w:hAnsi="Arial Narrow"/>
                <w:iCs/>
                <w:sz w:val="20"/>
                <w:szCs w:val="20"/>
              </w:rPr>
              <w:t>1.8</w:t>
            </w:r>
          </w:p>
        </w:tc>
        <w:tc>
          <w:tcPr>
            <w:tcW w:w="708" w:type="pct"/>
            <w:gridSpan w:val="2"/>
            <w:shd w:val="clear" w:color="auto" w:fill="C6D9F1" w:themeFill="text2" w:themeFillTint="33"/>
            <w:vAlign w:val="center"/>
          </w:tcPr>
          <w:p w:rsidR="00172AD3" w:rsidRPr="002315BC" w:rsidRDefault="00172AD3" w:rsidP="00DC721D">
            <w:pPr>
              <w:keepNext/>
              <w:keepLines/>
              <w:jc w:val="center"/>
              <w:rPr>
                <w:rFonts w:ascii="Arial Narrow" w:hAnsi="Arial Narrow"/>
                <w:sz w:val="20"/>
                <w:szCs w:val="20"/>
              </w:rPr>
            </w:pPr>
            <w:r w:rsidRPr="002315BC">
              <w:rPr>
                <w:rFonts w:ascii="Arial Narrow" w:hAnsi="Arial Narrow"/>
                <w:iCs/>
                <w:sz w:val="20"/>
                <w:szCs w:val="20"/>
              </w:rPr>
              <w:t>0.4</w:t>
            </w:r>
          </w:p>
        </w:tc>
        <w:tc>
          <w:tcPr>
            <w:tcW w:w="1163" w:type="pct"/>
            <w:gridSpan w:val="2"/>
            <w:shd w:val="clear" w:color="auto" w:fill="C6D9F1" w:themeFill="text2" w:themeFillTint="33"/>
            <w:vAlign w:val="center"/>
          </w:tcPr>
          <w:p w:rsidR="00172AD3" w:rsidRPr="002315BC" w:rsidRDefault="00172AD3" w:rsidP="00DC721D">
            <w:pPr>
              <w:keepNext/>
              <w:keepLines/>
              <w:jc w:val="center"/>
              <w:rPr>
                <w:rFonts w:ascii="Arial Narrow" w:hAnsi="Arial Narrow"/>
                <w:sz w:val="20"/>
                <w:szCs w:val="20"/>
              </w:rPr>
            </w:pPr>
            <w:r w:rsidRPr="002315BC">
              <w:rPr>
                <w:rFonts w:ascii="Arial Narrow" w:hAnsi="Arial Narrow"/>
                <w:iCs/>
                <w:sz w:val="20"/>
                <w:szCs w:val="20"/>
              </w:rPr>
              <w:t>0.01 (0.00, 0.03)</w:t>
            </w:r>
          </w:p>
        </w:tc>
      </w:tr>
    </w:tbl>
    <w:p w:rsidR="00172AD3" w:rsidRPr="00B06403" w:rsidRDefault="00172AD3" w:rsidP="00DC721D">
      <w:pPr>
        <w:keepNext/>
        <w:keepLines/>
        <w:widowControl/>
        <w:autoSpaceDE w:val="0"/>
        <w:autoSpaceDN w:val="0"/>
        <w:adjustRightInd w:val="0"/>
        <w:jc w:val="left"/>
        <w:rPr>
          <w:rFonts w:ascii="Arial Narrow" w:hAnsi="Arial Narrow"/>
          <w:sz w:val="18"/>
          <w:szCs w:val="18"/>
        </w:rPr>
      </w:pPr>
      <w:r>
        <w:rPr>
          <w:rFonts w:ascii="Arial Narrow" w:hAnsi="Arial Narrow"/>
          <w:sz w:val="18"/>
          <w:szCs w:val="18"/>
        </w:rPr>
        <w:t xml:space="preserve">Abbreviations: </w:t>
      </w:r>
      <w:r w:rsidRPr="00B06403">
        <w:rPr>
          <w:rFonts w:ascii="Arial Narrow" w:hAnsi="Arial Narrow"/>
          <w:sz w:val="18"/>
          <w:szCs w:val="18"/>
        </w:rPr>
        <w:t xml:space="preserve">BILAG=British Isles Lupus Assessment Group; </w:t>
      </w:r>
      <w:r w:rsidRPr="00F337FA">
        <w:rPr>
          <w:rFonts w:ascii="Arial Narrow" w:hAnsi="Arial Narrow"/>
          <w:sz w:val="18"/>
          <w:szCs w:val="18"/>
        </w:rPr>
        <w:t>CI=confi</w:t>
      </w:r>
      <w:r>
        <w:rPr>
          <w:rFonts w:ascii="Arial Narrow" w:hAnsi="Arial Narrow"/>
          <w:sz w:val="18"/>
          <w:szCs w:val="18"/>
        </w:rPr>
        <w:t xml:space="preserve">dence interval; </w:t>
      </w:r>
      <w:r w:rsidRPr="00B06403">
        <w:rPr>
          <w:rFonts w:ascii="Arial Narrow" w:hAnsi="Arial Narrow"/>
          <w:sz w:val="18"/>
          <w:szCs w:val="18"/>
        </w:rPr>
        <w:t>PGA=Physician’s Global Assessment; SELENA= Safety of Estrogen in Lupus Erythematosus National Assessment; SLE=Systemic lupus erythematosus; SLEDAI= SLE Disease Activity</w:t>
      </w:r>
      <w:r>
        <w:t xml:space="preserve"> </w:t>
      </w:r>
      <w:r w:rsidRPr="00B06403">
        <w:rPr>
          <w:rFonts w:ascii="Arial Narrow" w:hAnsi="Arial Narrow"/>
          <w:sz w:val="18"/>
          <w:szCs w:val="18"/>
        </w:rPr>
        <w:t xml:space="preserve">Index; </w:t>
      </w:r>
      <w:r>
        <w:rPr>
          <w:rFonts w:ascii="Arial Narrow" w:hAnsi="Arial Narrow"/>
          <w:sz w:val="18"/>
          <w:szCs w:val="18"/>
        </w:rPr>
        <w:t>SRI=SLE responder index.</w:t>
      </w:r>
    </w:p>
    <w:p w:rsidR="00172AD3" w:rsidRPr="00B02EC7" w:rsidRDefault="00172AD3" w:rsidP="00DC721D">
      <w:pPr>
        <w:keepNext/>
        <w:keepLines/>
        <w:widowControl/>
        <w:autoSpaceDE w:val="0"/>
        <w:autoSpaceDN w:val="0"/>
        <w:adjustRightInd w:val="0"/>
        <w:jc w:val="left"/>
        <w:rPr>
          <w:rFonts w:ascii="Arial Narrow" w:hAnsi="Arial Narrow"/>
          <w:iCs/>
          <w:sz w:val="18"/>
          <w:szCs w:val="18"/>
        </w:rPr>
      </w:pPr>
      <w:r w:rsidRPr="00B02EC7">
        <w:rPr>
          <w:rFonts w:ascii="Arial Narrow" w:hAnsi="Arial Narrow"/>
          <w:iCs/>
          <w:sz w:val="18"/>
          <w:szCs w:val="18"/>
        </w:rPr>
        <w:t>Source: compiled during the evaluation.</w:t>
      </w:r>
      <w:r w:rsidR="00527B8D" w:rsidRPr="00B02EC7">
        <w:rPr>
          <w:rFonts w:ascii="Arial Narrow" w:hAnsi="Arial Narrow"/>
          <w:iCs/>
          <w:sz w:val="18"/>
          <w:szCs w:val="18"/>
        </w:rPr>
        <w:t xml:space="preserve"> </w:t>
      </w:r>
      <w:r w:rsidR="00527B8D" w:rsidRPr="00B02EC7">
        <w:rPr>
          <w:rFonts w:ascii="Arial Narrow" w:hAnsi="Arial Narrow"/>
          <w:sz w:val="18"/>
        </w:rPr>
        <w:t>Blue highlights indicate results previously seen by the PBAC.</w:t>
      </w:r>
    </w:p>
    <w:p w:rsidR="00172AD3" w:rsidRPr="00932BB6" w:rsidRDefault="00172AD3" w:rsidP="00172AD3">
      <w:pPr>
        <w:widowControl/>
        <w:rPr>
          <w:rFonts w:cs="Calibri"/>
          <w:snapToGrid/>
          <w:szCs w:val="24"/>
          <w:lang w:eastAsia="en-AU"/>
        </w:rPr>
      </w:pPr>
    </w:p>
    <w:p w:rsidR="00172AD3" w:rsidRPr="00B50DB8" w:rsidRDefault="00172AD3" w:rsidP="00DA711E">
      <w:pPr>
        <w:pStyle w:val="ListParagraph"/>
        <w:widowControl/>
        <w:numPr>
          <w:ilvl w:val="1"/>
          <w:numId w:val="1"/>
        </w:numPr>
        <w:spacing w:after="0"/>
      </w:pPr>
      <w:r w:rsidRPr="00CF6EE4">
        <w:t>On the basis of direct</w:t>
      </w:r>
      <w:r>
        <w:t xml:space="preserve"> evidence</w:t>
      </w:r>
      <w:r w:rsidRPr="00CF6EE4">
        <w:t xml:space="preserve"> presented </w:t>
      </w:r>
      <w:r>
        <w:t>in</w:t>
      </w:r>
      <w:r w:rsidRPr="00CF6EE4">
        <w:t xml:space="preserve"> the </w:t>
      </w:r>
      <w:r w:rsidR="00841EA7">
        <w:t>re</w:t>
      </w:r>
      <w:r w:rsidRPr="00CF6EE4">
        <w:t xml:space="preserve">submission, for every 100 patients treated with </w:t>
      </w:r>
      <w:r>
        <w:t xml:space="preserve">belimumab </w:t>
      </w:r>
      <w:r w:rsidRPr="00CF6EE4">
        <w:t>in comp</w:t>
      </w:r>
      <w:r>
        <w:t>arison to placebo (for standard of care):</w:t>
      </w:r>
    </w:p>
    <w:p w:rsidR="00172AD3" w:rsidRPr="00CF6EE4" w:rsidRDefault="00172AD3" w:rsidP="00A23229">
      <w:pPr>
        <w:pStyle w:val="ListParagraph"/>
        <w:numPr>
          <w:ilvl w:val="0"/>
          <w:numId w:val="22"/>
        </w:numPr>
        <w:spacing w:after="120"/>
        <w:ind w:left="1276" w:hanging="425"/>
        <w:contextualSpacing/>
      </w:pPr>
      <w:r w:rsidRPr="00CF6EE4">
        <w:t xml:space="preserve">Approximately </w:t>
      </w:r>
      <w:r>
        <w:t xml:space="preserve">13 </w:t>
      </w:r>
      <w:r w:rsidRPr="00CF6EE4">
        <w:t xml:space="preserve">additional patients would </w:t>
      </w:r>
      <w:r>
        <w:t>achieve</w:t>
      </w:r>
      <w:r w:rsidRPr="001D0B14">
        <w:t xml:space="preserve"> </w:t>
      </w:r>
      <w:r>
        <w:t>response to treatment based on the SLE responder index (SRI) at Week 52;</w:t>
      </w:r>
    </w:p>
    <w:p w:rsidR="00172AD3" w:rsidRDefault="00172AD3" w:rsidP="00A23229">
      <w:pPr>
        <w:pStyle w:val="ListParagraph"/>
        <w:numPr>
          <w:ilvl w:val="1"/>
          <w:numId w:val="22"/>
        </w:numPr>
        <w:spacing w:after="120"/>
        <w:ind w:left="1843" w:hanging="425"/>
        <w:contextualSpacing/>
      </w:pPr>
      <w:r>
        <w:t xml:space="preserve">Approximately 13 </w:t>
      </w:r>
      <w:r w:rsidRPr="00CF6EE4">
        <w:t xml:space="preserve">additional patients would </w:t>
      </w:r>
      <w:r>
        <w:t>achieve</w:t>
      </w:r>
      <w:r w:rsidRPr="001D0B14">
        <w:t xml:space="preserve"> </w:t>
      </w:r>
      <w:r>
        <w:t>response to treatment based on the SELENA-SLEDAI component of the SRI;</w:t>
      </w:r>
    </w:p>
    <w:p w:rsidR="00172AD3" w:rsidRDefault="00172AD3" w:rsidP="00A23229">
      <w:pPr>
        <w:pStyle w:val="ListParagraph"/>
        <w:numPr>
          <w:ilvl w:val="1"/>
          <w:numId w:val="22"/>
        </w:numPr>
        <w:spacing w:after="120"/>
        <w:ind w:left="1843" w:hanging="425"/>
        <w:contextualSpacing/>
      </w:pPr>
      <w:r>
        <w:t xml:space="preserve">Approximately 8 </w:t>
      </w:r>
      <w:r w:rsidRPr="00CF6EE4">
        <w:t xml:space="preserve">additional patients would </w:t>
      </w:r>
      <w:r>
        <w:t>achieve</w:t>
      </w:r>
      <w:r w:rsidRPr="001D0B14">
        <w:t xml:space="preserve"> </w:t>
      </w:r>
      <w:r>
        <w:t>response to treatment based on the PG</w:t>
      </w:r>
      <w:r w:rsidR="005A279E">
        <w:t>A component of the SRI;</w:t>
      </w:r>
    </w:p>
    <w:p w:rsidR="00172AD3" w:rsidRDefault="00172AD3" w:rsidP="00A23229">
      <w:pPr>
        <w:pStyle w:val="ListParagraph"/>
        <w:numPr>
          <w:ilvl w:val="1"/>
          <w:numId w:val="22"/>
        </w:numPr>
        <w:spacing w:after="120"/>
        <w:ind w:left="1843" w:hanging="425"/>
      </w:pPr>
      <w:r>
        <w:lastRenderedPageBreak/>
        <w:t xml:space="preserve">Approximately 7 </w:t>
      </w:r>
      <w:r w:rsidRPr="00CF6EE4">
        <w:t xml:space="preserve">additional patients would </w:t>
      </w:r>
      <w:r>
        <w:t>achieve</w:t>
      </w:r>
      <w:r w:rsidRPr="001D0B14">
        <w:t xml:space="preserve"> </w:t>
      </w:r>
      <w:r>
        <w:t>response to treatment based on</w:t>
      </w:r>
      <w:r w:rsidR="005A279E">
        <w:t xml:space="preserve"> the BILAG component of the SRI; and</w:t>
      </w:r>
    </w:p>
    <w:p w:rsidR="00172AD3" w:rsidRPr="00CF6EE4" w:rsidRDefault="00172AD3" w:rsidP="00A23229">
      <w:pPr>
        <w:pStyle w:val="ListParagraph"/>
        <w:numPr>
          <w:ilvl w:val="0"/>
          <w:numId w:val="22"/>
        </w:numPr>
        <w:spacing w:after="120"/>
        <w:ind w:left="1276" w:hanging="425"/>
        <w:contextualSpacing/>
      </w:pPr>
      <w:r>
        <w:t xml:space="preserve">Approximately 6 </w:t>
      </w:r>
      <w:r w:rsidRPr="00CF6EE4">
        <w:t xml:space="preserve">additional patients would </w:t>
      </w:r>
      <w:r>
        <w:t>experience local injection site reactions</w:t>
      </w:r>
      <w:r w:rsidR="00492D05">
        <w:t>, of which 2 patients would experience injection site pain,</w:t>
      </w:r>
      <w:r>
        <w:t xml:space="preserve"> over 52 weeks</w:t>
      </w:r>
      <w:r w:rsidR="00492D05">
        <w:t xml:space="preserve">. </w:t>
      </w:r>
      <w:r w:rsidR="005A6DCD">
        <w:t>(</w:t>
      </w:r>
      <w:r w:rsidR="00492D05">
        <w:t>Th</w:t>
      </w:r>
      <w:r w:rsidR="00535760">
        <w:t xml:space="preserve">is was </w:t>
      </w:r>
      <w:r w:rsidR="005A6DCD">
        <w:t xml:space="preserve">based on the belimumab arm only </w:t>
      </w:r>
      <w:r w:rsidR="00492D05">
        <w:t>because in the PBS setting, patients on standard of care would not receive a placebo injection.</w:t>
      </w:r>
      <w:r w:rsidR="001722E5">
        <w:t>)</w:t>
      </w:r>
    </w:p>
    <w:p w:rsidR="00172AD3" w:rsidRPr="00ED7E3E" w:rsidRDefault="00172AD3" w:rsidP="00172AD3">
      <w:pPr>
        <w:pStyle w:val="Heading2"/>
      </w:pPr>
      <w:bookmarkStart w:id="18" w:name="_Toc40113254"/>
      <w:r w:rsidRPr="00ED7E3E">
        <w:t>Clinical claim</w:t>
      </w:r>
      <w:bookmarkEnd w:id="18"/>
    </w:p>
    <w:p w:rsidR="00172AD3" w:rsidRPr="00C26536" w:rsidRDefault="00172AD3" w:rsidP="00172AD3">
      <w:pPr>
        <w:ind w:left="720" w:hanging="720"/>
      </w:pPr>
    </w:p>
    <w:p w:rsidR="003429B7" w:rsidRDefault="00172AD3" w:rsidP="00DA711E">
      <w:pPr>
        <w:pStyle w:val="ListParagraph"/>
        <w:widowControl/>
        <w:numPr>
          <w:ilvl w:val="1"/>
          <w:numId w:val="1"/>
        </w:numPr>
      </w:pPr>
      <w:r w:rsidRPr="00C26536">
        <w:t xml:space="preserve">The </w:t>
      </w:r>
      <w:r w:rsidR="00693C18">
        <w:t>re</w:t>
      </w:r>
      <w:r w:rsidRPr="00C26536">
        <w:t xml:space="preserve">submission described belimumab as superior in terms of effectiveness and inferior in terms of safety compared with placebo when used in combination with SOC. </w:t>
      </w:r>
      <w:r w:rsidR="00693C18" w:rsidRPr="00B02EC7">
        <w:t>Previously, the PBAC considered that the claim of superior comparative effectiveness was reasonable based on the proportion of patients who were SRI responders</w:t>
      </w:r>
      <w:r w:rsidR="008B009C" w:rsidRPr="00B02EC7">
        <w:t xml:space="preserve">, </w:t>
      </w:r>
      <w:r w:rsidR="000D3B43" w:rsidRPr="00B02EC7">
        <w:t>but that an improvement in SDI progression had not been adequately demonstrated</w:t>
      </w:r>
      <w:r w:rsidR="00693C18" w:rsidRPr="00B02EC7">
        <w:t xml:space="preserve">. </w:t>
      </w:r>
      <w:r w:rsidR="00F6297B" w:rsidRPr="00B02EC7">
        <w:t xml:space="preserve">Although the resubmission provided additional analyses on SDI outcomes, only one of the three SDI outcomes at Week 52 showed a statistically significant advantage </w:t>
      </w:r>
      <w:r w:rsidR="006817D2" w:rsidRPr="00B02EC7">
        <w:t>for</w:t>
      </w:r>
      <w:r w:rsidR="00F6297B" w:rsidRPr="00B02EC7">
        <w:t xml:space="preserve"> belimumab over SOC. </w:t>
      </w:r>
    </w:p>
    <w:p w:rsidR="00693C18" w:rsidRDefault="00693C18" w:rsidP="00DA711E">
      <w:pPr>
        <w:pStyle w:val="ListParagraph"/>
        <w:widowControl/>
        <w:numPr>
          <w:ilvl w:val="1"/>
          <w:numId w:val="1"/>
        </w:numPr>
      </w:pPr>
      <w:r w:rsidRPr="00693C18">
        <w:t xml:space="preserve">The PBAC </w:t>
      </w:r>
      <w:r w:rsidR="00033AA5">
        <w:t xml:space="preserve">previously </w:t>
      </w:r>
      <w:r w:rsidRPr="00693C18">
        <w:t>considered that the claim of inferior comparative safety versus SOC alone was reasonable</w:t>
      </w:r>
      <w:r w:rsidR="00DD5F04">
        <w:t>.</w:t>
      </w:r>
      <w:r w:rsidRPr="00693C18">
        <w:t xml:space="preserve"> </w:t>
      </w:r>
      <w:r w:rsidR="00DD5F04">
        <w:t>The PBAC</w:t>
      </w:r>
      <w:r w:rsidR="00DD5F04" w:rsidRPr="00693C18">
        <w:t xml:space="preserve"> </w:t>
      </w:r>
      <w:r w:rsidRPr="00693C18">
        <w:t>w</w:t>
      </w:r>
      <w:r w:rsidR="005A6DCD">
        <w:t>as</w:t>
      </w:r>
      <w:r w:rsidRPr="00693C18">
        <w:t xml:space="preserve"> particularly concerned about the potential risk of psychiatric events (paragraphs 6.40 – 6.41, Belimumab PSD November 2019 PBAC meeting). </w:t>
      </w:r>
    </w:p>
    <w:p w:rsidR="00BC1164" w:rsidRPr="004C3AB5" w:rsidRDefault="00BC1164" w:rsidP="00BC1164">
      <w:pPr>
        <w:pStyle w:val="ListParagraph"/>
        <w:numPr>
          <w:ilvl w:val="1"/>
          <w:numId w:val="1"/>
        </w:numPr>
      </w:pPr>
      <w:r w:rsidRPr="004C3AB5">
        <w:t>The ESC re-iterated the PBAC’s previous advice that the claim of superior comparative effectiveness was reasonable, and that the effect size in terms of SRI and SELENA-SLEDAI was modest. The ESC considered that the effect on SDI progression remains uncertain (given the lack of statistically significant result</w:t>
      </w:r>
      <w:r w:rsidR="00BD0B43">
        <w:t>s</w:t>
      </w:r>
      <w:r w:rsidRPr="004C3AB5">
        <w:t xml:space="preserve"> for most measures of organ damage progression, but acknowledging the short duration of the trials and that the trials were not powered for this outcome), but that it is clinically plausible to expect a benefit with belimumab for this outcome.</w:t>
      </w:r>
    </w:p>
    <w:p w:rsidR="0061367E" w:rsidRPr="004C3AB5" w:rsidRDefault="0061367E" w:rsidP="00BC1164">
      <w:pPr>
        <w:pStyle w:val="ListParagraph"/>
        <w:numPr>
          <w:ilvl w:val="1"/>
          <w:numId w:val="1"/>
        </w:numPr>
      </w:pPr>
      <w:r w:rsidRPr="004C3AB5">
        <w:t>The ESC considered the benefit applied in the economic model should appropriately account for the uncertainty in the clinical evidence.</w:t>
      </w:r>
    </w:p>
    <w:p w:rsidR="00BC1164" w:rsidRDefault="00BC1164" w:rsidP="00DA711E">
      <w:pPr>
        <w:pStyle w:val="ListParagraph"/>
        <w:widowControl/>
        <w:numPr>
          <w:ilvl w:val="1"/>
          <w:numId w:val="1"/>
        </w:numPr>
      </w:pPr>
      <w:r w:rsidRPr="004C3AB5">
        <w:t xml:space="preserve">The ESC noted </w:t>
      </w:r>
      <w:r w:rsidR="007E6C9A" w:rsidRPr="004C3AB5">
        <w:t xml:space="preserve">the clinical need for new treatments for SLE and </w:t>
      </w:r>
      <w:r w:rsidRPr="004C3AB5">
        <w:t xml:space="preserve">that currently available therapies for SLE are associated with adverse events that can have a significant impact on patient quality of life. The ESC also </w:t>
      </w:r>
      <w:r w:rsidR="00AF0056" w:rsidRPr="004C3AB5">
        <w:t>noted</w:t>
      </w:r>
      <w:r w:rsidRPr="004C3AB5">
        <w:t xml:space="preserve"> that there is a strong consumer preference for the recently-available </w:t>
      </w:r>
      <w:r w:rsidR="009440D0">
        <w:t>SC</w:t>
      </w:r>
      <w:r w:rsidRPr="004C3AB5">
        <w:t xml:space="preserve"> formulation as opposed to the intravenous formulation </w:t>
      </w:r>
      <w:r w:rsidR="007E6C9A" w:rsidRPr="004C3AB5">
        <w:t>(which has been TGA-registered since 2012).</w:t>
      </w:r>
    </w:p>
    <w:p w:rsidR="001B7E6B" w:rsidRPr="001B7E6B" w:rsidRDefault="001B7E6B" w:rsidP="001B7E6B">
      <w:pPr>
        <w:pStyle w:val="ListParagraph"/>
        <w:widowControl/>
        <w:numPr>
          <w:ilvl w:val="1"/>
          <w:numId w:val="1"/>
        </w:numPr>
      </w:pPr>
      <w:r w:rsidRPr="00836F75">
        <w:rPr>
          <w:rFonts w:asciiTheme="minorHAnsi" w:hAnsiTheme="minorHAnsi"/>
          <w:szCs w:val="20"/>
        </w:rPr>
        <w:t xml:space="preserve">The PBAC </w:t>
      </w:r>
      <w:r w:rsidR="00C33EF7">
        <w:rPr>
          <w:rFonts w:asciiTheme="minorHAnsi" w:hAnsiTheme="minorHAnsi"/>
          <w:szCs w:val="20"/>
        </w:rPr>
        <w:t xml:space="preserve">considered </w:t>
      </w:r>
      <w:r w:rsidRPr="00836F75">
        <w:rPr>
          <w:rFonts w:asciiTheme="minorHAnsi" w:hAnsiTheme="minorHAnsi"/>
          <w:szCs w:val="20"/>
        </w:rPr>
        <w:t>that the claim of superior comparative effectiveness was reasonable</w:t>
      </w:r>
      <w:r w:rsidR="009B7717">
        <w:rPr>
          <w:rFonts w:asciiTheme="minorHAnsi" w:hAnsiTheme="minorHAnsi"/>
          <w:szCs w:val="20"/>
        </w:rPr>
        <w:t xml:space="preserve"> with a modest effect size in terms of </w:t>
      </w:r>
      <w:r w:rsidR="009B7717" w:rsidRPr="004C3AB5">
        <w:t>SRI and SELENA-SLEDAI</w:t>
      </w:r>
      <w:r w:rsidRPr="00836F75">
        <w:rPr>
          <w:rFonts w:asciiTheme="minorHAnsi" w:hAnsiTheme="minorHAnsi"/>
          <w:szCs w:val="20"/>
        </w:rPr>
        <w:t>.</w:t>
      </w:r>
      <w:r w:rsidR="009B7717">
        <w:rPr>
          <w:rFonts w:asciiTheme="minorHAnsi" w:hAnsiTheme="minorHAnsi"/>
          <w:szCs w:val="20"/>
        </w:rPr>
        <w:t xml:space="preserve"> The PBAC considered that</w:t>
      </w:r>
      <w:r w:rsidR="00C33EF7">
        <w:rPr>
          <w:rFonts w:asciiTheme="minorHAnsi" w:hAnsiTheme="minorHAnsi"/>
          <w:szCs w:val="20"/>
        </w:rPr>
        <w:t xml:space="preserve">, while a benefit in terms of </w:t>
      </w:r>
      <w:r w:rsidR="009B7717">
        <w:rPr>
          <w:rFonts w:asciiTheme="minorHAnsi" w:hAnsiTheme="minorHAnsi"/>
          <w:szCs w:val="20"/>
        </w:rPr>
        <w:t xml:space="preserve">SDI progression </w:t>
      </w:r>
      <w:r w:rsidR="00C33EF7">
        <w:rPr>
          <w:rFonts w:asciiTheme="minorHAnsi" w:hAnsiTheme="minorHAnsi"/>
          <w:szCs w:val="20"/>
        </w:rPr>
        <w:t xml:space="preserve">appears to be clinically plausible, the magnitude of the effect </w:t>
      </w:r>
      <w:r w:rsidR="009B7717">
        <w:rPr>
          <w:rFonts w:asciiTheme="minorHAnsi" w:hAnsiTheme="minorHAnsi"/>
          <w:szCs w:val="20"/>
        </w:rPr>
        <w:t>remains uncertain.</w:t>
      </w:r>
    </w:p>
    <w:p w:rsidR="001B7E6B" w:rsidRPr="007A7232" w:rsidRDefault="001B7E6B" w:rsidP="007A7232">
      <w:pPr>
        <w:pStyle w:val="ListParagraph"/>
        <w:numPr>
          <w:ilvl w:val="1"/>
          <w:numId w:val="1"/>
        </w:numPr>
        <w:rPr>
          <w:rFonts w:asciiTheme="minorHAnsi" w:hAnsiTheme="minorHAnsi"/>
          <w:szCs w:val="20"/>
          <w:lang w:val="en-GB"/>
        </w:rPr>
      </w:pPr>
      <w:r w:rsidRPr="00836F75">
        <w:rPr>
          <w:rFonts w:asciiTheme="minorHAnsi" w:hAnsiTheme="minorHAnsi"/>
          <w:szCs w:val="20"/>
        </w:rPr>
        <w:lastRenderedPageBreak/>
        <w:t>The PBAC considered that the claim of inferior comparative safety was reasonable.</w:t>
      </w:r>
      <w:r w:rsidR="0069637E">
        <w:rPr>
          <w:rFonts w:asciiTheme="minorHAnsi" w:hAnsiTheme="minorHAnsi"/>
          <w:szCs w:val="20"/>
        </w:rPr>
        <w:t xml:space="preserve"> The PBAC noted that </w:t>
      </w:r>
      <w:r w:rsidR="00FC251F">
        <w:rPr>
          <w:rFonts w:asciiTheme="minorHAnsi" w:hAnsiTheme="minorHAnsi"/>
          <w:szCs w:val="20"/>
          <w:lang w:val="en-GB"/>
        </w:rPr>
        <w:t>adverse events</w:t>
      </w:r>
      <w:r w:rsidR="0069637E" w:rsidRPr="0069637E">
        <w:rPr>
          <w:rFonts w:asciiTheme="minorHAnsi" w:hAnsiTheme="minorHAnsi"/>
          <w:szCs w:val="20"/>
          <w:lang w:val="en-GB"/>
        </w:rPr>
        <w:t xml:space="preserve"> associated with belimumab included psychiatric events includi</w:t>
      </w:r>
      <w:r w:rsidR="0069637E">
        <w:rPr>
          <w:rFonts w:asciiTheme="minorHAnsi" w:hAnsiTheme="minorHAnsi"/>
          <w:szCs w:val="20"/>
          <w:lang w:val="en-GB"/>
        </w:rPr>
        <w:t xml:space="preserve">ng depression and suicidality, </w:t>
      </w:r>
      <w:r w:rsidR="0069637E" w:rsidRPr="0069637E">
        <w:rPr>
          <w:rFonts w:asciiTheme="minorHAnsi" w:hAnsiTheme="minorHAnsi"/>
          <w:szCs w:val="20"/>
        </w:rPr>
        <w:t>hypersensitivity and infusion- or inject</w:t>
      </w:r>
      <w:r w:rsidR="0069637E">
        <w:rPr>
          <w:rFonts w:asciiTheme="minorHAnsi" w:hAnsiTheme="minorHAnsi"/>
          <w:szCs w:val="20"/>
        </w:rPr>
        <w:t xml:space="preserve">ion-related systemic reactions, </w:t>
      </w:r>
      <w:r w:rsidR="0069637E" w:rsidRPr="0069637E">
        <w:rPr>
          <w:rFonts w:asciiTheme="minorHAnsi" w:hAnsiTheme="minorHAnsi"/>
          <w:szCs w:val="20"/>
        </w:rPr>
        <w:t xml:space="preserve">and infections. </w:t>
      </w:r>
    </w:p>
    <w:p w:rsidR="00172AD3" w:rsidRPr="00ED7E3E" w:rsidRDefault="00172AD3" w:rsidP="00CE2B7C">
      <w:pPr>
        <w:pStyle w:val="Heading2"/>
        <w:keepNext/>
      </w:pPr>
      <w:bookmarkStart w:id="19" w:name="_Toc40113255"/>
      <w:r w:rsidRPr="00ED7E3E">
        <w:t>Economic analysis</w:t>
      </w:r>
      <w:bookmarkEnd w:id="19"/>
      <w:r w:rsidRPr="00ED7E3E">
        <w:t xml:space="preserve"> </w:t>
      </w:r>
    </w:p>
    <w:p w:rsidR="00172AD3" w:rsidRPr="00ED7E3E" w:rsidRDefault="00172AD3" w:rsidP="00CE2B7C">
      <w:pPr>
        <w:keepNext/>
        <w:ind w:left="720" w:hanging="720"/>
      </w:pPr>
    </w:p>
    <w:p w:rsidR="00172AD3" w:rsidRPr="0026179F" w:rsidRDefault="00172AD3" w:rsidP="009E2DFC">
      <w:pPr>
        <w:pStyle w:val="ListParagraph"/>
        <w:widowControl/>
        <w:numPr>
          <w:ilvl w:val="1"/>
          <w:numId w:val="1"/>
        </w:numPr>
        <w:spacing w:line="259" w:lineRule="auto"/>
        <w:contextualSpacing/>
        <w:rPr>
          <w:szCs w:val="24"/>
        </w:rPr>
      </w:pPr>
      <w:r w:rsidRPr="00425648">
        <w:rPr>
          <w:szCs w:val="24"/>
        </w:rPr>
        <w:t xml:space="preserve">The </w:t>
      </w:r>
      <w:r w:rsidR="00584197" w:rsidRPr="00425648">
        <w:rPr>
          <w:szCs w:val="24"/>
        </w:rPr>
        <w:t>re</w:t>
      </w:r>
      <w:r w:rsidRPr="00425648">
        <w:rPr>
          <w:szCs w:val="24"/>
        </w:rPr>
        <w:t xml:space="preserve">submission </w:t>
      </w:r>
      <w:r w:rsidRPr="0026179F">
        <w:rPr>
          <w:szCs w:val="24"/>
        </w:rPr>
        <w:t>presented a stepped economic evaluation, starting with trial-based cost per responder analysis informed by BLISS-SC and then implementing a modelled cost-utility analysis</w:t>
      </w:r>
      <w:r w:rsidR="00DF74D9" w:rsidRPr="0026179F">
        <w:rPr>
          <w:szCs w:val="24"/>
        </w:rPr>
        <w:t xml:space="preserve"> (Table 12)</w:t>
      </w:r>
      <w:r w:rsidRPr="0026179F">
        <w:rPr>
          <w:szCs w:val="24"/>
        </w:rPr>
        <w:t>.</w:t>
      </w:r>
    </w:p>
    <w:p w:rsidR="00172AD3" w:rsidRPr="00F052AC" w:rsidRDefault="00172AD3" w:rsidP="00DF74D9">
      <w:pPr>
        <w:keepNext/>
        <w:keepLines/>
        <w:rPr>
          <w:rFonts w:ascii="Arial Narrow" w:hAnsi="Arial Narrow"/>
          <w:b/>
          <w:sz w:val="20"/>
          <w:szCs w:val="16"/>
        </w:rPr>
      </w:pPr>
      <w:r>
        <w:rPr>
          <w:rFonts w:ascii="Arial Narrow" w:hAnsi="Arial Narrow"/>
          <w:b/>
          <w:sz w:val="20"/>
          <w:szCs w:val="16"/>
        </w:rPr>
        <w:lastRenderedPageBreak/>
        <w:t>Table 1</w:t>
      </w:r>
      <w:r w:rsidR="0045020A">
        <w:rPr>
          <w:rFonts w:ascii="Arial Narrow" w:hAnsi="Arial Narrow"/>
          <w:b/>
          <w:sz w:val="20"/>
          <w:szCs w:val="16"/>
        </w:rPr>
        <w:t>2</w:t>
      </w:r>
      <w:r w:rsidRPr="00F052AC">
        <w:rPr>
          <w:rFonts w:ascii="Arial Narrow" w:hAnsi="Arial Narrow"/>
          <w:b/>
          <w:sz w:val="20"/>
          <w:szCs w:val="16"/>
        </w:rPr>
        <w:t xml:space="preserve">: Key components of the </w:t>
      </w:r>
      <w:r>
        <w:rPr>
          <w:rFonts w:ascii="Arial Narrow" w:hAnsi="Arial Narrow"/>
          <w:b/>
          <w:sz w:val="20"/>
          <w:szCs w:val="16"/>
        </w:rPr>
        <w:t xml:space="preserve">modelled </w:t>
      </w:r>
      <w:r w:rsidRPr="00F052AC">
        <w:rPr>
          <w:rFonts w:ascii="Arial Narrow" w:hAnsi="Arial Narrow"/>
          <w:b/>
          <w:sz w:val="20"/>
          <w:szCs w:val="16"/>
        </w:rPr>
        <w:t>economic evaluation</w:t>
      </w:r>
      <w:r>
        <w:rPr>
          <w:rFonts w:ascii="Arial Narrow" w:hAnsi="Arial Narrow"/>
          <w:b/>
          <w:sz w:val="20"/>
          <w:szCs w:val="16"/>
        </w:rPr>
        <w:t xml:space="preserve"> (Step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7462"/>
      </w:tblGrid>
      <w:tr w:rsidR="00172AD3" w:rsidRPr="00F052AC" w:rsidTr="0011582A">
        <w:tc>
          <w:tcPr>
            <w:tcW w:w="862" w:type="pct"/>
            <w:vAlign w:val="center"/>
          </w:tcPr>
          <w:p w:rsidR="00172AD3" w:rsidRPr="00F052AC" w:rsidRDefault="00172AD3" w:rsidP="00DF74D9">
            <w:pPr>
              <w:keepNext/>
              <w:keepLines/>
              <w:rPr>
                <w:rFonts w:ascii="Arial Narrow" w:hAnsi="Arial Narrow" w:cs="Times New Roman"/>
                <w:b/>
                <w:sz w:val="20"/>
              </w:rPr>
            </w:pPr>
            <w:r w:rsidRPr="00F052AC">
              <w:rPr>
                <w:rFonts w:ascii="Arial Narrow" w:hAnsi="Arial Narrow" w:cs="Times New Roman"/>
                <w:b/>
                <w:sz w:val="20"/>
              </w:rPr>
              <w:t>Component</w:t>
            </w:r>
          </w:p>
        </w:tc>
        <w:tc>
          <w:tcPr>
            <w:tcW w:w="4138" w:type="pct"/>
            <w:vAlign w:val="center"/>
          </w:tcPr>
          <w:p w:rsidR="00172AD3" w:rsidRPr="00F052AC" w:rsidRDefault="00172AD3" w:rsidP="00DF74D9">
            <w:pPr>
              <w:keepNext/>
              <w:keepLines/>
              <w:jc w:val="center"/>
              <w:rPr>
                <w:rFonts w:ascii="Arial Narrow" w:hAnsi="Arial Narrow" w:cs="Times New Roman"/>
                <w:b/>
                <w:sz w:val="20"/>
              </w:rPr>
            </w:pPr>
            <w:r w:rsidRPr="00F052AC">
              <w:rPr>
                <w:rFonts w:ascii="Arial Narrow" w:hAnsi="Arial Narrow" w:cs="Times New Roman"/>
                <w:b/>
                <w:sz w:val="20"/>
              </w:rPr>
              <w:t>Description</w:t>
            </w:r>
          </w:p>
        </w:tc>
      </w:tr>
      <w:tr w:rsidR="00172AD3" w:rsidRPr="00F052AC" w:rsidTr="0011582A">
        <w:tc>
          <w:tcPr>
            <w:tcW w:w="862" w:type="pct"/>
            <w:vAlign w:val="center"/>
          </w:tcPr>
          <w:p w:rsidR="00172AD3" w:rsidRPr="00F052AC" w:rsidRDefault="00172AD3" w:rsidP="00DF74D9">
            <w:pPr>
              <w:keepNext/>
              <w:keepLines/>
              <w:rPr>
                <w:rFonts w:ascii="Arial Narrow" w:hAnsi="Arial Narrow" w:cs="Times New Roman"/>
                <w:sz w:val="20"/>
              </w:rPr>
            </w:pPr>
            <w:r w:rsidRPr="00F052AC">
              <w:rPr>
                <w:rFonts w:ascii="Arial Narrow" w:hAnsi="Arial Narrow" w:cs="Times New Roman"/>
                <w:sz w:val="20"/>
              </w:rPr>
              <w:t>Type of analysis</w:t>
            </w:r>
          </w:p>
        </w:tc>
        <w:tc>
          <w:tcPr>
            <w:tcW w:w="4138" w:type="pct"/>
          </w:tcPr>
          <w:p w:rsidR="00172AD3" w:rsidRPr="00F052AC" w:rsidRDefault="00172AD3" w:rsidP="00DF74D9">
            <w:pPr>
              <w:keepNext/>
              <w:keepLines/>
              <w:rPr>
                <w:rFonts w:ascii="Arial Narrow" w:hAnsi="Arial Narrow" w:cs="Times New Roman"/>
                <w:sz w:val="20"/>
              </w:rPr>
            </w:pPr>
            <w:r>
              <w:rPr>
                <w:rFonts w:ascii="Arial Narrow" w:hAnsi="Arial Narrow" w:cs="Times New Roman"/>
                <w:sz w:val="20"/>
              </w:rPr>
              <w:t>C</w:t>
            </w:r>
            <w:r w:rsidRPr="00F052AC">
              <w:rPr>
                <w:rFonts w:ascii="Arial Narrow" w:hAnsi="Arial Narrow" w:cs="Times New Roman"/>
                <w:sz w:val="20"/>
              </w:rPr>
              <w:t>ost-utility analysis</w:t>
            </w:r>
            <w:r>
              <w:rPr>
                <w:rFonts w:ascii="Arial Narrow" w:hAnsi="Arial Narrow" w:cs="Times New Roman"/>
                <w:sz w:val="20"/>
              </w:rPr>
              <w:t>.</w:t>
            </w:r>
          </w:p>
        </w:tc>
      </w:tr>
      <w:tr w:rsidR="00172AD3" w:rsidRPr="00F052AC" w:rsidTr="0011582A">
        <w:tc>
          <w:tcPr>
            <w:tcW w:w="862" w:type="pct"/>
            <w:vAlign w:val="center"/>
          </w:tcPr>
          <w:p w:rsidR="00172AD3" w:rsidRPr="00F052AC" w:rsidRDefault="00172AD3" w:rsidP="00DF74D9">
            <w:pPr>
              <w:keepNext/>
              <w:keepLines/>
              <w:rPr>
                <w:rFonts w:ascii="Arial Narrow" w:hAnsi="Arial Narrow" w:cs="Times New Roman"/>
                <w:sz w:val="20"/>
              </w:rPr>
            </w:pPr>
            <w:r w:rsidRPr="00F052AC">
              <w:rPr>
                <w:rFonts w:ascii="Arial Narrow" w:hAnsi="Arial Narrow" w:cs="Times New Roman"/>
                <w:sz w:val="20"/>
              </w:rPr>
              <w:t>Outcomes</w:t>
            </w:r>
          </w:p>
        </w:tc>
        <w:tc>
          <w:tcPr>
            <w:tcW w:w="4138" w:type="pct"/>
          </w:tcPr>
          <w:p w:rsidR="00172AD3" w:rsidRPr="00F052AC" w:rsidRDefault="00894D9E" w:rsidP="00894D9E">
            <w:pPr>
              <w:keepNext/>
              <w:keepLines/>
              <w:rPr>
                <w:rFonts w:ascii="Arial Narrow" w:hAnsi="Arial Narrow" w:cs="Times New Roman"/>
                <w:sz w:val="20"/>
              </w:rPr>
            </w:pPr>
            <w:r>
              <w:rPr>
                <w:rFonts w:ascii="Arial Narrow" w:hAnsi="Arial Narrow" w:cs="Times New Roman"/>
                <w:sz w:val="20"/>
              </w:rPr>
              <w:t xml:space="preserve">SDI progression, </w:t>
            </w:r>
            <w:r w:rsidR="00021ABB">
              <w:rPr>
                <w:rFonts w:ascii="Arial Narrow" w:hAnsi="Arial Narrow" w:cs="Times New Roman"/>
                <w:sz w:val="20"/>
              </w:rPr>
              <w:t>% treatment</w:t>
            </w:r>
            <w:r w:rsidR="00172AD3" w:rsidRPr="00F052AC">
              <w:rPr>
                <w:rFonts w:ascii="Arial Narrow" w:hAnsi="Arial Narrow" w:cs="Times New Roman"/>
                <w:sz w:val="20"/>
              </w:rPr>
              <w:t xml:space="preserve"> responders (≥4-point reduction</w:t>
            </w:r>
            <w:r w:rsidR="00021ABB">
              <w:rPr>
                <w:rFonts w:ascii="Arial Narrow" w:hAnsi="Arial Narrow" w:cs="Times New Roman"/>
                <w:sz w:val="20"/>
              </w:rPr>
              <w:t xml:space="preserve"> in SLEDAI-2K</w:t>
            </w:r>
            <w:r w:rsidR="00172AD3" w:rsidRPr="00F052AC">
              <w:rPr>
                <w:rFonts w:ascii="Arial Narrow" w:hAnsi="Arial Narrow" w:cs="Times New Roman"/>
                <w:sz w:val="20"/>
              </w:rPr>
              <w:t xml:space="preserve">), </w:t>
            </w:r>
            <w:r w:rsidR="00172AD3">
              <w:rPr>
                <w:rFonts w:ascii="Arial Narrow" w:hAnsi="Arial Narrow" w:cs="Times New Roman"/>
                <w:sz w:val="20"/>
              </w:rPr>
              <w:t xml:space="preserve">SLE </w:t>
            </w:r>
            <w:r w:rsidR="00172AD3" w:rsidRPr="00F052AC">
              <w:rPr>
                <w:rFonts w:ascii="Arial Narrow" w:hAnsi="Arial Narrow" w:cs="Times New Roman"/>
                <w:sz w:val="20"/>
              </w:rPr>
              <w:t>flares, life</w:t>
            </w:r>
            <w:r w:rsidR="00172AD3">
              <w:rPr>
                <w:rFonts w:ascii="Arial Narrow" w:hAnsi="Arial Narrow" w:cs="Times New Roman"/>
                <w:sz w:val="20"/>
              </w:rPr>
              <w:t xml:space="preserve"> </w:t>
            </w:r>
            <w:r w:rsidR="00172AD3" w:rsidRPr="00F052AC">
              <w:rPr>
                <w:rFonts w:ascii="Arial Narrow" w:hAnsi="Arial Narrow" w:cs="Times New Roman"/>
                <w:sz w:val="20"/>
              </w:rPr>
              <w:t>years, QALYs</w:t>
            </w:r>
            <w:r w:rsidR="00172AD3">
              <w:rPr>
                <w:rFonts w:ascii="Arial Narrow" w:hAnsi="Arial Narrow" w:cs="Times New Roman"/>
                <w:sz w:val="20"/>
              </w:rPr>
              <w:t>.</w:t>
            </w:r>
          </w:p>
        </w:tc>
      </w:tr>
      <w:tr w:rsidR="00172AD3" w:rsidRPr="00F052AC" w:rsidTr="0011582A">
        <w:tc>
          <w:tcPr>
            <w:tcW w:w="862" w:type="pct"/>
            <w:vAlign w:val="center"/>
          </w:tcPr>
          <w:p w:rsidR="00172AD3" w:rsidRPr="00F052AC" w:rsidRDefault="00172AD3" w:rsidP="00DF74D9">
            <w:pPr>
              <w:keepNext/>
              <w:keepLines/>
              <w:rPr>
                <w:rFonts w:ascii="Arial Narrow" w:hAnsi="Arial Narrow" w:cs="Times New Roman"/>
                <w:sz w:val="20"/>
              </w:rPr>
            </w:pPr>
            <w:r w:rsidRPr="00F052AC">
              <w:rPr>
                <w:rFonts w:ascii="Arial Narrow" w:hAnsi="Arial Narrow" w:cs="Times New Roman"/>
                <w:sz w:val="20"/>
              </w:rPr>
              <w:t>Time horizon</w:t>
            </w:r>
          </w:p>
        </w:tc>
        <w:tc>
          <w:tcPr>
            <w:tcW w:w="4138" w:type="pct"/>
          </w:tcPr>
          <w:p w:rsidR="00172AD3" w:rsidRPr="00F052AC" w:rsidRDefault="00172AD3" w:rsidP="00DF74D9">
            <w:pPr>
              <w:keepNext/>
              <w:keepLines/>
              <w:rPr>
                <w:rFonts w:ascii="Arial Narrow" w:hAnsi="Arial Narrow" w:cs="Times New Roman"/>
                <w:sz w:val="20"/>
              </w:rPr>
            </w:pPr>
            <w:r w:rsidRPr="00F052AC">
              <w:rPr>
                <w:rFonts w:ascii="Arial Narrow" w:hAnsi="Arial Narrow" w:cs="Times New Roman"/>
                <w:sz w:val="20"/>
              </w:rPr>
              <w:t>60 years in t</w:t>
            </w:r>
            <w:r>
              <w:rPr>
                <w:rFonts w:ascii="Arial Narrow" w:hAnsi="Arial Narrow" w:cs="Times New Roman"/>
                <w:sz w:val="20"/>
              </w:rPr>
              <w:t xml:space="preserve">he model (lifetime) base </w:t>
            </w:r>
            <w:r w:rsidRPr="00425648">
              <w:rPr>
                <w:rFonts w:ascii="Arial Narrow" w:hAnsi="Arial Narrow" w:cs="Times New Roman"/>
                <w:sz w:val="20"/>
              </w:rPr>
              <w:t xml:space="preserve">case </w:t>
            </w:r>
            <w:r w:rsidRPr="00425648">
              <w:rPr>
                <w:rFonts w:ascii="Arial Narrow" w:hAnsi="Arial Narrow" w:cs="Times New Roman"/>
                <w:iCs/>
                <w:sz w:val="20"/>
              </w:rPr>
              <w:t>(versus 52 weeks in the trials)</w:t>
            </w:r>
          </w:p>
        </w:tc>
      </w:tr>
      <w:tr w:rsidR="00172AD3" w:rsidRPr="00F052AC" w:rsidTr="0011582A">
        <w:tc>
          <w:tcPr>
            <w:tcW w:w="862" w:type="pct"/>
            <w:vAlign w:val="center"/>
          </w:tcPr>
          <w:p w:rsidR="00172AD3" w:rsidRPr="00F052AC" w:rsidRDefault="00172AD3" w:rsidP="00DF74D9">
            <w:pPr>
              <w:keepNext/>
              <w:keepLines/>
              <w:rPr>
                <w:rFonts w:ascii="Arial Narrow" w:hAnsi="Arial Narrow" w:cs="Times New Roman"/>
                <w:sz w:val="20"/>
              </w:rPr>
            </w:pPr>
            <w:r>
              <w:rPr>
                <w:rFonts w:ascii="Arial Narrow" w:hAnsi="Arial Narrow" w:cs="Times New Roman"/>
                <w:sz w:val="20"/>
              </w:rPr>
              <w:t>Discounting.</w:t>
            </w:r>
          </w:p>
        </w:tc>
        <w:tc>
          <w:tcPr>
            <w:tcW w:w="4138" w:type="pct"/>
          </w:tcPr>
          <w:p w:rsidR="00172AD3" w:rsidRPr="00F052AC" w:rsidRDefault="00172AD3" w:rsidP="00DF74D9">
            <w:pPr>
              <w:keepNext/>
              <w:keepLines/>
              <w:rPr>
                <w:rFonts w:ascii="Arial Narrow" w:hAnsi="Arial Narrow" w:cs="Times New Roman"/>
                <w:sz w:val="20"/>
              </w:rPr>
            </w:pPr>
            <w:r>
              <w:rPr>
                <w:rFonts w:ascii="Arial Narrow" w:hAnsi="Arial Narrow" w:cs="Times New Roman"/>
                <w:sz w:val="20"/>
              </w:rPr>
              <w:t>Annual discount rate of 5% to costs and outcomes.</w:t>
            </w:r>
          </w:p>
        </w:tc>
      </w:tr>
      <w:tr w:rsidR="00172AD3" w:rsidRPr="00F052AC" w:rsidTr="00406C41">
        <w:tc>
          <w:tcPr>
            <w:tcW w:w="862" w:type="pct"/>
            <w:vAlign w:val="center"/>
          </w:tcPr>
          <w:p w:rsidR="00172AD3" w:rsidRPr="00F052AC" w:rsidRDefault="00172AD3" w:rsidP="00DF74D9">
            <w:pPr>
              <w:keepNext/>
              <w:keepLines/>
              <w:rPr>
                <w:rFonts w:ascii="Arial Narrow" w:hAnsi="Arial Narrow" w:cs="Times New Roman"/>
                <w:sz w:val="20"/>
              </w:rPr>
            </w:pPr>
            <w:r w:rsidRPr="00F052AC">
              <w:rPr>
                <w:rFonts w:ascii="Arial Narrow" w:hAnsi="Arial Narrow" w:cs="Times New Roman"/>
                <w:sz w:val="20"/>
              </w:rPr>
              <w:t>Methods used to generate results</w:t>
            </w:r>
          </w:p>
        </w:tc>
        <w:tc>
          <w:tcPr>
            <w:tcW w:w="4138" w:type="pct"/>
            <w:shd w:val="clear" w:color="auto" w:fill="auto"/>
          </w:tcPr>
          <w:p w:rsidR="00172AD3" w:rsidRPr="00F052AC" w:rsidRDefault="00172AD3" w:rsidP="00DF74D9">
            <w:pPr>
              <w:keepNext/>
              <w:keepLines/>
              <w:rPr>
                <w:rFonts w:ascii="Arial Narrow" w:hAnsi="Arial Narrow" w:cs="Times New Roman"/>
                <w:sz w:val="20"/>
              </w:rPr>
            </w:pPr>
            <w:r w:rsidRPr="00F052AC">
              <w:rPr>
                <w:rFonts w:ascii="Arial Narrow" w:hAnsi="Arial Narrow" w:cs="Times New Roman"/>
                <w:sz w:val="20"/>
              </w:rPr>
              <w:t>Markov cohort model</w:t>
            </w:r>
            <w:r>
              <w:rPr>
                <w:rFonts w:ascii="Arial Narrow" w:hAnsi="Arial Narrow" w:cs="Times New Roman"/>
                <w:sz w:val="20"/>
              </w:rPr>
              <w:t xml:space="preserve">. The cohort was categorised by SDI status at baseline based on </w:t>
            </w:r>
            <w:r w:rsidR="00406C41">
              <w:rPr>
                <w:rFonts w:ascii="Arial Narrow" w:hAnsi="Arial Narrow"/>
                <w:sz w:val="20"/>
                <w:szCs w:val="20"/>
              </w:rPr>
              <w:t>SDI categories at baseline (0, 1 and &gt;1) in BLISS-SC</w:t>
            </w:r>
          </w:p>
        </w:tc>
      </w:tr>
      <w:tr w:rsidR="00172AD3" w:rsidRPr="00F052AC" w:rsidTr="00406C41">
        <w:tc>
          <w:tcPr>
            <w:tcW w:w="862" w:type="pct"/>
            <w:vAlign w:val="center"/>
          </w:tcPr>
          <w:p w:rsidR="00172AD3" w:rsidRPr="00F052AC" w:rsidRDefault="00172AD3" w:rsidP="00DF74D9">
            <w:pPr>
              <w:keepNext/>
              <w:keepLines/>
              <w:rPr>
                <w:rFonts w:ascii="Arial Narrow" w:hAnsi="Arial Narrow" w:cs="Times New Roman"/>
                <w:sz w:val="20"/>
              </w:rPr>
            </w:pPr>
            <w:r w:rsidRPr="00F052AC">
              <w:rPr>
                <w:rFonts w:ascii="Arial Narrow" w:hAnsi="Arial Narrow" w:cs="Times New Roman"/>
                <w:sz w:val="20"/>
              </w:rPr>
              <w:t>Health states</w:t>
            </w:r>
          </w:p>
        </w:tc>
        <w:tc>
          <w:tcPr>
            <w:tcW w:w="4138" w:type="pct"/>
            <w:shd w:val="clear" w:color="auto" w:fill="auto"/>
          </w:tcPr>
          <w:p w:rsidR="00406C41" w:rsidRPr="00F052AC" w:rsidRDefault="00406C41" w:rsidP="00DF74D9">
            <w:pPr>
              <w:keepNext/>
              <w:keepLines/>
              <w:jc w:val="left"/>
              <w:rPr>
                <w:rFonts w:ascii="Arial Narrow" w:hAnsi="Arial Narrow" w:cs="Times New Roman"/>
                <w:sz w:val="20"/>
              </w:rPr>
            </w:pPr>
            <w:r>
              <w:rPr>
                <w:rFonts w:ascii="Arial Narrow" w:hAnsi="Arial Narrow" w:cs="Times New Roman"/>
                <w:sz w:val="20"/>
              </w:rPr>
              <w:t>Dead plus 30 alive health states defined by treatment (BEL vs SOC), time (&lt;6 months “induction” vs &gt;6 months) and SDI score (0, 1, 2, 3, 4, ≥5):</w:t>
            </w:r>
          </w:p>
          <w:p w:rsidR="00406C41" w:rsidRPr="00F052AC" w:rsidRDefault="00406C41" w:rsidP="00D05D23">
            <w:pPr>
              <w:keepNext/>
              <w:keepLines/>
              <w:numPr>
                <w:ilvl w:val="0"/>
                <w:numId w:val="9"/>
              </w:numPr>
              <w:jc w:val="left"/>
              <w:rPr>
                <w:rFonts w:ascii="Arial Narrow" w:hAnsi="Arial Narrow" w:cs="Times New Roman"/>
                <w:sz w:val="20"/>
              </w:rPr>
            </w:pPr>
            <w:r>
              <w:rPr>
                <w:rFonts w:ascii="Arial Narrow" w:hAnsi="Arial Narrow" w:cs="Times New Roman"/>
                <w:sz w:val="20"/>
              </w:rPr>
              <w:t>“</w:t>
            </w:r>
            <w:r w:rsidRPr="00F052AC">
              <w:rPr>
                <w:rFonts w:ascii="Arial Narrow" w:hAnsi="Arial Narrow" w:cs="Times New Roman"/>
                <w:sz w:val="20"/>
              </w:rPr>
              <w:t>BEL induction</w:t>
            </w:r>
            <w:r>
              <w:rPr>
                <w:rFonts w:ascii="Arial Narrow" w:hAnsi="Arial Narrow" w:cs="Times New Roman"/>
                <w:sz w:val="20"/>
              </w:rPr>
              <w:t>” (SDI 0 to ≥5)</w:t>
            </w:r>
          </w:p>
          <w:p w:rsidR="00406C41" w:rsidRPr="00F052AC" w:rsidRDefault="00406C41" w:rsidP="00D05D23">
            <w:pPr>
              <w:keepNext/>
              <w:keepLines/>
              <w:numPr>
                <w:ilvl w:val="0"/>
                <w:numId w:val="9"/>
              </w:numPr>
              <w:jc w:val="left"/>
              <w:rPr>
                <w:rFonts w:ascii="Arial Narrow" w:hAnsi="Arial Narrow" w:cs="Times New Roman"/>
                <w:sz w:val="20"/>
              </w:rPr>
            </w:pPr>
            <w:r>
              <w:rPr>
                <w:rFonts w:ascii="Arial Narrow" w:hAnsi="Arial Narrow" w:cs="Times New Roman"/>
                <w:sz w:val="20"/>
              </w:rPr>
              <w:t>“</w:t>
            </w:r>
            <w:r w:rsidRPr="00F052AC">
              <w:rPr>
                <w:rFonts w:ascii="Arial Narrow" w:hAnsi="Arial Narrow" w:cs="Times New Roman"/>
                <w:sz w:val="20"/>
              </w:rPr>
              <w:t>SOC induction</w:t>
            </w:r>
            <w:r>
              <w:rPr>
                <w:rFonts w:ascii="Arial Narrow" w:hAnsi="Arial Narrow" w:cs="Times New Roman"/>
                <w:sz w:val="20"/>
              </w:rPr>
              <w:t>” (SDI 0 to ≥5)</w:t>
            </w:r>
          </w:p>
          <w:p w:rsidR="00406C41" w:rsidRPr="00F052AC" w:rsidRDefault="00406C41" w:rsidP="00D05D23">
            <w:pPr>
              <w:keepNext/>
              <w:keepLines/>
              <w:numPr>
                <w:ilvl w:val="0"/>
                <w:numId w:val="9"/>
              </w:numPr>
              <w:jc w:val="left"/>
              <w:rPr>
                <w:rFonts w:ascii="Arial Narrow" w:hAnsi="Arial Narrow" w:cs="Times New Roman"/>
                <w:sz w:val="20"/>
              </w:rPr>
            </w:pPr>
            <w:r>
              <w:rPr>
                <w:rFonts w:ascii="Arial Narrow" w:hAnsi="Arial Narrow" w:cs="Times New Roman"/>
                <w:sz w:val="20"/>
              </w:rPr>
              <w:t>“</w:t>
            </w:r>
            <w:r w:rsidRPr="00F052AC">
              <w:rPr>
                <w:rFonts w:ascii="Arial Narrow" w:hAnsi="Arial Narrow" w:cs="Times New Roman"/>
                <w:sz w:val="20"/>
              </w:rPr>
              <w:t>BEL responder</w:t>
            </w:r>
            <w:r>
              <w:rPr>
                <w:rFonts w:ascii="Arial Narrow" w:hAnsi="Arial Narrow" w:cs="Times New Roman"/>
                <w:sz w:val="20"/>
              </w:rPr>
              <w:t>” (SDI 0 to ≥5)</w:t>
            </w:r>
          </w:p>
          <w:p w:rsidR="00406C41" w:rsidRDefault="00406C41" w:rsidP="00D05D23">
            <w:pPr>
              <w:keepNext/>
              <w:keepLines/>
              <w:numPr>
                <w:ilvl w:val="0"/>
                <w:numId w:val="9"/>
              </w:numPr>
              <w:jc w:val="left"/>
              <w:rPr>
                <w:rFonts w:ascii="Arial Narrow" w:hAnsi="Arial Narrow" w:cs="Times New Roman"/>
                <w:sz w:val="20"/>
              </w:rPr>
            </w:pPr>
            <w:r>
              <w:rPr>
                <w:rFonts w:ascii="Arial Narrow" w:hAnsi="Arial Narrow" w:cs="Times New Roman"/>
                <w:sz w:val="20"/>
              </w:rPr>
              <w:t>“</w:t>
            </w:r>
            <w:r w:rsidRPr="00F052AC">
              <w:rPr>
                <w:rFonts w:ascii="Arial Narrow" w:hAnsi="Arial Narrow" w:cs="Times New Roman"/>
                <w:sz w:val="20"/>
              </w:rPr>
              <w:t>SOC</w:t>
            </w:r>
            <w:r>
              <w:rPr>
                <w:rFonts w:ascii="Arial Narrow" w:hAnsi="Arial Narrow" w:cs="Times New Roman"/>
                <w:sz w:val="20"/>
              </w:rPr>
              <w:t xml:space="preserve"> responder” (SDI 0 to ≥5)</w:t>
            </w:r>
          </w:p>
          <w:p w:rsidR="00406C41" w:rsidRDefault="00406C41" w:rsidP="00D05D23">
            <w:pPr>
              <w:keepNext/>
              <w:keepLines/>
              <w:numPr>
                <w:ilvl w:val="0"/>
                <w:numId w:val="9"/>
              </w:numPr>
              <w:jc w:val="left"/>
              <w:rPr>
                <w:rFonts w:ascii="Arial Narrow" w:hAnsi="Arial Narrow" w:cs="Times New Roman"/>
                <w:sz w:val="20"/>
              </w:rPr>
            </w:pPr>
            <w:r>
              <w:rPr>
                <w:rFonts w:ascii="Arial Narrow" w:hAnsi="Arial Narrow" w:cs="Times New Roman"/>
                <w:sz w:val="20"/>
              </w:rPr>
              <w:t>“SOC non-responder” (SDI 0 to ≥5)</w:t>
            </w:r>
          </w:p>
          <w:p w:rsidR="00172AD3" w:rsidRPr="00076E4A" w:rsidRDefault="00406C41" w:rsidP="00DF74D9">
            <w:pPr>
              <w:keepNext/>
              <w:keepLines/>
              <w:rPr>
                <w:rFonts w:ascii="Arial Narrow" w:hAnsi="Arial Narrow" w:cs="Times New Roman"/>
                <w:sz w:val="20"/>
              </w:rPr>
            </w:pPr>
            <w:r w:rsidRPr="00406C41">
              <w:rPr>
                <w:rFonts w:ascii="Arial Narrow" w:hAnsi="Arial Narrow" w:cs="Times New Roman"/>
                <w:sz w:val="20"/>
              </w:rPr>
              <w:t>SLE flares were modelled indirectly via disutility and costs estimates, rather than as a health state.</w:t>
            </w:r>
          </w:p>
        </w:tc>
      </w:tr>
      <w:tr w:rsidR="00172AD3" w:rsidRPr="00F052AC" w:rsidTr="0011582A">
        <w:tc>
          <w:tcPr>
            <w:tcW w:w="862" w:type="pct"/>
            <w:vAlign w:val="center"/>
          </w:tcPr>
          <w:p w:rsidR="00172AD3" w:rsidRPr="00F052AC" w:rsidRDefault="00172AD3" w:rsidP="00DF74D9">
            <w:pPr>
              <w:keepNext/>
              <w:keepLines/>
              <w:rPr>
                <w:rFonts w:ascii="Arial Narrow" w:hAnsi="Arial Narrow" w:cs="Times New Roman"/>
                <w:sz w:val="20"/>
              </w:rPr>
            </w:pPr>
            <w:r w:rsidRPr="00F052AC">
              <w:rPr>
                <w:rFonts w:ascii="Arial Narrow" w:hAnsi="Arial Narrow" w:cs="Times New Roman"/>
                <w:sz w:val="20"/>
              </w:rPr>
              <w:t>Cycle length</w:t>
            </w:r>
          </w:p>
        </w:tc>
        <w:tc>
          <w:tcPr>
            <w:tcW w:w="4138" w:type="pct"/>
          </w:tcPr>
          <w:p w:rsidR="00172AD3" w:rsidRPr="00A35C12" w:rsidRDefault="00172AD3" w:rsidP="00DF74D9">
            <w:pPr>
              <w:keepNext/>
              <w:keepLines/>
              <w:rPr>
                <w:rFonts w:ascii="Arial Narrow" w:hAnsi="Arial Narrow" w:cs="Times New Roman"/>
                <w:i/>
                <w:iCs/>
                <w:sz w:val="20"/>
              </w:rPr>
            </w:pPr>
            <w:r w:rsidRPr="00F052AC">
              <w:rPr>
                <w:rFonts w:ascii="Arial Narrow" w:hAnsi="Arial Narrow" w:cs="Times New Roman"/>
                <w:sz w:val="20"/>
              </w:rPr>
              <w:t>6 months</w:t>
            </w:r>
            <w:r>
              <w:rPr>
                <w:rFonts w:ascii="Arial Narrow" w:hAnsi="Arial Narrow" w:cs="Times New Roman"/>
                <w:sz w:val="20"/>
              </w:rPr>
              <w:t>. Half-cycle corrections to costs and benefits.</w:t>
            </w:r>
          </w:p>
        </w:tc>
      </w:tr>
      <w:tr w:rsidR="00172AD3" w:rsidRPr="00F052AC" w:rsidTr="0011582A">
        <w:tc>
          <w:tcPr>
            <w:tcW w:w="862" w:type="pct"/>
            <w:vAlign w:val="center"/>
          </w:tcPr>
          <w:p w:rsidR="00172AD3" w:rsidRPr="00F052AC" w:rsidRDefault="00172AD3" w:rsidP="00DF74D9">
            <w:pPr>
              <w:keepNext/>
              <w:keepLines/>
              <w:rPr>
                <w:rFonts w:ascii="Arial Narrow" w:hAnsi="Arial Narrow" w:cs="Times New Roman"/>
                <w:sz w:val="20"/>
              </w:rPr>
            </w:pPr>
            <w:r w:rsidRPr="00F052AC">
              <w:rPr>
                <w:rFonts w:ascii="Arial Narrow" w:hAnsi="Arial Narrow" w:cs="Times New Roman"/>
                <w:sz w:val="20"/>
              </w:rPr>
              <w:t>Transition probabilities</w:t>
            </w:r>
          </w:p>
        </w:tc>
        <w:tc>
          <w:tcPr>
            <w:tcW w:w="4138" w:type="pct"/>
          </w:tcPr>
          <w:p w:rsidR="00172AD3" w:rsidRPr="00A45206" w:rsidRDefault="00172AD3" w:rsidP="00DF74D9">
            <w:pPr>
              <w:keepNext/>
              <w:keepLines/>
              <w:rPr>
                <w:rFonts w:ascii="Arial Narrow" w:hAnsi="Arial Narrow" w:cs="Times New Roman"/>
                <w:sz w:val="20"/>
              </w:rPr>
            </w:pPr>
            <w:r>
              <w:rPr>
                <w:rFonts w:ascii="Arial Narrow" w:hAnsi="Arial Narrow" w:cs="Times New Roman"/>
                <w:sz w:val="20"/>
              </w:rPr>
              <w:t>Transition probabilities for</w:t>
            </w:r>
          </w:p>
          <w:p w:rsidR="00172AD3" w:rsidRDefault="00172AD3" w:rsidP="00A3139D">
            <w:pPr>
              <w:pStyle w:val="ListParagraph"/>
              <w:keepNext/>
              <w:keepLines/>
              <w:widowControl/>
              <w:numPr>
                <w:ilvl w:val="0"/>
                <w:numId w:val="5"/>
              </w:numPr>
              <w:spacing w:after="0"/>
              <w:ind w:left="274" w:hanging="162"/>
              <w:contextualSpacing/>
              <w:rPr>
                <w:rFonts w:ascii="Arial Narrow" w:hAnsi="Arial Narrow" w:cs="Times New Roman"/>
                <w:sz w:val="20"/>
              </w:rPr>
            </w:pPr>
            <w:r w:rsidRPr="00B67B8B">
              <w:rPr>
                <w:rFonts w:ascii="Arial Narrow" w:hAnsi="Arial Narrow" w:cs="Times New Roman"/>
                <w:sz w:val="20"/>
              </w:rPr>
              <w:t>SDI progression for SOC</w:t>
            </w:r>
            <w:r w:rsidR="007A5F98">
              <w:rPr>
                <w:rFonts w:ascii="Arial Narrow" w:hAnsi="Arial Narrow" w:cs="Times New Roman"/>
                <w:sz w:val="20"/>
              </w:rPr>
              <w:t xml:space="preserve"> responders and non-responders</w:t>
            </w:r>
            <w:r w:rsidRPr="00B67B8B">
              <w:rPr>
                <w:rFonts w:ascii="Arial Narrow" w:hAnsi="Arial Narrow" w:cs="Times New Roman"/>
                <w:sz w:val="20"/>
              </w:rPr>
              <w:t xml:space="preserve"> informed by Bruce et al 2015 (SLICC inception cohort).</w:t>
            </w:r>
          </w:p>
          <w:p w:rsidR="007A5F98" w:rsidRPr="00B67B8B" w:rsidRDefault="007A5F98" w:rsidP="00A3139D">
            <w:pPr>
              <w:pStyle w:val="ListParagraph"/>
              <w:keepNext/>
              <w:keepLines/>
              <w:widowControl/>
              <w:numPr>
                <w:ilvl w:val="0"/>
                <w:numId w:val="5"/>
              </w:numPr>
              <w:spacing w:after="0"/>
              <w:ind w:left="274" w:hanging="162"/>
              <w:contextualSpacing/>
              <w:jc w:val="left"/>
              <w:rPr>
                <w:rFonts w:ascii="Arial Narrow" w:hAnsi="Arial Narrow" w:cs="Times New Roman"/>
                <w:sz w:val="20"/>
              </w:rPr>
            </w:pPr>
            <w:r w:rsidRPr="00B67B8B">
              <w:rPr>
                <w:rFonts w:ascii="Arial Narrow" w:hAnsi="Arial Narrow" w:cs="Times New Roman"/>
                <w:sz w:val="20"/>
              </w:rPr>
              <w:t>Transition probabilities for SDI progression for BEL</w:t>
            </w:r>
            <w:r>
              <w:rPr>
                <w:rFonts w:ascii="Arial Narrow" w:hAnsi="Arial Narrow" w:cs="Times New Roman"/>
                <w:sz w:val="20"/>
              </w:rPr>
              <w:t xml:space="preserve"> responders</w:t>
            </w:r>
            <w:r w:rsidRPr="00B67B8B">
              <w:rPr>
                <w:rFonts w:ascii="Arial Narrow" w:hAnsi="Arial Narrow" w:cs="Times New Roman"/>
                <w:sz w:val="20"/>
              </w:rPr>
              <w:t xml:space="preserve"> estimated by applying </w:t>
            </w:r>
            <w:r>
              <w:rPr>
                <w:rFonts w:ascii="Arial Narrow" w:hAnsi="Arial Narrow" w:cs="Times New Roman"/>
                <w:sz w:val="20"/>
              </w:rPr>
              <w:t>OR</w:t>
            </w:r>
            <w:r w:rsidRPr="00B67B8B">
              <w:rPr>
                <w:rFonts w:ascii="Arial Narrow" w:hAnsi="Arial Narrow" w:cs="Times New Roman"/>
                <w:sz w:val="20"/>
              </w:rPr>
              <w:t xml:space="preserve"> for SDI </w:t>
            </w:r>
            <w:r w:rsidRPr="003B55B5">
              <w:rPr>
                <w:rFonts w:ascii="Arial Narrow" w:hAnsi="Arial Narrow"/>
                <w:sz w:val="20"/>
                <w:szCs w:val="20"/>
              </w:rPr>
              <w:t xml:space="preserve">worsening at Week 52 </w:t>
            </w:r>
            <w:r>
              <w:rPr>
                <w:rFonts w:ascii="Arial Narrow" w:hAnsi="Arial Narrow"/>
                <w:sz w:val="20"/>
                <w:szCs w:val="20"/>
              </w:rPr>
              <w:t>of BEL versus placebo in BLISS-SC (OR</w:t>
            </w:r>
            <w:r w:rsidR="00FC5317">
              <w:rPr>
                <w:rFonts w:ascii="Arial Narrow" w:hAnsi="Arial Narrow"/>
                <w:sz w:val="20"/>
                <w:szCs w:val="20"/>
              </w:rPr>
              <w:t xml:space="preserve">=0.47; </w:t>
            </w:r>
            <w:r>
              <w:rPr>
                <w:rFonts w:ascii="Arial Narrow" w:hAnsi="Arial Narrow"/>
                <w:sz w:val="20"/>
                <w:szCs w:val="20"/>
              </w:rPr>
              <w:t>95%CI</w:t>
            </w:r>
            <w:r w:rsidR="00FC5317">
              <w:rPr>
                <w:rFonts w:ascii="Arial Narrow" w:hAnsi="Arial Narrow"/>
                <w:sz w:val="20"/>
                <w:szCs w:val="20"/>
              </w:rPr>
              <w:t xml:space="preserve">: </w:t>
            </w:r>
            <w:r>
              <w:rPr>
                <w:rFonts w:ascii="Arial Narrow" w:hAnsi="Arial Narrow"/>
                <w:sz w:val="20"/>
                <w:szCs w:val="20"/>
              </w:rPr>
              <w:t xml:space="preserve">0.22, </w:t>
            </w:r>
            <w:r w:rsidR="006727D7">
              <w:rPr>
                <w:rFonts w:ascii="Arial Narrow" w:hAnsi="Arial Narrow"/>
                <w:sz w:val="20"/>
                <w:szCs w:val="20"/>
              </w:rPr>
              <w:t>1.02</w:t>
            </w:r>
            <w:r>
              <w:rPr>
                <w:rFonts w:ascii="Arial Narrow" w:hAnsi="Arial Narrow"/>
                <w:sz w:val="20"/>
                <w:szCs w:val="20"/>
              </w:rPr>
              <w:t>)</w:t>
            </w:r>
            <w:r w:rsidRPr="00B67B8B">
              <w:rPr>
                <w:rFonts w:ascii="Arial Narrow" w:hAnsi="Arial Narrow" w:cs="Times New Roman"/>
                <w:sz w:val="20"/>
              </w:rPr>
              <w:t>.</w:t>
            </w:r>
          </w:p>
          <w:p w:rsidR="007A5F98" w:rsidRDefault="007A5F98" w:rsidP="00A3139D">
            <w:pPr>
              <w:pStyle w:val="ListParagraph"/>
              <w:keepNext/>
              <w:keepLines/>
              <w:widowControl/>
              <w:numPr>
                <w:ilvl w:val="0"/>
                <w:numId w:val="5"/>
              </w:numPr>
              <w:spacing w:after="0"/>
              <w:ind w:left="274" w:hanging="162"/>
              <w:contextualSpacing/>
              <w:jc w:val="left"/>
              <w:rPr>
                <w:rFonts w:ascii="Arial Narrow" w:hAnsi="Arial Narrow" w:cs="Times New Roman"/>
                <w:sz w:val="20"/>
              </w:rPr>
            </w:pPr>
            <w:r w:rsidRPr="00B67B8B">
              <w:rPr>
                <w:rFonts w:ascii="Arial Narrow" w:hAnsi="Arial Narrow" w:cs="Times New Roman"/>
                <w:sz w:val="20"/>
              </w:rPr>
              <w:t xml:space="preserve">Transition probabilities for deaths by SDI health state based on </w:t>
            </w:r>
            <w:r>
              <w:rPr>
                <w:rFonts w:ascii="Arial Narrow" w:hAnsi="Arial Narrow" w:cs="Times New Roman"/>
                <w:sz w:val="20"/>
              </w:rPr>
              <w:t xml:space="preserve">sum of </w:t>
            </w:r>
            <w:r w:rsidRPr="00B67B8B">
              <w:rPr>
                <w:rFonts w:ascii="Arial Narrow" w:hAnsi="Arial Narrow" w:cs="Times New Roman"/>
                <w:sz w:val="20"/>
              </w:rPr>
              <w:t>estimate</w:t>
            </w:r>
            <w:r>
              <w:rPr>
                <w:rFonts w:ascii="Arial Narrow" w:hAnsi="Arial Narrow" w:cs="Times New Roman"/>
                <w:sz w:val="20"/>
              </w:rPr>
              <w:t>s</w:t>
            </w:r>
            <w:r w:rsidRPr="00B67B8B">
              <w:rPr>
                <w:rFonts w:ascii="Arial Narrow" w:hAnsi="Arial Narrow" w:cs="Times New Roman"/>
                <w:sz w:val="20"/>
              </w:rPr>
              <w:t xml:space="preserve"> presented in Bruce et al 2015</w:t>
            </w:r>
            <w:r>
              <w:rPr>
                <w:rFonts w:ascii="Arial Narrow" w:hAnsi="Arial Narrow" w:cs="Times New Roman"/>
                <w:sz w:val="20"/>
              </w:rPr>
              <w:t xml:space="preserve"> and age-related (other cause) mortality rates informed by Australian life tables.</w:t>
            </w:r>
          </w:p>
          <w:p w:rsidR="00172AD3" w:rsidRPr="007A5F98" w:rsidRDefault="00172AD3" w:rsidP="00A3139D">
            <w:pPr>
              <w:pStyle w:val="ListParagraph"/>
              <w:keepNext/>
              <w:keepLines/>
              <w:widowControl/>
              <w:numPr>
                <w:ilvl w:val="0"/>
                <w:numId w:val="5"/>
              </w:numPr>
              <w:spacing w:after="0"/>
              <w:ind w:left="274" w:hanging="162"/>
              <w:contextualSpacing/>
              <w:rPr>
                <w:rFonts w:ascii="Arial Narrow" w:hAnsi="Arial Narrow" w:cs="Times New Roman"/>
                <w:sz w:val="20"/>
              </w:rPr>
            </w:pPr>
            <w:r w:rsidRPr="007A5F98">
              <w:rPr>
                <w:rFonts w:ascii="Arial Narrow" w:hAnsi="Arial Narrow" w:cs="Times New Roman"/>
                <w:sz w:val="20"/>
              </w:rPr>
              <w:t>Belimumab continuation (i.e. response at Week 24) informed by BLISS-SC</w:t>
            </w:r>
            <w:r w:rsidR="007A5F98" w:rsidRPr="007A5F98">
              <w:rPr>
                <w:rFonts w:ascii="Arial Narrow" w:hAnsi="Arial Narrow" w:cs="Times New Roman"/>
                <w:sz w:val="20"/>
              </w:rPr>
              <w:t xml:space="preserve"> and discontinuation</w:t>
            </w:r>
            <w:r w:rsidR="007A5F98">
              <w:rPr>
                <w:rFonts w:ascii="Arial Narrow" w:hAnsi="Arial Narrow" w:cs="Times New Roman"/>
                <w:sz w:val="20"/>
              </w:rPr>
              <w:t xml:space="preserve"> informed by a pooled analysis of BLISS-52 and BLISS-76</w:t>
            </w:r>
            <w:r w:rsidRPr="007A5F98">
              <w:rPr>
                <w:rFonts w:ascii="Arial Narrow" w:hAnsi="Arial Narrow" w:cs="Times New Roman"/>
                <w:sz w:val="20"/>
              </w:rPr>
              <w:t>.</w:t>
            </w:r>
          </w:p>
          <w:p w:rsidR="00172AD3" w:rsidRPr="00AB17F1" w:rsidRDefault="00172AD3" w:rsidP="00A3139D">
            <w:pPr>
              <w:pStyle w:val="ListParagraph"/>
              <w:keepNext/>
              <w:keepLines/>
              <w:widowControl/>
              <w:numPr>
                <w:ilvl w:val="0"/>
                <w:numId w:val="5"/>
              </w:numPr>
              <w:spacing w:after="0"/>
              <w:ind w:left="274" w:hanging="162"/>
              <w:contextualSpacing/>
              <w:rPr>
                <w:rFonts w:ascii="Arial Narrow" w:hAnsi="Arial Narrow" w:cs="Times New Roman"/>
                <w:sz w:val="20"/>
              </w:rPr>
            </w:pPr>
            <w:r>
              <w:rPr>
                <w:rFonts w:ascii="Arial Narrow" w:hAnsi="Arial Narrow" w:cs="Times New Roman"/>
                <w:sz w:val="20"/>
              </w:rPr>
              <w:t>Rate of flares for SOC and belimumab informed by BLISS-SC.</w:t>
            </w:r>
          </w:p>
        </w:tc>
      </w:tr>
      <w:tr w:rsidR="00172AD3" w:rsidRPr="00F052AC" w:rsidTr="0011582A">
        <w:tc>
          <w:tcPr>
            <w:tcW w:w="862" w:type="pct"/>
            <w:vAlign w:val="center"/>
          </w:tcPr>
          <w:p w:rsidR="00172AD3" w:rsidRPr="00F052AC" w:rsidRDefault="00172AD3" w:rsidP="00DF74D9">
            <w:pPr>
              <w:keepNext/>
              <w:keepLines/>
              <w:rPr>
                <w:rFonts w:ascii="Arial Narrow" w:hAnsi="Arial Narrow" w:cs="Times New Roman"/>
                <w:sz w:val="20"/>
              </w:rPr>
            </w:pPr>
            <w:r>
              <w:rPr>
                <w:rFonts w:ascii="Arial Narrow" w:hAnsi="Arial Narrow" w:cs="Times New Roman"/>
                <w:sz w:val="20"/>
              </w:rPr>
              <w:t>Utility values</w:t>
            </w:r>
          </w:p>
        </w:tc>
        <w:tc>
          <w:tcPr>
            <w:tcW w:w="4138" w:type="pct"/>
          </w:tcPr>
          <w:p w:rsidR="00172AD3" w:rsidRPr="00AA34C2" w:rsidRDefault="00172AD3" w:rsidP="00DF74D9">
            <w:pPr>
              <w:keepNext/>
              <w:keepLines/>
              <w:rPr>
                <w:rFonts w:ascii="Arial Narrow" w:hAnsi="Arial Narrow" w:cs="Times New Roman"/>
                <w:sz w:val="20"/>
              </w:rPr>
            </w:pPr>
            <w:r w:rsidRPr="00AA34C2">
              <w:rPr>
                <w:rFonts w:ascii="Arial Narrow" w:hAnsi="Arial Narrow" w:cs="Times New Roman"/>
                <w:sz w:val="20"/>
              </w:rPr>
              <w:t xml:space="preserve">Utility values for </w:t>
            </w:r>
            <w:r>
              <w:rPr>
                <w:rFonts w:ascii="Arial Narrow" w:hAnsi="Arial Narrow" w:cs="Times New Roman"/>
                <w:sz w:val="20"/>
              </w:rPr>
              <w:t>belimumab</w:t>
            </w:r>
            <w:r w:rsidRPr="00AA34C2">
              <w:rPr>
                <w:rFonts w:ascii="Arial Narrow" w:hAnsi="Arial Narrow" w:cs="Times New Roman"/>
                <w:sz w:val="20"/>
              </w:rPr>
              <w:t xml:space="preserve"> responders and non-responders sourced from Wang et al</w:t>
            </w:r>
            <w:r>
              <w:rPr>
                <w:rFonts w:ascii="Arial Narrow" w:hAnsi="Arial Narrow" w:cs="Times New Roman"/>
                <w:sz w:val="20"/>
              </w:rPr>
              <w:t xml:space="preserve"> </w:t>
            </w:r>
            <w:r w:rsidRPr="00AA34C2">
              <w:rPr>
                <w:rFonts w:ascii="Arial Narrow" w:hAnsi="Arial Narrow" w:cs="Times New Roman"/>
                <w:sz w:val="20"/>
              </w:rPr>
              <w:t>2014.</w:t>
            </w:r>
          </w:p>
          <w:p w:rsidR="00172AD3" w:rsidRPr="00A45206" w:rsidRDefault="00172AD3" w:rsidP="00DF74D9">
            <w:pPr>
              <w:keepNext/>
              <w:keepLines/>
              <w:rPr>
                <w:rFonts w:ascii="Arial Narrow" w:hAnsi="Arial Narrow" w:cs="Times New Roman"/>
                <w:sz w:val="20"/>
              </w:rPr>
            </w:pPr>
            <w:r w:rsidRPr="00AA34C2">
              <w:rPr>
                <w:rFonts w:ascii="Arial Narrow" w:hAnsi="Arial Narrow" w:cs="Times New Roman"/>
                <w:sz w:val="20"/>
              </w:rPr>
              <w:t>Disutility values for flares sourced from a TTO study by Pollard et al</w:t>
            </w:r>
            <w:r>
              <w:rPr>
                <w:rFonts w:ascii="Arial Narrow" w:hAnsi="Arial Narrow" w:cs="Times New Roman"/>
                <w:sz w:val="20"/>
              </w:rPr>
              <w:t xml:space="preserve"> </w:t>
            </w:r>
            <w:r w:rsidRPr="00AA34C2">
              <w:rPr>
                <w:rFonts w:ascii="Arial Narrow" w:hAnsi="Arial Narrow" w:cs="Times New Roman"/>
                <w:sz w:val="20"/>
              </w:rPr>
              <w:t>2015.</w:t>
            </w:r>
          </w:p>
        </w:tc>
      </w:tr>
      <w:tr w:rsidR="00172AD3" w:rsidRPr="00F052AC" w:rsidTr="0011582A">
        <w:tc>
          <w:tcPr>
            <w:tcW w:w="862" w:type="pct"/>
            <w:vAlign w:val="center"/>
          </w:tcPr>
          <w:p w:rsidR="00172AD3" w:rsidRDefault="00172AD3" w:rsidP="00DF74D9">
            <w:pPr>
              <w:keepNext/>
              <w:keepLines/>
              <w:rPr>
                <w:rFonts w:ascii="Arial Narrow" w:hAnsi="Arial Narrow" w:cs="Times New Roman"/>
                <w:sz w:val="20"/>
              </w:rPr>
            </w:pPr>
            <w:r>
              <w:rPr>
                <w:rFonts w:ascii="Arial Narrow" w:hAnsi="Arial Narrow" w:cs="Times New Roman"/>
                <w:sz w:val="20"/>
              </w:rPr>
              <w:t>Costs</w:t>
            </w:r>
          </w:p>
        </w:tc>
        <w:tc>
          <w:tcPr>
            <w:tcW w:w="4138" w:type="pct"/>
          </w:tcPr>
          <w:p w:rsidR="00172AD3" w:rsidRDefault="00172AD3" w:rsidP="00DF74D9">
            <w:pPr>
              <w:keepNext/>
              <w:keepLines/>
              <w:rPr>
                <w:rFonts w:ascii="Arial Narrow" w:hAnsi="Arial Narrow" w:cs="Times New Roman"/>
                <w:sz w:val="20"/>
              </w:rPr>
            </w:pPr>
            <w:r>
              <w:rPr>
                <w:rFonts w:ascii="Arial Narrow" w:hAnsi="Arial Narrow" w:cs="Times New Roman"/>
                <w:sz w:val="20"/>
              </w:rPr>
              <w:t>The model included</w:t>
            </w:r>
          </w:p>
          <w:p w:rsidR="00172AD3" w:rsidRDefault="00172AD3" w:rsidP="00A3139D">
            <w:pPr>
              <w:pStyle w:val="ListParagraph"/>
              <w:keepNext/>
              <w:keepLines/>
              <w:widowControl/>
              <w:numPr>
                <w:ilvl w:val="0"/>
                <w:numId w:val="5"/>
              </w:numPr>
              <w:spacing w:after="0"/>
              <w:ind w:left="274" w:hanging="162"/>
              <w:contextualSpacing/>
              <w:rPr>
                <w:rFonts w:ascii="Arial Narrow" w:hAnsi="Arial Narrow" w:cs="Times New Roman"/>
                <w:sz w:val="20"/>
              </w:rPr>
            </w:pPr>
            <w:r>
              <w:rPr>
                <w:rFonts w:ascii="Arial Narrow" w:hAnsi="Arial Narrow" w:cs="Times New Roman"/>
                <w:sz w:val="20"/>
              </w:rPr>
              <w:t>Drug costs for belimumab;</w:t>
            </w:r>
          </w:p>
          <w:p w:rsidR="00172AD3" w:rsidRDefault="00172AD3" w:rsidP="00A3139D">
            <w:pPr>
              <w:pStyle w:val="ListParagraph"/>
              <w:keepNext/>
              <w:keepLines/>
              <w:widowControl/>
              <w:numPr>
                <w:ilvl w:val="0"/>
                <w:numId w:val="5"/>
              </w:numPr>
              <w:spacing w:after="0"/>
              <w:ind w:left="274" w:hanging="162"/>
              <w:contextualSpacing/>
              <w:rPr>
                <w:rFonts w:ascii="Arial Narrow" w:hAnsi="Arial Narrow" w:cs="Times New Roman"/>
                <w:sz w:val="20"/>
              </w:rPr>
            </w:pPr>
            <w:r>
              <w:rPr>
                <w:rFonts w:ascii="Arial Narrow" w:hAnsi="Arial Narrow" w:cs="Times New Roman"/>
                <w:sz w:val="20"/>
              </w:rPr>
              <w:t xml:space="preserve">Background costs by SDI health state (including SOC drugs), estimated from the Monash </w:t>
            </w:r>
            <w:r w:rsidRPr="00AA34C2">
              <w:rPr>
                <w:rFonts w:ascii="Arial Narrow" w:hAnsi="Arial Narrow" w:cs="Times New Roman"/>
                <w:sz w:val="20"/>
              </w:rPr>
              <w:t>Lupus Cost Regression Study</w:t>
            </w:r>
            <w:r>
              <w:rPr>
                <w:rFonts w:ascii="Arial Narrow" w:hAnsi="Arial Narrow" w:cs="Times New Roman"/>
                <w:sz w:val="20"/>
              </w:rPr>
              <w:t>, and</w:t>
            </w:r>
          </w:p>
          <w:p w:rsidR="00172AD3" w:rsidRPr="00B42048" w:rsidRDefault="00172AD3" w:rsidP="00A3139D">
            <w:pPr>
              <w:pStyle w:val="ListParagraph"/>
              <w:keepNext/>
              <w:keepLines/>
              <w:widowControl/>
              <w:numPr>
                <w:ilvl w:val="0"/>
                <w:numId w:val="5"/>
              </w:numPr>
              <w:spacing w:after="0"/>
              <w:ind w:left="274" w:hanging="162"/>
              <w:contextualSpacing/>
              <w:rPr>
                <w:rFonts w:ascii="Arial Narrow" w:hAnsi="Arial Narrow" w:cs="Times New Roman"/>
                <w:sz w:val="20"/>
              </w:rPr>
            </w:pPr>
            <w:r>
              <w:rPr>
                <w:rFonts w:ascii="Arial Narrow" w:hAnsi="Arial Narrow" w:cs="Times New Roman"/>
                <w:sz w:val="20"/>
              </w:rPr>
              <w:t xml:space="preserve">Costs associated with treatment of SLE flares, estimated from the Monash Lupus Cohort </w:t>
            </w:r>
            <w:r w:rsidRPr="00AA34C2">
              <w:rPr>
                <w:rFonts w:ascii="Arial Narrow" w:hAnsi="Arial Narrow" w:cs="Times New Roman"/>
                <w:sz w:val="20"/>
              </w:rPr>
              <w:t>Regression Study</w:t>
            </w:r>
            <w:r>
              <w:rPr>
                <w:rFonts w:ascii="Arial Narrow" w:hAnsi="Arial Narrow" w:cs="Times New Roman"/>
                <w:sz w:val="20"/>
              </w:rPr>
              <w:t>.</w:t>
            </w:r>
          </w:p>
        </w:tc>
      </w:tr>
      <w:tr w:rsidR="00172AD3" w:rsidRPr="00F052AC" w:rsidTr="0011582A">
        <w:tc>
          <w:tcPr>
            <w:tcW w:w="862" w:type="pct"/>
            <w:vAlign w:val="center"/>
          </w:tcPr>
          <w:p w:rsidR="00172AD3" w:rsidRPr="00F052AC" w:rsidRDefault="00172AD3" w:rsidP="00DF74D9">
            <w:pPr>
              <w:keepNext/>
              <w:keepLines/>
              <w:rPr>
                <w:rFonts w:ascii="Arial Narrow" w:hAnsi="Arial Narrow" w:cs="Times New Roman"/>
                <w:sz w:val="20"/>
              </w:rPr>
            </w:pPr>
            <w:r w:rsidRPr="00F052AC">
              <w:rPr>
                <w:rFonts w:ascii="Arial Narrow" w:hAnsi="Arial Narrow" w:cs="Times New Roman"/>
                <w:sz w:val="20"/>
              </w:rPr>
              <w:t>Software package</w:t>
            </w:r>
          </w:p>
        </w:tc>
        <w:tc>
          <w:tcPr>
            <w:tcW w:w="4138" w:type="pct"/>
          </w:tcPr>
          <w:p w:rsidR="00172AD3" w:rsidRPr="00F052AC" w:rsidRDefault="00172AD3" w:rsidP="00DF74D9">
            <w:pPr>
              <w:keepNext/>
              <w:keepLines/>
              <w:rPr>
                <w:rFonts w:ascii="Arial Narrow" w:hAnsi="Arial Narrow" w:cs="Times New Roman"/>
                <w:sz w:val="20"/>
              </w:rPr>
            </w:pPr>
            <w:r w:rsidRPr="00F052AC">
              <w:rPr>
                <w:rFonts w:ascii="Arial Narrow" w:hAnsi="Arial Narrow" w:cs="Times New Roman"/>
                <w:sz w:val="20"/>
              </w:rPr>
              <w:t>TreeAge Pro 20</w:t>
            </w:r>
            <w:r w:rsidR="00A7244E">
              <w:rPr>
                <w:rFonts w:ascii="Arial Narrow" w:hAnsi="Arial Narrow" w:cs="Times New Roman"/>
                <w:sz w:val="20"/>
              </w:rPr>
              <w:t>19</w:t>
            </w:r>
          </w:p>
        </w:tc>
      </w:tr>
    </w:tbl>
    <w:p w:rsidR="00172AD3" w:rsidRPr="00F052AC" w:rsidRDefault="00172AD3" w:rsidP="00DF74D9">
      <w:pPr>
        <w:keepNext/>
        <w:keepLines/>
        <w:rPr>
          <w:rFonts w:ascii="Arial Narrow" w:hAnsi="Arial Narrow"/>
          <w:sz w:val="18"/>
        </w:rPr>
      </w:pPr>
      <w:r w:rsidRPr="00F052AC">
        <w:rPr>
          <w:rFonts w:ascii="Arial Narrow" w:hAnsi="Arial Narrow"/>
          <w:sz w:val="18"/>
        </w:rPr>
        <w:t xml:space="preserve">Abbreviations: </w:t>
      </w:r>
      <w:r w:rsidRPr="000B1424">
        <w:rPr>
          <w:rFonts w:ascii="Arial Narrow" w:hAnsi="Arial Narrow"/>
          <w:sz w:val="18"/>
        </w:rPr>
        <w:t xml:space="preserve">ACR = American College of Rheumatology; BEL = belimumab; SDI = SLICC/ACR damage index; </w:t>
      </w:r>
      <w:r w:rsidRPr="00F052AC">
        <w:rPr>
          <w:rFonts w:ascii="Arial Narrow" w:hAnsi="Arial Narrow"/>
          <w:sz w:val="18"/>
        </w:rPr>
        <w:t>SELENA= Safety of Estrogen in Lupus Erythematosus National Assessment; SLEDAI= SLE Disease Activity Index; SLICC = Systemic Lupus International Collaborating Clinics; SRI= SLE Response Index.</w:t>
      </w:r>
    </w:p>
    <w:p w:rsidR="00172AD3" w:rsidRPr="00F052AC" w:rsidRDefault="00172AD3" w:rsidP="00DF74D9">
      <w:pPr>
        <w:keepNext/>
        <w:keepLines/>
        <w:rPr>
          <w:rFonts w:ascii="Arial Narrow" w:hAnsi="Arial Narrow"/>
          <w:sz w:val="20"/>
        </w:rPr>
      </w:pPr>
      <w:r w:rsidRPr="00F052AC">
        <w:rPr>
          <w:rFonts w:ascii="Arial Narrow" w:hAnsi="Arial Narrow"/>
          <w:sz w:val="18"/>
        </w:rPr>
        <w:t xml:space="preserve">Source: Table </w:t>
      </w:r>
      <w:r w:rsidR="00021ABB">
        <w:rPr>
          <w:rFonts w:ascii="Arial Narrow" w:hAnsi="Arial Narrow"/>
          <w:sz w:val="18"/>
        </w:rPr>
        <w:t>80</w:t>
      </w:r>
      <w:r w:rsidRPr="00F052AC">
        <w:rPr>
          <w:rFonts w:ascii="Arial Narrow" w:hAnsi="Arial Narrow"/>
          <w:sz w:val="18"/>
        </w:rPr>
        <w:t>, p</w:t>
      </w:r>
      <w:r w:rsidR="00021ABB">
        <w:rPr>
          <w:rFonts w:ascii="Arial Narrow" w:hAnsi="Arial Narrow"/>
          <w:sz w:val="18"/>
        </w:rPr>
        <w:t>209</w:t>
      </w:r>
      <w:r w:rsidRPr="00F052AC">
        <w:rPr>
          <w:rFonts w:ascii="Arial Narrow" w:hAnsi="Arial Narrow"/>
          <w:sz w:val="18"/>
        </w:rPr>
        <w:t xml:space="preserve"> of the </w:t>
      </w:r>
      <w:r w:rsidR="00021ABB">
        <w:rPr>
          <w:rFonts w:ascii="Arial Narrow" w:hAnsi="Arial Narrow"/>
          <w:sz w:val="18"/>
        </w:rPr>
        <w:t>re</w:t>
      </w:r>
      <w:r w:rsidRPr="00F052AC">
        <w:rPr>
          <w:rFonts w:ascii="Arial Narrow" w:hAnsi="Arial Narrow"/>
          <w:sz w:val="18"/>
        </w:rPr>
        <w:t>submission.</w:t>
      </w:r>
    </w:p>
    <w:p w:rsidR="00172AD3" w:rsidRPr="00880C21" w:rsidRDefault="00172AD3" w:rsidP="00DF19B7"/>
    <w:p w:rsidR="00172AD3" w:rsidRPr="00085EFA" w:rsidRDefault="00172AD3" w:rsidP="00DA711E">
      <w:pPr>
        <w:pStyle w:val="ListParagraph"/>
        <w:widowControl/>
        <w:numPr>
          <w:ilvl w:val="1"/>
          <w:numId w:val="1"/>
        </w:numPr>
        <w:rPr>
          <w:szCs w:val="24"/>
        </w:rPr>
      </w:pPr>
      <w:r>
        <w:t xml:space="preserve">The modelled health states were defined by SDI scores (SDI 0, 1, 2, 3, 4, and </w:t>
      </w:r>
      <w:r>
        <w:rPr>
          <w:rFonts w:cs="Calibri"/>
        </w:rPr>
        <w:t>≥</w:t>
      </w:r>
      <w:r>
        <w:t xml:space="preserve">5), </w:t>
      </w:r>
      <w:r w:rsidR="009E44AA">
        <w:t>time (&lt;6</w:t>
      </w:r>
      <w:r w:rsidR="00A86407">
        <w:t xml:space="preserve"> </w:t>
      </w:r>
      <w:r w:rsidR="009E44AA">
        <w:t xml:space="preserve">months “induction” phase vs </w:t>
      </w:r>
      <w:r w:rsidR="009E44AA">
        <w:rPr>
          <w:rFonts w:cs="Calibri"/>
        </w:rPr>
        <w:t>≥</w:t>
      </w:r>
      <w:r w:rsidR="009E44AA">
        <w:t xml:space="preserve">6 months), </w:t>
      </w:r>
      <w:r>
        <w:t xml:space="preserve">current treatment </w:t>
      </w:r>
      <w:r w:rsidR="009E44AA">
        <w:t xml:space="preserve">and response status </w:t>
      </w:r>
      <w:r>
        <w:t>(belimumab</w:t>
      </w:r>
      <w:r w:rsidR="009E44AA">
        <w:t xml:space="preserve"> or </w:t>
      </w:r>
      <w:r>
        <w:t>SOC</w:t>
      </w:r>
      <w:r w:rsidR="009E44AA">
        <w:t xml:space="preserve"> induction</w:t>
      </w:r>
      <w:r>
        <w:t xml:space="preserve"> or </w:t>
      </w:r>
      <w:r w:rsidR="009E44AA">
        <w:t xml:space="preserve">belimumab responder, </w:t>
      </w:r>
      <w:r>
        <w:t>SOC</w:t>
      </w:r>
      <w:r w:rsidR="009E44AA">
        <w:t xml:space="preserve"> responder and SOC non-responder</w:t>
      </w:r>
      <w:r>
        <w:t>)</w:t>
      </w:r>
      <w:r w:rsidR="009E44AA">
        <w:t>.</w:t>
      </w:r>
      <w:r>
        <w:t xml:space="preserve"> </w:t>
      </w:r>
      <w:r w:rsidR="0053254E">
        <w:t xml:space="preserve">The differentiation </w:t>
      </w:r>
      <w:r w:rsidR="0053254E" w:rsidRPr="0026179F">
        <w:t xml:space="preserve">between SOC responders and non-responders in the model structure was a key change from the previous submission. </w:t>
      </w:r>
      <w:r w:rsidRPr="0026179F">
        <w:t>The model did</w:t>
      </w:r>
      <w:r>
        <w:t xml:space="preserve"> not track patients by SLEDAI</w:t>
      </w:r>
      <w:r w:rsidR="009E44AA">
        <w:t>-2K</w:t>
      </w:r>
      <w:r>
        <w:t xml:space="preserve"> score, but assumed patients with </w:t>
      </w:r>
      <w:r>
        <w:rPr>
          <w:rFonts w:cs="Calibri"/>
        </w:rPr>
        <w:t>≥</w:t>
      </w:r>
      <w:r>
        <w:t xml:space="preserve">4 point reduction from baseline </w:t>
      </w:r>
      <w:r w:rsidR="00021ABB">
        <w:t xml:space="preserve">(“BEL responder”) </w:t>
      </w:r>
      <w:r>
        <w:t>remained on belimumab after the first cycle:</w:t>
      </w:r>
    </w:p>
    <w:p w:rsidR="00282E82" w:rsidRPr="00282E82" w:rsidRDefault="00172AD3" w:rsidP="00A23229">
      <w:pPr>
        <w:pStyle w:val="ListParagraph"/>
        <w:numPr>
          <w:ilvl w:val="0"/>
          <w:numId w:val="22"/>
        </w:numPr>
        <w:spacing w:after="120"/>
        <w:ind w:left="1276" w:hanging="425"/>
        <w:contextualSpacing/>
        <w:rPr>
          <w:szCs w:val="24"/>
        </w:rPr>
      </w:pPr>
      <w:r w:rsidRPr="00085EFA">
        <w:t xml:space="preserve">All patients entered the model in one of the “BEL induction” or “SOC induction” </w:t>
      </w:r>
      <w:r w:rsidRPr="00A23229">
        <w:rPr>
          <w:iCs/>
        </w:rPr>
        <w:lastRenderedPageBreak/>
        <w:t xml:space="preserve">health states respectively, depending on SDI score at baseline. </w:t>
      </w:r>
      <w:r w:rsidR="003B42AD" w:rsidRPr="00A23229">
        <w:rPr>
          <w:iCs/>
        </w:rPr>
        <w:t>Patients that</w:t>
      </w:r>
      <w:r w:rsidR="003B42AD">
        <w:t xml:space="preserve"> survive the current cycle either maintain the same SDI score or experience a one unit increase in SDI score in the subsequent cycle up to the SDI </w:t>
      </w:r>
      <w:r w:rsidR="003B42AD">
        <w:rPr>
          <w:rFonts w:cs="Calibri"/>
        </w:rPr>
        <w:t>≥</w:t>
      </w:r>
      <w:r w:rsidR="003B42AD">
        <w:t>5 state</w:t>
      </w:r>
      <w:r w:rsidR="00282E82">
        <w:t>.</w:t>
      </w:r>
    </w:p>
    <w:p w:rsidR="00172AD3" w:rsidRPr="00FE50F6" w:rsidRDefault="00282E82" w:rsidP="00A23229">
      <w:pPr>
        <w:pStyle w:val="ListParagraph"/>
        <w:numPr>
          <w:ilvl w:val="0"/>
          <w:numId w:val="22"/>
        </w:numPr>
        <w:spacing w:after="120"/>
        <w:ind w:left="1276" w:hanging="425"/>
        <w:contextualSpacing/>
      </w:pPr>
      <w:r w:rsidRPr="00282E82">
        <w:t>In the belimumab arm, all patients commence treatment and those that survive the cycle either</w:t>
      </w:r>
      <w:r>
        <w:t xml:space="preserve"> </w:t>
      </w:r>
      <w:r w:rsidRPr="00282E82">
        <w:t>meet the response criteria</w:t>
      </w:r>
      <w:r>
        <w:t xml:space="preserve"> and</w:t>
      </w:r>
      <w:r w:rsidRPr="00282E82">
        <w:t xml:space="preserve"> remain on treatment or </w:t>
      </w:r>
      <w:r>
        <w:t xml:space="preserve">don’t meet the response criteria and </w:t>
      </w:r>
      <w:r w:rsidRPr="00282E82">
        <w:t xml:space="preserve">discontinue, irrespective of SDI progression. </w:t>
      </w:r>
      <w:r w:rsidR="00FE50F6" w:rsidRPr="00FE50F6">
        <w:t>Responders transition from one of the “BEL induction” health states to one of the “BEL responder” health states</w:t>
      </w:r>
      <w:r w:rsidR="00FE50F6">
        <w:t>, whereas non-responders transition to one of the “SOC non-responder” health states,</w:t>
      </w:r>
      <w:r w:rsidR="00FE50F6" w:rsidRPr="00FE50F6">
        <w:t xml:space="preserve"> in the subsequent cycle according to the SDI score / progression</w:t>
      </w:r>
      <w:r w:rsidR="00FE50F6">
        <w:t xml:space="preserve">. </w:t>
      </w:r>
      <w:r w:rsidR="00172AD3">
        <w:t>Treatment discontinuation thereafter was based on an annual discontinuation rate</w:t>
      </w:r>
      <w:r w:rsidR="00FE50F6">
        <w:t xml:space="preserve"> converted to a six-month probability</w:t>
      </w:r>
      <w:r w:rsidR="00172AD3">
        <w:t>.</w:t>
      </w:r>
    </w:p>
    <w:p w:rsidR="00172AD3" w:rsidRPr="00FE50F6" w:rsidRDefault="00FE50F6" w:rsidP="00A23229">
      <w:pPr>
        <w:pStyle w:val="ListParagraph"/>
        <w:numPr>
          <w:ilvl w:val="0"/>
          <w:numId w:val="22"/>
        </w:numPr>
        <w:spacing w:after="120"/>
        <w:ind w:left="1276" w:hanging="425"/>
        <w:contextualSpacing/>
        <w:rPr>
          <w:szCs w:val="24"/>
        </w:rPr>
      </w:pPr>
      <w:r>
        <w:t>In the SOC arm, patients who meet the response criteria transition from one of the “SOC induction” to one of the “SOC responder” health states according to SDI score / progression. Patients who do not meet the response criteria transition to one of the “SOC non-responder” health states according to SDI score / progression.</w:t>
      </w:r>
    </w:p>
    <w:p w:rsidR="00FE50F6" w:rsidRPr="00C46CA0" w:rsidRDefault="00FE50F6" w:rsidP="00A23229">
      <w:pPr>
        <w:pStyle w:val="ListParagraph"/>
        <w:numPr>
          <w:ilvl w:val="0"/>
          <w:numId w:val="22"/>
        </w:numPr>
        <w:spacing w:after="120"/>
        <w:ind w:left="1276" w:hanging="425"/>
        <w:rPr>
          <w:szCs w:val="24"/>
        </w:rPr>
      </w:pPr>
      <w:r w:rsidRPr="00A23229">
        <w:rPr>
          <w:iCs/>
        </w:rPr>
        <w:t>The</w:t>
      </w:r>
      <w:r>
        <w:t xml:space="preserve"> model assumed patients could only experience a one unit increase in SDI score </w:t>
      </w:r>
      <w:r w:rsidR="00194607">
        <w:t xml:space="preserve">(or maintain the </w:t>
      </w:r>
      <w:r w:rsidR="00194607" w:rsidRPr="00A23229">
        <w:rPr>
          <w:iCs/>
        </w:rPr>
        <w:t>same</w:t>
      </w:r>
      <w:r w:rsidR="00194607">
        <w:t xml:space="preserve"> SDI score) </w:t>
      </w:r>
      <w:r>
        <w:t>per cycle.</w:t>
      </w:r>
    </w:p>
    <w:p w:rsidR="00044675" w:rsidRPr="00425648" w:rsidRDefault="00044675" w:rsidP="00DA711E">
      <w:pPr>
        <w:pStyle w:val="ListParagraph"/>
        <w:widowControl/>
        <w:numPr>
          <w:ilvl w:val="1"/>
          <w:numId w:val="1"/>
        </w:numPr>
        <w:rPr>
          <w:iCs/>
        </w:rPr>
      </w:pPr>
      <w:r w:rsidRPr="00425648">
        <w:rPr>
          <w:szCs w:val="24"/>
        </w:rPr>
        <w:t xml:space="preserve">Data from BLISS-SC informed the </w:t>
      </w:r>
      <w:r w:rsidRPr="00425648">
        <w:t xml:space="preserve">probability of treatment response after the first cycle of the model (61.0% vs 53.2% of belimumab vs SOC patients had </w:t>
      </w:r>
      <w:r w:rsidRPr="00425648">
        <w:rPr>
          <w:rFonts w:cs="Calibri"/>
        </w:rPr>
        <w:t>≥</w:t>
      </w:r>
      <w:r w:rsidRPr="00425648">
        <w:t xml:space="preserve">4 point reduction in SELENA-SLEDAI at Week 24 respectively), the rate of flares and the </w:t>
      </w:r>
      <w:r w:rsidRPr="00425648">
        <w:rPr>
          <w:szCs w:val="24"/>
        </w:rPr>
        <w:t xml:space="preserve">probability of SDI progression for the </w:t>
      </w:r>
      <w:r w:rsidRPr="00425648">
        <w:t xml:space="preserve">belimumab cohort. The rate of </w:t>
      </w:r>
      <w:r w:rsidR="00471691" w:rsidRPr="00425648">
        <w:t xml:space="preserve">belimumab </w:t>
      </w:r>
      <w:r w:rsidRPr="00425648">
        <w:t xml:space="preserve">treatment discontinuation after the first </w:t>
      </w:r>
      <w:r w:rsidR="00FD28FB">
        <w:t xml:space="preserve">year </w:t>
      </w:r>
      <w:r w:rsidRPr="00425648">
        <w:t>was based on a pooled analysis of BLISS-</w:t>
      </w:r>
      <w:r w:rsidR="00FD28FB">
        <w:t>52 and BLISS-76</w:t>
      </w:r>
      <w:r w:rsidRPr="00425648">
        <w:rPr>
          <w:iCs/>
        </w:rPr>
        <w:t xml:space="preserve">. </w:t>
      </w:r>
    </w:p>
    <w:p w:rsidR="004D5D2A" w:rsidRPr="004C3AB5" w:rsidRDefault="004D5D2A" w:rsidP="00144CCD">
      <w:pPr>
        <w:pStyle w:val="ListParagraph"/>
        <w:widowControl/>
        <w:numPr>
          <w:ilvl w:val="1"/>
          <w:numId w:val="1"/>
        </w:numPr>
        <w:rPr>
          <w:szCs w:val="24"/>
        </w:rPr>
      </w:pPr>
      <w:r w:rsidRPr="004C3AB5">
        <w:t>Bruce et al 2015 informed the</w:t>
      </w:r>
      <w:r w:rsidR="00172AD3" w:rsidRPr="004C3AB5">
        <w:rPr>
          <w:szCs w:val="24"/>
        </w:rPr>
        <w:t xml:space="preserve"> probability of SDI progression for</w:t>
      </w:r>
      <w:r w:rsidRPr="004C3AB5">
        <w:rPr>
          <w:szCs w:val="24"/>
        </w:rPr>
        <w:t xml:space="preserve"> both</w:t>
      </w:r>
      <w:r w:rsidR="00172AD3" w:rsidRPr="004C3AB5">
        <w:rPr>
          <w:szCs w:val="24"/>
        </w:rPr>
        <w:t xml:space="preserve"> SOC </w:t>
      </w:r>
      <w:r w:rsidRPr="004C3AB5">
        <w:t>responders and non-responders</w:t>
      </w:r>
      <w:r w:rsidRPr="004C3AB5">
        <w:rPr>
          <w:szCs w:val="24"/>
        </w:rPr>
        <w:t xml:space="preserve"> </w:t>
      </w:r>
      <w:r w:rsidR="00172AD3" w:rsidRPr="004C3AB5">
        <w:rPr>
          <w:szCs w:val="24"/>
        </w:rPr>
        <w:t xml:space="preserve">(and SLE-related mortality for SOC and </w:t>
      </w:r>
      <w:r w:rsidR="00172AD3" w:rsidRPr="004C3AB5">
        <w:t>belimumab</w:t>
      </w:r>
      <w:r w:rsidR="00172AD3" w:rsidRPr="004C3AB5">
        <w:rPr>
          <w:szCs w:val="24"/>
        </w:rPr>
        <w:t xml:space="preserve">) over the </w:t>
      </w:r>
      <w:r w:rsidR="007B4380" w:rsidRPr="004C3AB5">
        <w:rPr>
          <w:szCs w:val="24"/>
        </w:rPr>
        <w:t>60-year</w:t>
      </w:r>
      <w:r w:rsidR="00172AD3" w:rsidRPr="004C3AB5">
        <w:rPr>
          <w:szCs w:val="24"/>
        </w:rPr>
        <w:t xml:space="preserve"> time horizon</w:t>
      </w:r>
      <w:r w:rsidR="00172AD3" w:rsidRPr="004C3AB5">
        <w:t>.</w:t>
      </w:r>
      <w:r w:rsidRPr="004C3AB5">
        <w:t xml:space="preserve"> This approach</w:t>
      </w:r>
      <w:r w:rsidR="009D040D">
        <w:t xml:space="preserve"> was unchanged from the November 2019 model, and</w:t>
      </w:r>
      <w:r w:rsidRPr="004C3AB5">
        <w:t xml:space="preserve"> meant that SOC responders did not have the reduced probability of SDI progression that was assumed for belimumab responders. Th</w:t>
      </w:r>
      <w:r w:rsidR="00144CCD" w:rsidRPr="004C3AB5">
        <w:t>e evaluation considered that th</w:t>
      </w:r>
      <w:r w:rsidRPr="004C3AB5">
        <w:t>is favours belimumab by inflating the difference between belimumab responders and SOC responders (who should have the same SDI progression rates in the model).</w:t>
      </w:r>
      <w:r w:rsidR="006A0EF8" w:rsidRPr="004C3AB5">
        <w:t xml:space="preserve"> The PSCR </w:t>
      </w:r>
      <w:r w:rsidR="00144CCD" w:rsidRPr="004C3AB5">
        <w:t xml:space="preserve">argued </w:t>
      </w:r>
      <w:r w:rsidR="006A0EF8" w:rsidRPr="004C3AB5">
        <w:t xml:space="preserve">that </w:t>
      </w:r>
      <w:r w:rsidR="006A0EF8" w:rsidRPr="004C3AB5">
        <w:rPr>
          <w:lang w:eastAsia="en-AU"/>
        </w:rPr>
        <w:t xml:space="preserve">a reduced </w:t>
      </w:r>
      <w:r w:rsidR="00A14457" w:rsidRPr="004C3AB5">
        <w:t xml:space="preserve">probability of SDI progression </w:t>
      </w:r>
      <w:r w:rsidR="006A0EF8" w:rsidRPr="004C3AB5">
        <w:rPr>
          <w:lang w:eastAsia="en-AU"/>
        </w:rPr>
        <w:t>is not required because</w:t>
      </w:r>
      <w:r w:rsidR="00CC0727" w:rsidRPr="004C3AB5">
        <w:rPr>
          <w:lang w:eastAsia="en-AU"/>
        </w:rPr>
        <w:t xml:space="preserve"> the</w:t>
      </w:r>
      <w:r w:rsidR="006A0EF8" w:rsidRPr="004C3AB5">
        <w:rPr>
          <w:lang w:eastAsia="en-AU"/>
        </w:rPr>
        <w:t xml:space="preserve"> underlying data for SOC patients</w:t>
      </w:r>
      <w:r w:rsidR="00873101" w:rsidRPr="004C3AB5">
        <w:rPr>
          <w:lang w:eastAsia="en-AU"/>
        </w:rPr>
        <w:t xml:space="preserve"> from Bruce et al 2015</w:t>
      </w:r>
      <w:r w:rsidR="006A0EF8" w:rsidRPr="004C3AB5">
        <w:rPr>
          <w:lang w:eastAsia="en-AU"/>
        </w:rPr>
        <w:t xml:space="preserve"> includes responders and non-responders.</w:t>
      </w:r>
      <w:r w:rsidR="00E945BE" w:rsidRPr="004C3AB5">
        <w:rPr>
          <w:lang w:eastAsia="en-AU"/>
        </w:rPr>
        <w:t xml:space="preserve"> </w:t>
      </w:r>
      <w:r w:rsidR="00144CCD" w:rsidRPr="004C3AB5">
        <w:rPr>
          <w:lang w:eastAsia="en-AU"/>
        </w:rPr>
        <w:t xml:space="preserve">The PSCR stated that, if the model were to apply a specific reduction to SOC responders the transition rates in the non-responder arm would have to be increased to achieve the same overall proportions, which the PSCR considered would add uncertainty to the model. </w:t>
      </w:r>
      <w:r w:rsidR="005123DC" w:rsidRPr="004C3AB5">
        <w:rPr>
          <w:lang w:eastAsia="en-AU"/>
        </w:rPr>
        <w:t>Overall, t</w:t>
      </w:r>
      <w:r w:rsidR="00E945BE" w:rsidRPr="004C3AB5">
        <w:rPr>
          <w:lang w:eastAsia="en-AU"/>
        </w:rPr>
        <w:t xml:space="preserve">he ESC considered that </w:t>
      </w:r>
      <w:r w:rsidR="00873101" w:rsidRPr="004C3AB5">
        <w:rPr>
          <w:lang w:eastAsia="en-AU"/>
        </w:rPr>
        <w:t>th</w:t>
      </w:r>
      <w:r w:rsidR="005123DC" w:rsidRPr="004C3AB5">
        <w:rPr>
          <w:lang w:eastAsia="en-AU"/>
        </w:rPr>
        <w:t>e resubmission’</w:t>
      </w:r>
      <w:r w:rsidR="00873101" w:rsidRPr="004C3AB5">
        <w:rPr>
          <w:lang w:eastAsia="en-AU"/>
        </w:rPr>
        <w:t>s approach</w:t>
      </w:r>
      <w:r w:rsidR="00C71DD1" w:rsidRPr="004C3AB5">
        <w:rPr>
          <w:lang w:eastAsia="en-AU"/>
        </w:rPr>
        <w:t xml:space="preserve"> </w:t>
      </w:r>
      <w:r w:rsidR="006B742E">
        <w:rPr>
          <w:lang w:eastAsia="en-AU"/>
        </w:rPr>
        <w:t xml:space="preserve">(in terms of model structure) </w:t>
      </w:r>
      <w:r w:rsidR="00C71DD1" w:rsidRPr="004C3AB5">
        <w:rPr>
          <w:lang w:eastAsia="en-AU"/>
        </w:rPr>
        <w:t>may be reasonable if</w:t>
      </w:r>
      <w:r w:rsidR="00873101" w:rsidRPr="004C3AB5">
        <w:rPr>
          <w:lang w:eastAsia="en-AU"/>
        </w:rPr>
        <w:t xml:space="preserve"> </w:t>
      </w:r>
      <w:r w:rsidR="00B364E1" w:rsidRPr="004C3AB5">
        <w:rPr>
          <w:lang w:eastAsia="en-AU"/>
        </w:rPr>
        <w:t xml:space="preserve">the PBAC accepts that </w:t>
      </w:r>
      <w:r w:rsidR="00873101" w:rsidRPr="004C3AB5">
        <w:rPr>
          <w:lang w:eastAsia="en-AU"/>
        </w:rPr>
        <w:t xml:space="preserve">data from Bruce et al </w:t>
      </w:r>
      <w:r w:rsidR="00101000">
        <w:rPr>
          <w:lang w:eastAsia="en-AU"/>
        </w:rPr>
        <w:t xml:space="preserve">2015 </w:t>
      </w:r>
      <w:r w:rsidR="00C71DD1" w:rsidRPr="004C3AB5">
        <w:rPr>
          <w:lang w:eastAsia="en-AU"/>
        </w:rPr>
        <w:t>appropriately reflects</w:t>
      </w:r>
      <w:r w:rsidR="00873101" w:rsidRPr="004C3AB5">
        <w:rPr>
          <w:lang w:eastAsia="en-AU"/>
        </w:rPr>
        <w:t xml:space="preserve"> </w:t>
      </w:r>
      <w:r w:rsidR="00B364E1" w:rsidRPr="004C3AB5">
        <w:rPr>
          <w:lang w:eastAsia="en-AU"/>
        </w:rPr>
        <w:t xml:space="preserve">overall outcomes </w:t>
      </w:r>
      <w:r w:rsidR="005123DC" w:rsidRPr="004C3AB5">
        <w:rPr>
          <w:lang w:eastAsia="en-AU"/>
        </w:rPr>
        <w:t xml:space="preserve">of SLE patients receiving </w:t>
      </w:r>
      <w:r w:rsidR="00B364E1" w:rsidRPr="004C3AB5">
        <w:rPr>
          <w:lang w:eastAsia="en-AU"/>
        </w:rPr>
        <w:t>SOC</w:t>
      </w:r>
      <w:r w:rsidR="00873101" w:rsidRPr="004C3AB5">
        <w:rPr>
          <w:lang w:eastAsia="en-AU"/>
        </w:rPr>
        <w:t xml:space="preserve"> regardless of response rate</w:t>
      </w:r>
      <w:r w:rsidR="00C71DD1" w:rsidRPr="004C3AB5">
        <w:rPr>
          <w:lang w:eastAsia="en-AU"/>
        </w:rPr>
        <w:t>.</w:t>
      </w:r>
      <w:r w:rsidR="009D040D">
        <w:rPr>
          <w:lang w:eastAsia="en-AU"/>
        </w:rPr>
        <w:t xml:space="preserve"> </w:t>
      </w:r>
    </w:p>
    <w:p w:rsidR="00172AD3" w:rsidRPr="00EE4C2B" w:rsidRDefault="0033010C" w:rsidP="00A93641">
      <w:pPr>
        <w:pStyle w:val="ListParagraph"/>
        <w:widowControl/>
        <w:numPr>
          <w:ilvl w:val="1"/>
          <w:numId w:val="1"/>
        </w:numPr>
        <w:rPr>
          <w:szCs w:val="24"/>
        </w:rPr>
      </w:pPr>
      <w:r w:rsidRPr="0033010C">
        <w:lastRenderedPageBreak/>
        <w:t>The ESC and the PBAC previously considered that the reliability and applicability of the Bruce et al 2015 model predictions were unclear. As an inception cohort, the majority of patients had no organ damage at baseline and the time to first SDI worsening was relatively long (median approx. 9 years if SDI=0 at baseline) and there were also relatively few deaths recorded (41 deaths at the time of the analysis). Hence, the model predictions at the higher SDI health states rely on the analysis assumption that covariates have the same impact for all transitions where SDI ≥1. The description of the method was vague and the impact of other simplifying assumptions was unknown (paragraph 6.26, Belimumab PSD November 2019 PBAC meeting). Further, the ESC</w:t>
      </w:r>
      <w:r w:rsidR="00D37698">
        <w:t xml:space="preserve"> </w:t>
      </w:r>
      <w:r w:rsidR="00D37698" w:rsidRPr="000A1689">
        <w:t>previously</w:t>
      </w:r>
      <w:r w:rsidRPr="0033010C">
        <w:t xml:space="preserve"> noted that a constant progression was applied over time as patients age, which was unlikely to reflect the progression of the condition and the aging process more generally (paragraph 6.45, Belimumab PSD November 2019 PBAC meeting)</w:t>
      </w:r>
      <w:r w:rsidR="00F878D7" w:rsidRPr="0033010C">
        <w:rPr>
          <w:i/>
          <w:iCs/>
        </w:rPr>
        <w:t xml:space="preserve">. </w:t>
      </w:r>
      <w:r w:rsidR="00774BD1">
        <w:rPr>
          <w:lang w:eastAsia="en-AU"/>
        </w:rPr>
        <w:t>The PBAC maintained its</w:t>
      </w:r>
      <w:r w:rsidR="00C600C7">
        <w:rPr>
          <w:lang w:eastAsia="en-AU"/>
        </w:rPr>
        <w:t xml:space="preserve"> previous </w:t>
      </w:r>
      <w:r w:rsidR="00774BD1">
        <w:rPr>
          <w:lang w:eastAsia="en-AU"/>
        </w:rPr>
        <w:t xml:space="preserve">view that the </w:t>
      </w:r>
      <w:r w:rsidR="00A93641">
        <w:rPr>
          <w:lang w:eastAsia="en-AU"/>
        </w:rPr>
        <w:t xml:space="preserve">long-term </w:t>
      </w:r>
      <w:r w:rsidR="00774BD1">
        <w:rPr>
          <w:lang w:eastAsia="en-AU"/>
        </w:rPr>
        <w:t>reliability</w:t>
      </w:r>
      <w:r w:rsidR="00A93641">
        <w:rPr>
          <w:lang w:eastAsia="en-AU"/>
        </w:rPr>
        <w:t>,</w:t>
      </w:r>
      <w:r w:rsidR="00774BD1">
        <w:rPr>
          <w:lang w:eastAsia="en-AU"/>
        </w:rPr>
        <w:t xml:space="preserve"> applicability </w:t>
      </w:r>
      <w:r w:rsidR="00A93641">
        <w:rPr>
          <w:lang w:eastAsia="en-AU"/>
        </w:rPr>
        <w:t xml:space="preserve">and external validity </w:t>
      </w:r>
      <w:r w:rsidR="00774BD1">
        <w:rPr>
          <w:lang w:eastAsia="en-AU"/>
        </w:rPr>
        <w:t xml:space="preserve">of the Bruce </w:t>
      </w:r>
      <w:r w:rsidR="00101000">
        <w:rPr>
          <w:lang w:eastAsia="en-AU"/>
        </w:rPr>
        <w:t xml:space="preserve">et al </w:t>
      </w:r>
      <w:r w:rsidR="00774BD1">
        <w:rPr>
          <w:lang w:eastAsia="en-AU"/>
        </w:rPr>
        <w:t xml:space="preserve">2015 model predictions </w:t>
      </w:r>
      <w:r w:rsidR="00A93641">
        <w:rPr>
          <w:lang w:eastAsia="en-AU"/>
        </w:rPr>
        <w:t xml:space="preserve">to the modelled </w:t>
      </w:r>
      <w:r w:rsidR="00BB71ED">
        <w:rPr>
          <w:lang w:eastAsia="en-AU"/>
        </w:rPr>
        <w:t xml:space="preserve">Australian </w:t>
      </w:r>
      <w:r w:rsidR="00A93641">
        <w:rPr>
          <w:lang w:eastAsia="en-AU"/>
        </w:rPr>
        <w:t xml:space="preserve">population </w:t>
      </w:r>
      <w:r w:rsidR="00774BD1">
        <w:rPr>
          <w:lang w:eastAsia="en-AU"/>
        </w:rPr>
        <w:t>were unclear.</w:t>
      </w:r>
    </w:p>
    <w:p w:rsidR="003D779D" w:rsidRPr="00425648" w:rsidRDefault="00A57501" w:rsidP="00DA711E">
      <w:pPr>
        <w:pStyle w:val="ListParagraph"/>
        <w:widowControl/>
        <w:numPr>
          <w:ilvl w:val="1"/>
          <w:numId w:val="1"/>
        </w:numPr>
        <w:rPr>
          <w:iCs/>
        </w:rPr>
      </w:pPr>
      <w:r w:rsidRPr="00425648">
        <w:rPr>
          <w:szCs w:val="24"/>
        </w:rPr>
        <w:t>T</w:t>
      </w:r>
      <w:r w:rsidR="00172AD3" w:rsidRPr="00425648">
        <w:rPr>
          <w:szCs w:val="24"/>
        </w:rPr>
        <w:t xml:space="preserve">he </w:t>
      </w:r>
      <w:r w:rsidR="00471691" w:rsidRPr="00425648">
        <w:rPr>
          <w:szCs w:val="24"/>
        </w:rPr>
        <w:t xml:space="preserve">model </w:t>
      </w:r>
      <w:r w:rsidR="00172AD3" w:rsidRPr="00425648">
        <w:rPr>
          <w:szCs w:val="24"/>
        </w:rPr>
        <w:t>assigned utilities to “BEL induction”, “SOC induction”, “BEL responder”</w:t>
      </w:r>
      <w:r w:rsidR="00471691" w:rsidRPr="00425648">
        <w:rPr>
          <w:szCs w:val="24"/>
        </w:rPr>
        <w:t xml:space="preserve">, </w:t>
      </w:r>
      <w:r w:rsidR="00172AD3" w:rsidRPr="00425648">
        <w:rPr>
          <w:szCs w:val="24"/>
        </w:rPr>
        <w:t>“SOC</w:t>
      </w:r>
      <w:r w:rsidR="00471691" w:rsidRPr="00425648">
        <w:rPr>
          <w:szCs w:val="24"/>
        </w:rPr>
        <w:t xml:space="preserve"> responder</w:t>
      </w:r>
      <w:r w:rsidR="00172AD3" w:rsidRPr="00425648">
        <w:rPr>
          <w:szCs w:val="24"/>
        </w:rPr>
        <w:t>”</w:t>
      </w:r>
      <w:r w:rsidR="00471691" w:rsidRPr="00425648">
        <w:rPr>
          <w:szCs w:val="24"/>
        </w:rPr>
        <w:t xml:space="preserve"> and “SOC non-responder”</w:t>
      </w:r>
      <w:r w:rsidR="00172AD3" w:rsidRPr="00425648">
        <w:rPr>
          <w:szCs w:val="24"/>
        </w:rPr>
        <w:t xml:space="preserve"> health states irrespective of SDI score, based on EQ-5D data (by SLEDAI score) in Wang et al 2014. </w:t>
      </w:r>
      <w:r w:rsidR="00D35B3E" w:rsidRPr="00425648">
        <w:rPr>
          <w:szCs w:val="24"/>
        </w:rPr>
        <w:t>By differentiating between SOC responders and non-responders in the revised model structure, belimumab non-responders now transition to the SOC non-responder arm and experience the same reduced utility as SOC non-responders. This is appropriate.</w:t>
      </w:r>
    </w:p>
    <w:p w:rsidR="00172AD3" w:rsidRPr="00425648" w:rsidRDefault="00A57501" w:rsidP="00DA711E">
      <w:pPr>
        <w:pStyle w:val="ListParagraph"/>
        <w:widowControl/>
        <w:numPr>
          <w:ilvl w:val="1"/>
          <w:numId w:val="1"/>
        </w:numPr>
        <w:rPr>
          <w:iCs/>
        </w:rPr>
      </w:pPr>
      <w:r w:rsidRPr="00425648">
        <w:rPr>
          <w:szCs w:val="24"/>
        </w:rPr>
        <w:t xml:space="preserve">Quality of life during induction and for non-responders was informed by EQ-5D results for SLEDAI &gt;4; quality of life for responders was informed by EQ-5D results for </w:t>
      </w:r>
      <w:r w:rsidRPr="00783981">
        <w:rPr>
          <w:szCs w:val="24"/>
        </w:rPr>
        <w:t xml:space="preserve">SLEDAI </w:t>
      </w:r>
      <w:r w:rsidRPr="00783981">
        <w:rPr>
          <w:rFonts w:cstheme="minorHAnsi"/>
          <w:szCs w:val="24"/>
        </w:rPr>
        <w:t>≤</w:t>
      </w:r>
      <w:r w:rsidRPr="00783981">
        <w:rPr>
          <w:szCs w:val="24"/>
        </w:rPr>
        <w:t xml:space="preserve">4. </w:t>
      </w:r>
      <w:r w:rsidR="00172AD3" w:rsidRPr="00783981">
        <w:rPr>
          <w:iCs/>
          <w:szCs w:val="24"/>
        </w:rPr>
        <w:t>Th</w:t>
      </w:r>
      <w:r w:rsidRPr="00783981">
        <w:rPr>
          <w:iCs/>
          <w:szCs w:val="24"/>
        </w:rPr>
        <w:t>is</w:t>
      </w:r>
      <w:r w:rsidR="00172AD3" w:rsidRPr="00425648">
        <w:rPr>
          <w:iCs/>
          <w:szCs w:val="24"/>
        </w:rPr>
        <w:t xml:space="preserve"> approach</w:t>
      </w:r>
      <w:r w:rsidR="005F3B2E" w:rsidRPr="00425648">
        <w:rPr>
          <w:iCs/>
          <w:szCs w:val="24"/>
        </w:rPr>
        <w:t xml:space="preserve"> was unchanged from the previous submission and</w:t>
      </w:r>
      <w:r w:rsidR="00172AD3" w:rsidRPr="00425648">
        <w:rPr>
          <w:iCs/>
          <w:szCs w:val="24"/>
        </w:rPr>
        <w:t xml:space="preserve"> favoured belimumab and was inappropriate </w:t>
      </w:r>
      <w:r w:rsidRPr="00425648">
        <w:rPr>
          <w:iCs/>
          <w:szCs w:val="24"/>
        </w:rPr>
        <w:t>as</w:t>
      </w:r>
      <w:r w:rsidR="00172AD3" w:rsidRPr="00425648">
        <w:rPr>
          <w:iCs/>
          <w:szCs w:val="24"/>
        </w:rPr>
        <w:t>:</w:t>
      </w:r>
    </w:p>
    <w:p w:rsidR="00A57501" w:rsidRPr="00425648" w:rsidRDefault="00A57501" w:rsidP="00A23229">
      <w:pPr>
        <w:pStyle w:val="ListParagraph"/>
        <w:numPr>
          <w:ilvl w:val="0"/>
          <w:numId w:val="22"/>
        </w:numPr>
        <w:spacing w:after="120"/>
        <w:ind w:left="1276" w:hanging="425"/>
        <w:contextualSpacing/>
        <w:rPr>
          <w:iCs/>
          <w:szCs w:val="24"/>
        </w:rPr>
      </w:pPr>
      <w:r w:rsidRPr="00425648">
        <w:rPr>
          <w:iCs/>
          <w:szCs w:val="24"/>
        </w:rPr>
        <w:t xml:space="preserve">The resubmission incorrectly assumed that quality of life estimates by SLEDAI score in the literature correspond to treatment response in the model (defined by </w:t>
      </w:r>
      <w:r w:rsidR="00D35B3E" w:rsidRPr="00425648">
        <w:rPr>
          <w:iCs/>
          <w:szCs w:val="24"/>
        </w:rPr>
        <w:t xml:space="preserve">a </w:t>
      </w:r>
      <w:r w:rsidRPr="00425648">
        <w:rPr>
          <w:iCs/>
          <w:szCs w:val="24"/>
        </w:rPr>
        <w:t>≥4 point reduction in SELENA</w:t>
      </w:r>
      <w:r w:rsidR="0052036A" w:rsidRPr="00425648">
        <w:rPr>
          <w:iCs/>
          <w:szCs w:val="24"/>
        </w:rPr>
        <w:t>-</w:t>
      </w:r>
      <w:r w:rsidRPr="00425648">
        <w:rPr>
          <w:iCs/>
          <w:szCs w:val="24"/>
        </w:rPr>
        <w:t>SLEDAI from baseline);</w:t>
      </w:r>
      <w:r w:rsidR="00D35B3E" w:rsidRPr="00425648">
        <w:rPr>
          <w:iCs/>
          <w:szCs w:val="24"/>
        </w:rPr>
        <w:t xml:space="preserve"> </w:t>
      </w:r>
    </w:p>
    <w:p w:rsidR="00A57501" w:rsidRPr="00425648" w:rsidRDefault="00A57501" w:rsidP="00E12A1C">
      <w:pPr>
        <w:pStyle w:val="ListParagraph"/>
        <w:numPr>
          <w:ilvl w:val="0"/>
          <w:numId w:val="22"/>
        </w:numPr>
        <w:spacing w:after="120"/>
        <w:ind w:left="1276" w:hanging="425"/>
        <w:rPr>
          <w:iCs/>
          <w:szCs w:val="24"/>
        </w:rPr>
      </w:pPr>
      <w:r w:rsidRPr="00425648">
        <w:rPr>
          <w:iCs/>
          <w:szCs w:val="24"/>
        </w:rPr>
        <w:t>The approach meant that that quality of life was not a function of SDI in the model. That is, quality of life for patients with</w:t>
      </w:r>
      <w:r w:rsidR="004D5D2A" w:rsidRPr="00425648">
        <w:rPr>
          <w:iCs/>
          <w:szCs w:val="24"/>
        </w:rPr>
        <w:t xml:space="preserve"> an</w:t>
      </w:r>
      <w:r w:rsidRPr="00425648">
        <w:rPr>
          <w:iCs/>
          <w:szCs w:val="24"/>
        </w:rPr>
        <w:t xml:space="preserve"> SDI score of </w:t>
      </w:r>
      <w:r w:rsidR="004D5D2A" w:rsidRPr="00425648">
        <w:rPr>
          <w:iCs/>
          <w:szCs w:val="24"/>
        </w:rPr>
        <w:t>zero</w:t>
      </w:r>
      <w:r w:rsidRPr="00425648">
        <w:rPr>
          <w:iCs/>
          <w:szCs w:val="24"/>
        </w:rPr>
        <w:t xml:space="preserve"> was the same as those with SDI scores of ≥5, which was inconsistent with the literature.</w:t>
      </w:r>
    </w:p>
    <w:p w:rsidR="0052036A" w:rsidRPr="00425648" w:rsidRDefault="0052036A" w:rsidP="00136D75">
      <w:pPr>
        <w:pStyle w:val="ListParagraph"/>
        <w:widowControl/>
        <w:numPr>
          <w:ilvl w:val="1"/>
          <w:numId w:val="1"/>
        </w:numPr>
      </w:pPr>
      <w:r w:rsidRPr="00544AB3">
        <w:rPr>
          <w:szCs w:val="24"/>
        </w:rPr>
        <w:t>Given that the SDI score was the main clinical outcome in the model, and the model tracks all patients across both arms by the SDI health state, it would be more reasonable to assign quality of life on the basis of SDI. The ESC previously</w:t>
      </w:r>
      <w:r w:rsidRPr="00544AB3">
        <w:rPr>
          <w:iCs/>
          <w:szCs w:val="24"/>
        </w:rPr>
        <w:t xml:space="preserve"> considered that EQ-5D estimates by SDI health state in </w:t>
      </w:r>
      <w:r w:rsidRPr="00544AB3">
        <w:rPr>
          <w:szCs w:val="24"/>
        </w:rPr>
        <w:t>Aggarwal</w:t>
      </w:r>
      <w:r w:rsidRPr="00544AB3">
        <w:rPr>
          <w:iCs/>
          <w:szCs w:val="24"/>
        </w:rPr>
        <w:t xml:space="preserve"> et al 2009 were more applicable to the requested PBS population than those in Wang et al 2014 (paragraph 6.55-6.56, Belimumab PSD November 2019 PBAC meeting). Applying these utility values in the resubmission’s model increased the ICER from $</w:t>
      </w:r>
      <w:r w:rsidR="0020024E">
        <w:rPr>
          <w:iCs/>
          <w:szCs w:val="24"/>
        </w:rPr>
        <w:t>55,000 to &lt; $75,000</w:t>
      </w:r>
      <w:r w:rsidRPr="00544AB3">
        <w:rPr>
          <w:iCs/>
          <w:szCs w:val="24"/>
        </w:rPr>
        <w:t>/QALY to $</w:t>
      </w:r>
      <w:r w:rsidR="0020024E">
        <w:rPr>
          <w:iCs/>
          <w:szCs w:val="24"/>
        </w:rPr>
        <w:t>135,000 to &lt; $155,000</w:t>
      </w:r>
      <w:r w:rsidRPr="00544AB3">
        <w:rPr>
          <w:iCs/>
          <w:szCs w:val="24"/>
        </w:rPr>
        <w:t>/QALY.</w:t>
      </w:r>
    </w:p>
    <w:p w:rsidR="001459B3" w:rsidRPr="003E02CA" w:rsidRDefault="001459B3" w:rsidP="001459B3">
      <w:pPr>
        <w:pStyle w:val="ListParagraph"/>
        <w:widowControl/>
        <w:numPr>
          <w:ilvl w:val="1"/>
          <w:numId w:val="1"/>
        </w:numPr>
        <w:rPr>
          <w:iCs/>
          <w:szCs w:val="24"/>
        </w:rPr>
      </w:pPr>
      <w:r w:rsidRPr="003E02CA">
        <w:rPr>
          <w:iCs/>
          <w:szCs w:val="24"/>
        </w:rPr>
        <w:t>The resubmission argued that Wang et al 2014 was the most appropriate source to inform utility values in the economic model, on the basis that:</w:t>
      </w:r>
    </w:p>
    <w:p w:rsidR="001459B3" w:rsidRPr="003E02CA" w:rsidRDefault="00BB7BD5" w:rsidP="00A23229">
      <w:pPr>
        <w:pStyle w:val="ListParagraph"/>
        <w:numPr>
          <w:ilvl w:val="0"/>
          <w:numId w:val="22"/>
        </w:numPr>
        <w:spacing w:after="120"/>
        <w:ind w:left="1276" w:hanging="425"/>
        <w:contextualSpacing/>
        <w:rPr>
          <w:iCs/>
          <w:szCs w:val="24"/>
        </w:rPr>
      </w:pPr>
      <w:r>
        <w:rPr>
          <w:iCs/>
          <w:szCs w:val="24"/>
        </w:rPr>
        <w:t>T</w:t>
      </w:r>
      <w:r w:rsidR="001459B3" w:rsidRPr="003E02CA">
        <w:rPr>
          <w:iCs/>
          <w:szCs w:val="24"/>
        </w:rPr>
        <w:t xml:space="preserve">he data collection from Wang et al 2014 is more contemporaneous than Aggarwal et al 2009, applies more up to date SLE diagnostic criteria and includes a larger number of patients. </w:t>
      </w:r>
    </w:p>
    <w:p w:rsidR="001459B3" w:rsidRPr="003E02CA" w:rsidRDefault="00BB7BD5" w:rsidP="00A23229">
      <w:pPr>
        <w:pStyle w:val="ListParagraph"/>
        <w:numPr>
          <w:ilvl w:val="0"/>
          <w:numId w:val="22"/>
        </w:numPr>
        <w:spacing w:after="120"/>
        <w:ind w:left="1276" w:hanging="425"/>
        <w:contextualSpacing/>
        <w:rPr>
          <w:iCs/>
          <w:szCs w:val="24"/>
        </w:rPr>
      </w:pPr>
      <w:r>
        <w:rPr>
          <w:iCs/>
          <w:szCs w:val="24"/>
        </w:rPr>
        <w:t>P</w:t>
      </w:r>
      <w:r w:rsidR="001459B3" w:rsidRPr="003E02CA">
        <w:rPr>
          <w:iCs/>
          <w:szCs w:val="24"/>
        </w:rPr>
        <w:t xml:space="preserve">atient characteristics (age, ethnicity, SDI) in Wang et al 2014 were more closely aligned to the target PBS population/BLISS-SC. </w:t>
      </w:r>
    </w:p>
    <w:p w:rsidR="001459B3" w:rsidRPr="004C3AB5" w:rsidRDefault="00BB7BD5" w:rsidP="00A23229">
      <w:pPr>
        <w:pStyle w:val="ListParagraph"/>
        <w:numPr>
          <w:ilvl w:val="0"/>
          <w:numId w:val="22"/>
        </w:numPr>
        <w:spacing w:after="120"/>
        <w:ind w:left="1276" w:hanging="425"/>
        <w:contextualSpacing/>
        <w:rPr>
          <w:iCs/>
          <w:szCs w:val="24"/>
        </w:rPr>
      </w:pPr>
      <w:r w:rsidRPr="004C3AB5">
        <w:rPr>
          <w:iCs/>
          <w:szCs w:val="24"/>
        </w:rPr>
        <w:t>W</w:t>
      </w:r>
      <w:r w:rsidR="001459B3" w:rsidRPr="004C3AB5">
        <w:rPr>
          <w:iCs/>
          <w:szCs w:val="24"/>
        </w:rPr>
        <w:t xml:space="preserve">hilst Aggarwal et al 2009 has a more applicable baseline SLEDAI score of 6.2, this is of limited relevance given that the utility values were reported for SLEDAI thresholds of ≤5 and &gt; 5. </w:t>
      </w:r>
      <w:r w:rsidR="00544AB3" w:rsidRPr="004C3AB5">
        <w:rPr>
          <w:iCs/>
          <w:szCs w:val="24"/>
        </w:rPr>
        <w:t>However,</w:t>
      </w:r>
      <w:r w:rsidR="001459B3" w:rsidRPr="004C3AB5">
        <w:rPr>
          <w:iCs/>
          <w:szCs w:val="24"/>
        </w:rPr>
        <w:t xml:space="preserve"> the </w:t>
      </w:r>
      <w:r w:rsidR="00F03763" w:rsidRPr="004C3AB5">
        <w:rPr>
          <w:iCs/>
          <w:szCs w:val="24"/>
        </w:rPr>
        <w:t xml:space="preserve">evaluation and the ESC considered that the </w:t>
      </w:r>
      <w:r w:rsidR="001459B3" w:rsidRPr="004C3AB5">
        <w:rPr>
          <w:iCs/>
          <w:szCs w:val="24"/>
        </w:rPr>
        <w:t xml:space="preserve">(higher) baseline SLEDAI in Aggarwal et al 2009 (mean 6.2) compared with Wang et al 2014 (mean 2.9) is more closely aligned to the proposed PBS eligibility criterion of SLEDAI-2K score ≥ 10. </w:t>
      </w:r>
      <w:r w:rsidR="00544AB3" w:rsidRPr="004C3AB5">
        <w:rPr>
          <w:iCs/>
          <w:szCs w:val="24"/>
        </w:rPr>
        <w:t xml:space="preserve">Further, the </w:t>
      </w:r>
      <w:r w:rsidR="001459B3" w:rsidRPr="004C3AB5">
        <w:rPr>
          <w:iCs/>
          <w:szCs w:val="24"/>
        </w:rPr>
        <w:t xml:space="preserve">utility values by SDI are also reported in both Wang et al 2014 (thresholds ≤ 1 and &gt;1) and Aggarwal et al 2009 (thresholds ≤ 2 and &gt;2). </w:t>
      </w:r>
    </w:p>
    <w:p w:rsidR="001459B3" w:rsidRPr="00425648" w:rsidRDefault="001459B3" w:rsidP="00E12A1C">
      <w:pPr>
        <w:pStyle w:val="ListParagraph"/>
        <w:numPr>
          <w:ilvl w:val="0"/>
          <w:numId w:val="22"/>
        </w:numPr>
        <w:spacing w:after="120"/>
        <w:ind w:left="1276" w:hanging="425"/>
        <w:rPr>
          <w:iCs/>
          <w:szCs w:val="24"/>
        </w:rPr>
      </w:pPr>
      <w:r w:rsidRPr="00425648">
        <w:rPr>
          <w:iCs/>
          <w:szCs w:val="24"/>
        </w:rPr>
        <w:t>Wang et al 2014 includes more patients with a lower SLEDAI score, and is therefore more able to reflect the QoL of patients with well controlled SLE than are the Aggarwal utility values, and as such, better reflect patients responding to therapy.</w:t>
      </w:r>
    </w:p>
    <w:p w:rsidR="001459B3" w:rsidRPr="0087014E" w:rsidRDefault="001459B3" w:rsidP="001459B3">
      <w:pPr>
        <w:pStyle w:val="ListParagraph"/>
        <w:widowControl/>
        <w:numPr>
          <w:ilvl w:val="1"/>
          <w:numId w:val="1"/>
        </w:numPr>
      </w:pPr>
      <w:r w:rsidRPr="00425648">
        <w:rPr>
          <w:iCs/>
          <w:szCs w:val="24"/>
        </w:rPr>
        <w:t>Th</w:t>
      </w:r>
      <w:r w:rsidR="00B914F2">
        <w:rPr>
          <w:iCs/>
          <w:szCs w:val="24"/>
        </w:rPr>
        <w:t xml:space="preserve">e latter </w:t>
      </w:r>
      <w:r w:rsidRPr="00425648">
        <w:rPr>
          <w:iCs/>
          <w:szCs w:val="24"/>
        </w:rPr>
        <w:t xml:space="preserve">argument </w:t>
      </w:r>
      <w:r w:rsidR="00AA1CB2" w:rsidRPr="00425648">
        <w:rPr>
          <w:iCs/>
          <w:szCs w:val="24"/>
        </w:rPr>
        <w:t xml:space="preserve">is </w:t>
      </w:r>
      <w:r w:rsidRPr="00425648">
        <w:rPr>
          <w:iCs/>
          <w:szCs w:val="24"/>
        </w:rPr>
        <w:t>based on the assumption that PBS patients who respond to therapy will have a reduction in disease severity such that their SLEDAI scores will be closer to the Wang et al 2014 scores (mean 2.9, median 2.0) rather than the Aggarwal et al 2009 scores (mean 6.2, median 5.0). Given that patients need to have a minimum SLEDAI-2K score of 10 to initiate PBS therapy, and demonstrate ≥ 4-point reduction in SLEDAI-2K score to continue therapy, a PBS “responder” with the least severe disease activity at baseline could have a SLEDAI-2K score of 6 to continue treatment (10 – 4 = 6), which is closer to the mean SLEDAI score in Aggarwal (6.2, median 5.0). Based on the resubmission’s reasoning, a patient would need to demonstrate a reduction in SLEDAI-2K score by 7 – 8 points to be better represented by Wang et al 2014</w:t>
      </w:r>
      <w:r w:rsidRPr="00A86407">
        <w:rPr>
          <w:iCs/>
          <w:szCs w:val="24"/>
        </w:rPr>
        <w:t>. Th</w:t>
      </w:r>
      <w:r w:rsidR="00710AA4" w:rsidRPr="00A86407">
        <w:rPr>
          <w:iCs/>
          <w:szCs w:val="24"/>
        </w:rPr>
        <w:t>e ESC considered that th</w:t>
      </w:r>
      <w:r w:rsidRPr="00A86407">
        <w:rPr>
          <w:iCs/>
          <w:szCs w:val="24"/>
        </w:rPr>
        <w:t xml:space="preserve">is is unlikely, given that in BLISS-SC, the least squares mean </w:t>
      </w:r>
      <w:r w:rsidRPr="00425648">
        <w:rPr>
          <w:iCs/>
          <w:szCs w:val="24"/>
        </w:rPr>
        <w:t>change in SELENA</w:t>
      </w:r>
      <w:r w:rsidR="00DB3842" w:rsidRPr="00425648">
        <w:rPr>
          <w:iCs/>
          <w:szCs w:val="24"/>
        </w:rPr>
        <w:t>-</w:t>
      </w:r>
      <w:r w:rsidRPr="00425648">
        <w:rPr>
          <w:iCs/>
          <w:szCs w:val="24"/>
        </w:rPr>
        <w:t>SLEDAI from baseline at Week 52 was – 4.39 (– 4.07 at Week 24).</w:t>
      </w:r>
    </w:p>
    <w:p w:rsidR="00966BFD" w:rsidRPr="004C3AB5" w:rsidRDefault="0087014E" w:rsidP="00966BFD">
      <w:pPr>
        <w:pStyle w:val="ListParagraph"/>
        <w:widowControl/>
        <w:numPr>
          <w:ilvl w:val="1"/>
          <w:numId w:val="1"/>
        </w:numPr>
      </w:pPr>
      <w:r w:rsidRPr="004C3AB5">
        <w:rPr>
          <w:iCs/>
          <w:szCs w:val="24"/>
        </w:rPr>
        <w:t>The PSCR</w:t>
      </w:r>
      <w:r w:rsidRPr="004C3AB5">
        <w:t xml:space="preserve"> </w:t>
      </w:r>
      <w:r w:rsidR="00544AB3" w:rsidRPr="004C3AB5">
        <w:t xml:space="preserve">stated </w:t>
      </w:r>
      <w:r w:rsidRPr="004C3AB5">
        <w:t>that neither</w:t>
      </w:r>
      <w:r w:rsidR="008B621B" w:rsidRPr="004C3AB5">
        <w:t xml:space="preserve"> the</w:t>
      </w:r>
      <w:r w:rsidRPr="004C3AB5">
        <w:t xml:space="preserve"> Aggarwal </w:t>
      </w:r>
      <w:r w:rsidR="007F12E1" w:rsidRPr="004C3AB5">
        <w:t>20</w:t>
      </w:r>
      <w:r w:rsidR="008B621B" w:rsidRPr="004C3AB5">
        <w:t>09</w:t>
      </w:r>
      <w:r w:rsidR="007F12E1" w:rsidRPr="004C3AB5">
        <w:t xml:space="preserve"> </w:t>
      </w:r>
      <w:r w:rsidR="008B621B" w:rsidRPr="004C3AB5">
        <w:t>n</w:t>
      </w:r>
      <w:r w:rsidRPr="004C3AB5">
        <w:t xml:space="preserve">or Wang </w:t>
      </w:r>
      <w:r w:rsidR="007F12E1" w:rsidRPr="004C3AB5">
        <w:t xml:space="preserve">2014 </w:t>
      </w:r>
      <w:r w:rsidR="00F055C8" w:rsidRPr="004C3AB5">
        <w:t xml:space="preserve">utilities </w:t>
      </w:r>
      <w:r w:rsidR="008B621B" w:rsidRPr="004C3AB5">
        <w:t>were</w:t>
      </w:r>
      <w:r w:rsidRPr="004C3AB5">
        <w:t xml:space="preserve"> highly representative of the Australian population, </w:t>
      </w:r>
      <w:r w:rsidR="00116833" w:rsidRPr="004C3AB5">
        <w:t>when compared with</w:t>
      </w:r>
      <w:r w:rsidRPr="004C3AB5">
        <w:t xml:space="preserve"> a </w:t>
      </w:r>
      <w:r w:rsidR="005727D8" w:rsidRPr="004C3AB5">
        <w:t>group</w:t>
      </w:r>
      <w:r w:rsidRPr="004C3AB5">
        <w:t xml:space="preserve"> of patients likely to be eligible for belimumab on the PBS – the Monash HDAS cohort. </w:t>
      </w:r>
      <w:r w:rsidR="006D6832" w:rsidRPr="004C3AB5">
        <w:t>T</w:t>
      </w:r>
      <w:r w:rsidR="00F055C8" w:rsidRPr="004C3AB5">
        <w:t xml:space="preserve">he </w:t>
      </w:r>
      <w:r w:rsidR="00116833" w:rsidRPr="004C3AB5">
        <w:t>PSCR</w:t>
      </w:r>
      <w:r w:rsidR="00F055C8" w:rsidRPr="004C3AB5">
        <w:t xml:space="preserve"> argued that on balance, Wang </w:t>
      </w:r>
      <w:r w:rsidR="007F12E1" w:rsidRPr="004C3AB5">
        <w:t xml:space="preserve">2014 </w:t>
      </w:r>
      <w:r w:rsidR="00F055C8" w:rsidRPr="004C3AB5">
        <w:t>was more applicable when analysing a range of variables</w:t>
      </w:r>
      <w:r w:rsidR="005727D8" w:rsidRPr="004C3AB5">
        <w:t>,</w:t>
      </w:r>
      <w:r w:rsidR="00FB2AEF" w:rsidRPr="004C3AB5">
        <w:t xml:space="preserve"> </w:t>
      </w:r>
      <w:r w:rsidR="008B621B" w:rsidRPr="004C3AB5">
        <w:t xml:space="preserve">including </w:t>
      </w:r>
      <w:r w:rsidRPr="004C3AB5">
        <w:t>age</w:t>
      </w:r>
      <w:r w:rsidR="00FB2AEF" w:rsidRPr="004C3AB5">
        <w:t xml:space="preserve"> (</w:t>
      </w:r>
      <w:r w:rsidR="00710AA4" w:rsidRPr="004C3AB5">
        <w:t xml:space="preserve">mean age of </w:t>
      </w:r>
      <w:r w:rsidR="00FB2AEF" w:rsidRPr="004C3AB5">
        <w:t>34 and 43 years</w:t>
      </w:r>
      <w:r w:rsidR="00710AA4" w:rsidRPr="004C3AB5">
        <w:t xml:space="preserve"> in Wang 2014 and Aggarwal 2009</w:t>
      </w:r>
      <w:r w:rsidR="00FB2AEF" w:rsidRPr="004C3AB5">
        <w:t>, respectively, compared with 35 years in the Monash HDAS cohort)</w:t>
      </w:r>
      <w:r w:rsidRPr="004C3AB5">
        <w:t>.</w:t>
      </w:r>
      <w:r w:rsidR="00F055C8" w:rsidRPr="004C3AB5">
        <w:t xml:space="preserve"> The ESC considered that </w:t>
      </w:r>
      <w:r w:rsidR="00FB2AEF" w:rsidRPr="004C3AB5">
        <w:t xml:space="preserve">since the economic model is longitudinal, and more time is spent in the older than younger health states, this argument was not supported. </w:t>
      </w:r>
      <w:r w:rsidR="00A75EBE" w:rsidRPr="004C3AB5">
        <w:t xml:space="preserve">The other variables discussed in the PSCR (SLE duration, SLEDAI score, and SDI score) indicated that neither Wang 2014 nor Aggarwal 2009 showed particular applicability to the Monash HDAS cohort. </w:t>
      </w:r>
    </w:p>
    <w:p w:rsidR="00966BFD" w:rsidRPr="004C3AB5" w:rsidRDefault="00966BFD" w:rsidP="00E12A1C">
      <w:pPr>
        <w:pStyle w:val="ListParagraph"/>
        <w:widowControl/>
        <w:numPr>
          <w:ilvl w:val="1"/>
          <w:numId w:val="1"/>
        </w:numPr>
        <w:spacing w:after="120"/>
      </w:pPr>
      <w:r w:rsidRPr="004C3AB5">
        <w:t xml:space="preserve">Overall, the ESC </w:t>
      </w:r>
      <w:r w:rsidR="005727D8" w:rsidRPr="004C3AB5">
        <w:t xml:space="preserve">considered that </w:t>
      </w:r>
      <w:r w:rsidR="00CD3BD9" w:rsidRPr="004C3AB5">
        <w:t>Aggarwal</w:t>
      </w:r>
      <w:r w:rsidRPr="004C3AB5">
        <w:t xml:space="preserve"> 2009</w:t>
      </w:r>
      <w:r w:rsidR="00CD3BD9" w:rsidRPr="004C3AB5">
        <w:t xml:space="preserve"> is the </w:t>
      </w:r>
      <w:r w:rsidR="00710AA4" w:rsidRPr="004C3AB5">
        <w:t xml:space="preserve">more </w:t>
      </w:r>
      <w:r w:rsidR="00CD3BD9" w:rsidRPr="004C3AB5">
        <w:t>appropriate source for base case utilities as</w:t>
      </w:r>
      <w:r w:rsidRPr="004C3AB5">
        <w:t>:</w:t>
      </w:r>
    </w:p>
    <w:p w:rsidR="0087014E" w:rsidRPr="004C3AB5" w:rsidRDefault="00CE2B7C" w:rsidP="00A23229">
      <w:pPr>
        <w:pStyle w:val="ListParagraph"/>
        <w:numPr>
          <w:ilvl w:val="0"/>
          <w:numId w:val="22"/>
        </w:numPr>
        <w:spacing w:after="120"/>
        <w:ind w:left="1276" w:hanging="425"/>
        <w:contextualSpacing/>
      </w:pPr>
      <w:r w:rsidRPr="004C3AB5">
        <w:t>t</w:t>
      </w:r>
      <w:r w:rsidR="000A1689" w:rsidRPr="004C3AB5">
        <w:t xml:space="preserve">he ESC agreed with the PSCR that neither study is highly representative of the Australian PBS population, but overall, considered that Aggarwal 2009 is the more appropriate source for base case utilities as they are based on SDI health states which is consistent </w:t>
      </w:r>
      <w:r w:rsidRPr="004C3AB5">
        <w:t>with the structure of the model; and</w:t>
      </w:r>
    </w:p>
    <w:p w:rsidR="000A1689" w:rsidRDefault="000A1689" w:rsidP="00E12A1C">
      <w:pPr>
        <w:pStyle w:val="ListParagraph"/>
        <w:numPr>
          <w:ilvl w:val="0"/>
          <w:numId w:val="22"/>
        </w:numPr>
        <w:spacing w:after="120"/>
        <w:ind w:left="1276" w:hanging="425"/>
      </w:pPr>
      <w:r w:rsidRPr="004C3AB5">
        <w:t>more conservative utilities (Aggarwal 2009) should be used, particularly in the context of the other uncertainties in the economic model.</w:t>
      </w:r>
    </w:p>
    <w:p w:rsidR="00C10B40" w:rsidRDefault="00C10B40" w:rsidP="00076D2D">
      <w:pPr>
        <w:pStyle w:val="ListParagraph"/>
        <w:widowControl/>
        <w:numPr>
          <w:ilvl w:val="1"/>
          <w:numId w:val="1"/>
        </w:numPr>
      </w:pPr>
      <w:r>
        <w:t>The pre-PBAC response argued that the revised structure of the model includes health states that are defined by both SDI and SLEDAI response</w:t>
      </w:r>
      <w:r w:rsidR="00076D2D" w:rsidRPr="00076D2D">
        <w:t xml:space="preserve"> </w:t>
      </w:r>
      <w:r w:rsidR="00076D2D">
        <w:t xml:space="preserve">and thus </w:t>
      </w:r>
      <w:r w:rsidR="00076D2D" w:rsidRPr="00076D2D">
        <w:t>the revised model structure is able to accommodate either measure of utility</w:t>
      </w:r>
      <w:r>
        <w:t xml:space="preserve">. The pre-PBAC response also stated that the structure of the proposed PBS restriction and continuation rule is aligned with SLEDAI-based utility values, and the model structure is more suited to the use of SLEDAI response utility values from Wang 2014 because patients are initiated to treatment based on baseline SLEDAI and only patients with a SLEDAI response can continue treatment. However, the PBAC noted that the way the utilities were applied in the </w:t>
      </w:r>
      <w:r w:rsidR="009664DA">
        <w:t xml:space="preserve">base case of the </w:t>
      </w:r>
      <w:r>
        <w:t xml:space="preserve">model </w:t>
      </w:r>
      <w:r w:rsidR="009664DA">
        <w:t xml:space="preserve">(based on </w:t>
      </w:r>
      <w:r w:rsidR="009664DA" w:rsidRPr="009664DA">
        <w:t>Wang 2014</w:t>
      </w:r>
      <w:r w:rsidR="009664DA">
        <w:t>)</w:t>
      </w:r>
      <w:r w:rsidR="009664DA" w:rsidRPr="009664DA">
        <w:t xml:space="preserve"> </w:t>
      </w:r>
      <w:r>
        <w:t xml:space="preserve">meant that patients would have the same quality of life regardless of </w:t>
      </w:r>
      <w:r w:rsidR="001651A2">
        <w:t>their</w:t>
      </w:r>
      <w:r>
        <w:t xml:space="preserve"> SDI </w:t>
      </w:r>
      <w:r w:rsidR="009664DA">
        <w:t xml:space="preserve">health </w:t>
      </w:r>
      <w:r>
        <w:t>state</w:t>
      </w:r>
      <w:r w:rsidR="001651A2">
        <w:t>.</w:t>
      </w:r>
    </w:p>
    <w:p w:rsidR="006F70D8" w:rsidRPr="004C3AB5" w:rsidRDefault="006F70D8" w:rsidP="00BB71ED">
      <w:pPr>
        <w:pStyle w:val="ListParagraph"/>
        <w:widowControl/>
        <w:numPr>
          <w:ilvl w:val="1"/>
          <w:numId w:val="1"/>
        </w:numPr>
      </w:pPr>
      <w:r w:rsidRPr="006F70D8">
        <w:t xml:space="preserve">The PBAC </w:t>
      </w:r>
      <w:r w:rsidR="00E12A1C">
        <w:t>considered that the large difference in QALYs generated using the Wang 2014 utilities was not adequately justified. The PBAC considered that it would be implausible for patients to have the same quality of life regardless of their SDI</w:t>
      </w:r>
      <w:r w:rsidR="00394F17">
        <w:t xml:space="preserve"> level</w:t>
      </w:r>
      <w:r w:rsidR="00E12A1C">
        <w:t>. While acknowledg</w:t>
      </w:r>
      <w:r w:rsidR="00394F17">
        <w:t>ing</w:t>
      </w:r>
      <w:r w:rsidR="00E12A1C">
        <w:t xml:space="preserve"> that using the </w:t>
      </w:r>
      <w:r w:rsidR="00E12A1C" w:rsidRPr="006F70D8">
        <w:t xml:space="preserve">Aggarwal 2009 </w:t>
      </w:r>
      <w:r w:rsidR="00E12A1C">
        <w:t xml:space="preserve">utilities would result in patients having the same quality of life regardless </w:t>
      </w:r>
      <w:r w:rsidR="00323AFE">
        <w:t xml:space="preserve">of SLEDAI </w:t>
      </w:r>
      <w:r w:rsidR="00E12A1C">
        <w:t xml:space="preserve">response, </w:t>
      </w:r>
      <w:r w:rsidR="005B3C53">
        <w:t xml:space="preserve">the PBAC considered that it was more reasonable to base the utilities on </w:t>
      </w:r>
      <w:r w:rsidR="00323AFE">
        <w:t>SDI progression (using Aggarwal 2009), given the longer term aim of treatment is to avoid organ damage. Overall, the PBAC considered</w:t>
      </w:r>
      <w:r w:rsidRPr="006F70D8">
        <w:t xml:space="preserve"> that the utilities based on SDI health state from Aggarwal 2009 were more appropriate</w:t>
      </w:r>
      <w:r w:rsidR="002E3AE4">
        <w:t xml:space="preserve"> than the utilities based on SLEDAI response from Wang 2014</w:t>
      </w:r>
      <w:r w:rsidRPr="006F70D8">
        <w:t>.</w:t>
      </w:r>
    </w:p>
    <w:p w:rsidR="00172AD3" w:rsidRPr="00783981" w:rsidRDefault="00172AD3" w:rsidP="00DA711E">
      <w:pPr>
        <w:pStyle w:val="ListParagraph"/>
        <w:widowControl/>
        <w:numPr>
          <w:ilvl w:val="1"/>
          <w:numId w:val="1"/>
        </w:numPr>
      </w:pPr>
      <w:r w:rsidRPr="00425648">
        <w:rPr>
          <w:szCs w:val="24"/>
        </w:rPr>
        <w:t>Table 1</w:t>
      </w:r>
      <w:r w:rsidR="007851BF" w:rsidRPr="00425648">
        <w:rPr>
          <w:szCs w:val="24"/>
        </w:rPr>
        <w:t>3</w:t>
      </w:r>
      <w:r w:rsidRPr="00425648">
        <w:rPr>
          <w:szCs w:val="24"/>
        </w:rPr>
        <w:t xml:space="preserve"> provides a summary of the key drivers in the modelled economic evaluation. </w:t>
      </w:r>
      <w:r w:rsidR="00FC4855" w:rsidRPr="00425648">
        <w:rPr>
          <w:iCs/>
          <w:szCs w:val="24"/>
        </w:rPr>
        <w:t xml:space="preserve">The base case analysis was highly sensitive to the utility values used, the probability of </w:t>
      </w:r>
      <w:r w:rsidR="00FC4855" w:rsidRPr="00783981">
        <w:rPr>
          <w:iCs/>
          <w:szCs w:val="24"/>
        </w:rPr>
        <w:t xml:space="preserve">belimumab treatment discontinuation and the probability of “losing response” on SOC. </w:t>
      </w:r>
    </w:p>
    <w:p w:rsidR="00172AD3" w:rsidRDefault="00172AD3" w:rsidP="00DC721D">
      <w:pPr>
        <w:keepNext/>
        <w:keepLines/>
        <w:rPr>
          <w:rStyle w:val="CommentReference"/>
        </w:rPr>
      </w:pPr>
      <w:r w:rsidRPr="00A56B6A">
        <w:rPr>
          <w:rStyle w:val="CommentReference"/>
        </w:rPr>
        <w:t xml:space="preserve">Table </w:t>
      </w:r>
      <w:r>
        <w:rPr>
          <w:rStyle w:val="CommentReference"/>
        </w:rPr>
        <w:t>1</w:t>
      </w:r>
      <w:r w:rsidR="007851BF">
        <w:rPr>
          <w:rStyle w:val="CommentReference"/>
        </w:rPr>
        <w:t>3</w:t>
      </w:r>
      <w:r w:rsidRPr="00A56B6A">
        <w:rPr>
          <w:rStyle w:val="CommentReference"/>
        </w:rPr>
        <w:t>: Key drivers of the model</w:t>
      </w:r>
      <w:r>
        <w:rPr>
          <w:rStyle w:val="CommentReferenc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1"/>
        <w:gridCol w:w="6510"/>
        <w:gridCol w:w="1356"/>
      </w:tblGrid>
      <w:tr w:rsidR="00172AD3" w:rsidRPr="00425648" w:rsidTr="008D6883">
        <w:trPr>
          <w:tblHeader/>
        </w:trPr>
        <w:tc>
          <w:tcPr>
            <w:tcW w:w="626" w:type="pct"/>
            <w:shd w:val="clear" w:color="auto" w:fill="auto"/>
            <w:vAlign w:val="center"/>
          </w:tcPr>
          <w:p w:rsidR="00172AD3" w:rsidRPr="00425648" w:rsidRDefault="00172AD3" w:rsidP="00DC721D">
            <w:pPr>
              <w:pStyle w:val="Tabletext"/>
              <w:keepNext/>
              <w:keepLines/>
              <w:rPr>
                <w:b/>
                <w:lang w:val="en-US"/>
              </w:rPr>
            </w:pPr>
            <w:r w:rsidRPr="00425648">
              <w:rPr>
                <w:b/>
                <w:lang w:val="en-US"/>
              </w:rPr>
              <w:t>Description</w:t>
            </w:r>
          </w:p>
        </w:tc>
        <w:tc>
          <w:tcPr>
            <w:tcW w:w="3616" w:type="pct"/>
            <w:shd w:val="clear" w:color="auto" w:fill="auto"/>
            <w:vAlign w:val="center"/>
          </w:tcPr>
          <w:p w:rsidR="00172AD3" w:rsidRPr="00425648" w:rsidRDefault="00172AD3" w:rsidP="00DC721D">
            <w:pPr>
              <w:pStyle w:val="Tabletext"/>
              <w:keepNext/>
              <w:keepLines/>
              <w:jc w:val="center"/>
              <w:rPr>
                <w:b/>
                <w:lang w:val="en-US"/>
              </w:rPr>
            </w:pPr>
            <w:r w:rsidRPr="00425648">
              <w:rPr>
                <w:b/>
                <w:lang w:val="en-US"/>
              </w:rPr>
              <w:t>Method/Value</w:t>
            </w:r>
          </w:p>
        </w:tc>
        <w:tc>
          <w:tcPr>
            <w:tcW w:w="758" w:type="pct"/>
            <w:shd w:val="clear" w:color="auto" w:fill="auto"/>
            <w:vAlign w:val="center"/>
          </w:tcPr>
          <w:p w:rsidR="00172AD3" w:rsidRPr="00425648" w:rsidRDefault="00172AD3" w:rsidP="00DC721D">
            <w:pPr>
              <w:pStyle w:val="Tabletext"/>
              <w:keepNext/>
              <w:keepLines/>
              <w:jc w:val="center"/>
              <w:rPr>
                <w:b/>
                <w:lang w:val="en-US"/>
              </w:rPr>
            </w:pPr>
            <w:r w:rsidRPr="00425648">
              <w:rPr>
                <w:b/>
                <w:lang w:val="en-US"/>
              </w:rPr>
              <w:t>Impact</w:t>
            </w:r>
          </w:p>
        </w:tc>
      </w:tr>
      <w:tr w:rsidR="00172AD3" w:rsidRPr="00425648" w:rsidTr="008D6883">
        <w:tc>
          <w:tcPr>
            <w:tcW w:w="626" w:type="pct"/>
            <w:shd w:val="clear" w:color="auto" w:fill="auto"/>
            <w:vAlign w:val="center"/>
          </w:tcPr>
          <w:p w:rsidR="00172AD3" w:rsidRPr="009664DA" w:rsidRDefault="0066259A" w:rsidP="00DC721D">
            <w:pPr>
              <w:pStyle w:val="Tabletext"/>
              <w:keepNext/>
              <w:keepLines/>
              <w:rPr>
                <w:lang w:val="en-US"/>
              </w:rPr>
            </w:pPr>
            <w:r w:rsidRPr="009664DA">
              <w:rPr>
                <w:lang w:val="en-US"/>
              </w:rPr>
              <w:t>Choice of utility values</w:t>
            </w:r>
          </w:p>
        </w:tc>
        <w:tc>
          <w:tcPr>
            <w:tcW w:w="3616" w:type="pct"/>
            <w:shd w:val="clear" w:color="auto" w:fill="auto"/>
            <w:vAlign w:val="center"/>
          </w:tcPr>
          <w:p w:rsidR="00172AD3" w:rsidRPr="009664DA" w:rsidRDefault="00BD4E66" w:rsidP="00DA1BB3">
            <w:pPr>
              <w:pStyle w:val="Tabletext"/>
              <w:keepNext/>
              <w:keepLines/>
              <w:jc w:val="both"/>
              <w:rPr>
                <w:lang w:val="en-US"/>
              </w:rPr>
            </w:pPr>
            <w:r w:rsidRPr="009664DA">
              <w:rPr>
                <w:lang w:val="en-US"/>
              </w:rPr>
              <w:t xml:space="preserve">For the base case, the model used estimates from Wang et al 2014 based on SLEDAI </w:t>
            </w:r>
            <w:r w:rsidRPr="009664DA">
              <w:rPr>
                <w:szCs w:val="24"/>
              </w:rPr>
              <w:t xml:space="preserve">&gt;4 or </w:t>
            </w:r>
            <w:r w:rsidRPr="009664DA">
              <w:rPr>
                <w:rFonts w:cstheme="minorHAnsi"/>
                <w:szCs w:val="24"/>
              </w:rPr>
              <w:t>≤</w:t>
            </w:r>
            <w:r w:rsidRPr="009664DA">
              <w:rPr>
                <w:szCs w:val="24"/>
              </w:rPr>
              <w:t xml:space="preserve">4. The ESC </w:t>
            </w:r>
            <w:r w:rsidR="00DA1BB3" w:rsidRPr="009664DA">
              <w:rPr>
                <w:szCs w:val="24"/>
              </w:rPr>
              <w:t xml:space="preserve">re-iterated its </w:t>
            </w:r>
            <w:r w:rsidRPr="009664DA">
              <w:rPr>
                <w:szCs w:val="24"/>
              </w:rPr>
              <w:t>previous consider</w:t>
            </w:r>
            <w:r w:rsidR="00DA1BB3" w:rsidRPr="009664DA">
              <w:rPr>
                <w:szCs w:val="24"/>
              </w:rPr>
              <w:t>ation that the</w:t>
            </w:r>
            <w:r w:rsidRPr="009664DA">
              <w:rPr>
                <w:szCs w:val="24"/>
              </w:rPr>
              <w:t xml:space="preserve"> estimates from Aggarwal based on SDI ≤ 2 and &gt;2 would be more appropriate. </w:t>
            </w:r>
          </w:p>
        </w:tc>
        <w:tc>
          <w:tcPr>
            <w:tcW w:w="758" w:type="pct"/>
            <w:shd w:val="clear" w:color="auto" w:fill="auto"/>
            <w:vAlign w:val="center"/>
          </w:tcPr>
          <w:p w:rsidR="00172AD3" w:rsidRPr="009664DA" w:rsidRDefault="00172AD3" w:rsidP="00DC721D">
            <w:pPr>
              <w:pStyle w:val="Tabletext"/>
              <w:keepNext/>
              <w:keepLines/>
              <w:jc w:val="center"/>
              <w:rPr>
                <w:lang w:val="en-US"/>
              </w:rPr>
            </w:pPr>
            <w:r w:rsidRPr="009664DA">
              <w:rPr>
                <w:lang w:val="en-US"/>
              </w:rPr>
              <w:t>High, favours belimumab.</w:t>
            </w:r>
          </w:p>
        </w:tc>
      </w:tr>
      <w:tr w:rsidR="005123DC" w:rsidRPr="00425648" w:rsidTr="008D6883">
        <w:tc>
          <w:tcPr>
            <w:tcW w:w="626" w:type="pct"/>
            <w:shd w:val="clear" w:color="auto" w:fill="auto"/>
            <w:vAlign w:val="center"/>
          </w:tcPr>
          <w:p w:rsidR="005123DC" w:rsidRPr="009664DA" w:rsidRDefault="002300B1" w:rsidP="00DC721D">
            <w:pPr>
              <w:pStyle w:val="Tabletext"/>
              <w:keepNext/>
              <w:keepLines/>
              <w:rPr>
                <w:lang w:val="en-US"/>
              </w:rPr>
            </w:pPr>
            <w:r w:rsidRPr="009664DA">
              <w:rPr>
                <w:lang w:val="en-US"/>
              </w:rPr>
              <w:t>Probability of SDI progression</w:t>
            </w:r>
          </w:p>
        </w:tc>
        <w:tc>
          <w:tcPr>
            <w:tcW w:w="3616" w:type="pct"/>
            <w:shd w:val="clear" w:color="auto" w:fill="auto"/>
            <w:vAlign w:val="center"/>
          </w:tcPr>
          <w:p w:rsidR="005123DC" w:rsidRPr="009664DA" w:rsidRDefault="002300B1" w:rsidP="002300B1">
            <w:pPr>
              <w:keepNext/>
              <w:keepLines/>
              <w:widowControl/>
              <w:contextualSpacing/>
              <w:rPr>
                <w:rFonts w:ascii="Arial Narrow" w:hAnsi="Arial Narrow" w:cs="Times New Roman"/>
                <w:sz w:val="20"/>
              </w:rPr>
            </w:pPr>
            <w:r w:rsidRPr="009664DA">
              <w:rPr>
                <w:rFonts w:ascii="Arial Narrow" w:hAnsi="Arial Narrow" w:cs="Times New Roman"/>
                <w:sz w:val="20"/>
              </w:rPr>
              <w:t xml:space="preserve">SDI progression for SOC responders and non-responders was based on Bruce et al 2015. SDI progression for BEL responders was estimated by applying OR for SDI </w:t>
            </w:r>
            <w:r w:rsidRPr="009664DA">
              <w:rPr>
                <w:rFonts w:ascii="Arial Narrow" w:hAnsi="Arial Narrow"/>
                <w:sz w:val="20"/>
                <w:szCs w:val="20"/>
              </w:rPr>
              <w:t>worsening at Week 52 of BEL versus placebo in BLISS-SC (OR=0.47; 95%CI: 0.22, 1.02)</w:t>
            </w:r>
            <w:r w:rsidRPr="009664DA">
              <w:rPr>
                <w:rFonts w:ascii="Arial Narrow" w:hAnsi="Arial Narrow" w:cs="Times New Roman"/>
                <w:sz w:val="20"/>
              </w:rPr>
              <w:t>.</w:t>
            </w:r>
          </w:p>
        </w:tc>
        <w:tc>
          <w:tcPr>
            <w:tcW w:w="758" w:type="pct"/>
            <w:shd w:val="clear" w:color="auto" w:fill="auto"/>
            <w:vAlign w:val="center"/>
          </w:tcPr>
          <w:p w:rsidR="005123DC" w:rsidRPr="009664DA" w:rsidRDefault="002300B1" w:rsidP="002300B1">
            <w:pPr>
              <w:pStyle w:val="Tabletext"/>
              <w:keepNext/>
              <w:keepLines/>
              <w:jc w:val="center"/>
              <w:rPr>
                <w:lang w:val="en-US"/>
              </w:rPr>
            </w:pPr>
            <w:r w:rsidRPr="009664DA">
              <w:rPr>
                <w:lang w:val="en-US"/>
              </w:rPr>
              <w:t>Moderate, favours belimumab.</w:t>
            </w:r>
          </w:p>
        </w:tc>
      </w:tr>
      <w:tr w:rsidR="00172AD3" w:rsidRPr="00425648" w:rsidTr="008D6883">
        <w:tc>
          <w:tcPr>
            <w:tcW w:w="626" w:type="pct"/>
            <w:shd w:val="clear" w:color="auto" w:fill="auto"/>
            <w:vAlign w:val="center"/>
          </w:tcPr>
          <w:p w:rsidR="00172AD3" w:rsidRPr="009664DA" w:rsidRDefault="00BD4E66" w:rsidP="00DC721D">
            <w:pPr>
              <w:pStyle w:val="Tabletext"/>
              <w:keepNext/>
              <w:keepLines/>
              <w:rPr>
                <w:lang w:val="en-US"/>
              </w:rPr>
            </w:pPr>
            <w:r w:rsidRPr="009664DA">
              <w:rPr>
                <w:lang w:val="en-US"/>
              </w:rPr>
              <w:t>Probability of BEL discontinuation</w:t>
            </w:r>
          </w:p>
        </w:tc>
        <w:tc>
          <w:tcPr>
            <w:tcW w:w="3616" w:type="pct"/>
            <w:shd w:val="clear" w:color="auto" w:fill="auto"/>
            <w:vAlign w:val="center"/>
          </w:tcPr>
          <w:p w:rsidR="00172AD3" w:rsidRPr="009664DA" w:rsidRDefault="00BD4E66" w:rsidP="00F71195">
            <w:pPr>
              <w:pStyle w:val="Tabletext"/>
              <w:keepNext/>
              <w:keepLines/>
              <w:jc w:val="both"/>
              <w:rPr>
                <w:lang w:val="en-US"/>
              </w:rPr>
            </w:pPr>
            <w:r w:rsidRPr="009664DA">
              <w:rPr>
                <w:lang w:val="en-US"/>
              </w:rPr>
              <w:t xml:space="preserve">For the base case, the model assumed </w:t>
            </w:r>
            <w:r w:rsidR="009664DA">
              <w:rPr>
                <w:lang w:val="en-US"/>
              </w:rPr>
              <w:t xml:space="preserve">a </w:t>
            </w:r>
            <w:r w:rsidRPr="009664DA">
              <w:rPr>
                <w:lang w:val="en-US"/>
              </w:rPr>
              <w:t xml:space="preserve">9.2% annual discontinuation </w:t>
            </w:r>
            <w:r w:rsidR="00F71195" w:rsidRPr="009664DA">
              <w:rPr>
                <w:lang w:val="en-US"/>
              </w:rPr>
              <w:t>after the first year of follow-up</w:t>
            </w:r>
            <w:r w:rsidRPr="009664DA">
              <w:rPr>
                <w:lang w:val="en-US"/>
              </w:rPr>
              <w:t xml:space="preserve">. This is lower than the discontinuation in BLISS-SC at the end of 52 weeks. </w:t>
            </w:r>
          </w:p>
        </w:tc>
        <w:tc>
          <w:tcPr>
            <w:tcW w:w="758" w:type="pct"/>
            <w:shd w:val="clear" w:color="auto" w:fill="auto"/>
            <w:vAlign w:val="center"/>
          </w:tcPr>
          <w:p w:rsidR="00172AD3" w:rsidRPr="009664DA" w:rsidRDefault="00172AD3" w:rsidP="00DC721D">
            <w:pPr>
              <w:pStyle w:val="Tabletext"/>
              <w:keepNext/>
              <w:keepLines/>
              <w:jc w:val="center"/>
              <w:rPr>
                <w:lang w:val="en-US"/>
              </w:rPr>
            </w:pPr>
            <w:r w:rsidRPr="009664DA">
              <w:rPr>
                <w:lang w:val="en-US"/>
              </w:rPr>
              <w:t>High, favours belimumab.</w:t>
            </w:r>
          </w:p>
        </w:tc>
      </w:tr>
      <w:tr w:rsidR="00BD4E66" w:rsidRPr="00425648" w:rsidTr="008D6883">
        <w:tc>
          <w:tcPr>
            <w:tcW w:w="626" w:type="pct"/>
            <w:shd w:val="clear" w:color="auto" w:fill="auto"/>
            <w:vAlign w:val="center"/>
          </w:tcPr>
          <w:p w:rsidR="00BD4E66" w:rsidRPr="009664DA" w:rsidRDefault="00BD4E66" w:rsidP="00DC721D">
            <w:pPr>
              <w:pStyle w:val="Tabletext"/>
              <w:keepNext/>
              <w:keepLines/>
              <w:rPr>
                <w:lang w:val="en-US"/>
              </w:rPr>
            </w:pPr>
            <w:r w:rsidRPr="009664DA">
              <w:rPr>
                <w:lang w:val="en-US"/>
              </w:rPr>
              <w:t>Probability of losing SOC response</w:t>
            </w:r>
          </w:p>
        </w:tc>
        <w:tc>
          <w:tcPr>
            <w:tcW w:w="3616" w:type="pct"/>
            <w:shd w:val="clear" w:color="auto" w:fill="auto"/>
            <w:vAlign w:val="center"/>
          </w:tcPr>
          <w:p w:rsidR="00BD4E66" w:rsidRPr="009664DA" w:rsidRDefault="00BD4E66" w:rsidP="00AD1632">
            <w:pPr>
              <w:pStyle w:val="Tabletext"/>
              <w:keepNext/>
              <w:keepLines/>
              <w:jc w:val="both"/>
              <w:rPr>
                <w:lang w:val="en-US"/>
              </w:rPr>
            </w:pPr>
            <w:r w:rsidRPr="009664DA">
              <w:rPr>
                <w:lang w:val="en-US"/>
              </w:rPr>
              <w:t xml:space="preserve">For the base case, the model </w:t>
            </w:r>
            <w:r w:rsidR="00DD0261" w:rsidRPr="009664DA">
              <w:rPr>
                <w:lang w:val="en-US"/>
              </w:rPr>
              <w:t>estimated</w:t>
            </w:r>
            <w:r w:rsidRPr="009664DA">
              <w:rPr>
                <w:lang w:val="en-US"/>
              </w:rPr>
              <w:t xml:space="preserve"> 8.08%</w:t>
            </w:r>
            <w:r w:rsidR="00DD0261" w:rsidRPr="009664DA">
              <w:rPr>
                <w:lang w:val="en-US"/>
              </w:rPr>
              <w:t xml:space="preserve"> based on </w:t>
            </w:r>
            <w:r w:rsidR="00DD0261" w:rsidRPr="009664DA">
              <w:rPr>
                <w:szCs w:val="20"/>
              </w:rPr>
              <w:t xml:space="preserve">the reduction in % responders between Weeks 24 (53.2%) &amp; Week 52 (48.9%) as a </w:t>
            </w:r>
            <w:r w:rsidR="008D6883" w:rsidRPr="009664DA">
              <w:rPr>
                <w:szCs w:val="20"/>
              </w:rPr>
              <w:t>%</w:t>
            </w:r>
            <w:r w:rsidR="00DD0261" w:rsidRPr="009664DA">
              <w:rPr>
                <w:szCs w:val="20"/>
              </w:rPr>
              <w:t xml:space="preserve"> of responders at Week 24 in BLISS-SC (1 – 48.9/53.2)</w:t>
            </w:r>
            <w:r w:rsidR="00AD1632" w:rsidRPr="009664DA">
              <w:rPr>
                <w:szCs w:val="20"/>
              </w:rPr>
              <w:t>, based on the proportion of patients with SELENA-SLEDAI ≥4 point reduction from baseline</w:t>
            </w:r>
            <w:r w:rsidR="00DD0261" w:rsidRPr="009664DA">
              <w:rPr>
                <w:szCs w:val="20"/>
              </w:rPr>
              <w:t xml:space="preserve">. </w:t>
            </w:r>
            <w:r w:rsidR="008D6883" w:rsidRPr="009664DA">
              <w:rPr>
                <w:szCs w:val="20"/>
              </w:rPr>
              <w:t>However, based on the SRI response in BLISS-SC, there is no evidence indicating that the % of SOC responders continue to decrease between Weeks 24 and 52.</w:t>
            </w:r>
          </w:p>
        </w:tc>
        <w:tc>
          <w:tcPr>
            <w:tcW w:w="758" w:type="pct"/>
            <w:shd w:val="clear" w:color="auto" w:fill="auto"/>
            <w:vAlign w:val="center"/>
          </w:tcPr>
          <w:p w:rsidR="00BD4E66" w:rsidRPr="009664DA" w:rsidRDefault="00BD4E66" w:rsidP="00DC721D">
            <w:pPr>
              <w:pStyle w:val="Tabletext"/>
              <w:keepNext/>
              <w:keepLines/>
              <w:jc w:val="center"/>
              <w:rPr>
                <w:lang w:val="en-US"/>
              </w:rPr>
            </w:pPr>
            <w:r w:rsidRPr="009664DA">
              <w:rPr>
                <w:lang w:val="en-US"/>
              </w:rPr>
              <w:t xml:space="preserve">High, </w:t>
            </w:r>
            <w:r w:rsidR="00055F12" w:rsidRPr="009664DA">
              <w:rPr>
                <w:lang w:val="en-US"/>
              </w:rPr>
              <w:t>favours belimumab</w:t>
            </w:r>
            <w:r w:rsidRPr="009664DA">
              <w:rPr>
                <w:lang w:val="en-US"/>
              </w:rPr>
              <w:t>.</w:t>
            </w:r>
          </w:p>
        </w:tc>
      </w:tr>
    </w:tbl>
    <w:p w:rsidR="00172AD3" w:rsidRPr="00425648" w:rsidRDefault="00172AD3" w:rsidP="00DC721D">
      <w:pPr>
        <w:pStyle w:val="TableFooter"/>
        <w:keepNext/>
        <w:keepLines/>
        <w:rPr>
          <w:iCs/>
        </w:rPr>
      </w:pPr>
      <w:r w:rsidRPr="00425648">
        <w:rPr>
          <w:iCs/>
        </w:rPr>
        <w:t>Source: compiled during the evaluation</w:t>
      </w:r>
    </w:p>
    <w:p w:rsidR="005C22F2" w:rsidRPr="009368A1" w:rsidRDefault="005C22F2" w:rsidP="009368A1">
      <w:pPr>
        <w:widowControl/>
        <w:rPr>
          <w:iCs/>
          <w:szCs w:val="24"/>
        </w:rPr>
      </w:pPr>
    </w:p>
    <w:p w:rsidR="00172AD3" w:rsidRPr="00425648" w:rsidRDefault="00274219" w:rsidP="00DA711E">
      <w:pPr>
        <w:pStyle w:val="ListParagraph"/>
        <w:widowControl/>
        <w:numPr>
          <w:ilvl w:val="1"/>
          <w:numId w:val="1"/>
        </w:numPr>
        <w:rPr>
          <w:iCs/>
          <w:szCs w:val="24"/>
        </w:rPr>
      </w:pPr>
      <w:r w:rsidRPr="00425648">
        <w:rPr>
          <w:iCs/>
          <w:szCs w:val="24"/>
        </w:rPr>
        <w:t xml:space="preserve">Figure 1 presents a Markov trace of the health states by treatment descriptors for the revised model. A comparison against the dead states in the November 2019 model is also included. </w:t>
      </w:r>
      <w:r w:rsidRPr="00425648">
        <w:rPr>
          <w:szCs w:val="24"/>
        </w:rPr>
        <w:t>The figure illustrates that there are more belimumab responders than SOC responders, and more SOC patients die compared to belimumab patients over the time horizon of the model. However, while there are more SOC non-responders than belimumab non-responders in the earlier half of the model, the lines cross over half way (at age 69 years) and there are more belimumab non-responders than SOC non-responders thereafter. Fewer than 10% of patients remain on belimumab treatment beyond 18 years in the model, with 1% of patients still on belimumab treatment at 38 years into the modelled time horizon.</w:t>
      </w:r>
    </w:p>
    <w:p w:rsidR="00172AD3" w:rsidRPr="00DA3DE1" w:rsidRDefault="00172AD3" w:rsidP="00DC721D">
      <w:pPr>
        <w:keepNext/>
        <w:keepLines/>
        <w:rPr>
          <w:rFonts w:ascii="Arial Narrow" w:hAnsi="Arial Narrow" w:cs="Calibri"/>
          <w:b/>
          <w:bCs/>
          <w:iCs/>
          <w:sz w:val="20"/>
          <w:szCs w:val="20"/>
        </w:rPr>
      </w:pPr>
      <w:r w:rsidRPr="00DA3DE1">
        <w:rPr>
          <w:rFonts w:ascii="Arial Narrow" w:hAnsi="Arial Narrow" w:cs="Calibri"/>
          <w:b/>
          <w:bCs/>
          <w:iCs/>
          <w:sz w:val="20"/>
          <w:szCs w:val="20"/>
        </w:rPr>
        <w:t xml:space="preserve">Figure </w:t>
      </w:r>
      <w:r w:rsidR="0033010C">
        <w:rPr>
          <w:rFonts w:ascii="Arial Narrow" w:hAnsi="Arial Narrow" w:cs="Calibri"/>
          <w:b/>
          <w:bCs/>
          <w:iCs/>
          <w:sz w:val="20"/>
          <w:szCs w:val="20"/>
        </w:rPr>
        <w:t>1</w:t>
      </w:r>
      <w:r w:rsidRPr="00DA3DE1">
        <w:rPr>
          <w:rFonts w:ascii="Arial Narrow" w:hAnsi="Arial Narrow" w:cs="Calibri"/>
          <w:b/>
          <w:bCs/>
          <w:iCs/>
          <w:sz w:val="20"/>
          <w:szCs w:val="20"/>
        </w:rPr>
        <w:t>: Markov traces of health states by treatment descriptors</w:t>
      </w:r>
    </w:p>
    <w:p w:rsidR="00172AD3" w:rsidRPr="00F458C2" w:rsidRDefault="00274219" w:rsidP="00DC721D">
      <w:pPr>
        <w:keepNext/>
        <w:keepLines/>
        <w:rPr>
          <w:i/>
          <w:iCs/>
          <w:szCs w:val="24"/>
        </w:rPr>
      </w:pPr>
      <w:r>
        <w:rPr>
          <w:i/>
          <w:iCs/>
          <w:noProof/>
          <w:szCs w:val="24"/>
          <w:lang w:eastAsia="en-AU"/>
        </w:rPr>
        <w:drawing>
          <wp:inline distT="0" distB="0" distL="0" distR="0" wp14:anchorId="41442F84" wp14:editId="241F6859">
            <wp:extent cx="5742940" cy="4700270"/>
            <wp:effectExtent l="0" t="0" r="0" b="5080"/>
            <wp:docPr id="2" name="Picture 2" title="Figure 1: Markov traces of health states by treatment descrip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4700270"/>
                    </a:xfrm>
                    <a:prstGeom prst="rect">
                      <a:avLst/>
                    </a:prstGeom>
                    <a:noFill/>
                  </pic:spPr>
                </pic:pic>
              </a:graphicData>
            </a:graphic>
          </wp:inline>
        </w:drawing>
      </w:r>
    </w:p>
    <w:p w:rsidR="00274219" w:rsidRPr="007B54B7" w:rsidRDefault="00274219" w:rsidP="00DC721D">
      <w:pPr>
        <w:keepNext/>
        <w:keepLines/>
        <w:rPr>
          <w:rFonts w:ascii="Arial Narrow" w:hAnsi="Arial Narrow"/>
          <w:i/>
          <w:sz w:val="18"/>
          <w:szCs w:val="18"/>
        </w:rPr>
      </w:pPr>
      <w:r w:rsidRPr="007B54B7">
        <w:rPr>
          <w:rFonts w:ascii="Arial Narrow" w:hAnsi="Arial Narrow"/>
          <w:i/>
          <w:sz w:val="18"/>
          <w:szCs w:val="18"/>
          <w:u w:val="single"/>
        </w:rPr>
        <w:t>Note:</w:t>
      </w:r>
      <w:r w:rsidRPr="007B54B7">
        <w:rPr>
          <w:rFonts w:ascii="Arial Narrow" w:hAnsi="Arial Narrow"/>
          <w:i/>
          <w:sz w:val="18"/>
          <w:szCs w:val="18"/>
        </w:rPr>
        <w:t xml:space="preserve"> Dead BEL and Dead SOC from</w:t>
      </w:r>
      <w:r>
        <w:rPr>
          <w:rFonts w:ascii="Arial Narrow" w:hAnsi="Arial Narrow"/>
          <w:i/>
          <w:sz w:val="18"/>
          <w:szCs w:val="18"/>
        </w:rPr>
        <w:t xml:space="preserve"> the</w:t>
      </w:r>
      <w:r w:rsidRPr="007B54B7">
        <w:rPr>
          <w:rFonts w:ascii="Arial Narrow" w:hAnsi="Arial Narrow"/>
          <w:i/>
          <w:sz w:val="18"/>
          <w:szCs w:val="18"/>
        </w:rPr>
        <w:t xml:space="preserve"> 2019 model have been shifted right to align with model cohort age in March 2020 model.</w:t>
      </w:r>
    </w:p>
    <w:p w:rsidR="00172AD3" w:rsidRPr="00F458C2" w:rsidRDefault="00172AD3" w:rsidP="00DC721D">
      <w:pPr>
        <w:keepNext/>
        <w:keepLines/>
        <w:rPr>
          <w:rFonts w:ascii="Arial Narrow" w:hAnsi="Arial Narrow"/>
          <w:i/>
          <w:iCs/>
          <w:sz w:val="18"/>
          <w:szCs w:val="18"/>
        </w:rPr>
      </w:pPr>
      <w:r w:rsidRPr="00F458C2">
        <w:rPr>
          <w:rFonts w:ascii="Arial Narrow" w:hAnsi="Arial Narrow"/>
          <w:i/>
          <w:iCs/>
          <w:sz w:val="18"/>
          <w:szCs w:val="18"/>
        </w:rPr>
        <w:t>Source: Compiled during the evaluation using Belimumab_SLE-Model_Jul19.</w:t>
      </w:r>
    </w:p>
    <w:p w:rsidR="00172AD3" w:rsidRPr="00F458C2" w:rsidRDefault="00172AD3" w:rsidP="00172AD3">
      <w:pPr>
        <w:rPr>
          <w:i/>
          <w:iCs/>
          <w:szCs w:val="24"/>
        </w:rPr>
      </w:pPr>
    </w:p>
    <w:p w:rsidR="00B51D9E" w:rsidRPr="004C3AB5" w:rsidRDefault="00172AD3" w:rsidP="00DA711E">
      <w:pPr>
        <w:pStyle w:val="ListParagraph"/>
        <w:widowControl/>
        <w:numPr>
          <w:ilvl w:val="1"/>
          <w:numId w:val="1"/>
        </w:numPr>
        <w:rPr>
          <w:iCs/>
          <w:szCs w:val="24"/>
        </w:rPr>
      </w:pPr>
      <w:r w:rsidRPr="004C3AB5">
        <w:rPr>
          <w:iCs/>
          <w:szCs w:val="24"/>
        </w:rPr>
        <w:t xml:space="preserve">A Markov trace by SDI health state </w:t>
      </w:r>
      <w:r w:rsidR="00B51D9E" w:rsidRPr="004C3AB5">
        <w:rPr>
          <w:iCs/>
          <w:szCs w:val="24"/>
        </w:rPr>
        <w:t xml:space="preserve">constructed by the evaluation showing the </w:t>
      </w:r>
      <w:r w:rsidR="00B51D9E" w:rsidRPr="004C3AB5">
        <w:rPr>
          <w:rFonts w:cs="Calibri"/>
          <w:iCs/>
          <w:szCs w:val="24"/>
        </w:rPr>
        <w:t xml:space="preserve">difference between the model and Bruce et al 2015 indicated that the modelled cohort was less likely to transition to the higher SDI health states and more likely to die, which was consistent with the assumptions used to estimate the transition probabilities. However, the model </w:t>
      </w:r>
      <w:r w:rsidR="00B51D9E" w:rsidRPr="004C3AB5">
        <w:rPr>
          <w:iCs/>
        </w:rPr>
        <w:t>predicted higher SDI progression rates at 52 weeks for SOC patients (11.2%) compared to SOC patients in BLISS-SC (5%</w:t>
      </w:r>
      <w:r w:rsidR="00E82E3B" w:rsidRPr="004C3AB5">
        <w:rPr>
          <w:iCs/>
        </w:rPr>
        <w:t>, Table 8</w:t>
      </w:r>
      <w:r w:rsidR="00B51D9E" w:rsidRPr="004C3AB5">
        <w:rPr>
          <w:iCs/>
        </w:rPr>
        <w:t xml:space="preserve">), </w:t>
      </w:r>
      <w:r w:rsidR="00386F13" w:rsidRPr="004C3AB5">
        <w:rPr>
          <w:iCs/>
        </w:rPr>
        <w:t>which</w:t>
      </w:r>
      <w:r w:rsidR="00B51D9E" w:rsidRPr="004C3AB5">
        <w:rPr>
          <w:iCs/>
        </w:rPr>
        <w:t xml:space="preserve"> exaggerated </w:t>
      </w:r>
      <w:r w:rsidR="00386F13" w:rsidRPr="004C3AB5">
        <w:rPr>
          <w:iCs/>
        </w:rPr>
        <w:t xml:space="preserve">the </w:t>
      </w:r>
      <w:r w:rsidR="00B51D9E" w:rsidRPr="004C3AB5">
        <w:rPr>
          <w:iCs/>
        </w:rPr>
        <w:t xml:space="preserve">difference between the belimumab and SOC arms of the model. </w:t>
      </w:r>
      <w:r w:rsidR="007E600D" w:rsidRPr="004C3AB5">
        <w:rPr>
          <w:iCs/>
        </w:rPr>
        <w:t xml:space="preserve">The PSCR </w:t>
      </w:r>
      <w:r w:rsidR="000426A5" w:rsidRPr="004C3AB5">
        <w:rPr>
          <w:iCs/>
        </w:rPr>
        <w:t xml:space="preserve">stated </w:t>
      </w:r>
      <w:r w:rsidR="007E600D" w:rsidRPr="004C3AB5">
        <w:rPr>
          <w:iCs/>
        </w:rPr>
        <w:t xml:space="preserve">that the value </w:t>
      </w:r>
      <w:r w:rsidR="000426A5" w:rsidRPr="004C3AB5">
        <w:rPr>
          <w:iCs/>
        </w:rPr>
        <w:t>predicted</w:t>
      </w:r>
      <w:r w:rsidR="007E600D" w:rsidRPr="004C3AB5">
        <w:rPr>
          <w:iCs/>
        </w:rPr>
        <w:t xml:space="preserve"> in the economic model</w:t>
      </w:r>
      <w:r w:rsidR="0002032D" w:rsidRPr="004C3AB5">
        <w:rPr>
          <w:iCs/>
        </w:rPr>
        <w:t xml:space="preserve"> for SOC patients</w:t>
      </w:r>
      <w:r w:rsidR="007E600D" w:rsidRPr="004C3AB5">
        <w:rPr>
          <w:iCs/>
        </w:rPr>
        <w:t xml:space="preserve"> (11.2%) is generally consistent with the value</w:t>
      </w:r>
      <w:r w:rsidR="000426A5" w:rsidRPr="004C3AB5">
        <w:rPr>
          <w:iCs/>
        </w:rPr>
        <w:t>s</w:t>
      </w:r>
      <w:r w:rsidR="007E600D" w:rsidRPr="004C3AB5">
        <w:rPr>
          <w:iCs/>
        </w:rPr>
        <w:t xml:space="preserve"> observed in BLISS-SC</w:t>
      </w:r>
      <w:r w:rsidR="00771847" w:rsidRPr="004C3AB5">
        <w:rPr>
          <w:iCs/>
        </w:rPr>
        <w:t xml:space="preserve">, which </w:t>
      </w:r>
      <w:r w:rsidR="00136D75" w:rsidRPr="004C3AB5">
        <w:rPr>
          <w:iCs/>
        </w:rPr>
        <w:t>are</w:t>
      </w:r>
      <w:r w:rsidR="00771847" w:rsidRPr="004C3AB5">
        <w:rPr>
          <w:iCs/>
        </w:rPr>
        <w:t xml:space="preserve"> </w:t>
      </w:r>
      <w:r w:rsidR="007E600D" w:rsidRPr="004C3AB5">
        <w:rPr>
          <w:iCs/>
        </w:rPr>
        <w:t>between 5% and 27.5%</w:t>
      </w:r>
      <w:r w:rsidR="00771847" w:rsidRPr="004C3AB5">
        <w:rPr>
          <w:iCs/>
        </w:rPr>
        <w:t xml:space="preserve"> (</w:t>
      </w:r>
      <w:r w:rsidR="000426A5" w:rsidRPr="004C3AB5">
        <w:rPr>
          <w:iCs/>
        </w:rPr>
        <w:t>which are the proportions of patients in the placebo arm who have SDI worsening Week 52</w:t>
      </w:r>
      <w:r w:rsidR="00136D75" w:rsidRPr="004C3AB5">
        <w:rPr>
          <w:iCs/>
        </w:rPr>
        <w:t xml:space="preserve"> (5%), and</w:t>
      </w:r>
      <w:r w:rsidR="000426A5" w:rsidRPr="004C3AB5">
        <w:rPr>
          <w:iCs/>
        </w:rPr>
        <w:t xml:space="preserve"> the proportion </w:t>
      </w:r>
      <w:r w:rsidR="00AD1632" w:rsidRPr="004C3AB5">
        <w:rPr>
          <w:iCs/>
        </w:rPr>
        <w:t>who are not</w:t>
      </w:r>
      <w:r w:rsidR="000426A5" w:rsidRPr="004C3AB5">
        <w:rPr>
          <w:iCs/>
        </w:rPr>
        <w:t xml:space="preserve"> free from SDI progression at Week 52</w:t>
      </w:r>
      <w:r w:rsidR="00136D75" w:rsidRPr="004C3AB5">
        <w:rPr>
          <w:iCs/>
        </w:rPr>
        <w:t xml:space="preserve"> (100% minus 72.5%</w:t>
      </w:r>
      <w:r w:rsidR="00771847" w:rsidRPr="004C3AB5">
        <w:rPr>
          <w:iCs/>
        </w:rPr>
        <w:t>, Table 8)</w:t>
      </w:r>
      <w:r w:rsidR="007E600D" w:rsidRPr="004C3AB5">
        <w:rPr>
          <w:iCs/>
        </w:rPr>
        <w:t>, depending on whether a responder or n</w:t>
      </w:r>
      <w:r w:rsidR="00771847" w:rsidRPr="004C3AB5">
        <w:rPr>
          <w:iCs/>
        </w:rPr>
        <w:t>on-responder imputation</w:t>
      </w:r>
      <w:r w:rsidR="0002032D" w:rsidRPr="004C3AB5">
        <w:rPr>
          <w:iCs/>
        </w:rPr>
        <w:t xml:space="preserve"> for missing data</w:t>
      </w:r>
      <w:r w:rsidR="00771847" w:rsidRPr="004C3AB5">
        <w:rPr>
          <w:iCs/>
        </w:rPr>
        <w:t xml:space="preserve"> is used</w:t>
      </w:r>
      <w:r w:rsidR="00136D75" w:rsidRPr="004C3AB5">
        <w:rPr>
          <w:iCs/>
        </w:rPr>
        <w:t xml:space="preserve">. </w:t>
      </w:r>
    </w:p>
    <w:p w:rsidR="007822FB" w:rsidRPr="007822FB" w:rsidRDefault="008B102F" w:rsidP="00DA711E">
      <w:pPr>
        <w:pStyle w:val="ListParagraph"/>
        <w:widowControl/>
        <w:numPr>
          <w:ilvl w:val="1"/>
          <w:numId w:val="1"/>
        </w:numPr>
        <w:rPr>
          <w:szCs w:val="24"/>
        </w:rPr>
      </w:pPr>
      <w:r>
        <w:t xml:space="preserve">The resubmission presented Markov traces </w:t>
      </w:r>
      <w:r>
        <w:rPr>
          <w:szCs w:val="24"/>
        </w:rPr>
        <w:t xml:space="preserve">by responder status, in response to the PBAC’s comments that </w:t>
      </w:r>
      <w:r w:rsidRPr="00D6585A">
        <w:rPr>
          <w:szCs w:val="24"/>
        </w:rPr>
        <w:t xml:space="preserve">belimumab </w:t>
      </w:r>
      <w:r w:rsidR="007822FB">
        <w:rPr>
          <w:szCs w:val="24"/>
        </w:rPr>
        <w:t xml:space="preserve">only </w:t>
      </w:r>
      <w:r w:rsidRPr="00D6585A">
        <w:rPr>
          <w:szCs w:val="24"/>
        </w:rPr>
        <w:t>demonstrated a modest clinical benefit compared with placebo</w:t>
      </w:r>
      <w:r>
        <w:rPr>
          <w:szCs w:val="24"/>
        </w:rPr>
        <w:t>.</w:t>
      </w:r>
      <w:r w:rsidR="007822FB">
        <w:rPr>
          <w:szCs w:val="24"/>
        </w:rPr>
        <w:t xml:space="preserve"> </w:t>
      </w:r>
      <w:r w:rsidR="002431A0">
        <w:rPr>
          <w:szCs w:val="24"/>
        </w:rPr>
        <w:t xml:space="preserve">The resubmission </w:t>
      </w:r>
      <w:r w:rsidR="007822FB" w:rsidRPr="007822FB">
        <w:rPr>
          <w:szCs w:val="24"/>
        </w:rPr>
        <w:t xml:space="preserve">stated that the incremental effect of belimumab at Week 52 of the economic model (12%) is slightly less than that of the BLISS-SC trial (13%). </w:t>
      </w:r>
      <w:r w:rsidR="007822FB">
        <w:rPr>
          <w:szCs w:val="24"/>
        </w:rPr>
        <w:t>It</w:t>
      </w:r>
      <w:r w:rsidR="007822FB" w:rsidRPr="007822FB">
        <w:rPr>
          <w:szCs w:val="24"/>
        </w:rPr>
        <w:t xml:space="preserve"> argue</w:t>
      </w:r>
      <w:r w:rsidR="007822FB">
        <w:rPr>
          <w:szCs w:val="24"/>
        </w:rPr>
        <w:t>d</w:t>
      </w:r>
      <w:r w:rsidR="007822FB" w:rsidRPr="007822FB">
        <w:rPr>
          <w:szCs w:val="24"/>
        </w:rPr>
        <w:t xml:space="preserve"> that, “the incremental effect of belimumab increases over time due to the higher probability of losing response in the S</w:t>
      </w:r>
      <w:r w:rsidR="007163C6">
        <w:rPr>
          <w:szCs w:val="24"/>
        </w:rPr>
        <w:t>O</w:t>
      </w:r>
      <w:r w:rsidR="007822FB" w:rsidRPr="007822FB">
        <w:rPr>
          <w:szCs w:val="24"/>
        </w:rPr>
        <w:t xml:space="preserve">C arm of the model. However, this incremental effect never rises above 16.1%. Given that the incremental effect of belimumab increases by 6% from week 24 to week 52, it is not unreasonable to expect this effect might increase by a further 4% over the following 4 years”. </w:t>
      </w:r>
    </w:p>
    <w:p w:rsidR="00074DAF" w:rsidRPr="00405B65" w:rsidRDefault="007822FB" w:rsidP="00BB71ED">
      <w:pPr>
        <w:pStyle w:val="ListParagraph"/>
        <w:widowControl/>
        <w:numPr>
          <w:ilvl w:val="1"/>
          <w:numId w:val="1"/>
        </w:numPr>
        <w:rPr>
          <w:szCs w:val="24"/>
        </w:rPr>
      </w:pPr>
      <w:r w:rsidRPr="00425648">
        <w:rPr>
          <w:szCs w:val="24"/>
        </w:rPr>
        <w:t xml:space="preserve">This assumption is not </w:t>
      </w:r>
      <w:r w:rsidR="001459B3" w:rsidRPr="00425648">
        <w:rPr>
          <w:szCs w:val="24"/>
        </w:rPr>
        <w:t xml:space="preserve">adequately </w:t>
      </w:r>
      <w:r w:rsidRPr="00425648">
        <w:rPr>
          <w:szCs w:val="24"/>
        </w:rPr>
        <w:t>supported by the clinical evidence. In BLISS-SC, there was a steady increase in SRI responders up to approximately Week 20, after which the proportion of responders plateaued. There is no evidence indicating that the proportion of belimumab responders continue</w:t>
      </w:r>
      <w:r w:rsidR="00E82E3B" w:rsidRPr="00425648">
        <w:rPr>
          <w:szCs w:val="24"/>
        </w:rPr>
        <w:t>s</w:t>
      </w:r>
      <w:r w:rsidRPr="00425648">
        <w:rPr>
          <w:szCs w:val="24"/>
        </w:rPr>
        <w:t xml:space="preserve"> to increase or that SOC responders continue to decrease. </w:t>
      </w:r>
      <w:r w:rsidR="00A11D92">
        <w:rPr>
          <w:szCs w:val="24"/>
        </w:rPr>
        <w:t>T</w:t>
      </w:r>
      <w:r w:rsidRPr="00425648">
        <w:rPr>
          <w:szCs w:val="24"/>
        </w:rPr>
        <w:t xml:space="preserve">he difference between belimumab and SOC responders peaked at Week 40 of the trial (14.43%) before reducing to 12.98% by Week 52. Therefore, the </w:t>
      </w:r>
      <w:r w:rsidR="005F4300" w:rsidRPr="00BB71ED">
        <w:rPr>
          <w:szCs w:val="24"/>
        </w:rPr>
        <w:t>ESC considered that the</w:t>
      </w:r>
      <w:r w:rsidR="005F4300">
        <w:rPr>
          <w:i/>
          <w:szCs w:val="24"/>
        </w:rPr>
        <w:t xml:space="preserve"> </w:t>
      </w:r>
      <w:r w:rsidRPr="00425648">
        <w:rPr>
          <w:szCs w:val="24"/>
        </w:rPr>
        <w:t xml:space="preserve">difference of 16% between belimumab and SOC responders as estimated in the model is not supported by the clinical evidence, and favours </w:t>
      </w:r>
      <w:r w:rsidRPr="00405B65">
        <w:rPr>
          <w:szCs w:val="24"/>
        </w:rPr>
        <w:t xml:space="preserve">belimumab. </w:t>
      </w:r>
    </w:p>
    <w:p w:rsidR="00172AD3" w:rsidRPr="000578ED" w:rsidRDefault="00172AD3" w:rsidP="00DA711E">
      <w:pPr>
        <w:pStyle w:val="ListParagraph"/>
        <w:widowControl/>
        <w:numPr>
          <w:ilvl w:val="1"/>
          <w:numId w:val="1"/>
        </w:numPr>
        <w:rPr>
          <w:szCs w:val="24"/>
        </w:rPr>
      </w:pPr>
      <w:r w:rsidRPr="000578ED">
        <w:rPr>
          <w:szCs w:val="24"/>
        </w:rPr>
        <w:t xml:space="preserve">Table </w:t>
      </w:r>
      <w:r>
        <w:rPr>
          <w:szCs w:val="24"/>
        </w:rPr>
        <w:t>1</w:t>
      </w:r>
      <w:r w:rsidR="00B51D9E">
        <w:rPr>
          <w:szCs w:val="24"/>
        </w:rPr>
        <w:t>4</w:t>
      </w:r>
      <w:r w:rsidRPr="000578ED">
        <w:rPr>
          <w:szCs w:val="24"/>
        </w:rPr>
        <w:t xml:space="preserve"> provides the results of the stepped economic evaluation.</w:t>
      </w:r>
    </w:p>
    <w:p w:rsidR="00172AD3" w:rsidRDefault="00172AD3" w:rsidP="00820032">
      <w:pPr>
        <w:keepNext/>
        <w:keepLines/>
      </w:pPr>
      <w:r w:rsidRPr="000A2B1D">
        <w:rPr>
          <w:rStyle w:val="CommentReference"/>
        </w:rPr>
        <w:t>Table 1</w:t>
      </w:r>
      <w:r w:rsidR="00B51D9E">
        <w:rPr>
          <w:rStyle w:val="CommentReference"/>
        </w:rPr>
        <w:t>4</w:t>
      </w:r>
      <w:r w:rsidRPr="000A2B1D">
        <w:rPr>
          <w:rStyle w:val="CommentReference"/>
        </w:rPr>
        <w:t>: Results of the stepped</w:t>
      </w:r>
      <w:r w:rsidRPr="001222FC">
        <w:rPr>
          <w:rStyle w:val="CommentReference"/>
        </w:rPr>
        <w:t xml:space="preserv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57"/>
        <w:gridCol w:w="1843"/>
        <w:gridCol w:w="1843"/>
        <w:gridCol w:w="2074"/>
      </w:tblGrid>
      <w:tr w:rsidR="0040309F" w:rsidRPr="00425648" w:rsidTr="0040309F">
        <w:trPr>
          <w:tblHeader/>
        </w:trPr>
        <w:tc>
          <w:tcPr>
            <w:tcW w:w="1806" w:type="pct"/>
            <w:shd w:val="clear" w:color="auto" w:fill="auto"/>
            <w:vAlign w:val="center"/>
          </w:tcPr>
          <w:p w:rsidR="0040309F" w:rsidRPr="00425648" w:rsidRDefault="0040309F" w:rsidP="00820032">
            <w:pPr>
              <w:pStyle w:val="Tabletext"/>
              <w:keepNext/>
              <w:keepLines/>
              <w:rPr>
                <w:b/>
              </w:rPr>
            </w:pPr>
            <w:r w:rsidRPr="00425648">
              <w:rPr>
                <w:b/>
              </w:rPr>
              <w:t>Step and component</w:t>
            </w:r>
          </w:p>
        </w:tc>
        <w:tc>
          <w:tcPr>
            <w:tcW w:w="1022" w:type="pct"/>
            <w:shd w:val="clear" w:color="auto" w:fill="auto"/>
            <w:vAlign w:val="center"/>
          </w:tcPr>
          <w:p w:rsidR="0040309F" w:rsidRPr="00425648" w:rsidRDefault="0040309F" w:rsidP="00820032">
            <w:pPr>
              <w:pStyle w:val="Tabletext"/>
              <w:keepNext/>
              <w:keepLines/>
              <w:jc w:val="center"/>
              <w:rPr>
                <w:b/>
              </w:rPr>
            </w:pPr>
            <w:r w:rsidRPr="00425648">
              <w:rPr>
                <w:b/>
              </w:rPr>
              <w:t>BEL + SOC</w:t>
            </w:r>
          </w:p>
        </w:tc>
        <w:tc>
          <w:tcPr>
            <w:tcW w:w="1022" w:type="pct"/>
            <w:shd w:val="clear" w:color="auto" w:fill="auto"/>
            <w:vAlign w:val="center"/>
          </w:tcPr>
          <w:p w:rsidR="0040309F" w:rsidRPr="00425648" w:rsidRDefault="0040309F" w:rsidP="00820032">
            <w:pPr>
              <w:pStyle w:val="Tabletext"/>
              <w:keepNext/>
              <w:keepLines/>
              <w:jc w:val="center"/>
              <w:rPr>
                <w:b/>
              </w:rPr>
            </w:pPr>
            <w:r w:rsidRPr="00425648">
              <w:rPr>
                <w:b/>
              </w:rPr>
              <w:t>SOC</w:t>
            </w:r>
          </w:p>
        </w:tc>
        <w:tc>
          <w:tcPr>
            <w:tcW w:w="1150" w:type="pct"/>
            <w:shd w:val="clear" w:color="auto" w:fill="auto"/>
            <w:vAlign w:val="center"/>
          </w:tcPr>
          <w:p w:rsidR="0040309F" w:rsidRPr="00425648" w:rsidRDefault="0040309F" w:rsidP="00820032">
            <w:pPr>
              <w:pStyle w:val="Tabletext"/>
              <w:keepNext/>
              <w:keepLines/>
              <w:jc w:val="center"/>
              <w:rPr>
                <w:b/>
              </w:rPr>
            </w:pPr>
            <w:r w:rsidRPr="00425648">
              <w:rPr>
                <w:b/>
              </w:rPr>
              <w:t>Increment</w:t>
            </w:r>
          </w:p>
        </w:tc>
      </w:tr>
      <w:tr w:rsidR="0040309F" w:rsidRPr="00425648" w:rsidTr="0040309F">
        <w:tc>
          <w:tcPr>
            <w:tcW w:w="5000" w:type="pct"/>
            <w:gridSpan w:val="4"/>
            <w:tcBorders>
              <w:bottom w:val="single" w:sz="4" w:space="0" w:color="auto"/>
            </w:tcBorders>
            <w:shd w:val="clear" w:color="auto" w:fill="auto"/>
            <w:vAlign w:val="center"/>
          </w:tcPr>
          <w:p w:rsidR="0040309F" w:rsidRPr="00425648" w:rsidRDefault="0040309F" w:rsidP="00820032">
            <w:pPr>
              <w:pStyle w:val="Tabletext"/>
              <w:keepNext/>
              <w:keepLines/>
            </w:pPr>
            <w:r w:rsidRPr="00425648">
              <w:rPr>
                <w:b/>
                <w:bCs/>
              </w:rPr>
              <w:t xml:space="preserve">Step 1: </w:t>
            </w:r>
            <w:r w:rsidRPr="00425648">
              <w:t>Trial-based, incremental cost per additional SRI responder at 52 weeks, assuming</w:t>
            </w:r>
          </w:p>
          <w:p w:rsidR="0040309F" w:rsidRPr="00425648" w:rsidRDefault="0040309F" w:rsidP="00A3139D">
            <w:pPr>
              <w:pStyle w:val="Tabletext"/>
              <w:keepNext/>
              <w:keepLines/>
              <w:numPr>
                <w:ilvl w:val="0"/>
                <w:numId w:val="6"/>
              </w:numPr>
              <w:ind w:left="254" w:hanging="142"/>
            </w:pPr>
            <w:r w:rsidRPr="00425648">
              <w:t>Drug costs only,</w:t>
            </w:r>
          </w:p>
          <w:p w:rsidR="0040309F" w:rsidRPr="00425648" w:rsidRDefault="0040309F" w:rsidP="00A3139D">
            <w:pPr>
              <w:pStyle w:val="Tabletext"/>
              <w:keepNext/>
              <w:keepLines/>
              <w:numPr>
                <w:ilvl w:val="0"/>
                <w:numId w:val="6"/>
              </w:numPr>
              <w:ind w:left="254" w:hanging="142"/>
              <w:rPr>
                <w:b/>
                <w:snapToGrid w:val="0"/>
              </w:rPr>
            </w:pPr>
            <w:r w:rsidRPr="00425648">
              <w:t>All patients remain on belimumab for 52 weeks</w:t>
            </w:r>
          </w:p>
        </w:tc>
      </w:tr>
      <w:tr w:rsidR="0040309F" w:rsidRPr="00425648" w:rsidTr="0040309F">
        <w:tc>
          <w:tcPr>
            <w:tcW w:w="1806" w:type="pct"/>
            <w:tcBorders>
              <w:bottom w:val="nil"/>
            </w:tcBorders>
            <w:shd w:val="clear" w:color="auto" w:fill="auto"/>
            <w:vAlign w:val="center"/>
          </w:tcPr>
          <w:p w:rsidR="0040309F" w:rsidRPr="00425648" w:rsidRDefault="0040309F" w:rsidP="00820032">
            <w:pPr>
              <w:pStyle w:val="Tabletext"/>
              <w:keepNext/>
              <w:keepLines/>
              <w:rPr>
                <w:rFonts w:ascii="Times" w:hAnsi="Times"/>
              </w:rPr>
            </w:pPr>
            <w:r w:rsidRPr="00425648">
              <w:t>Costs (52 weeks)</w:t>
            </w:r>
          </w:p>
        </w:tc>
        <w:tc>
          <w:tcPr>
            <w:tcW w:w="1022" w:type="pct"/>
            <w:tcBorders>
              <w:bottom w:val="nil"/>
            </w:tcBorders>
            <w:shd w:val="clear" w:color="auto" w:fill="auto"/>
            <w:vAlign w:val="center"/>
          </w:tcPr>
          <w:p w:rsidR="0040309F" w:rsidRPr="00425648" w:rsidRDefault="0040309F" w:rsidP="00820032">
            <w:pPr>
              <w:pStyle w:val="Tabletext"/>
              <w:keepNext/>
              <w:keepLines/>
              <w:jc w:val="center"/>
              <w:rPr>
                <w:rFonts w:ascii="Times" w:hAnsi="Times"/>
              </w:rPr>
            </w:pPr>
            <w:r w:rsidRPr="00425648">
              <w:t>$</w:t>
            </w:r>
            <w:r w:rsidR="00C15B75">
              <w:rPr>
                <w:noProof/>
                <w:color w:val="000000"/>
                <w:highlight w:val="black"/>
              </w:rPr>
              <w:t>'''''''''''''</w:t>
            </w:r>
          </w:p>
        </w:tc>
        <w:tc>
          <w:tcPr>
            <w:tcW w:w="1022" w:type="pct"/>
            <w:tcBorders>
              <w:bottom w:val="nil"/>
            </w:tcBorders>
            <w:shd w:val="clear" w:color="auto" w:fill="auto"/>
            <w:vAlign w:val="center"/>
          </w:tcPr>
          <w:p w:rsidR="0040309F" w:rsidRPr="00425648" w:rsidRDefault="0040309F" w:rsidP="00820032">
            <w:pPr>
              <w:pStyle w:val="Tabletext"/>
              <w:keepNext/>
              <w:keepLines/>
              <w:jc w:val="center"/>
              <w:rPr>
                <w:rFonts w:ascii="Times" w:hAnsi="Times"/>
              </w:rPr>
            </w:pPr>
            <w:r w:rsidRPr="00425648">
              <w:t>$0</w:t>
            </w:r>
          </w:p>
        </w:tc>
        <w:tc>
          <w:tcPr>
            <w:tcW w:w="1150" w:type="pct"/>
            <w:tcBorders>
              <w:bottom w:val="nil"/>
            </w:tcBorders>
            <w:shd w:val="clear" w:color="auto" w:fill="auto"/>
            <w:vAlign w:val="center"/>
          </w:tcPr>
          <w:p w:rsidR="0040309F" w:rsidRPr="00425648" w:rsidRDefault="0040309F" w:rsidP="00820032">
            <w:pPr>
              <w:pStyle w:val="Tabletext"/>
              <w:keepNext/>
              <w:keepLines/>
              <w:jc w:val="center"/>
              <w:rPr>
                <w:rFonts w:ascii="Times" w:hAnsi="Times"/>
              </w:rPr>
            </w:pPr>
            <w:r w:rsidRPr="00425648">
              <w:t>$</w:t>
            </w:r>
            <w:r w:rsidR="00C15B75">
              <w:rPr>
                <w:noProof/>
                <w:color w:val="000000"/>
                <w:highlight w:val="black"/>
              </w:rPr>
              <w:t>'''''''''''''</w:t>
            </w:r>
          </w:p>
        </w:tc>
      </w:tr>
      <w:tr w:rsidR="0040309F" w:rsidRPr="00425648" w:rsidTr="0040309F">
        <w:tc>
          <w:tcPr>
            <w:tcW w:w="1806" w:type="pct"/>
            <w:tcBorders>
              <w:top w:val="nil"/>
              <w:bottom w:val="single" w:sz="4" w:space="0" w:color="auto"/>
            </w:tcBorders>
            <w:shd w:val="clear" w:color="auto" w:fill="auto"/>
            <w:vAlign w:val="center"/>
          </w:tcPr>
          <w:p w:rsidR="0040309F" w:rsidRPr="00425648" w:rsidRDefault="0040309F" w:rsidP="00820032">
            <w:pPr>
              <w:pStyle w:val="Tabletext"/>
              <w:keepNext/>
              <w:keepLines/>
              <w:rPr>
                <w:rFonts w:ascii="Times" w:hAnsi="Times"/>
              </w:rPr>
            </w:pPr>
            <w:r w:rsidRPr="00425648">
              <w:t>SRI responders at 52 weeks</w:t>
            </w:r>
          </w:p>
        </w:tc>
        <w:tc>
          <w:tcPr>
            <w:tcW w:w="1022" w:type="pct"/>
            <w:tcBorders>
              <w:top w:val="nil"/>
              <w:bottom w:val="single" w:sz="4" w:space="0" w:color="auto"/>
            </w:tcBorders>
            <w:shd w:val="clear" w:color="auto" w:fill="auto"/>
            <w:vAlign w:val="center"/>
          </w:tcPr>
          <w:p w:rsidR="0040309F" w:rsidRPr="00425648" w:rsidRDefault="0040309F" w:rsidP="00820032">
            <w:pPr>
              <w:pStyle w:val="Tabletext"/>
              <w:keepNext/>
              <w:keepLines/>
              <w:jc w:val="center"/>
              <w:rPr>
                <w:rFonts w:ascii="Times" w:hAnsi="Times"/>
              </w:rPr>
            </w:pPr>
            <w:r w:rsidRPr="00425648">
              <w:t>0.614</w:t>
            </w:r>
          </w:p>
        </w:tc>
        <w:tc>
          <w:tcPr>
            <w:tcW w:w="1022" w:type="pct"/>
            <w:tcBorders>
              <w:top w:val="nil"/>
              <w:bottom w:val="single" w:sz="4" w:space="0" w:color="auto"/>
            </w:tcBorders>
            <w:shd w:val="clear" w:color="auto" w:fill="auto"/>
            <w:vAlign w:val="center"/>
          </w:tcPr>
          <w:p w:rsidR="0040309F" w:rsidRPr="00425648" w:rsidRDefault="0040309F" w:rsidP="00820032">
            <w:pPr>
              <w:pStyle w:val="Tabletext"/>
              <w:keepNext/>
              <w:keepLines/>
              <w:jc w:val="center"/>
            </w:pPr>
            <w:r w:rsidRPr="00425648">
              <w:t>0.484</w:t>
            </w:r>
          </w:p>
        </w:tc>
        <w:tc>
          <w:tcPr>
            <w:tcW w:w="1150" w:type="pct"/>
            <w:tcBorders>
              <w:top w:val="nil"/>
              <w:bottom w:val="single" w:sz="4" w:space="0" w:color="auto"/>
            </w:tcBorders>
            <w:shd w:val="clear" w:color="auto" w:fill="auto"/>
            <w:vAlign w:val="center"/>
          </w:tcPr>
          <w:p w:rsidR="0040309F" w:rsidRPr="00425648" w:rsidRDefault="0040309F" w:rsidP="00820032">
            <w:pPr>
              <w:pStyle w:val="Tabletext"/>
              <w:keepNext/>
              <w:keepLines/>
              <w:jc w:val="center"/>
            </w:pPr>
            <w:r w:rsidRPr="00425648">
              <w:t>0.13</w:t>
            </w:r>
          </w:p>
        </w:tc>
      </w:tr>
      <w:tr w:rsidR="0040309F" w:rsidRPr="00425648" w:rsidTr="0040309F">
        <w:tc>
          <w:tcPr>
            <w:tcW w:w="3850" w:type="pct"/>
            <w:gridSpan w:val="3"/>
            <w:tcBorders>
              <w:top w:val="single" w:sz="4" w:space="0" w:color="auto"/>
            </w:tcBorders>
            <w:shd w:val="clear" w:color="auto" w:fill="auto"/>
            <w:vAlign w:val="center"/>
          </w:tcPr>
          <w:p w:rsidR="0040309F" w:rsidRPr="00425648" w:rsidRDefault="0040309F" w:rsidP="00C47D4B">
            <w:pPr>
              <w:pStyle w:val="Tabletext"/>
              <w:keepNext/>
              <w:keepLines/>
              <w:rPr>
                <w:rFonts w:ascii="Times" w:hAnsi="Times"/>
                <w:bCs/>
                <w:snapToGrid w:val="0"/>
              </w:rPr>
            </w:pPr>
            <w:r w:rsidRPr="00425648">
              <w:rPr>
                <w:bCs/>
              </w:rPr>
              <w:t>Incremental cost/extra SRI responder at 52 weeks</w:t>
            </w:r>
          </w:p>
        </w:tc>
        <w:tc>
          <w:tcPr>
            <w:tcW w:w="1150" w:type="pct"/>
            <w:tcBorders>
              <w:top w:val="single" w:sz="4" w:space="0" w:color="auto"/>
            </w:tcBorders>
            <w:shd w:val="clear" w:color="auto" w:fill="auto"/>
            <w:vAlign w:val="center"/>
          </w:tcPr>
          <w:p w:rsidR="0040309F" w:rsidRPr="00425648" w:rsidRDefault="0040309F" w:rsidP="00820032">
            <w:pPr>
              <w:pStyle w:val="Tabletext"/>
              <w:keepNext/>
              <w:keepLines/>
              <w:jc w:val="center"/>
              <w:rPr>
                <w:rFonts w:ascii="Times" w:hAnsi="Times"/>
                <w:bCs/>
              </w:rPr>
            </w:pPr>
            <w:r w:rsidRPr="00425648">
              <w:rPr>
                <w:bCs/>
              </w:rPr>
              <w:t>$</w:t>
            </w:r>
            <w:r w:rsidR="00C15B75">
              <w:rPr>
                <w:bCs/>
                <w:noProof/>
                <w:color w:val="000000"/>
                <w:highlight w:val="black"/>
              </w:rPr>
              <w:t>'''''''''''''''</w:t>
            </w:r>
            <w:r w:rsidR="00E47666" w:rsidRPr="00425648">
              <w:rPr>
                <w:bCs/>
              </w:rPr>
              <w:t>*</w:t>
            </w:r>
          </w:p>
        </w:tc>
      </w:tr>
      <w:tr w:rsidR="0040309F" w:rsidRPr="00425648" w:rsidTr="0040309F">
        <w:tc>
          <w:tcPr>
            <w:tcW w:w="5000" w:type="pct"/>
            <w:gridSpan w:val="4"/>
            <w:tcBorders>
              <w:bottom w:val="single" w:sz="4" w:space="0" w:color="auto"/>
            </w:tcBorders>
            <w:shd w:val="clear" w:color="auto" w:fill="auto"/>
            <w:vAlign w:val="center"/>
          </w:tcPr>
          <w:p w:rsidR="0040309F" w:rsidRPr="00425648" w:rsidRDefault="0040309F" w:rsidP="00820032">
            <w:pPr>
              <w:pStyle w:val="Tabletext"/>
              <w:keepNext/>
              <w:keepLines/>
            </w:pPr>
            <w:r w:rsidRPr="00425648">
              <w:rPr>
                <w:b/>
                <w:bCs/>
              </w:rPr>
              <w:t xml:space="preserve">Step 2: </w:t>
            </w:r>
            <w:r w:rsidRPr="00425648">
              <w:t>Trial-based, incremental cost per additional SELENA-SLEDAI responder at 24 weeks, assuming</w:t>
            </w:r>
          </w:p>
          <w:p w:rsidR="0040309F" w:rsidRPr="00425648" w:rsidRDefault="0040309F" w:rsidP="00A3139D">
            <w:pPr>
              <w:pStyle w:val="Tabletext"/>
              <w:keepNext/>
              <w:keepLines/>
              <w:numPr>
                <w:ilvl w:val="0"/>
                <w:numId w:val="6"/>
              </w:numPr>
              <w:ind w:left="254" w:hanging="142"/>
            </w:pPr>
            <w:r w:rsidRPr="00425648">
              <w:t>Drug costs only,</w:t>
            </w:r>
          </w:p>
          <w:p w:rsidR="0040309F" w:rsidRPr="00425648" w:rsidRDefault="0040309F" w:rsidP="00A3139D">
            <w:pPr>
              <w:pStyle w:val="Tabletext"/>
              <w:keepNext/>
              <w:keepLines/>
              <w:numPr>
                <w:ilvl w:val="0"/>
                <w:numId w:val="6"/>
              </w:numPr>
              <w:ind w:left="254" w:hanging="142"/>
              <w:rPr>
                <w:b/>
                <w:snapToGrid w:val="0"/>
              </w:rPr>
            </w:pPr>
            <w:r w:rsidRPr="00425648">
              <w:t>All patients remain on belimumab for 24 weeks</w:t>
            </w:r>
          </w:p>
        </w:tc>
      </w:tr>
      <w:tr w:rsidR="0040309F" w:rsidRPr="00425648" w:rsidTr="0040309F">
        <w:tc>
          <w:tcPr>
            <w:tcW w:w="1806" w:type="pct"/>
            <w:tcBorders>
              <w:bottom w:val="nil"/>
            </w:tcBorders>
            <w:shd w:val="clear" w:color="auto" w:fill="auto"/>
            <w:vAlign w:val="center"/>
          </w:tcPr>
          <w:p w:rsidR="0040309F" w:rsidRPr="00425648" w:rsidRDefault="0040309F" w:rsidP="00820032">
            <w:pPr>
              <w:pStyle w:val="Tabletext"/>
              <w:keepNext/>
              <w:keepLines/>
              <w:rPr>
                <w:rFonts w:ascii="Times" w:hAnsi="Times"/>
              </w:rPr>
            </w:pPr>
            <w:r w:rsidRPr="00425648">
              <w:t>Costs (24 weeks)</w:t>
            </w:r>
          </w:p>
        </w:tc>
        <w:tc>
          <w:tcPr>
            <w:tcW w:w="1022" w:type="pct"/>
            <w:tcBorders>
              <w:bottom w:val="nil"/>
            </w:tcBorders>
            <w:shd w:val="clear" w:color="auto" w:fill="auto"/>
            <w:vAlign w:val="center"/>
          </w:tcPr>
          <w:p w:rsidR="0040309F" w:rsidRPr="00425648" w:rsidRDefault="0040309F" w:rsidP="00820032">
            <w:pPr>
              <w:pStyle w:val="Tabletext"/>
              <w:keepNext/>
              <w:keepLines/>
              <w:jc w:val="center"/>
            </w:pPr>
            <w:r w:rsidRPr="00425648">
              <w:t>$</w:t>
            </w:r>
            <w:r w:rsidR="00C15B75">
              <w:rPr>
                <w:noProof/>
                <w:color w:val="000000"/>
                <w:highlight w:val="black"/>
              </w:rPr>
              <w:t>''''''''''''''</w:t>
            </w:r>
          </w:p>
        </w:tc>
        <w:tc>
          <w:tcPr>
            <w:tcW w:w="1022" w:type="pct"/>
            <w:tcBorders>
              <w:bottom w:val="nil"/>
            </w:tcBorders>
            <w:shd w:val="clear" w:color="auto" w:fill="auto"/>
            <w:vAlign w:val="center"/>
          </w:tcPr>
          <w:p w:rsidR="0040309F" w:rsidRPr="00425648" w:rsidRDefault="0040309F" w:rsidP="00820032">
            <w:pPr>
              <w:pStyle w:val="Tabletext"/>
              <w:keepNext/>
              <w:keepLines/>
              <w:jc w:val="center"/>
            </w:pPr>
            <w:r w:rsidRPr="00425648">
              <w:t>$0</w:t>
            </w:r>
          </w:p>
        </w:tc>
        <w:tc>
          <w:tcPr>
            <w:tcW w:w="1150" w:type="pct"/>
            <w:tcBorders>
              <w:bottom w:val="nil"/>
            </w:tcBorders>
            <w:shd w:val="clear" w:color="auto" w:fill="auto"/>
            <w:vAlign w:val="center"/>
          </w:tcPr>
          <w:p w:rsidR="0040309F" w:rsidRPr="00425648" w:rsidRDefault="0040309F" w:rsidP="00820032">
            <w:pPr>
              <w:pStyle w:val="Tabletext"/>
              <w:keepNext/>
              <w:keepLines/>
              <w:jc w:val="center"/>
            </w:pPr>
            <w:r w:rsidRPr="00425648">
              <w:t>$</w:t>
            </w:r>
            <w:r w:rsidR="00C15B75">
              <w:rPr>
                <w:noProof/>
                <w:color w:val="000000"/>
                <w:highlight w:val="black"/>
              </w:rPr>
              <w:t>''''''''''''</w:t>
            </w:r>
          </w:p>
        </w:tc>
      </w:tr>
      <w:tr w:rsidR="0040309F" w:rsidRPr="00425648" w:rsidTr="0040309F">
        <w:tc>
          <w:tcPr>
            <w:tcW w:w="1806" w:type="pct"/>
            <w:tcBorders>
              <w:top w:val="nil"/>
            </w:tcBorders>
            <w:shd w:val="clear" w:color="auto" w:fill="auto"/>
            <w:vAlign w:val="center"/>
          </w:tcPr>
          <w:p w:rsidR="0040309F" w:rsidRPr="00425648" w:rsidRDefault="0040309F" w:rsidP="00820032">
            <w:pPr>
              <w:pStyle w:val="Tabletext"/>
              <w:keepNext/>
              <w:keepLines/>
              <w:rPr>
                <w:rFonts w:ascii="Times" w:hAnsi="Times"/>
              </w:rPr>
            </w:pPr>
            <w:r w:rsidRPr="00425648">
              <w:t>SELENA-SLEDAI responders at 24 weeks</w:t>
            </w:r>
          </w:p>
        </w:tc>
        <w:tc>
          <w:tcPr>
            <w:tcW w:w="1022" w:type="pct"/>
            <w:tcBorders>
              <w:top w:val="nil"/>
            </w:tcBorders>
            <w:shd w:val="clear" w:color="auto" w:fill="auto"/>
            <w:vAlign w:val="center"/>
          </w:tcPr>
          <w:p w:rsidR="0040309F" w:rsidRPr="00425648" w:rsidRDefault="0040309F" w:rsidP="00820032">
            <w:pPr>
              <w:pStyle w:val="Tabletext"/>
              <w:keepNext/>
              <w:keepLines/>
              <w:jc w:val="center"/>
            </w:pPr>
            <w:r w:rsidRPr="00425648">
              <w:t>0.610</w:t>
            </w:r>
          </w:p>
        </w:tc>
        <w:tc>
          <w:tcPr>
            <w:tcW w:w="1022" w:type="pct"/>
            <w:tcBorders>
              <w:top w:val="nil"/>
            </w:tcBorders>
            <w:shd w:val="clear" w:color="auto" w:fill="auto"/>
            <w:vAlign w:val="center"/>
          </w:tcPr>
          <w:p w:rsidR="0040309F" w:rsidRPr="00425648" w:rsidRDefault="0040309F" w:rsidP="00820032">
            <w:pPr>
              <w:pStyle w:val="Tabletext"/>
              <w:keepNext/>
              <w:keepLines/>
              <w:jc w:val="center"/>
            </w:pPr>
            <w:r w:rsidRPr="00425648">
              <w:t>0.532</w:t>
            </w:r>
          </w:p>
        </w:tc>
        <w:tc>
          <w:tcPr>
            <w:tcW w:w="1150" w:type="pct"/>
            <w:tcBorders>
              <w:top w:val="nil"/>
            </w:tcBorders>
            <w:shd w:val="clear" w:color="auto" w:fill="auto"/>
            <w:vAlign w:val="center"/>
          </w:tcPr>
          <w:p w:rsidR="0040309F" w:rsidRPr="00425648" w:rsidRDefault="0040309F" w:rsidP="00820032">
            <w:pPr>
              <w:pStyle w:val="Tabletext"/>
              <w:keepNext/>
              <w:keepLines/>
              <w:jc w:val="center"/>
            </w:pPr>
            <w:r w:rsidRPr="00425648">
              <w:t>0.078</w:t>
            </w:r>
          </w:p>
        </w:tc>
      </w:tr>
      <w:tr w:rsidR="0040309F" w:rsidRPr="00425648" w:rsidTr="0040309F">
        <w:tc>
          <w:tcPr>
            <w:tcW w:w="3850" w:type="pct"/>
            <w:gridSpan w:val="3"/>
            <w:shd w:val="clear" w:color="auto" w:fill="auto"/>
            <w:vAlign w:val="center"/>
          </w:tcPr>
          <w:p w:rsidR="0040309F" w:rsidRPr="00425648" w:rsidRDefault="0040309F" w:rsidP="00C47D4B">
            <w:pPr>
              <w:pStyle w:val="Tabletext"/>
              <w:keepNext/>
              <w:keepLines/>
              <w:rPr>
                <w:rFonts w:ascii="Times" w:hAnsi="Times"/>
                <w:bCs/>
                <w:snapToGrid w:val="0"/>
              </w:rPr>
            </w:pPr>
            <w:r w:rsidRPr="00425648">
              <w:rPr>
                <w:bCs/>
              </w:rPr>
              <w:t>Incremental cost/extra SELENA-SLEDAI responder at 24 weeks</w:t>
            </w:r>
          </w:p>
        </w:tc>
        <w:tc>
          <w:tcPr>
            <w:tcW w:w="1150" w:type="pct"/>
            <w:shd w:val="clear" w:color="auto" w:fill="auto"/>
            <w:vAlign w:val="center"/>
          </w:tcPr>
          <w:p w:rsidR="0040309F" w:rsidRPr="00425648" w:rsidRDefault="0040309F" w:rsidP="00820032">
            <w:pPr>
              <w:pStyle w:val="Tabletext"/>
              <w:keepNext/>
              <w:keepLines/>
              <w:jc w:val="center"/>
              <w:rPr>
                <w:rFonts w:ascii="Times" w:hAnsi="Times"/>
                <w:bCs/>
              </w:rPr>
            </w:pPr>
            <w:r w:rsidRPr="00425648">
              <w:rPr>
                <w:bCs/>
              </w:rPr>
              <w:t>$</w:t>
            </w:r>
            <w:r w:rsidR="00C15B75">
              <w:rPr>
                <w:bCs/>
                <w:noProof/>
                <w:color w:val="000000"/>
                <w:highlight w:val="black"/>
              </w:rPr>
              <w:t>'''''''''''''''''</w:t>
            </w:r>
            <w:r w:rsidR="00E47666" w:rsidRPr="00425648">
              <w:rPr>
                <w:bCs/>
              </w:rPr>
              <w:t>*</w:t>
            </w:r>
          </w:p>
        </w:tc>
      </w:tr>
      <w:tr w:rsidR="0040309F" w:rsidRPr="00425648" w:rsidTr="0040309F">
        <w:tc>
          <w:tcPr>
            <w:tcW w:w="5000" w:type="pct"/>
            <w:gridSpan w:val="4"/>
            <w:tcBorders>
              <w:bottom w:val="single" w:sz="4" w:space="0" w:color="auto"/>
            </w:tcBorders>
            <w:shd w:val="clear" w:color="auto" w:fill="auto"/>
            <w:vAlign w:val="center"/>
          </w:tcPr>
          <w:p w:rsidR="0040309F" w:rsidRPr="00425648" w:rsidRDefault="0040309F" w:rsidP="00820032">
            <w:pPr>
              <w:keepNext/>
              <w:keepLines/>
              <w:rPr>
                <w:rFonts w:ascii="Arial Narrow" w:hAnsi="Arial Narrow" w:cs="Times New Roman"/>
                <w:sz w:val="20"/>
              </w:rPr>
            </w:pPr>
            <w:r w:rsidRPr="00425648">
              <w:rPr>
                <w:rFonts w:ascii="Arial Narrow" w:hAnsi="Arial Narrow" w:cs="Times New Roman"/>
                <w:b/>
                <w:bCs/>
                <w:sz w:val="20"/>
              </w:rPr>
              <w:t xml:space="preserve">Step 3: </w:t>
            </w:r>
            <w:r w:rsidRPr="00425648">
              <w:rPr>
                <w:rFonts w:ascii="Arial Narrow" w:hAnsi="Arial Narrow" w:cs="Times New Roman"/>
                <w:sz w:val="20"/>
              </w:rPr>
              <w:t>Trial-based / simple model, incremental cost per additional SELENA-SLEDAI responder at 52 weeks, assuming</w:t>
            </w:r>
          </w:p>
          <w:p w:rsidR="0040309F" w:rsidRPr="00425648" w:rsidRDefault="0040309F" w:rsidP="00A3139D">
            <w:pPr>
              <w:pStyle w:val="ListParagraph"/>
              <w:keepNext/>
              <w:keepLines/>
              <w:widowControl/>
              <w:numPr>
                <w:ilvl w:val="0"/>
                <w:numId w:val="5"/>
              </w:numPr>
              <w:spacing w:after="0"/>
              <w:ind w:left="264" w:hanging="142"/>
              <w:contextualSpacing/>
              <w:jc w:val="left"/>
              <w:rPr>
                <w:rFonts w:ascii="Arial Narrow" w:hAnsi="Arial Narrow" w:cs="Times New Roman"/>
                <w:sz w:val="20"/>
              </w:rPr>
            </w:pPr>
            <w:r w:rsidRPr="00425648">
              <w:rPr>
                <w:rFonts w:ascii="Arial Narrow" w:hAnsi="Arial Narrow" w:cs="Times New Roman"/>
                <w:sz w:val="20"/>
              </w:rPr>
              <w:t>Drugs costs only,</w:t>
            </w:r>
          </w:p>
          <w:p w:rsidR="0040309F" w:rsidRPr="00425648" w:rsidRDefault="0040309F" w:rsidP="00A3139D">
            <w:pPr>
              <w:pStyle w:val="ListParagraph"/>
              <w:keepNext/>
              <w:keepLines/>
              <w:widowControl/>
              <w:numPr>
                <w:ilvl w:val="0"/>
                <w:numId w:val="5"/>
              </w:numPr>
              <w:spacing w:after="0"/>
              <w:ind w:left="264" w:hanging="142"/>
              <w:contextualSpacing/>
              <w:jc w:val="left"/>
              <w:rPr>
                <w:b/>
              </w:rPr>
            </w:pPr>
            <w:r w:rsidRPr="00425648">
              <w:rPr>
                <w:rFonts w:ascii="Arial Narrow" w:hAnsi="Arial Narrow" w:cs="Times New Roman"/>
                <w:sz w:val="20"/>
              </w:rPr>
              <w:t>Belimumab non-responders at 24 weeks stop treatment, and Belimumab responders at 24 weeks continue treatment</w:t>
            </w:r>
          </w:p>
        </w:tc>
      </w:tr>
      <w:tr w:rsidR="0040309F" w:rsidRPr="00425648" w:rsidTr="0040309F">
        <w:tc>
          <w:tcPr>
            <w:tcW w:w="1806" w:type="pct"/>
            <w:tcBorders>
              <w:bottom w:val="nil"/>
            </w:tcBorders>
            <w:shd w:val="clear" w:color="auto" w:fill="auto"/>
            <w:vAlign w:val="center"/>
          </w:tcPr>
          <w:p w:rsidR="0040309F" w:rsidRPr="00425648" w:rsidRDefault="0040309F" w:rsidP="00820032">
            <w:pPr>
              <w:pStyle w:val="Tabletext"/>
              <w:keepNext/>
              <w:keepLines/>
              <w:rPr>
                <w:rFonts w:ascii="Times" w:hAnsi="Times"/>
              </w:rPr>
            </w:pPr>
            <w:r w:rsidRPr="00425648">
              <w:t>Costs (52 weeks)</w:t>
            </w:r>
          </w:p>
        </w:tc>
        <w:tc>
          <w:tcPr>
            <w:tcW w:w="1022" w:type="pct"/>
            <w:tcBorders>
              <w:bottom w:val="nil"/>
            </w:tcBorders>
            <w:shd w:val="clear" w:color="auto" w:fill="auto"/>
            <w:vAlign w:val="center"/>
          </w:tcPr>
          <w:p w:rsidR="0040309F" w:rsidRPr="00425648" w:rsidRDefault="0040309F" w:rsidP="00820032">
            <w:pPr>
              <w:pStyle w:val="Tabletext"/>
              <w:keepNext/>
              <w:keepLines/>
              <w:jc w:val="center"/>
            </w:pPr>
            <w:r w:rsidRPr="00425648">
              <w:t>$</w:t>
            </w:r>
            <w:r w:rsidR="00C15B75">
              <w:rPr>
                <w:noProof/>
                <w:color w:val="000000"/>
                <w:highlight w:val="black"/>
              </w:rPr>
              <w:t>'''''''''''''''</w:t>
            </w:r>
          </w:p>
        </w:tc>
        <w:tc>
          <w:tcPr>
            <w:tcW w:w="1022" w:type="pct"/>
            <w:tcBorders>
              <w:bottom w:val="nil"/>
            </w:tcBorders>
            <w:shd w:val="clear" w:color="auto" w:fill="auto"/>
            <w:vAlign w:val="center"/>
          </w:tcPr>
          <w:p w:rsidR="0040309F" w:rsidRPr="00425648" w:rsidRDefault="0040309F" w:rsidP="00820032">
            <w:pPr>
              <w:pStyle w:val="Tabletext"/>
              <w:keepNext/>
              <w:keepLines/>
              <w:jc w:val="center"/>
            </w:pPr>
            <w:r w:rsidRPr="00425648">
              <w:t>$0</w:t>
            </w:r>
          </w:p>
        </w:tc>
        <w:tc>
          <w:tcPr>
            <w:tcW w:w="1150" w:type="pct"/>
            <w:tcBorders>
              <w:bottom w:val="nil"/>
            </w:tcBorders>
            <w:shd w:val="clear" w:color="auto" w:fill="auto"/>
            <w:vAlign w:val="center"/>
          </w:tcPr>
          <w:p w:rsidR="0040309F" w:rsidRPr="00425648" w:rsidRDefault="0040309F" w:rsidP="00820032">
            <w:pPr>
              <w:pStyle w:val="Tabletext"/>
              <w:keepNext/>
              <w:keepLines/>
              <w:jc w:val="center"/>
            </w:pPr>
            <w:r w:rsidRPr="00425648">
              <w:t>$</w:t>
            </w:r>
            <w:r w:rsidR="00C15B75">
              <w:rPr>
                <w:noProof/>
                <w:color w:val="000000"/>
                <w:highlight w:val="black"/>
              </w:rPr>
              <w:t>''''''''''''</w:t>
            </w:r>
          </w:p>
        </w:tc>
      </w:tr>
      <w:tr w:rsidR="0040309F" w:rsidRPr="00425648" w:rsidTr="0040309F">
        <w:tc>
          <w:tcPr>
            <w:tcW w:w="1806" w:type="pct"/>
            <w:tcBorders>
              <w:top w:val="nil"/>
            </w:tcBorders>
            <w:shd w:val="clear" w:color="auto" w:fill="auto"/>
            <w:vAlign w:val="center"/>
          </w:tcPr>
          <w:p w:rsidR="0040309F" w:rsidRPr="00425648" w:rsidRDefault="0040309F" w:rsidP="00820032">
            <w:pPr>
              <w:pStyle w:val="Tabletext"/>
              <w:keepNext/>
              <w:keepLines/>
              <w:rPr>
                <w:rFonts w:ascii="Times" w:hAnsi="Times"/>
              </w:rPr>
            </w:pPr>
            <w:r w:rsidRPr="00425648">
              <w:t>SELENA-SLEDAI responders at 52 weeks</w:t>
            </w:r>
          </w:p>
        </w:tc>
        <w:tc>
          <w:tcPr>
            <w:tcW w:w="1022" w:type="pct"/>
            <w:tcBorders>
              <w:top w:val="nil"/>
            </w:tcBorders>
            <w:shd w:val="clear" w:color="auto" w:fill="auto"/>
            <w:vAlign w:val="center"/>
          </w:tcPr>
          <w:p w:rsidR="0040309F" w:rsidRPr="00425648" w:rsidRDefault="0040309F" w:rsidP="00820032">
            <w:pPr>
              <w:pStyle w:val="Tabletext"/>
              <w:keepNext/>
              <w:keepLines/>
              <w:jc w:val="center"/>
            </w:pPr>
            <w:r w:rsidRPr="00425648">
              <w:t>0.610</w:t>
            </w:r>
          </w:p>
        </w:tc>
        <w:tc>
          <w:tcPr>
            <w:tcW w:w="1022" w:type="pct"/>
            <w:tcBorders>
              <w:top w:val="nil"/>
            </w:tcBorders>
            <w:shd w:val="clear" w:color="auto" w:fill="auto"/>
            <w:vAlign w:val="center"/>
          </w:tcPr>
          <w:p w:rsidR="0040309F" w:rsidRPr="00425648" w:rsidRDefault="0040309F" w:rsidP="00820032">
            <w:pPr>
              <w:pStyle w:val="Tabletext"/>
              <w:keepNext/>
              <w:keepLines/>
              <w:jc w:val="center"/>
            </w:pPr>
            <w:r w:rsidRPr="00425648">
              <w:t>0.532</w:t>
            </w:r>
          </w:p>
        </w:tc>
        <w:tc>
          <w:tcPr>
            <w:tcW w:w="1150" w:type="pct"/>
            <w:tcBorders>
              <w:top w:val="nil"/>
            </w:tcBorders>
            <w:shd w:val="clear" w:color="auto" w:fill="auto"/>
            <w:vAlign w:val="center"/>
          </w:tcPr>
          <w:p w:rsidR="0040309F" w:rsidRPr="00425648" w:rsidRDefault="0040309F" w:rsidP="00820032">
            <w:pPr>
              <w:pStyle w:val="Tabletext"/>
              <w:keepNext/>
              <w:keepLines/>
              <w:jc w:val="center"/>
            </w:pPr>
            <w:r w:rsidRPr="00425648">
              <w:t>0.078</w:t>
            </w:r>
          </w:p>
        </w:tc>
      </w:tr>
      <w:tr w:rsidR="0040309F" w:rsidRPr="00425648" w:rsidTr="0040309F">
        <w:tc>
          <w:tcPr>
            <w:tcW w:w="3850" w:type="pct"/>
            <w:gridSpan w:val="3"/>
            <w:shd w:val="clear" w:color="auto" w:fill="auto"/>
            <w:vAlign w:val="center"/>
          </w:tcPr>
          <w:p w:rsidR="0040309F" w:rsidRPr="00425648" w:rsidRDefault="0040309F" w:rsidP="00820032">
            <w:pPr>
              <w:pStyle w:val="Tabletext"/>
              <w:keepNext/>
              <w:keepLines/>
            </w:pPr>
            <w:r w:rsidRPr="00425648">
              <w:t>Incremental cost/extra SELENA-SLEDAI responder at 52 weeks</w:t>
            </w:r>
          </w:p>
        </w:tc>
        <w:tc>
          <w:tcPr>
            <w:tcW w:w="1150" w:type="pct"/>
            <w:shd w:val="clear" w:color="auto" w:fill="auto"/>
            <w:vAlign w:val="center"/>
          </w:tcPr>
          <w:p w:rsidR="0040309F" w:rsidRPr="00425648" w:rsidRDefault="0040309F" w:rsidP="00820032">
            <w:pPr>
              <w:pStyle w:val="Tabletext"/>
              <w:keepNext/>
              <w:keepLines/>
              <w:jc w:val="center"/>
            </w:pPr>
            <w:r w:rsidRPr="00425648">
              <w:t>$</w:t>
            </w:r>
            <w:r w:rsidR="00C15B75">
              <w:rPr>
                <w:noProof/>
                <w:color w:val="000000"/>
                <w:highlight w:val="black"/>
              </w:rPr>
              <w:t>''''''''''''''''</w:t>
            </w:r>
            <w:r w:rsidR="00E47666" w:rsidRPr="00425648">
              <w:t>*</w:t>
            </w:r>
          </w:p>
        </w:tc>
      </w:tr>
      <w:tr w:rsidR="0040309F" w:rsidRPr="00425648" w:rsidTr="0040309F">
        <w:tc>
          <w:tcPr>
            <w:tcW w:w="5000" w:type="pct"/>
            <w:gridSpan w:val="4"/>
            <w:tcBorders>
              <w:bottom w:val="single" w:sz="4" w:space="0" w:color="auto"/>
            </w:tcBorders>
            <w:shd w:val="clear" w:color="auto" w:fill="auto"/>
            <w:vAlign w:val="center"/>
          </w:tcPr>
          <w:p w:rsidR="0040309F" w:rsidRPr="00425648" w:rsidRDefault="0040309F" w:rsidP="00820032">
            <w:pPr>
              <w:keepNext/>
              <w:keepLines/>
              <w:rPr>
                <w:rFonts w:ascii="Arial Narrow" w:hAnsi="Arial Narrow" w:cs="Times New Roman"/>
                <w:sz w:val="20"/>
              </w:rPr>
            </w:pPr>
            <w:r w:rsidRPr="00425648">
              <w:rPr>
                <w:rFonts w:ascii="Arial Narrow" w:hAnsi="Arial Narrow" w:cs="Times New Roman"/>
                <w:b/>
                <w:bCs/>
                <w:sz w:val="20"/>
              </w:rPr>
              <w:t xml:space="preserve">Step 4: </w:t>
            </w:r>
            <w:r w:rsidRPr="00425648">
              <w:rPr>
                <w:rFonts w:ascii="Arial Narrow" w:hAnsi="Arial Narrow" w:cs="Times New Roman"/>
                <w:sz w:val="20"/>
              </w:rPr>
              <w:t>Modelled economic evaluation, incremental cost per QALY at 52 weeks, assuming:</w:t>
            </w:r>
          </w:p>
          <w:p w:rsidR="0040309F" w:rsidRPr="00425648" w:rsidRDefault="0040309F" w:rsidP="00A3139D">
            <w:pPr>
              <w:pStyle w:val="ListParagraph"/>
              <w:keepNext/>
              <w:keepLines/>
              <w:widowControl/>
              <w:numPr>
                <w:ilvl w:val="0"/>
                <w:numId w:val="5"/>
              </w:numPr>
              <w:spacing w:after="0"/>
              <w:ind w:left="264" w:hanging="142"/>
              <w:contextualSpacing/>
              <w:jc w:val="left"/>
              <w:rPr>
                <w:rFonts w:ascii="Arial Narrow" w:hAnsi="Arial Narrow" w:cs="Times New Roman"/>
                <w:sz w:val="20"/>
              </w:rPr>
            </w:pPr>
            <w:r w:rsidRPr="00425648">
              <w:rPr>
                <w:rFonts w:ascii="Arial Narrow" w:hAnsi="Arial Narrow" w:cs="Times New Roman"/>
                <w:sz w:val="20"/>
              </w:rPr>
              <w:t>Probability of SDI progression (Bruce et al 2015, BLISS-SC),</w:t>
            </w:r>
          </w:p>
          <w:p w:rsidR="0040309F" w:rsidRPr="00425648" w:rsidRDefault="0040309F" w:rsidP="00A3139D">
            <w:pPr>
              <w:pStyle w:val="ListParagraph"/>
              <w:keepNext/>
              <w:keepLines/>
              <w:widowControl/>
              <w:numPr>
                <w:ilvl w:val="0"/>
                <w:numId w:val="5"/>
              </w:numPr>
              <w:spacing w:after="0"/>
              <w:ind w:left="264" w:hanging="142"/>
              <w:contextualSpacing/>
              <w:jc w:val="left"/>
              <w:rPr>
                <w:rFonts w:ascii="Arial Narrow" w:hAnsi="Arial Narrow" w:cs="Times New Roman"/>
                <w:sz w:val="20"/>
              </w:rPr>
            </w:pPr>
            <w:r w:rsidRPr="00425648">
              <w:rPr>
                <w:rFonts w:ascii="Arial Narrow" w:hAnsi="Arial Narrow" w:cs="Times New Roman"/>
                <w:sz w:val="20"/>
              </w:rPr>
              <w:t xml:space="preserve">Age-related mortality (life tables), </w:t>
            </w:r>
          </w:p>
          <w:p w:rsidR="0040309F" w:rsidRPr="00425648" w:rsidRDefault="0040309F" w:rsidP="00A3139D">
            <w:pPr>
              <w:pStyle w:val="ListParagraph"/>
              <w:keepNext/>
              <w:keepLines/>
              <w:widowControl/>
              <w:numPr>
                <w:ilvl w:val="0"/>
                <w:numId w:val="5"/>
              </w:numPr>
              <w:spacing w:after="0"/>
              <w:ind w:left="264" w:hanging="142"/>
              <w:contextualSpacing/>
              <w:jc w:val="left"/>
              <w:rPr>
                <w:rFonts w:ascii="Arial Narrow" w:hAnsi="Arial Narrow" w:cs="Times New Roman"/>
                <w:sz w:val="20"/>
              </w:rPr>
            </w:pPr>
            <w:r w:rsidRPr="00425648">
              <w:rPr>
                <w:rFonts w:ascii="Arial Narrow" w:hAnsi="Arial Narrow" w:cs="Times New Roman"/>
                <w:sz w:val="20"/>
              </w:rPr>
              <w:t>QALYs (Wang et al 2014)</w:t>
            </w:r>
          </w:p>
          <w:p w:rsidR="0040309F" w:rsidRPr="00425648" w:rsidRDefault="0040309F" w:rsidP="00A3139D">
            <w:pPr>
              <w:pStyle w:val="ListParagraph"/>
              <w:keepNext/>
              <w:keepLines/>
              <w:widowControl/>
              <w:numPr>
                <w:ilvl w:val="0"/>
                <w:numId w:val="5"/>
              </w:numPr>
              <w:spacing w:after="0"/>
              <w:ind w:left="264" w:hanging="142"/>
              <w:contextualSpacing/>
              <w:jc w:val="left"/>
              <w:rPr>
                <w:b/>
              </w:rPr>
            </w:pPr>
            <w:r w:rsidRPr="00425648">
              <w:rPr>
                <w:rFonts w:ascii="Arial Narrow" w:hAnsi="Arial Narrow" w:cs="Times New Roman"/>
                <w:sz w:val="20"/>
              </w:rPr>
              <w:t>Disutility from SLE flares (BLISS-SC, Pollard et al 2015, Squance et al 2014).</w:t>
            </w:r>
          </w:p>
        </w:tc>
      </w:tr>
      <w:tr w:rsidR="0040309F" w:rsidRPr="00425648" w:rsidTr="0040309F">
        <w:tc>
          <w:tcPr>
            <w:tcW w:w="1806" w:type="pct"/>
            <w:tcBorders>
              <w:bottom w:val="nil"/>
            </w:tcBorders>
            <w:shd w:val="clear" w:color="auto" w:fill="auto"/>
            <w:vAlign w:val="center"/>
          </w:tcPr>
          <w:p w:rsidR="0040309F" w:rsidRPr="00425648" w:rsidRDefault="0040309F" w:rsidP="00820032">
            <w:pPr>
              <w:pStyle w:val="Tabletext"/>
              <w:keepNext/>
              <w:keepLines/>
              <w:rPr>
                <w:rFonts w:ascii="Times" w:hAnsi="Times"/>
              </w:rPr>
            </w:pPr>
            <w:r w:rsidRPr="00425648">
              <w:t>Costs (52 weeks)</w:t>
            </w:r>
          </w:p>
        </w:tc>
        <w:tc>
          <w:tcPr>
            <w:tcW w:w="1022" w:type="pct"/>
            <w:tcBorders>
              <w:bottom w:val="nil"/>
            </w:tcBorders>
            <w:shd w:val="clear" w:color="auto" w:fill="auto"/>
            <w:vAlign w:val="center"/>
          </w:tcPr>
          <w:p w:rsidR="0040309F" w:rsidRPr="00425648" w:rsidRDefault="0040309F" w:rsidP="00820032">
            <w:pPr>
              <w:pStyle w:val="Tabletext"/>
              <w:keepNext/>
              <w:keepLines/>
              <w:jc w:val="center"/>
              <w:rPr>
                <w:rFonts w:ascii="Times" w:hAnsi="Times"/>
              </w:rPr>
            </w:pPr>
            <w:r w:rsidRPr="00425648">
              <w:t>$</w:t>
            </w:r>
            <w:r w:rsidR="00C15B75">
              <w:rPr>
                <w:noProof/>
                <w:color w:val="000000"/>
                <w:highlight w:val="black"/>
              </w:rPr>
              <w:t>'''''''''''''</w:t>
            </w:r>
          </w:p>
        </w:tc>
        <w:tc>
          <w:tcPr>
            <w:tcW w:w="1022" w:type="pct"/>
            <w:tcBorders>
              <w:bottom w:val="nil"/>
            </w:tcBorders>
            <w:shd w:val="clear" w:color="auto" w:fill="auto"/>
            <w:vAlign w:val="center"/>
          </w:tcPr>
          <w:p w:rsidR="0040309F" w:rsidRPr="00425648" w:rsidRDefault="0040309F" w:rsidP="00820032">
            <w:pPr>
              <w:pStyle w:val="Tabletext"/>
              <w:keepNext/>
              <w:keepLines/>
              <w:jc w:val="center"/>
              <w:rPr>
                <w:rFonts w:ascii="Times" w:hAnsi="Times"/>
              </w:rPr>
            </w:pPr>
            <w:r w:rsidRPr="00425648">
              <w:t>$0</w:t>
            </w:r>
          </w:p>
        </w:tc>
        <w:tc>
          <w:tcPr>
            <w:tcW w:w="1150" w:type="pct"/>
            <w:tcBorders>
              <w:bottom w:val="nil"/>
            </w:tcBorders>
            <w:shd w:val="clear" w:color="auto" w:fill="auto"/>
            <w:vAlign w:val="center"/>
          </w:tcPr>
          <w:p w:rsidR="0040309F" w:rsidRPr="00425648" w:rsidRDefault="0040309F" w:rsidP="00820032">
            <w:pPr>
              <w:pStyle w:val="Tabletext"/>
              <w:keepNext/>
              <w:keepLines/>
              <w:jc w:val="center"/>
            </w:pPr>
            <w:r w:rsidRPr="00425648">
              <w:t>$</w:t>
            </w:r>
            <w:r w:rsidR="00C15B75">
              <w:rPr>
                <w:noProof/>
                <w:color w:val="000000"/>
                <w:highlight w:val="black"/>
              </w:rPr>
              <w:t>''''''''''''''</w:t>
            </w:r>
          </w:p>
        </w:tc>
      </w:tr>
      <w:tr w:rsidR="0040309F" w:rsidRPr="00425648" w:rsidTr="0040309F">
        <w:tc>
          <w:tcPr>
            <w:tcW w:w="1806" w:type="pct"/>
            <w:tcBorders>
              <w:top w:val="nil"/>
            </w:tcBorders>
            <w:shd w:val="clear" w:color="auto" w:fill="auto"/>
            <w:vAlign w:val="center"/>
          </w:tcPr>
          <w:p w:rsidR="0040309F" w:rsidRPr="00425648" w:rsidRDefault="0040309F" w:rsidP="00820032">
            <w:pPr>
              <w:pStyle w:val="Tabletext"/>
              <w:keepNext/>
              <w:keepLines/>
              <w:rPr>
                <w:rFonts w:ascii="Times" w:hAnsi="Times"/>
              </w:rPr>
            </w:pPr>
            <w:r w:rsidRPr="00425648">
              <w:t>QALYs (52 weeks)</w:t>
            </w:r>
          </w:p>
        </w:tc>
        <w:tc>
          <w:tcPr>
            <w:tcW w:w="1022" w:type="pct"/>
            <w:tcBorders>
              <w:top w:val="nil"/>
            </w:tcBorders>
            <w:shd w:val="clear" w:color="auto" w:fill="auto"/>
            <w:vAlign w:val="center"/>
          </w:tcPr>
          <w:p w:rsidR="0040309F" w:rsidRPr="00425648" w:rsidRDefault="0040309F" w:rsidP="00820032">
            <w:pPr>
              <w:pStyle w:val="Tabletext"/>
              <w:keepNext/>
              <w:keepLines/>
              <w:jc w:val="center"/>
              <w:rPr>
                <w:rFonts w:ascii="Times" w:hAnsi="Times"/>
              </w:rPr>
            </w:pPr>
            <w:r w:rsidRPr="00425648">
              <w:t>0.699</w:t>
            </w:r>
          </w:p>
        </w:tc>
        <w:tc>
          <w:tcPr>
            <w:tcW w:w="1022" w:type="pct"/>
            <w:tcBorders>
              <w:top w:val="nil"/>
            </w:tcBorders>
            <w:shd w:val="clear" w:color="auto" w:fill="auto"/>
            <w:vAlign w:val="center"/>
          </w:tcPr>
          <w:p w:rsidR="0040309F" w:rsidRPr="00425648" w:rsidRDefault="0040309F" w:rsidP="00820032">
            <w:pPr>
              <w:pStyle w:val="Tabletext"/>
              <w:keepNext/>
              <w:keepLines/>
              <w:jc w:val="center"/>
            </w:pPr>
            <w:r w:rsidRPr="00425648">
              <w:t>0.683</w:t>
            </w:r>
          </w:p>
        </w:tc>
        <w:tc>
          <w:tcPr>
            <w:tcW w:w="1150" w:type="pct"/>
            <w:tcBorders>
              <w:top w:val="nil"/>
            </w:tcBorders>
            <w:shd w:val="clear" w:color="auto" w:fill="auto"/>
            <w:vAlign w:val="center"/>
          </w:tcPr>
          <w:p w:rsidR="0040309F" w:rsidRPr="00425648" w:rsidRDefault="0040309F" w:rsidP="00820032">
            <w:pPr>
              <w:pStyle w:val="Tabletext"/>
              <w:keepNext/>
              <w:keepLines/>
              <w:jc w:val="center"/>
            </w:pPr>
            <w:r w:rsidRPr="00425648">
              <w:t>0.016</w:t>
            </w:r>
          </w:p>
        </w:tc>
      </w:tr>
      <w:tr w:rsidR="0040309F" w:rsidRPr="00425648" w:rsidTr="0040309F">
        <w:tc>
          <w:tcPr>
            <w:tcW w:w="3850" w:type="pct"/>
            <w:gridSpan w:val="3"/>
            <w:shd w:val="clear" w:color="auto" w:fill="auto"/>
            <w:vAlign w:val="center"/>
          </w:tcPr>
          <w:p w:rsidR="0040309F" w:rsidRPr="00425648" w:rsidRDefault="0040309F" w:rsidP="00820032">
            <w:pPr>
              <w:pStyle w:val="Tabletext"/>
              <w:keepNext/>
              <w:keepLines/>
            </w:pPr>
            <w:r w:rsidRPr="00425648">
              <w:t>Incremental cost/extra QALY gained at 52 weeks</w:t>
            </w:r>
          </w:p>
        </w:tc>
        <w:tc>
          <w:tcPr>
            <w:tcW w:w="1150" w:type="pct"/>
            <w:shd w:val="clear" w:color="auto" w:fill="auto"/>
            <w:vAlign w:val="center"/>
          </w:tcPr>
          <w:p w:rsidR="0040309F" w:rsidRPr="00425648" w:rsidRDefault="0040309F" w:rsidP="00820032">
            <w:pPr>
              <w:pStyle w:val="Tabletext"/>
              <w:keepNext/>
              <w:keepLines/>
              <w:jc w:val="center"/>
            </w:pPr>
            <w:r w:rsidRPr="00425648">
              <w:t>$</w:t>
            </w:r>
            <w:r w:rsidR="00C15B75">
              <w:rPr>
                <w:noProof/>
                <w:color w:val="000000"/>
                <w:highlight w:val="black"/>
              </w:rPr>
              <w:t>'''''''''''''''''''</w:t>
            </w:r>
          </w:p>
        </w:tc>
      </w:tr>
      <w:tr w:rsidR="0040309F" w:rsidRPr="00425648" w:rsidTr="0040309F">
        <w:trPr>
          <w:trHeight w:val="586"/>
        </w:trPr>
        <w:tc>
          <w:tcPr>
            <w:tcW w:w="5000" w:type="pct"/>
            <w:gridSpan w:val="4"/>
            <w:tcBorders>
              <w:bottom w:val="single" w:sz="4" w:space="0" w:color="auto"/>
            </w:tcBorders>
            <w:shd w:val="clear" w:color="auto" w:fill="auto"/>
            <w:vAlign w:val="center"/>
          </w:tcPr>
          <w:p w:rsidR="0040309F" w:rsidRPr="00425648" w:rsidRDefault="0040309F" w:rsidP="00820032">
            <w:pPr>
              <w:keepNext/>
              <w:keepLines/>
              <w:rPr>
                <w:rFonts w:ascii="Arial Narrow" w:hAnsi="Arial Narrow" w:cs="Times New Roman"/>
                <w:sz w:val="20"/>
              </w:rPr>
            </w:pPr>
            <w:r w:rsidRPr="00425648">
              <w:rPr>
                <w:rFonts w:ascii="Arial Narrow" w:hAnsi="Arial Narrow" w:cs="Times New Roman"/>
                <w:b/>
                <w:bCs/>
                <w:sz w:val="20"/>
              </w:rPr>
              <w:t>Step 5:</w:t>
            </w:r>
            <w:r w:rsidRPr="00425648">
              <w:rPr>
                <w:rFonts w:ascii="Arial Narrow" w:hAnsi="Arial Narrow" w:cs="Times New Roman"/>
                <w:sz w:val="20"/>
              </w:rPr>
              <w:t xml:space="preserve"> Modelled economic evaluation, incremental cost per QALY at 60 years, assuming:</w:t>
            </w:r>
          </w:p>
          <w:p w:rsidR="0040309F" w:rsidRPr="00425648" w:rsidRDefault="0040309F" w:rsidP="00A3139D">
            <w:pPr>
              <w:pStyle w:val="ListParagraph"/>
              <w:keepNext/>
              <w:keepLines/>
              <w:widowControl/>
              <w:numPr>
                <w:ilvl w:val="0"/>
                <w:numId w:val="5"/>
              </w:numPr>
              <w:spacing w:after="0"/>
              <w:ind w:left="264" w:hanging="142"/>
              <w:contextualSpacing/>
              <w:jc w:val="left"/>
              <w:rPr>
                <w:rFonts w:ascii="Arial Narrow" w:hAnsi="Arial Narrow" w:cs="Times New Roman"/>
                <w:sz w:val="20"/>
              </w:rPr>
            </w:pPr>
            <w:r w:rsidRPr="00425648">
              <w:rPr>
                <w:rFonts w:ascii="Arial Narrow" w:hAnsi="Arial Narrow" w:cs="Times New Roman"/>
                <w:sz w:val="20"/>
              </w:rPr>
              <w:t>Step 4 assumptions,</w:t>
            </w:r>
          </w:p>
          <w:p w:rsidR="0040309F" w:rsidRPr="00425648" w:rsidRDefault="0040309F" w:rsidP="00A3139D">
            <w:pPr>
              <w:pStyle w:val="ListParagraph"/>
              <w:keepNext/>
              <w:keepLines/>
              <w:widowControl/>
              <w:numPr>
                <w:ilvl w:val="0"/>
                <w:numId w:val="5"/>
              </w:numPr>
              <w:spacing w:after="0"/>
              <w:ind w:left="264" w:hanging="142"/>
              <w:contextualSpacing/>
              <w:jc w:val="left"/>
              <w:rPr>
                <w:rFonts w:ascii="Arial Narrow" w:hAnsi="Arial Narrow" w:cs="Times New Roman"/>
                <w:sz w:val="20"/>
              </w:rPr>
            </w:pPr>
            <w:r w:rsidRPr="00425648">
              <w:rPr>
                <w:rFonts w:ascii="Arial Narrow" w:hAnsi="Arial Narrow" w:cs="Times New Roman"/>
                <w:sz w:val="20"/>
              </w:rPr>
              <w:t>Incorporation of SDI mortality (Bruce et al. 2015)</w:t>
            </w:r>
          </w:p>
          <w:p w:rsidR="0040309F" w:rsidRPr="00425648" w:rsidRDefault="0040309F" w:rsidP="00A3139D">
            <w:pPr>
              <w:pStyle w:val="ListParagraph"/>
              <w:keepNext/>
              <w:keepLines/>
              <w:widowControl/>
              <w:numPr>
                <w:ilvl w:val="0"/>
                <w:numId w:val="5"/>
              </w:numPr>
              <w:spacing w:after="0"/>
              <w:ind w:left="264" w:hanging="142"/>
              <w:contextualSpacing/>
              <w:jc w:val="left"/>
              <w:rPr>
                <w:rFonts w:ascii="Arial Narrow" w:hAnsi="Arial Narrow" w:cs="Times New Roman"/>
                <w:sz w:val="20"/>
              </w:rPr>
            </w:pPr>
            <w:r w:rsidRPr="00425648">
              <w:rPr>
                <w:rFonts w:ascii="Arial Narrow" w:hAnsi="Arial Narrow" w:cs="Times New Roman"/>
                <w:sz w:val="20"/>
              </w:rPr>
              <w:t>60 year time horizon</w:t>
            </w:r>
          </w:p>
        </w:tc>
      </w:tr>
      <w:tr w:rsidR="0040309F" w:rsidRPr="00425648" w:rsidTr="0040309F">
        <w:tc>
          <w:tcPr>
            <w:tcW w:w="1806" w:type="pct"/>
            <w:tcBorders>
              <w:bottom w:val="nil"/>
            </w:tcBorders>
            <w:shd w:val="clear" w:color="auto" w:fill="auto"/>
            <w:vAlign w:val="center"/>
          </w:tcPr>
          <w:p w:rsidR="0040309F" w:rsidRPr="00425648" w:rsidRDefault="0040309F" w:rsidP="00820032">
            <w:pPr>
              <w:pStyle w:val="Tabletext"/>
              <w:keepNext/>
              <w:keepLines/>
            </w:pPr>
            <w:r w:rsidRPr="00425648">
              <w:t>Costs (discounted)</w:t>
            </w:r>
          </w:p>
        </w:tc>
        <w:tc>
          <w:tcPr>
            <w:tcW w:w="1022" w:type="pct"/>
            <w:tcBorders>
              <w:bottom w:val="nil"/>
            </w:tcBorders>
            <w:shd w:val="clear" w:color="auto" w:fill="auto"/>
            <w:vAlign w:val="center"/>
          </w:tcPr>
          <w:p w:rsidR="0040309F" w:rsidRPr="00425648" w:rsidRDefault="0040309F" w:rsidP="00820032">
            <w:pPr>
              <w:pStyle w:val="Tabletext"/>
              <w:keepNext/>
              <w:keepLines/>
              <w:jc w:val="center"/>
            </w:pPr>
            <w:r w:rsidRPr="00425648">
              <w:t>$</w:t>
            </w:r>
            <w:r w:rsidR="00C15B75">
              <w:rPr>
                <w:noProof/>
                <w:color w:val="000000"/>
                <w:highlight w:val="black"/>
              </w:rPr>
              <w:t>''''''''''''''''''</w:t>
            </w:r>
          </w:p>
        </w:tc>
        <w:tc>
          <w:tcPr>
            <w:tcW w:w="1022" w:type="pct"/>
            <w:tcBorders>
              <w:bottom w:val="nil"/>
            </w:tcBorders>
            <w:shd w:val="clear" w:color="auto" w:fill="auto"/>
            <w:vAlign w:val="center"/>
          </w:tcPr>
          <w:p w:rsidR="0040309F" w:rsidRPr="00425648" w:rsidRDefault="0040309F" w:rsidP="00820032">
            <w:pPr>
              <w:pStyle w:val="Tabletext"/>
              <w:keepNext/>
              <w:keepLines/>
              <w:jc w:val="center"/>
            </w:pPr>
            <w:r w:rsidRPr="00425648">
              <w:t>$0</w:t>
            </w:r>
          </w:p>
        </w:tc>
        <w:tc>
          <w:tcPr>
            <w:tcW w:w="1150" w:type="pct"/>
            <w:tcBorders>
              <w:bottom w:val="nil"/>
            </w:tcBorders>
            <w:shd w:val="clear" w:color="auto" w:fill="auto"/>
            <w:vAlign w:val="center"/>
          </w:tcPr>
          <w:p w:rsidR="0040309F" w:rsidRPr="00425648" w:rsidRDefault="0040309F" w:rsidP="00820032">
            <w:pPr>
              <w:pStyle w:val="Tabletext"/>
              <w:keepNext/>
              <w:keepLines/>
              <w:jc w:val="center"/>
            </w:pPr>
            <w:r w:rsidRPr="00425648">
              <w:t>$</w:t>
            </w:r>
            <w:r w:rsidR="00C15B75">
              <w:rPr>
                <w:noProof/>
                <w:color w:val="000000"/>
                <w:highlight w:val="black"/>
              </w:rPr>
              <w:t>'''''''''''''''''</w:t>
            </w:r>
          </w:p>
        </w:tc>
      </w:tr>
      <w:tr w:rsidR="0040309F" w:rsidRPr="00425648" w:rsidTr="0040309F">
        <w:tc>
          <w:tcPr>
            <w:tcW w:w="1806" w:type="pct"/>
            <w:tcBorders>
              <w:top w:val="nil"/>
            </w:tcBorders>
            <w:shd w:val="clear" w:color="auto" w:fill="auto"/>
            <w:vAlign w:val="center"/>
          </w:tcPr>
          <w:p w:rsidR="0040309F" w:rsidRPr="00425648" w:rsidRDefault="0040309F" w:rsidP="00820032">
            <w:pPr>
              <w:pStyle w:val="Tabletext"/>
              <w:keepNext/>
              <w:keepLines/>
            </w:pPr>
            <w:r w:rsidRPr="00425648">
              <w:t>QALYs (discounted)</w:t>
            </w:r>
          </w:p>
        </w:tc>
        <w:tc>
          <w:tcPr>
            <w:tcW w:w="1022" w:type="pct"/>
            <w:tcBorders>
              <w:top w:val="nil"/>
            </w:tcBorders>
            <w:shd w:val="clear" w:color="auto" w:fill="auto"/>
            <w:vAlign w:val="center"/>
          </w:tcPr>
          <w:p w:rsidR="0040309F" w:rsidRPr="00425648" w:rsidRDefault="0040309F" w:rsidP="00820032">
            <w:pPr>
              <w:pStyle w:val="Tabletext"/>
              <w:keepNext/>
              <w:keepLines/>
              <w:jc w:val="center"/>
            </w:pPr>
            <w:r w:rsidRPr="00425648">
              <w:t>10.485</w:t>
            </w:r>
          </w:p>
        </w:tc>
        <w:tc>
          <w:tcPr>
            <w:tcW w:w="1022" w:type="pct"/>
            <w:tcBorders>
              <w:top w:val="nil"/>
            </w:tcBorders>
            <w:shd w:val="clear" w:color="auto" w:fill="auto"/>
            <w:vAlign w:val="center"/>
          </w:tcPr>
          <w:p w:rsidR="0040309F" w:rsidRPr="00425648" w:rsidRDefault="0040309F" w:rsidP="00820032">
            <w:pPr>
              <w:pStyle w:val="Tabletext"/>
              <w:keepNext/>
              <w:keepLines/>
              <w:jc w:val="center"/>
            </w:pPr>
            <w:r w:rsidRPr="00425648">
              <w:t>9.949</w:t>
            </w:r>
          </w:p>
        </w:tc>
        <w:tc>
          <w:tcPr>
            <w:tcW w:w="1150" w:type="pct"/>
            <w:tcBorders>
              <w:top w:val="nil"/>
            </w:tcBorders>
            <w:shd w:val="clear" w:color="auto" w:fill="auto"/>
            <w:vAlign w:val="center"/>
          </w:tcPr>
          <w:p w:rsidR="0040309F" w:rsidRPr="00425648" w:rsidRDefault="0040309F" w:rsidP="00820032">
            <w:pPr>
              <w:pStyle w:val="Tabletext"/>
              <w:keepNext/>
              <w:keepLines/>
              <w:jc w:val="center"/>
            </w:pPr>
            <w:r w:rsidRPr="00425648">
              <w:t>0.537</w:t>
            </w:r>
          </w:p>
        </w:tc>
      </w:tr>
      <w:tr w:rsidR="0040309F" w:rsidRPr="00425648" w:rsidTr="0040309F">
        <w:tc>
          <w:tcPr>
            <w:tcW w:w="3850" w:type="pct"/>
            <w:gridSpan w:val="3"/>
            <w:shd w:val="clear" w:color="auto" w:fill="auto"/>
            <w:vAlign w:val="center"/>
          </w:tcPr>
          <w:p w:rsidR="0040309F" w:rsidRPr="00425648" w:rsidRDefault="0040309F" w:rsidP="00820032">
            <w:pPr>
              <w:pStyle w:val="Tabletext"/>
              <w:keepNext/>
              <w:keepLines/>
              <w:rPr>
                <w:rFonts w:ascii="Times" w:hAnsi="Times"/>
              </w:rPr>
            </w:pPr>
            <w:r w:rsidRPr="00425648">
              <w:t>Incremental cost/extra QALY gained</w:t>
            </w:r>
          </w:p>
        </w:tc>
        <w:tc>
          <w:tcPr>
            <w:tcW w:w="1150" w:type="pct"/>
            <w:shd w:val="clear" w:color="auto" w:fill="auto"/>
            <w:vAlign w:val="center"/>
          </w:tcPr>
          <w:p w:rsidR="0040309F" w:rsidRPr="00425648" w:rsidRDefault="0040309F" w:rsidP="00820032">
            <w:pPr>
              <w:pStyle w:val="Tabletext"/>
              <w:keepNext/>
              <w:keepLines/>
              <w:jc w:val="center"/>
              <w:rPr>
                <w:rFonts w:ascii="Times" w:hAnsi="Times"/>
              </w:rPr>
            </w:pPr>
            <w:r w:rsidRPr="00425648">
              <w:t>$</w:t>
            </w:r>
            <w:r w:rsidR="00C15B75">
              <w:rPr>
                <w:noProof/>
                <w:color w:val="000000"/>
                <w:highlight w:val="black"/>
              </w:rPr>
              <w:t>''''''''''''''''''</w:t>
            </w:r>
          </w:p>
        </w:tc>
      </w:tr>
      <w:tr w:rsidR="0040309F" w:rsidRPr="00425648" w:rsidTr="0040309F">
        <w:tc>
          <w:tcPr>
            <w:tcW w:w="5000" w:type="pct"/>
            <w:gridSpan w:val="4"/>
            <w:tcBorders>
              <w:bottom w:val="single" w:sz="4" w:space="0" w:color="auto"/>
            </w:tcBorders>
            <w:shd w:val="clear" w:color="auto" w:fill="auto"/>
            <w:vAlign w:val="center"/>
          </w:tcPr>
          <w:p w:rsidR="0040309F" w:rsidRPr="00425648" w:rsidRDefault="0040309F" w:rsidP="00820032">
            <w:pPr>
              <w:keepNext/>
              <w:keepLines/>
              <w:rPr>
                <w:rFonts w:ascii="Arial Narrow" w:hAnsi="Arial Narrow" w:cs="Times New Roman"/>
                <w:sz w:val="20"/>
              </w:rPr>
            </w:pPr>
            <w:r w:rsidRPr="00425648">
              <w:rPr>
                <w:rFonts w:ascii="Arial Narrow" w:hAnsi="Arial Narrow" w:cs="Times New Roman"/>
                <w:b/>
                <w:bCs/>
                <w:sz w:val="20"/>
              </w:rPr>
              <w:t xml:space="preserve">Step 6: </w:t>
            </w:r>
            <w:r w:rsidRPr="00425648">
              <w:rPr>
                <w:rFonts w:ascii="Arial Narrow" w:hAnsi="Arial Narrow" w:cs="Times New Roman"/>
                <w:sz w:val="20"/>
              </w:rPr>
              <w:t xml:space="preserve">Modelled economic evaluation, incremental cost per QALY at 60 years, assuming: </w:t>
            </w:r>
          </w:p>
          <w:p w:rsidR="0040309F" w:rsidRPr="00425648" w:rsidRDefault="0040309F" w:rsidP="00A3139D">
            <w:pPr>
              <w:pStyle w:val="ListParagraph"/>
              <w:keepNext/>
              <w:keepLines/>
              <w:widowControl/>
              <w:numPr>
                <w:ilvl w:val="0"/>
                <w:numId w:val="5"/>
              </w:numPr>
              <w:spacing w:after="0"/>
              <w:ind w:left="264" w:hanging="142"/>
              <w:contextualSpacing/>
              <w:jc w:val="left"/>
              <w:rPr>
                <w:rFonts w:ascii="Arial Narrow" w:hAnsi="Arial Narrow" w:cs="Times New Roman"/>
                <w:sz w:val="20"/>
              </w:rPr>
            </w:pPr>
            <w:r w:rsidRPr="00425648">
              <w:rPr>
                <w:rFonts w:ascii="Arial Narrow" w:hAnsi="Arial Narrow" w:cs="Times New Roman"/>
                <w:sz w:val="20"/>
              </w:rPr>
              <w:t>Step 5 assumptions,</w:t>
            </w:r>
          </w:p>
          <w:p w:rsidR="0040309F" w:rsidRPr="00425648" w:rsidRDefault="0040309F" w:rsidP="00A3139D">
            <w:pPr>
              <w:pStyle w:val="ListParagraph"/>
              <w:keepNext/>
              <w:keepLines/>
              <w:widowControl/>
              <w:numPr>
                <w:ilvl w:val="0"/>
                <w:numId w:val="5"/>
              </w:numPr>
              <w:spacing w:after="0"/>
              <w:ind w:left="264" w:hanging="142"/>
              <w:contextualSpacing/>
              <w:jc w:val="left"/>
              <w:rPr>
                <w:rFonts w:ascii="Arial Narrow" w:hAnsi="Arial Narrow" w:cs="Times New Roman"/>
                <w:sz w:val="20"/>
              </w:rPr>
            </w:pPr>
            <w:r w:rsidRPr="00425648">
              <w:rPr>
                <w:rFonts w:ascii="Arial Narrow" w:hAnsi="Arial Narrow" w:cs="Times New Roman"/>
                <w:sz w:val="20"/>
              </w:rPr>
              <w:t>Costs included for SDI health states (background costs)</w:t>
            </w:r>
          </w:p>
          <w:p w:rsidR="0040309F" w:rsidRPr="00425648" w:rsidRDefault="0040309F" w:rsidP="00A3139D">
            <w:pPr>
              <w:pStyle w:val="ListParagraph"/>
              <w:keepNext/>
              <w:keepLines/>
              <w:widowControl/>
              <w:numPr>
                <w:ilvl w:val="0"/>
                <w:numId w:val="5"/>
              </w:numPr>
              <w:spacing w:after="0"/>
              <w:ind w:left="264" w:hanging="142"/>
              <w:contextualSpacing/>
              <w:jc w:val="left"/>
              <w:rPr>
                <w:b/>
              </w:rPr>
            </w:pPr>
            <w:r w:rsidRPr="00425648">
              <w:rPr>
                <w:rFonts w:ascii="Arial Narrow" w:hAnsi="Arial Narrow" w:cs="Times New Roman"/>
                <w:sz w:val="20"/>
              </w:rPr>
              <w:t>Costs included for treating SLE flares</w:t>
            </w:r>
          </w:p>
        </w:tc>
      </w:tr>
      <w:tr w:rsidR="0040309F" w:rsidRPr="00425648" w:rsidTr="0040309F">
        <w:tc>
          <w:tcPr>
            <w:tcW w:w="1806" w:type="pct"/>
            <w:tcBorders>
              <w:bottom w:val="nil"/>
            </w:tcBorders>
            <w:shd w:val="clear" w:color="auto" w:fill="auto"/>
            <w:vAlign w:val="center"/>
          </w:tcPr>
          <w:p w:rsidR="0040309F" w:rsidRPr="00425648" w:rsidRDefault="0040309F" w:rsidP="00820032">
            <w:pPr>
              <w:pStyle w:val="Tabletext"/>
              <w:keepNext/>
              <w:keepLines/>
              <w:rPr>
                <w:rFonts w:ascii="Times" w:hAnsi="Times"/>
              </w:rPr>
            </w:pPr>
            <w:r w:rsidRPr="00425648">
              <w:t>Costs (discounted)</w:t>
            </w:r>
          </w:p>
        </w:tc>
        <w:tc>
          <w:tcPr>
            <w:tcW w:w="1022" w:type="pct"/>
            <w:tcBorders>
              <w:bottom w:val="nil"/>
            </w:tcBorders>
            <w:shd w:val="clear" w:color="auto" w:fill="auto"/>
            <w:vAlign w:val="center"/>
          </w:tcPr>
          <w:p w:rsidR="0040309F" w:rsidRPr="00425648" w:rsidRDefault="0040309F" w:rsidP="00820032">
            <w:pPr>
              <w:pStyle w:val="Tabletext"/>
              <w:keepNext/>
              <w:keepLines/>
              <w:jc w:val="center"/>
              <w:rPr>
                <w:rFonts w:ascii="Times" w:hAnsi="Times"/>
              </w:rPr>
            </w:pPr>
            <w:r w:rsidRPr="00425648">
              <w:t>$</w:t>
            </w:r>
            <w:r w:rsidR="00C15B75">
              <w:rPr>
                <w:noProof/>
                <w:color w:val="000000"/>
                <w:highlight w:val="black"/>
              </w:rPr>
              <w:t>'''''''''''''''''''</w:t>
            </w:r>
          </w:p>
        </w:tc>
        <w:tc>
          <w:tcPr>
            <w:tcW w:w="1022" w:type="pct"/>
            <w:tcBorders>
              <w:bottom w:val="nil"/>
            </w:tcBorders>
            <w:shd w:val="clear" w:color="auto" w:fill="auto"/>
            <w:vAlign w:val="center"/>
          </w:tcPr>
          <w:p w:rsidR="0040309F" w:rsidRPr="00425648" w:rsidRDefault="0040309F" w:rsidP="00820032">
            <w:pPr>
              <w:pStyle w:val="Tabletext"/>
              <w:keepNext/>
              <w:keepLines/>
              <w:jc w:val="center"/>
              <w:rPr>
                <w:rFonts w:ascii="Times" w:hAnsi="Times"/>
              </w:rPr>
            </w:pPr>
            <w:r w:rsidRPr="00425648">
              <w:t>$</w:t>
            </w:r>
            <w:r w:rsidR="00C15B75">
              <w:rPr>
                <w:noProof/>
                <w:color w:val="000000"/>
                <w:highlight w:val="black"/>
              </w:rPr>
              <w:t>'''''''''''''''''''''</w:t>
            </w:r>
          </w:p>
        </w:tc>
        <w:tc>
          <w:tcPr>
            <w:tcW w:w="1150" w:type="pct"/>
            <w:tcBorders>
              <w:bottom w:val="nil"/>
            </w:tcBorders>
            <w:shd w:val="clear" w:color="auto" w:fill="auto"/>
            <w:vAlign w:val="center"/>
          </w:tcPr>
          <w:p w:rsidR="0040309F" w:rsidRPr="00425648" w:rsidRDefault="0040309F" w:rsidP="00820032">
            <w:pPr>
              <w:pStyle w:val="Tabletext"/>
              <w:keepNext/>
              <w:keepLines/>
              <w:jc w:val="center"/>
              <w:rPr>
                <w:rFonts w:ascii="Times" w:hAnsi="Times"/>
              </w:rPr>
            </w:pPr>
            <w:r w:rsidRPr="00425648">
              <w:t>$</w:t>
            </w:r>
            <w:r w:rsidR="00C15B75">
              <w:rPr>
                <w:noProof/>
                <w:color w:val="000000"/>
                <w:highlight w:val="black"/>
              </w:rPr>
              <w:t>''''''''''''''''</w:t>
            </w:r>
          </w:p>
        </w:tc>
      </w:tr>
      <w:tr w:rsidR="0040309F" w:rsidRPr="00425648" w:rsidTr="0040309F">
        <w:tc>
          <w:tcPr>
            <w:tcW w:w="1806" w:type="pct"/>
            <w:tcBorders>
              <w:top w:val="nil"/>
              <w:bottom w:val="nil"/>
            </w:tcBorders>
            <w:shd w:val="clear" w:color="auto" w:fill="auto"/>
            <w:vAlign w:val="center"/>
          </w:tcPr>
          <w:p w:rsidR="0040309F" w:rsidRPr="00425648" w:rsidRDefault="0040309F" w:rsidP="00820032">
            <w:pPr>
              <w:pStyle w:val="Tabletext"/>
              <w:keepNext/>
              <w:keepLines/>
            </w:pPr>
            <w:r w:rsidRPr="00425648">
              <w:rPr>
                <w:iCs/>
              </w:rPr>
              <w:t>Life Years gained (discounted)</w:t>
            </w:r>
          </w:p>
        </w:tc>
        <w:tc>
          <w:tcPr>
            <w:tcW w:w="1022" w:type="pct"/>
            <w:tcBorders>
              <w:top w:val="nil"/>
              <w:bottom w:val="nil"/>
            </w:tcBorders>
            <w:shd w:val="clear" w:color="auto" w:fill="auto"/>
            <w:vAlign w:val="center"/>
          </w:tcPr>
          <w:p w:rsidR="0040309F" w:rsidRPr="00425648" w:rsidRDefault="0040309F" w:rsidP="00820032">
            <w:pPr>
              <w:pStyle w:val="Tabletext"/>
              <w:keepNext/>
              <w:keepLines/>
              <w:jc w:val="center"/>
            </w:pPr>
            <w:r w:rsidRPr="00425648">
              <w:t>15.60</w:t>
            </w:r>
          </w:p>
        </w:tc>
        <w:tc>
          <w:tcPr>
            <w:tcW w:w="1022" w:type="pct"/>
            <w:tcBorders>
              <w:top w:val="nil"/>
              <w:bottom w:val="nil"/>
            </w:tcBorders>
            <w:shd w:val="clear" w:color="auto" w:fill="auto"/>
            <w:vAlign w:val="center"/>
          </w:tcPr>
          <w:p w:rsidR="0040309F" w:rsidRPr="00425648" w:rsidRDefault="0040309F" w:rsidP="00820032">
            <w:pPr>
              <w:pStyle w:val="Tabletext"/>
              <w:keepNext/>
              <w:keepLines/>
              <w:jc w:val="center"/>
            </w:pPr>
            <w:r w:rsidRPr="00425648">
              <w:t>15.39</w:t>
            </w:r>
          </w:p>
        </w:tc>
        <w:tc>
          <w:tcPr>
            <w:tcW w:w="1150" w:type="pct"/>
            <w:tcBorders>
              <w:top w:val="nil"/>
              <w:bottom w:val="nil"/>
            </w:tcBorders>
            <w:shd w:val="clear" w:color="auto" w:fill="auto"/>
            <w:vAlign w:val="center"/>
          </w:tcPr>
          <w:p w:rsidR="0040309F" w:rsidRPr="00425648" w:rsidRDefault="0040309F" w:rsidP="00820032">
            <w:pPr>
              <w:pStyle w:val="Tabletext"/>
              <w:keepNext/>
              <w:keepLines/>
              <w:jc w:val="center"/>
            </w:pPr>
            <w:r w:rsidRPr="00425648">
              <w:t>0.20</w:t>
            </w:r>
          </w:p>
        </w:tc>
      </w:tr>
      <w:tr w:rsidR="0040309F" w:rsidRPr="00425648" w:rsidTr="0040309F">
        <w:tc>
          <w:tcPr>
            <w:tcW w:w="1806" w:type="pct"/>
            <w:tcBorders>
              <w:top w:val="nil"/>
              <w:bottom w:val="single" w:sz="4" w:space="0" w:color="auto"/>
            </w:tcBorders>
            <w:shd w:val="clear" w:color="auto" w:fill="auto"/>
            <w:vAlign w:val="center"/>
          </w:tcPr>
          <w:p w:rsidR="0040309F" w:rsidRPr="00425648" w:rsidRDefault="0040309F" w:rsidP="00820032">
            <w:pPr>
              <w:pStyle w:val="Tabletext"/>
              <w:keepNext/>
              <w:keepLines/>
              <w:rPr>
                <w:rFonts w:ascii="Times" w:hAnsi="Times"/>
              </w:rPr>
            </w:pPr>
            <w:r w:rsidRPr="00425648">
              <w:t>QALYs (discounted)</w:t>
            </w:r>
          </w:p>
        </w:tc>
        <w:tc>
          <w:tcPr>
            <w:tcW w:w="1022" w:type="pct"/>
            <w:tcBorders>
              <w:top w:val="nil"/>
              <w:bottom w:val="single" w:sz="4" w:space="0" w:color="auto"/>
            </w:tcBorders>
            <w:shd w:val="clear" w:color="auto" w:fill="auto"/>
            <w:vAlign w:val="center"/>
          </w:tcPr>
          <w:p w:rsidR="0040309F" w:rsidRPr="00425648" w:rsidRDefault="0040309F" w:rsidP="00820032">
            <w:pPr>
              <w:pStyle w:val="Tabletext"/>
              <w:keepNext/>
              <w:keepLines/>
              <w:jc w:val="center"/>
              <w:rPr>
                <w:rFonts w:ascii="Times" w:hAnsi="Times"/>
              </w:rPr>
            </w:pPr>
            <w:r w:rsidRPr="00425648">
              <w:t>10,485</w:t>
            </w:r>
          </w:p>
        </w:tc>
        <w:tc>
          <w:tcPr>
            <w:tcW w:w="1022" w:type="pct"/>
            <w:tcBorders>
              <w:top w:val="nil"/>
              <w:bottom w:val="single" w:sz="4" w:space="0" w:color="auto"/>
            </w:tcBorders>
            <w:shd w:val="clear" w:color="auto" w:fill="auto"/>
            <w:vAlign w:val="center"/>
          </w:tcPr>
          <w:p w:rsidR="0040309F" w:rsidRPr="00425648" w:rsidRDefault="0040309F" w:rsidP="00820032">
            <w:pPr>
              <w:pStyle w:val="Tabletext"/>
              <w:keepNext/>
              <w:keepLines/>
              <w:jc w:val="center"/>
              <w:rPr>
                <w:rFonts w:ascii="Times" w:hAnsi="Times"/>
              </w:rPr>
            </w:pPr>
            <w:r w:rsidRPr="00425648">
              <w:t>9,949</w:t>
            </w:r>
          </w:p>
        </w:tc>
        <w:tc>
          <w:tcPr>
            <w:tcW w:w="1150" w:type="pct"/>
            <w:tcBorders>
              <w:top w:val="nil"/>
              <w:bottom w:val="single" w:sz="4" w:space="0" w:color="auto"/>
            </w:tcBorders>
            <w:shd w:val="clear" w:color="auto" w:fill="auto"/>
            <w:vAlign w:val="center"/>
          </w:tcPr>
          <w:p w:rsidR="0040309F" w:rsidRPr="00425648" w:rsidRDefault="0040309F" w:rsidP="00820032">
            <w:pPr>
              <w:pStyle w:val="Tabletext"/>
              <w:keepNext/>
              <w:keepLines/>
              <w:jc w:val="center"/>
            </w:pPr>
            <w:r w:rsidRPr="00425648">
              <w:t>0.537</w:t>
            </w:r>
          </w:p>
        </w:tc>
      </w:tr>
      <w:tr w:rsidR="0040309F" w:rsidRPr="00425648" w:rsidTr="0040309F">
        <w:tc>
          <w:tcPr>
            <w:tcW w:w="3850" w:type="pct"/>
            <w:gridSpan w:val="3"/>
            <w:tcBorders>
              <w:bottom w:val="nil"/>
            </w:tcBorders>
            <w:shd w:val="clear" w:color="auto" w:fill="auto"/>
            <w:vAlign w:val="center"/>
          </w:tcPr>
          <w:p w:rsidR="0040309F" w:rsidRPr="00425648" w:rsidRDefault="0040309F" w:rsidP="00820032">
            <w:pPr>
              <w:pStyle w:val="Tabletext"/>
              <w:keepNext/>
              <w:keepLines/>
              <w:rPr>
                <w:b/>
                <w:bCs/>
                <w:iCs/>
              </w:rPr>
            </w:pPr>
            <w:r w:rsidRPr="00425648">
              <w:rPr>
                <w:b/>
                <w:bCs/>
                <w:iCs/>
              </w:rPr>
              <w:t>Incremental cost / Life Years gained</w:t>
            </w:r>
          </w:p>
        </w:tc>
        <w:tc>
          <w:tcPr>
            <w:tcW w:w="1150" w:type="pct"/>
            <w:tcBorders>
              <w:bottom w:val="nil"/>
            </w:tcBorders>
            <w:shd w:val="clear" w:color="auto" w:fill="auto"/>
            <w:vAlign w:val="center"/>
          </w:tcPr>
          <w:p w:rsidR="0040309F" w:rsidRPr="00425648" w:rsidRDefault="0040309F" w:rsidP="00820032">
            <w:pPr>
              <w:pStyle w:val="Tabletext"/>
              <w:keepNext/>
              <w:keepLines/>
              <w:jc w:val="center"/>
              <w:rPr>
                <w:b/>
                <w:bCs/>
                <w:iCs/>
              </w:rPr>
            </w:pPr>
            <w:r w:rsidRPr="00425648">
              <w:rPr>
                <w:b/>
                <w:bCs/>
                <w:iCs/>
              </w:rPr>
              <w:t>$</w:t>
            </w:r>
            <w:r w:rsidR="00C15B75">
              <w:rPr>
                <w:b/>
                <w:bCs/>
                <w:iCs/>
                <w:noProof/>
                <w:color w:val="000000"/>
                <w:highlight w:val="black"/>
              </w:rPr>
              <w:t>'''''''''''''''</w:t>
            </w:r>
          </w:p>
        </w:tc>
      </w:tr>
      <w:tr w:rsidR="0040309F" w:rsidRPr="00425648" w:rsidTr="00514ED6">
        <w:tc>
          <w:tcPr>
            <w:tcW w:w="3850" w:type="pct"/>
            <w:gridSpan w:val="3"/>
            <w:tcBorders>
              <w:top w:val="nil"/>
              <w:bottom w:val="single" w:sz="4" w:space="0" w:color="auto"/>
            </w:tcBorders>
            <w:shd w:val="clear" w:color="auto" w:fill="auto"/>
            <w:vAlign w:val="center"/>
          </w:tcPr>
          <w:p w:rsidR="0040309F" w:rsidRPr="00425648" w:rsidRDefault="0040309F" w:rsidP="00820032">
            <w:pPr>
              <w:pStyle w:val="Tabletext"/>
              <w:keepNext/>
              <w:keepLines/>
            </w:pPr>
            <w:r w:rsidRPr="00425648">
              <w:rPr>
                <w:b/>
              </w:rPr>
              <w:t xml:space="preserve">Incremental cost/extra QALY gained (base case in </w:t>
            </w:r>
            <w:r w:rsidR="00841EA7" w:rsidRPr="00425648">
              <w:rPr>
                <w:b/>
              </w:rPr>
              <w:t>re</w:t>
            </w:r>
            <w:r w:rsidRPr="00425648">
              <w:rPr>
                <w:b/>
              </w:rPr>
              <w:t>submission)</w:t>
            </w:r>
          </w:p>
        </w:tc>
        <w:tc>
          <w:tcPr>
            <w:tcW w:w="1150" w:type="pct"/>
            <w:tcBorders>
              <w:top w:val="nil"/>
              <w:bottom w:val="single" w:sz="4" w:space="0" w:color="auto"/>
            </w:tcBorders>
            <w:shd w:val="clear" w:color="auto" w:fill="auto"/>
            <w:vAlign w:val="center"/>
          </w:tcPr>
          <w:p w:rsidR="0040309F" w:rsidRPr="00425648" w:rsidRDefault="0040309F" w:rsidP="00820032">
            <w:pPr>
              <w:pStyle w:val="Tabletext"/>
              <w:keepNext/>
              <w:keepLines/>
              <w:jc w:val="center"/>
            </w:pPr>
            <w:r w:rsidRPr="00425648">
              <w:rPr>
                <w:b/>
              </w:rPr>
              <w:t>$</w:t>
            </w:r>
            <w:r w:rsidR="00C15B75">
              <w:rPr>
                <w:b/>
                <w:noProof/>
                <w:color w:val="000000"/>
                <w:highlight w:val="black"/>
              </w:rPr>
              <w:t>'''''''''''''</w:t>
            </w:r>
          </w:p>
        </w:tc>
      </w:tr>
      <w:tr w:rsidR="00514ED6" w:rsidRPr="00425648" w:rsidTr="00AD1632">
        <w:tc>
          <w:tcPr>
            <w:tcW w:w="1" w:type="pct"/>
            <w:gridSpan w:val="4"/>
            <w:tcBorders>
              <w:top w:val="single" w:sz="4" w:space="0" w:color="auto"/>
              <w:bottom w:val="single" w:sz="4" w:space="0" w:color="auto"/>
            </w:tcBorders>
            <w:shd w:val="clear" w:color="auto" w:fill="B8CCE4" w:themeFill="accent1" w:themeFillTint="66"/>
            <w:vAlign w:val="center"/>
          </w:tcPr>
          <w:p w:rsidR="00514ED6" w:rsidRPr="00425648" w:rsidRDefault="00514ED6" w:rsidP="00514ED6">
            <w:pPr>
              <w:pStyle w:val="Tabletext"/>
              <w:keepNext/>
              <w:keepLines/>
              <w:rPr>
                <w:b/>
              </w:rPr>
            </w:pPr>
            <w:r w:rsidRPr="00425648">
              <w:rPr>
                <w:b/>
              </w:rPr>
              <w:t>Previous submission</w:t>
            </w:r>
          </w:p>
        </w:tc>
      </w:tr>
      <w:tr w:rsidR="00514ED6" w:rsidRPr="00425648" w:rsidTr="00AD1632">
        <w:tc>
          <w:tcPr>
            <w:tcW w:w="3850" w:type="pct"/>
            <w:gridSpan w:val="3"/>
            <w:tcBorders>
              <w:top w:val="single" w:sz="4" w:space="0" w:color="auto"/>
            </w:tcBorders>
            <w:shd w:val="clear" w:color="auto" w:fill="B8CCE4" w:themeFill="accent1" w:themeFillTint="66"/>
            <w:vAlign w:val="center"/>
          </w:tcPr>
          <w:p w:rsidR="00514ED6" w:rsidRPr="00425648" w:rsidRDefault="00AD1632" w:rsidP="00820032">
            <w:pPr>
              <w:pStyle w:val="Tabletext"/>
              <w:keepNext/>
              <w:keepLines/>
              <w:rPr>
                <w:b/>
              </w:rPr>
            </w:pPr>
            <w:r w:rsidRPr="00425648">
              <w:rPr>
                <w:b/>
              </w:rPr>
              <w:t>Incremental cost/extra QALY gained</w:t>
            </w:r>
          </w:p>
        </w:tc>
        <w:tc>
          <w:tcPr>
            <w:tcW w:w="1150" w:type="pct"/>
            <w:tcBorders>
              <w:top w:val="single" w:sz="4" w:space="0" w:color="auto"/>
            </w:tcBorders>
            <w:shd w:val="clear" w:color="auto" w:fill="B8CCE4" w:themeFill="accent1" w:themeFillTint="66"/>
            <w:vAlign w:val="center"/>
          </w:tcPr>
          <w:p w:rsidR="00514ED6" w:rsidRPr="00425648" w:rsidRDefault="00B25297" w:rsidP="00820032">
            <w:pPr>
              <w:pStyle w:val="Tabletext"/>
              <w:keepNext/>
              <w:keepLines/>
              <w:jc w:val="center"/>
              <w:rPr>
                <w:b/>
              </w:rPr>
            </w:pPr>
            <w:r w:rsidRPr="00425648">
              <w:rPr>
                <w:b/>
                <w:szCs w:val="20"/>
                <w:lang w:eastAsia="en-AU"/>
              </w:rPr>
              <w:t>$</w:t>
            </w:r>
            <w:r w:rsidR="00C15B75">
              <w:rPr>
                <w:b/>
                <w:noProof/>
                <w:color w:val="000000"/>
                <w:szCs w:val="20"/>
                <w:highlight w:val="black"/>
                <w:lang w:eastAsia="en-AU"/>
              </w:rPr>
              <w:t>'''''''''''''</w:t>
            </w:r>
          </w:p>
        </w:tc>
      </w:tr>
    </w:tbl>
    <w:p w:rsidR="0040309F" w:rsidRPr="00425648" w:rsidRDefault="007D209F" w:rsidP="00820032">
      <w:pPr>
        <w:keepNext/>
        <w:keepLines/>
        <w:ind w:left="165" w:hanging="165"/>
        <w:rPr>
          <w:rFonts w:ascii="Arial Narrow" w:hAnsi="Arial Narrow"/>
          <w:sz w:val="18"/>
          <w:szCs w:val="18"/>
        </w:rPr>
      </w:pPr>
      <w:r w:rsidRPr="00425648">
        <w:rPr>
          <w:rFonts w:ascii="Arial Narrow" w:hAnsi="Arial Narrow"/>
          <w:sz w:val="18"/>
          <w:szCs w:val="18"/>
        </w:rPr>
        <w:t xml:space="preserve">* </w:t>
      </w:r>
      <w:r w:rsidR="0040309F" w:rsidRPr="00425648">
        <w:rPr>
          <w:rFonts w:ascii="Arial Narrow" w:hAnsi="Arial Narrow"/>
          <w:sz w:val="18"/>
          <w:szCs w:val="18"/>
        </w:rPr>
        <w:t xml:space="preserve"> </w:t>
      </w:r>
      <w:r w:rsidRPr="00425648">
        <w:rPr>
          <w:rFonts w:ascii="Arial Narrow" w:hAnsi="Arial Narrow"/>
          <w:sz w:val="18"/>
          <w:szCs w:val="18"/>
        </w:rPr>
        <w:t xml:space="preserve"> T</w:t>
      </w:r>
      <w:r w:rsidR="0040309F" w:rsidRPr="00425648">
        <w:rPr>
          <w:rFonts w:ascii="Arial Narrow" w:hAnsi="Arial Narrow"/>
          <w:sz w:val="18"/>
          <w:szCs w:val="18"/>
        </w:rPr>
        <w:t xml:space="preserve">here were small discrepancies in results compared to the resubmission, differences </w:t>
      </w:r>
      <w:r w:rsidR="00C9652D" w:rsidRPr="00425648">
        <w:rPr>
          <w:rFonts w:ascii="Arial Narrow" w:hAnsi="Arial Narrow"/>
          <w:sz w:val="18"/>
          <w:szCs w:val="18"/>
        </w:rPr>
        <w:t xml:space="preserve">are likely </w:t>
      </w:r>
      <w:r w:rsidR="0040309F" w:rsidRPr="00425648">
        <w:rPr>
          <w:rFonts w:ascii="Arial Narrow" w:hAnsi="Arial Narrow"/>
          <w:sz w:val="18"/>
          <w:szCs w:val="18"/>
        </w:rPr>
        <w:t>due to rounding.</w:t>
      </w:r>
    </w:p>
    <w:p w:rsidR="0040309F" w:rsidRPr="00A51E49" w:rsidRDefault="0040309F" w:rsidP="00820032">
      <w:pPr>
        <w:keepNext/>
        <w:keepLines/>
        <w:rPr>
          <w:rFonts w:ascii="Arial Narrow" w:hAnsi="Arial Narrow"/>
          <w:sz w:val="18"/>
          <w:szCs w:val="18"/>
        </w:rPr>
      </w:pPr>
      <w:r w:rsidRPr="00A51E49">
        <w:rPr>
          <w:rFonts w:ascii="Arial Narrow" w:hAnsi="Arial Narrow"/>
          <w:sz w:val="18"/>
          <w:szCs w:val="18"/>
        </w:rPr>
        <w:t xml:space="preserve">Source: </w:t>
      </w:r>
      <w:r>
        <w:rPr>
          <w:rFonts w:ascii="Arial Narrow" w:hAnsi="Arial Narrow"/>
          <w:sz w:val="18"/>
          <w:szCs w:val="18"/>
        </w:rPr>
        <w:t>compiled during the evaluation in reference to Table 98, p249 of the resubmission.</w:t>
      </w:r>
    </w:p>
    <w:p w:rsidR="00C03F09" w:rsidRPr="00C03F09" w:rsidRDefault="00C03F09" w:rsidP="00172AD3">
      <w:pPr>
        <w:rPr>
          <w:i/>
        </w:rPr>
      </w:pPr>
      <w:r>
        <w:br/>
      </w:r>
      <w:r>
        <w:rPr>
          <w:i/>
        </w:rPr>
        <w:t xml:space="preserve">The redacted table shows that the base case ICER was in the range of $55,000 to &lt; $75,000 per QALY in both the previous submission and the resubmission. </w:t>
      </w:r>
    </w:p>
    <w:p w:rsidR="00172AD3" w:rsidRPr="0087014E" w:rsidRDefault="00172AD3" w:rsidP="00DA711E">
      <w:pPr>
        <w:pStyle w:val="ListParagraph"/>
        <w:widowControl/>
        <w:numPr>
          <w:ilvl w:val="1"/>
          <w:numId w:val="1"/>
        </w:numPr>
        <w:rPr>
          <w:szCs w:val="24"/>
        </w:rPr>
      </w:pPr>
      <w:r w:rsidRPr="0094167E">
        <w:rPr>
          <w:szCs w:val="24"/>
        </w:rPr>
        <w:t xml:space="preserve">Table </w:t>
      </w:r>
      <w:r>
        <w:rPr>
          <w:szCs w:val="24"/>
        </w:rPr>
        <w:t>1</w:t>
      </w:r>
      <w:r w:rsidR="00C713EE">
        <w:rPr>
          <w:szCs w:val="24"/>
        </w:rPr>
        <w:t>5</w:t>
      </w:r>
      <w:r w:rsidRPr="0094167E">
        <w:rPr>
          <w:szCs w:val="24"/>
        </w:rPr>
        <w:t xml:space="preserve"> presents </w:t>
      </w:r>
      <w:r>
        <w:rPr>
          <w:szCs w:val="24"/>
        </w:rPr>
        <w:t xml:space="preserve">results of </w:t>
      </w:r>
      <w:r w:rsidRPr="0094167E">
        <w:rPr>
          <w:szCs w:val="24"/>
        </w:rPr>
        <w:t>sensitivity analyses</w:t>
      </w:r>
      <w:r w:rsidR="00E2610E" w:rsidRPr="0087014E">
        <w:rPr>
          <w:szCs w:val="24"/>
        </w:rPr>
        <w:t>.</w:t>
      </w:r>
    </w:p>
    <w:p w:rsidR="00172AD3" w:rsidRPr="006747A4" w:rsidRDefault="00172AD3" w:rsidP="00820032">
      <w:pPr>
        <w:keepNext/>
        <w:keepLines/>
        <w:rPr>
          <w:rFonts w:ascii="Arial Narrow" w:hAnsi="Arial Narrow"/>
          <w:b/>
          <w:bCs/>
          <w:sz w:val="20"/>
          <w:szCs w:val="20"/>
        </w:rPr>
      </w:pPr>
      <w:r w:rsidRPr="006747A4">
        <w:rPr>
          <w:rFonts w:ascii="Arial Narrow" w:hAnsi="Arial Narrow"/>
          <w:b/>
          <w:bCs/>
          <w:sz w:val="20"/>
          <w:szCs w:val="20"/>
        </w:rPr>
        <w:t xml:space="preserve">Table </w:t>
      </w:r>
      <w:r>
        <w:rPr>
          <w:rFonts w:ascii="Arial Narrow" w:hAnsi="Arial Narrow"/>
          <w:b/>
          <w:bCs/>
          <w:sz w:val="20"/>
          <w:szCs w:val="20"/>
        </w:rPr>
        <w:t>1</w:t>
      </w:r>
      <w:r w:rsidR="00C713EE">
        <w:rPr>
          <w:rFonts w:ascii="Arial Narrow" w:hAnsi="Arial Narrow"/>
          <w:b/>
          <w:bCs/>
          <w:sz w:val="20"/>
          <w:szCs w:val="20"/>
        </w:rPr>
        <w:t>5</w:t>
      </w:r>
      <w:r w:rsidRPr="006747A4">
        <w:rPr>
          <w:rFonts w:ascii="Arial Narrow" w:hAnsi="Arial Narrow"/>
          <w:b/>
          <w:bCs/>
          <w:sz w:val="20"/>
          <w:szCs w:val="20"/>
        </w:rPr>
        <w:t xml:space="preserve">: Results of key sensitivity analyses on base case in </w:t>
      </w:r>
      <w:r w:rsidR="00841EA7">
        <w:rPr>
          <w:rFonts w:ascii="Arial Narrow" w:hAnsi="Arial Narrow"/>
          <w:b/>
          <w:bCs/>
          <w:sz w:val="20"/>
          <w:szCs w:val="20"/>
        </w:rPr>
        <w:t>re</w:t>
      </w:r>
      <w:r w:rsidRPr="006747A4">
        <w:rPr>
          <w:rFonts w:ascii="Arial Narrow" w:hAnsi="Arial Narrow"/>
          <w:b/>
          <w:bCs/>
          <w:sz w:val="20"/>
          <w:szCs w:val="20"/>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6"/>
        <w:gridCol w:w="1509"/>
        <w:gridCol w:w="1647"/>
        <w:gridCol w:w="1225"/>
      </w:tblGrid>
      <w:tr w:rsidR="004A7184" w:rsidRPr="00425648" w:rsidTr="00E2610E">
        <w:trPr>
          <w:tblHeader/>
        </w:trPr>
        <w:tc>
          <w:tcPr>
            <w:tcW w:w="2571" w:type="pct"/>
          </w:tcPr>
          <w:p w:rsidR="004A7184" w:rsidRPr="00425648" w:rsidRDefault="004A7184" w:rsidP="00820032">
            <w:pPr>
              <w:keepNext/>
              <w:keepLines/>
              <w:tabs>
                <w:tab w:val="left" w:pos="142"/>
              </w:tabs>
              <w:rPr>
                <w:rFonts w:ascii="Arial Narrow" w:hAnsi="Arial Narrow" w:cs="Times New Roman"/>
                <w:b/>
                <w:sz w:val="20"/>
              </w:rPr>
            </w:pPr>
            <w:r w:rsidRPr="00425648">
              <w:rPr>
                <w:rFonts w:ascii="Arial Narrow" w:hAnsi="Arial Narrow" w:cs="Times New Roman"/>
                <w:b/>
                <w:sz w:val="20"/>
              </w:rPr>
              <w:t>Analyses</w:t>
            </w:r>
          </w:p>
        </w:tc>
        <w:tc>
          <w:tcPr>
            <w:tcW w:w="837" w:type="pct"/>
          </w:tcPr>
          <w:p w:rsidR="004A7184" w:rsidRPr="00425648" w:rsidRDefault="004A7184" w:rsidP="00820032">
            <w:pPr>
              <w:keepNext/>
              <w:keepLines/>
              <w:jc w:val="center"/>
              <w:rPr>
                <w:rFonts w:ascii="Arial Narrow" w:hAnsi="Arial Narrow" w:cs="Times New Roman"/>
                <w:b/>
                <w:sz w:val="20"/>
              </w:rPr>
            </w:pPr>
            <w:r w:rsidRPr="00425648">
              <w:rPr>
                <w:rFonts w:ascii="Arial Narrow" w:hAnsi="Arial Narrow" w:cs="Times New Roman"/>
                <w:b/>
                <w:sz w:val="20"/>
              </w:rPr>
              <w:t>Incremental cost</w:t>
            </w:r>
          </w:p>
        </w:tc>
        <w:tc>
          <w:tcPr>
            <w:tcW w:w="913" w:type="pct"/>
          </w:tcPr>
          <w:p w:rsidR="004A7184" w:rsidRPr="00425648" w:rsidRDefault="004A7184" w:rsidP="00820032">
            <w:pPr>
              <w:keepNext/>
              <w:keepLines/>
              <w:jc w:val="center"/>
              <w:rPr>
                <w:rFonts w:ascii="Arial Narrow" w:hAnsi="Arial Narrow" w:cs="Times New Roman"/>
                <w:b/>
                <w:sz w:val="20"/>
              </w:rPr>
            </w:pPr>
            <w:r w:rsidRPr="00425648">
              <w:rPr>
                <w:rFonts w:ascii="Arial Narrow" w:hAnsi="Arial Narrow" w:cs="Times New Roman"/>
                <w:b/>
                <w:sz w:val="20"/>
              </w:rPr>
              <w:t>Incremental QALY</w:t>
            </w:r>
          </w:p>
        </w:tc>
        <w:tc>
          <w:tcPr>
            <w:tcW w:w="679" w:type="pct"/>
          </w:tcPr>
          <w:p w:rsidR="004A7184" w:rsidRPr="00425648" w:rsidRDefault="004A7184" w:rsidP="00820032">
            <w:pPr>
              <w:keepNext/>
              <w:keepLines/>
              <w:jc w:val="center"/>
              <w:rPr>
                <w:rFonts w:ascii="Arial Narrow" w:hAnsi="Arial Narrow" w:cs="Times New Roman"/>
                <w:b/>
                <w:sz w:val="20"/>
              </w:rPr>
            </w:pPr>
            <w:r w:rsidRPr="00425648">
              <w:rPr>
                <w:rFonts w:ascii="Arial Narrow" w:hAnsi="Arial Narrow" w:cs="Times New Roman"/>
                <w:b/>
                <w:sz w:val="20"/>
              </w:rPr>
              <w:t>ICER</w:t>
            </w:r>
          </w:p>
        </w:tc>
      </w:tr>
      <w:tr w:rsidR="004A7184" w:rsidRPr="00425648" w:rsidTr="00E2610E">
        <w:tc>
          <w:tcPr>
            <w:tcW w:w="2571" w:type="pct"/>
          </w:tcPr>
          <w:p w:rsidR="004A7184" w:rsidRPr="00425648" w:rsidRDefault="004A7184" w:rsidP="00820032">
            <w:pPr>
              <w:keepNext/>
              <w:keepLines/>
              <w:tabs>
                <w:tab w:val="left" w:pos="142"/>
              </w:tabs>
              <w:rPr>
                <w:rFonts w:ascii="Arial Narrow" w:hAnsi="Arial Narrow" w:cs="Times New Roman"/>
                <w:b/>
                <w:sz w:val="20"/>
              </w:rPr>
            </w:pPr>
            <w:r w:rsidRPr="00425648">
              <w:rPr>
                <w:rFonts w:ascii="Arial Narrow" w:hAnsi="Arial Narrow" w:cs="Times New Roman"/>
                <w:b/>
                <w:sz w:val="20"/>
              </w:rPr>
              <w:t xml:space="preserve">Base Case of </w:t>
            </w:r>
            <w:r w:rsidR="00841EA7" w:rsidRPr="00425648">
              <w:rPr>
                <w:rFonts w:ascii="Arial Narrow" w:hAnsi="Arial Narrow" w:cs="Times New Roman"/>
                <w:b/>
                <w:sz w:val="20"/>
              </w:rPr>
              <w:t>res</w:t>
            </w:r>
            <w:r w:rsidRPr="00425648">
              <w:rPr>
                <w:rFonts w:ascii="Arial Narrow" w:hAnsi="Arial Narrow" w:cs="Times New Roman"/>
                <w:b/>
                <w:sz w:val="20"/>
              </w:rPr>
              <w:t>ubmission</w:t>
            </w:r>
          </w:p>
        </w:tc>
        <w:tc>
          <w:tcPr>
            <w:tcW w:w="837" w:type="pct"/>
            <w:vAlign w:val="center"/>
          </w:tcPr>
          <w:p w:rsidR="004A7184" w:rsidRPr="00425648" w:rsidRDefault="004A7184" w:rsidP="00820032">
            <w:pPr>
              <w:keepNext/>
              <w:keepLines/>
              <w:jc w:val="center"/>
              <w:rPr>
                <w:rFonts w:ascii="Arial Narrow" w:hAnsi="Arial Narrow" w:cs="Times New Roman"/>
                <w:b/>
                <w:sz w:val="20"/>
              </w:rPr>
            </w:pPr>
            <w:r w:rsidRPr="00425648">
              <w:rPr>
                <w:rFonts w:ascii="Arial Narrow" w:hAnsi="Arial Narrow"/>
                <w:b/>
                <w:bCs/>
                <w:color w:val="000000"/>
                <w:sz w:val="20"/>
                <w:szCs w:val="20"/>
              </w:rPr>
              <w:t>$</w:t>
            </w:r>
            <w:r w:rsidR="00C15B75">
              <w:rPr>
                <w:rFonts w:ascii="Arial Narrow" w:hAnsi="Arial Narrow"/>
                <w:b/>
                <w:bCs/>
                <w:noProof/>
                <w:color w:val="000000"/>
                <w:sz w:val="20"/>
                <w:szCs w:val="20"/>
                <w:highlight w:val="black"/>
              </w:rPr>
              <w:t>''''''''''''''</w:t>
            </w:r>
          </w:p>
        </w:tc>
        <w:tc>
          <w:tcPr>
            <w:tcW w:w="913" w:type="pct"/>
            <w:vAlign w:val="center"/>
          </w:tcPr>
          <w:p w:rsidR="004A7184" w:rsidRPr="00425648" w:rsidRDefault="004A7184" w:rsidP="00820032">
            <w:pPr>
              <w:keepNext/>
              <w:keepLines/>
              <w:jc w:val="center"/>
              <w:rPr>
                <w:rFonts w:ascii="Arial Narrow" w:hAnsi="Arial Narrow" w:cs="Times New Roman"/>
                <w:b/>
                <w:sz w:val="20"/>
              </w:rPr>
            </w:pPr>
            <w:r w:rsidRPr="00425648">
              <w:rPr>
                <w:rFonts w:ascii="Arial Narrow" w:hAnsi="Arial Narrow"/>
                <w:b/>
                <w:bCs/>
                <w:color w:val="000000"/>
                <w:sz w:val="20"/>
                <w:szCs w:val="20"/>
              </w:rPr>
              <w:t>0.5366</w:t>
            </w:r>
          </w:p>
        </w:tc>
        <w:tc>
          <w:tcPr>
            <w:tcW w:w="679" w:type="pct"/>
            <w:vAlign w:val="center"/>
          </w:tcPr>
          <w:p w:rsidR="004A7184" w:rsidRPr="00425648" w:rsidRDefault="004A7184" w:rsidP="00820032">
            <w:pPr>
              <w:keepNext/>
              <w:keepLines/>
              <w:jc w:val="center"/>
              <w:rPr>
                <w:rFonts w:ascii="Arial Narrow" w:hAnsi="Arial Narrow" w:cs="Times New Roman"/>
                <w:b/>
                <w:sz w:val="20"/>
              </w:rPr>
            </w:pPr>
            <w:r w:rsidRPr="00425648">
              <w:rPr>
                <w:rFonts w:ascii="Arial Narrow" w:hAnsi="Arial Narrow"/>
                <w:b/>
                <w:bCs/>
                <w:color w:val="000000"/>
                <w:sz w:val="20"/>
                <w:szCs w:val="20"/>
              </w:rPr>
              <w:t>$</w:t>
            </w:r>
            <w:r w:rsidR="00C15B75">
              <w:rPr>
                <w:rFonts w:ascii="Arial Narrow" w:hAnsi="Arial Narrow"/>
                <w:b/>
                <w:bCs/>
                <w:noProof/>
                <w:color w:val="000000"/>
                <w:sz w:val="20"/>
                <w:szCs w:val="20"/>
                <w:highlight w:val="black"/>
              </w:rPr>
              <w:t>''''''''''''</w:t>
            </w:r>
          </w:p>
        </w:tc>
      </w:tr>
      <w:tr w:rsidR="004A7184" w:rsidRPr="00425648" w:rsidTr="00E2610E">
        <w:tc>
          <w:tcPr>
            <w:tcW w:w="5000" w:type="pct"/>
            <w:gridSpan w:val="4"/>
          </w:tcPr>
          <w:p w:rsidR="004A7184" w:rsidRPr="00425648" w:rsidRDefault="004A7184" w:rsidP="00820032">
            <w:pPr>
              <w:keepNext/>
              <w:keepLines/>
              <w:rPr>
                <w:rFonts w:ascii="Arial Narrow" w:hAnsi="Arial Narrow" w:cs="Times New Roman"/>
                <w:sz w:val="20"/>
              </w:rPr>
            </w:pPr>
            <w:r w:rsidRPr="00425648">
              <w:rPr>
                <w:rFonts w:ascii="Arial Narrow" w:hAnsi="Arial Narrow" w:cs="Times New Roman"/>
                <w:b/>
                <w:bCs/>
                <w:sz w:val="20"/>
              </w:rPr>
              <w:t>Univariate Sensitivity Analyses</w:t>
            </w:r>
          </w:p>
        </w:tc>
      </w:tr>
      <w:tr w:rsidR="004A7184" w:rsidRPr="00425648" w:rsidTr="00E2610E">
        <w:tc>
          <w:tcPr>
            <w:tcW w:w="2571" w:type="pct"/>
            <w:tcBorders>
              <w:top w:val="single" w:sz="4" w:space="0" w:color="auto"/>
              <w:bottom w:val="nil"/>
            </w:tcBorders>
          </w:tcPr>
          <w:p w:rsidR="004A7184" w:rsidRPr="004C3AB5" w:rsidRDefault="004A7184" w:rsidP="00820032">
            <w:pPr>
              <w:keepNext/>
              <w:keepLines/>
              <w:tabs>
                <w:tab w:val="left" w:pos="142"/>
              </w:tabs>
              <w:rPr>
                <w:rFonts w:ascii="Arial Narrow" w:hAnsi="Arial Narrow" w:cs="Times New Roman"/>
                <w:sz w:val="20"/>
              </w:rPr>
            </w:pPr>
            <w:r w:rsidRPr="004C3AB5">
              <w:rPr>
                <w:rFonts w:ascii="Arial Narrow" w:hAnsi="Arial Narrow" w:cs="Times New Roman"/>
                <w:sz w:val="20"/>
              </w:rPr>
              <w:t>Belimumab organ damage OR (base case 0.47)</w:t>
            </w:r>
          </w:p>
          <w:p w:rsidR="003B5EAB" w:rsidRPr="004C3AB5" w:rsidRDefault="000056ED" w:rsidP="00F85A6C">
            <w:pPr>
              <w:keepNext/>
              <w:keepLines/>
              <w:tabs>
                <w:tab w:val="left" w:pos="142"/>
              </w:tabs>
              <w:rPr>
                <w:rFonts w:ascii="Arial Narrow" w:hAnsi="Arial Narrow" w:cs="Times New Roman"/>
                <w:sz w:val="20"/>
              </w:rPr>
            </w:pPr>
            <w:r>
              <w:rPr>
                <w:rFonts w:ascii="Arial Narrow" w:hAnsi="Arial Narrow" w:cs="Times New Roman"/>
                <w:sz w:val="20"/>
              </w:rPr>
              <w:t>O</w:t>
            </w:r>
            <w:r w:rsidR="003B5EAB" w:rsidRPr="004C3AB5">
              <w:rPr>
                <w:rFonts w:ascii="Arial Narrow" w:hAnsi="Arial Narrow" w:cs="Times New Roman"/>
                <w:sz w:val="20"/>
              </w:rPr>
              <w:t>R</w:t>
            </w:r>
            <w:r w:rsidR="005E0A80" w:rsidRPr="004C3AB5">
              <w:rPr>
                <w:rFonts w:ascii="Arial Narrow" w:hAnsi="Arial Narrow" w:cs="Times New Roman"/>
                <w:sz w:val="20"/>
              </w:rPr>
              <w:t>=</w:t>
            </w:r>
            <w:r w:rsidR="003B5EAB" w:rsidRPr="004C3AB5">
              <w:rPr>
                <w:rFonts w:ascii="Arial Narrow" w:hAnsi="Arial Narrow" w:cs="Times New Roman"/>
                <w:sz w:val="20"/>
              </w:rPr>
              <w:t xml:space="preserve">1 </w:t>
            </w:r>
            <w:r w:rsidR="005E0A80" w:rsidRPr="004C3AB5">
              <w:rPr>
                <w:rFonts w:ascii="Arial Narrow" w:hAnsi="Arial Narrow" w:cs="Times New Roman"/>
                <w:sz w:val="20"/>
              </w:rPr>
              <w:t xml:space="preserve">as </w:t>
            </w:r>
            <w:r w:rsidR="003B5EAB" w:rsidRPr="004C3AB5">
              <w:rPr>
                <w:rFonts w:ascii="Arial Narrow" w:hAnsi="Arial Narrow" w:cs="Times New Roman"/>
                <w:sz w:val="20"/>
              </w:rPr>
              <w:t xml:space="preserve">no reported </w:t>
            </w:r>
            <w:r w:rsidR="00CD3652" w:rsidRPr="004C3AB5">
              <w:rPr>
                <w:rFonts w:ascii="Arial Narrow" w:hAnsi="Arial Narrow" w:cs="Times New Roman"/>
                <w:sz w:val="20"/>
              </w:rPr>
              <w:t>result reached statistical</w:t>
            </w:r>
            <w:r w:rsidR="005E0A80" w:rsidRPr="004C3AB5">
              <w:rPr>
                <w:rFonts w:ascii="Arial Narrow" w:hAnsi="Arial Narrow" w:cs="Times New Roman"/>
                <w:sz w:val="20"/>
              </w:rPr>
              <w:t xml:space="preserve"> significan</w:t>
            </w:r>
            <w:r w:rsidR="00CD3652" w:rsidRPr="004C3AB5">
              <w:rPr>
                <w:rFonts w:ascii="Arial Narrow" w:hAnsi="Arial Narrow" w:cs="Times New Roman"/>
                <w:sz w:val="20"/>
              </w:rPr>
              <w:t>ce</w:t>
            </w:r>
            <w:r w:rsidR="00795E5A" w:rsidRPr="004C3AB5">
              <w:rPr>
                <w:rFonts w:ascii="Arial Narrow" w:hAnsi="Arial Narrow" w:cs="Times New Roman"/>
                <w:sz w:val="20"/>
              </w:rPr>
              <w:t xml:space="preserve"> </w:t>
            </w:r>
          </w:p>
        </w:tc>
        <w:tc>
          <w:tcPr>
            <w:tcW w:w="837" w:type="pct"/>
            <w:tcBorders>
              <w:top w:val="single" w:sz="4" w:space="0" w:color="auto"/>
              <w:bottom w:val="nil"/>
            </w:tcBorders>
          </w:tcPr>
          <w:p w:rsidR="004A7184" w:rsidRPr="00425648" w:rsidRDefault="004A7184" w:rsidP="003B5EAB">
            <w:pPr>
              <w:keepNext/>
              <w:keepLines/>
              <w:jc w:val="center"/>
              <w:rPr>
                <w:rFonts w:ascii="Arial Narrow" w:hAnsi="Arial Narrow" w:cs="Times New Roman"/>
                <w:sz w:val="20"/>
              </w:rPr>
            </w:pPr>
          </w:p>
          <w:p w:rsidR="003B5EAB" w:rsidRPr="00425648" w:rsidRDefault="00CD3652" w:rsidP="003B5EAB">
            <w:pPr>
              <w:keepNext/>
              <w:keepLines/>
              <w:jc w:val="center"/>
              <w:rPr>
                <w:rFonts w:ascii="Arial Narrow" w:hAnsi="Arial Narrow" w:cs="Times New Roman"/>
                <w:sz w:val="20"/>
              </w:rPr>
            </w:pPr>
            <w:r w:rsidRPr="00425648">
              <w:rPr>
                <w:rFonts w:ascii="Arial Narrow" w:hAnsi="Arial Narrow" w:cs="Times New Roman"/>
                <w:sz w:val="20"/>
              </w:rPr>
              <w:t>$</w:t>
            </w:r>
            <w:r w:rsidR="00C15B75">
              <w:rPr>
                <w:rFonts w:ascii="Arial Narrow" w:hAnsi="Arial Narrow" w:cs="Times New Roman"/>
                <w:noProof/>
                <w:color w:val="000000"/>
                <w:sz w:val="20"/>
                <w:highlight w:val="black"/>
              </w:rPr>
              <w:t>'''''''''''''''''</w:t>
            </w:r>
          </w:p>
        </w:tc>
        <w:tc>
          <w:tcPr>
            <w:tcW w:w="913" w:type="pct"/>
            <w:tcBorders>
              <w:top w:val="single" w:sz="4" w:space="0" w:color="auto"/>
              <w:bottom w:val="nil"/>
            </w:tcBorders>
          </w:tcPr>
          <w:p w:rsidR="004A7184" w:rsidRPr="00425648" w:rsidRDefault="004A7184" w:rsidP="003B5EAB">
            <w:pPr>
              <w:keepNext/>
              <w:keepLines/>
              <w:jc w:val="center"/>
              <w:rPr>
                <w:rFonts w:ascii="Arial Narrow" w:hAnsi="Arial Narrow" w:cs="Times New Roman"/>
                <w:sz w:val="20"/>
              </w:rPr>
            </w:pPr>
          </w:p>
          <w:p w:rsidR="003B5EAB" w:rsidRPr="00425648" w:rsidRDefault="005E0A80" w:rsidP="003B5EAB">
            <w:pPr>
              <w:keepNext/>
              <w:keepLines/>
              <w:jc w:val="center"/>
              <w:rPr>
                <w:rFonts w:ascii="Arial Narrow" w:hAnsi="Arial Narrow" w:cs="Times New Roman"/>
                <w:sz w:val="20"/>
              </w:rPr>
            </w:pPr>
            <w:r w:rsidRPr="00425648">
              <w:rPr>
                <w:rFonts w:ascii="Arial Narrow" w:hAnsi="Arial Narrow" w:cs="Times New Roman"/>
                <w:sz w:val="20"/>
              </w:rPr>
              <w:t>0.4019 (LYG=0)</w:t>
            </w:r>
          </w:p>
        </w:tc>
        <w:tc>
          <w:tcPr>
            <w:tcW w:w="679" w:type="pct"/>
            <w:tcBorders>
              <w:top w:val="single" w:sz="4" w:space="0" w:color="auto"/>
              <w:bottom w:val="nil"/>
            </w:tcBorders>
          </w:tcPr>
          <w:p w:rsidR="004A7184" w:rsidRPr="00425648" w:rsidRDefault="004A7184" w:rsidP="003B5EAB">
            <w:pPr>
              <w:keepNext/>
              <w:keepLines/>
              <w:jc w:val="center"/>
              <w:rPr>
                <w:rFonts w:ascii="Arial Narrow" w:hAnsi="Arial Narrow" w:cs="Times New Roman"/>
                <w:sz w:val="20"/>
              </w:rPr>
            </w:pPr>
          </w:p>
          <w:p w:rsidR="003B5EAB" w:rsidRPr="00425648" w:rsidRDefault="003B5EAB" w:rsidP="003B5EAB">
            <w:pPr>
              <w:keepNext/>
              <w:keepLines/>
              <w:jc w:val="center"/>
              <w:rPr>
                <w:rFonts w:ascii="Arial Narrow" w:hAnsi="Arial Narrow" w:cs="Times New Roman"/>
                <w:sz w:val="20"/>
              </w:rPr>
            </w:pPr>
            <w:r w:rsidRPr="00425648">
              <w:rPr>
                <w:rFonts w:ascii="Arial Narrow" w:hAnsi="Arial Narrow" w:cs="Times New Roman"/>
                <w:sz w:val="20"/>
              </w:rPr>
              <w:t>$</w:t>
            </w:r>
            <w:r w:rsidR="00C15B75">
              <w:rPr>
                <w:rFonts w:ascii="Arial Narrow" w:hAnsi="Arial Narrow" w:cs="Times New Roman"/>
                <w:noProof/>
                <w:color w:val="000000"/>
                <w:sz w:val="20"/>
                <w:highlight w:val="black"/>
              </w:rPr>
              <w:t>'''''''''''''''''</w:t>
            </w:r>
          </w:p>
        </w:tc>
      </w:tr>
      <w:tr w:rsidR="004A7184" w:rsidRPr="00425648" w:rsidTr="00E2610E">
        <w:tc>
          <w:tcPr>
            <w:tcW w:w="2571" w:type="pct"/>
            <w:tcBorders>
              <w:top w:val="nil"/>
            </w:tcBorders>
          </w:tcPr>
          <w:p w:rsidR="004A7184" w:rsidRPr="004C3AB5" w:rsidRDefault="004A7184" w:rsidP="00820032">
            <w:pPr>
              <w:keepNext/>
              <w:keepLines/>
              <w:tabs>
                <w:tab w:val="left" w:pos="142"/>
              </w:tabs>
              <w:rPr>
                <w:rFonts w:ascii="Arial Narrow" w:hAnsi="Arial Narrow" w:cs="Times New Roman"/>
                <w:sz w:val="20"/>
              </w:rPr>
            </w:pPr>
            <w:r w:rsidRPr="004C3AB5">
              <w:rPr>
                <w:rFonts w:ascii="Arial Narrow" w:hAnsi="Arial Narrow" w:cs="Times New Roman"/>
                <w:sz w:val="20"/>
              </w:rPr>
              <w:t>EMBRACE point estimate: 0.90</w:t>
            </w:r>
          </w:p>
          <w:p w:rsidR="004A7184" w:rsidRPr="004C3AB5" w:rsidRDefault="004A7184" w:rsidP="00820032">
            <w:pPr>
              <w:keepNext/>
              <w:keepLines/>
              <w:tabs>
                <w:tab w:val="left" w:pos="142"/>
              </w:tabs>
              <w:rPr>
                <w:rFonts w:ascii="Arial Narrow" w:hAnsi="Arial Narrow" w:cs="Times New Roman"/>
                <w:sz w:val="20"/>
              </w:rPr>
            </w:pPr>
            <w:r w:rsidRPr="004C3AB5">
              <w:rPr>
                <w:rFonts w:ascii="Arial Narrow" w:hAnsi="Arial Narrow" w:cs="Times New Roman"/>
                <w:sz w:val="20"/>
              </w:rPr>
              <w:t>Meta-analysis BLISS-SC + EMBRACE: 0.57</w:t>
            </w:r>
          </w:p>
        </w:tc>
        <w:tc>
          <w:tcPr>
            <w:tcW w:w="837" w:type="pct"/>
            <w:tcBorders>
              <w:top w:val="nil"/>
            </w:tcBorders>
          </w:tcPr>
          <w:p w:rsidR="004A7184" w:rsidRPr="00425648" w:rsidRDefault="004A7184" w:rsidP="00820032">
            <w:pPr>
              <w:keepNext/>
              <w:keepLines/>
              <w:jc w:val="center"/>
              <w:rPr>
                <w:rFonts w:ascii="Arial Narrow" w:hAnsi="Arial Narrow" w:cs="Times New Roman"/>
                <w:sz w:val="20"/>
              </w:rPr>
            </w:pPr>
            <w:r w:rsidRPr="00425648">
              <w:rPr>
                <w:rFonts w:ascii="Arial Narrow" w:hAnsi="Arial Narrow" w:cs="Times New Roman"/>
                <w:sz w:val="20"/>
              </w:rPr>
              <w:t>$</w:t>
            </w:r>
            <w:r w:rsidR="00C15B75">
              <w:rPr>
                <w:rFonts w:ascii="Arial Narrow" w:hAnsi="Arial Narrow" w:cs="Times New Roman"/>
                <w:noProof/>
                <w:color w:val="000000"/>
                <w:sz w:val="20"/>
                <w:highlight w:val="black"/>
              </w:rPr>
              <w:t>''''''''''''''''</w:t>
            </w:r>
          </w:p>
          <w:p w:rsidR="004A7184" w:rsidRPr="00425648" w:rsidRDefault="004A7184" w:rsidP="00820032">
            <w:pPr>
              <w:keepNext/>
              <w:keepLines/>
              <w:widowControl/>
              <w:jc w:val="center"/>
              <w:rPr>
                <w:rFonts w:ascii="Arial Narrow" w:hAnsi="Arial Narrow"/>
                <w:snapToGrid/>
                <w:color w:val="000000"/>
                <w:sz w:val="20"/>
                <w:szCs w:val="20"/>
                <w:lang w:eastAsia="en-AU"/>
              </w:rPr>
            </w:pPr>
            <w:r w:rsidRPr="00425648">
              <w:rPr>
                <w:rFonts w:ascii="Arial Narrow" w:hAnsi="Arial Narrow"/>
                <w:color w:val="000000"/>
                <w:sz w:val="20"/>
                <w:szCs w:val="20"/>
              </w:rPr>
              <w:t>$</w:t>
            </w:r>
            <w:r w:rsidR="00C15B75">
              <w:rPr>
                <w:rFonts w:ascii="Arial Narrow" w:hAnsi="Arial Narrow"/>
                <w:noProof/>
                <w:color w:val="000000"/>
                <w:sz w:val="20"/>
                <w:szCs w:val="20"/>
                <w:highlight w:val="black"/>
              </w:rPr>
              <w:t>''''''''''''''''''</w:t>
            </w:r>
          </w:p>
        </w:tc>
        <w:tc>
          <w:tcPr>
            <w:tcW w:w="913" w:type="pct"/>
            <w:tcBorders>
              <w:top w:val="nil"/>
            </w:tcBorders>
          </w:tcPr>
          <w:p w:rsidR="004A7184" w:rsidRPr="00425648" w:rsidRDefault="004A7184" w:rsidP="00820032">
            <w:pPr>
              <w:keepNext/>
              <w:keepLines/>
              <w:jc w:val="center"/>
              <w:rPr>
                <w:rFonts w:ascii="Arial Narrow" w:hAnsi="Arial Narrow" w:cs="Times New Roman"/>
                <w:sz w:val="20"/>
              </w:rPr>
            </w:pPr>
            <w:r w:rsidRPr="00425648">
              <w:rPr>
                <w:rFonts w:ascii="Arial Narrow" w:hAnsi="Arial Narrow" w:cs="Times New Roman"/>
                <w:sz w:val="20"/>
              </w:rPr>
              <w:t>0.4260</w:t>
            </w:r>
          </w:p>
          <w:p w:rsidR="004A7184" w:rsidRPr="00425648" w:rsidRDefault="004A7184" w:rsidP="00820032">
            <w:pPr>
              <w:keepNext/>
              <w:keepLines/>
              <w:widowControl/>
              <w:jc w:val="center"/>
              <w:rPr>
                <w:rFonts w:ascii="Arial Narrow" w:hAnsi="Arial Narrow"/>
                <w:snapToGrid/>
                <w:color w:val="000000"/>
                <w:sz w:val="20"/>
                <w:szCs w:val="20"/>
                <w:lang w:eastAsia="en-AU"/>
              </w:rPr>
            </w:pPr>
            <w:r w:rsidRPr="00425648">
              <w:rPr>
                <w:rFonts w:ascii="Arial Narrow" w:hAnsi="Arial Narrow"/>
                <w:color w:val="000000"/>
                <w:sz w:val="20"/>
                <w:szCs w:val="20"/>
              </w:rPr>
              <w:t>0.5101</w:t>
            </w:r>
          </w:p>
        </w:tc>
        <w:tc>
          <w:tcPr>
            <w:tcW w:w="679" w:type="pct"/>
            <w:tcBorders>
              <w:top w:val="nil"/>
            </w:tcBorders>
          </w:tcPr>
          <w:p w:rsidR="004A7184" w:rsidRPr="00425648" w:rsidRDefault="004A7184" w:rsidP="00820032">
            <w:pPr>
              <w:keepNext/>
              <w:keepLines/>
              <w:widowControl/>
              <w:jc w:val="center"/>
              <w:rPr>
                <w:rFonts w:ascii="Arial Narrow" w:hAnsi="Arial Narrow"/>
                <w:snapToGrid/>
                <w:color w:val="000000"/>
                <w:sz w:val="20"/>
                <w:szCs w:val="20"/>
                <w:lang w:eastAsia="en-AU"/>
              </w:rPr>
            </w:pPr>
            <w:r w:rsidRPr="00425648">
              <w:rPr>
                <w:rFonts w:ascii="Arial Narrow" w:hAnsi="Arial Narrow"/>
                <w:color w:val="000000"/>
                <w:sz w:val="20"/>
                <w:szCs w:val="20"/>
              </w:rPr>
              <w:t>$</w:t>
            </w:r>
            <w:r w:rsidR="00C15B75">
              <w:rPr>
                <w:rFonts w:ascii="Arial Narrow" w:hAnsi="Arial Narrow"/>
                <w:noProof/>
                <w:color w:val="000000"/>
                <w:sz w:val="20"/>
                <w:szCs w:val="20"/>
                <w:highlight w:val="black"/>
              </w:rPr>
              <w:t>''''''''''''''''</w:t>
            </w:r>
          </w:p>
          <w:p w:rsidR="004A7184" w:rsidRPr="00425648" w:rsidRDefault="004A7184" w:rsidP="00820032">
            <w:pPr>
              <w:keepNext/>
              <w:keepLines/>
              <w:widowControl/>
              <w:jc w:val="center"/>
              <w:rPr>
                <w:rFonts w:ascii="Arial Narrow" w:hAnsi="Arial Narrow"/>
                <w:snapToGrid/>
                <w:color w:val="000000"/>
                <w:sz w:val="20"/>
                <w:szCs w:val="20"/>
                <w:lang w:eastAsia="en-AU"/>
              </w:rPr>
            </w:pPr>
            <w:r w:rsidRPr="00425648">
              <w:rPr>
                <w:rFonts w:ascii="Arial Narrow" w:hAnsi="Arial Narrow"/>
                <w:color w:val="000000"/>
                <w:sz w:val="20"/>
                <w:szCs w:val="20"/>
              </w:rPr>
              <w:t>$</w:t>
            </w:r>
            <w:r w:rsidR="00C15B75">
              <w:rPr>
                <w:rFonts w:ascii="Arial Narrow" w:hAnsi="Arial Narrow"/>
                <w:noProof/>
                <w:color w:val="000000"/>
                <w:sz w:val="20"/>
                <w:szCs w:val="20"/>
                <w:highlight w:val="black"/>
              </w:rPr>
              <w:t>'''''''''''''''</w:t>
            </w:r>
          </w:p>
        </w:tc>
      </w:tr>
      <w:tr w:rsidR="00305225" w:rsidRPr="00425648" w:rsidTr="00F661D2">
        <w:tc>
          <w:tcPr>
            <w:tcW w:w="2571" w:type="pct"/>
            <w:tcBorders>
              <w:top w:val="nil"/>
            </w:tcBorders>
          </w:tcPr>
          <w:p w:rsidR="00305225" w:rsidRPr="004C3AB5" w:rsidRDefault="00305225" w:rsidP="00305225">
            <w:pPr>
              <w:keepNext/>
              <w:keepLines/>
              <w:tabs>
                <w:tab w:val="left" w:pos="142"/>
              </w:tabs>
              <w:rPr>
                <w:rFonts w:ascii="Arial Narrow" w:hAnsi="Arial Narrow" w:cs="Times New Roman"/>
                <w:sz w:val="20"/>
              </w:rPr>
            </w:pPr>
            <w:r w:rsidRPr="004C3AB5">
              <w:rPr>
                <w:rFonts w:ascii="Arial Narrow" w:hAnsi="Arial Narrow" w:cs="Times New Roman"/>
                <w:sz w:val="20"/>
              </w:rPr>
              <w:t>Quality of life using EQ5D values for organ damage states of 0.74 for SDI ≤ 2 and 0.68 for SDI &gt; 2 (Aggarwal)</w:t>
            </w:r>
            <w:r w:rsidR="00827DA9">
              <w:rPr>
                <w:rFonts w:ascii="Arial Narrow" w:hAnsi="Arial Narrow" w:cs="Times New Roman"/>
                <w:sz w:val="20"/>
              </w:rPr>
              <w:t xml:space="preserve"> </w:t>
            </w:r>
            <w:r w:rsidR="00827DA9" w:rsidRPr="00827DA9">
              <w:rPr>
                <w:rFonts w:ascii="Arial Narrow" w:hAnsi="Arial Narrow" w:cs="Times New Roman"/>
                <w:b/>
                <w:sz w:val="20"/>
              </w:rPr>
              <w:t>(#1)</w:t>
            </w:r>
          </w:p>
          <w:p w:rsidR="00305225" w:rsidRPr="004C3AB5" w:rsidRDefault="00305225" w:rsidP="00305225">
            <w:pPr>
              <w:keepNext/>
              <w:keepLines/>
              <w:tabs>
                <w:tab w:val="left" w:pos="142"/>
              </w:tabs>
              <w:rPr>
                <w:rFonts w:ascii="Arial Narrow" w:hAnsi="Arial Narrow" w:cs="Times New Roman"/>
                <w:sz w:val="20"/>
              </w:rPr>
            </w:pPr>
            <w:r w:rsidRPr="004C3AB5">
              <w:rPr>
                <w:rFonts w:ascii="Arial Narrow" w:hAnsi="Arial Narrow" w:cs="Times New Roman"/>
                <w:sz w:val="20"/>
              </w:rPr>
              <w:t>(base case 0.846 for SLEDAI ≤ 4 for treatment responders and 0.619 for SLEDAI &gt; 4 for non-responders; Wang et al)</w:t>
            </w:r>
          </w:p>
        </w:tc>
        <w:tc>
          <w:tcPr>
            <w:tcW w:w="837" w:type="pct"/>
            <w:tcBorders>
              <w:top w:val="nil"/>
            </w:tcBorders>
            <w:vAlign w:val="center"/>
          </w:tcPr>
          <w:p w:rsidR="00305225" w:rsidRPr="00425648" w:rsidRDefault="00305225" w:rsidP="00305225">
            <w:pPr>
              <w:keepNext/>
              <w:keepLines/>
              <w:jc w:val="center"/>
              <w:rPr>
                <w:rFonts w:ascii="Arial Narrow" w:hAnsi="Arial Narrow" w:cs="Times New Roman"/>
                <w:sz w:val="20"/>
              </w:rPr>
            </w:pPr>
            <w:r w:rsidRPr="00425648">
              <w:rPr>
                <w:rFonts w:ascii="Arial Narrow" w:hAnsi="Arial Narrow"/>
                <w:color w:val="000000"/>
                <w:sz w:val="20"/>
                <w:szCs w:val="20"/>
              </w:rPr>
              <w:t>$</w:t>
            </w:r>
            <w:r w:rsidR="00C15B75">
              <w:rPr>
                <w:rFonts w:ascii="Arial Narrow" w:hAnsi="Arial Narrow"/>
                <w:noProof/>
                <w:color w:val="000000"/>
                <w:sz w:val="20"/>
                <w:szCs w:val="20"/>
                <w:highlight w:val="black"/>
              </w:rPr>
              <w:t>'''''''''''''''''</w:t>
            </w:r>
          </w:p>
        </w:tc>
        <w:tc>
          <w:tcPr>
            <w:tcW w:w="913" w:type="pct"/>
            <w:tcBorders>
              <w:top w:val="nil"/>
            </w:tcBorders>
            <w:vAlign w:val="center"/>
          </w:tcPr>
          <w:p w:rsidR="00305225" w:rsidRPr="00425648" w:rsidRDefault="00305225" w:rsidP="00305225">
            <w:pPr>
              <w:keepNext/>
              <w:keepLines/>
              <w:jc w:val="center"/>
              <w:rPr>
                <w:rFonts w:ascii="Arial Narrow" w:hAnsi="Arial Narrow" w:cs="Times New Roman"/>
                <w:sz w:val="20"/>
              </w:rPr>
            </w:pPr>
            <w:r w:rsidRPr="00425648">
              <w:rPr>
                <w:rFonts w:ascii="Arial Narrow" w:hAnsi="Arial Narrow"/>
                <w:color w:val="000000"/>
                <w:sz w:val="20"/>
                <w:szCs w:val="20"/>
              </w:rPr>
              <w:t>0.2528</w:t>
            </w:r>
          </w:p>
        </w:tc>
        <w:tc>
          <w:tcPr>
            <w:tcW w:w="679" w:type="pct"/>
            <w:tcBorders>
              <w:top w:val="nil"/>
            </w:tcBorders>
            <w:vAlign w:val="center"/>
          </w:tcPr>
          <w:p w:rsidR="00305225" w:rsidRPr="00425648" w:rsidRDefault="00305225" w:rsidP="00305225">
            <w:pPr>
              <w:keepNext/>
              <w:keepLines/>
              <w:widowControl/>
              <w:jc w:val="center"/>
              <w:rPr>
                <w:rFonts w:ascii="Arial Narrow" w:hAnsi="Arial Narrow"/>
                <w:color w:val="000000"/>
                <w:sz w:val="20"/>
                <w:szCs w:val="20"/>
              </w:rPr>
            </w:pPr>
            <w:r w:rsidRPr="00425648">
              <w:rPr>
                <w:rFonts w:ascii="Arial Narrow" w:hAnsi="Arial Narrow"/>
                <w:color w:val="000000"/>
                <w:sz w:val="20"/>
                <w:szCs w:val="20"/>
              </w:rPr>
              <w:t>$</w:t>
            </w:r>
            <w:r w:rsidR="00C15B75">
              <w:rPr>
                <w:rFonts w:ascii="Arial Narrow" w:hAnsi="Arial Narrow"/>
                <w:noProof/>
                <w:color w:val="000000"/>
                <w:sz w:val="20"/>
                <w:szCs w:val="20"/>
                <w:highlight w:val="black"/>
              </w:rPr>
              <w:t>'''''''''''''''''''</w:t>
            </w:r>
          </w:p>
        </w:tc>
      </w:tr>
      <w:tr w:rsidR="00305225" w:rsidRPr="00425648" w:rsidTr="00305225">
        <w:tc>
          <w:tcPr>
            <w:tcW w:w="2571" w:type="pct"/>
            <w:tcBorders>
              <w:top w:val="nil"/>
              <w:bottom w:val="single" w:sz="4" w:space="0" w:color="FFFFFF" w:themeColor="background1"/>
            </w:tcBorders>
          </w:tcPr>
          <w:p w:rsidR="00305225" w:rsidRPr="004C3AB5" w:rsidRDefault="00305225" w:rsidP="00305225">
            <w:pPr>
              <w:keepNext/>
              <w:keepLines/>
              <w:tabs>
                <w:tab w:val="left" w:pos="142"/>
              </w:tabs>
              <w:rPr>
                <w:rFonts w:ascii="Arial Narrow" w:hAnsi="Arial Narrow" w:cs="Times New Roman"/>
                <w:sz w:val="20"/>
              </w:rPr>
            </w:pPr>
            <w:r w:rsidRPr="004C3AB5">
              <w:rPr>
                <w:rFonts w:ascii="Arial Narrow" w:hAnsi="Arial Narrow" w:cs="Times New Roman"/>
                <w:sz w:val="20"/>
              </w:rPr>
              <w:t>Time horizon (base case 60 years)</w:t>
            </w:r>
            <w:r w:rsidR="004C3AB5" w:rsidRPr="004C3AB5">
              <w:rPr>
                <w:rFonts w:ascii="Arial Narrow" w:hAnsi="Arial Narrow" w:cs="Times New Roman"/>
                <w:sz w:val="20"/>
                <w:vertAlign w:val="superscript"/>
              </w:rPr>
              <w:t>a</w:t>
            </w:r>
          </w:p>
        </w:tc>
        <w:tc>
          <w:tcPr>
            <w:tcW w:w="837" w:type="pct"/>
            <w:tcBorders>
              <w:top w:val="nil"/>
              <w:bottom w:val="single" w:sz="4" w:space="0" w:color="FFFFFF" w:themeColor="background1"/>
            </w:tcBorders>
          </w:tcPr>
          <w:p w:rsidR="00305225" w:rsidRPr="004C3AB5" w:rsidRDefault="00305225" w:rsidP="00305225">
            <w:pPr>
              <w:keepNext/>
              <w:keepLines/>
              <w:jc w:val="center"/>
              <w:rPr>
                <w:rFonts w:ascii="Arial Narrow" w:hAnsi="Arial Narrow" w:cs="Times New Roman"/>
                <w:sz w:val="20"/>
              </w:rPr>
            </w:pPr>
          </w:p>
        </w:tc>
        <w:tc>
          <w:tcPr>
            <w:tcW w:w="913" w:type="pct"/>
            <w:tcBorders>
              <w:top w:val="nil"/>
              <w:bottom w:val="single" w:sz="4" w:space="0" w:color="FFFFFF" w:themeColor="background1"/>
            </w:tcBorders>
          </w:tcPr>
          <w:p w:rsidR="00305225" w:rsidRPr="004C3AB5" w:rsidRDefault="00305225" w:rsidP="00305225">
            <w:pPr>
              <w:keepNext/>
              <w:keepLines/>
              <w:jc w:val="center"/>
              <w:rPr>
                <w:rFonts w:ascii="Arial Narrow" w:hAnsi="Arial Narrow" w:cs="Times New Roman"/>
                <w:sz w:val="20"/>
              </w:rPr>
            </w:pPr>
          </w:p>
        </w:tc>
        <w:tc>
          <w:tcPr>
            <w:tcW w:w="679" w:type="pct"/>
            <w:tcBorders>
              <w:top w:val="nil"/>
              <w:bottom w:val="single" w:sz="4" w:space="0" w:color="FFFFFF" w:themeColor="background1"/>
            </w:tcBorders>
          </w:tcPr>
          <w:p w:rsidR="00305225" w:rsidRPr="004C3AB5" w:rsidRDefault="00305225" w:rsidP="00305225">
            <w:pPr>
              <w:keepNext/>
              <w:keepLines/>
              <w:widowControl/>
              <w:jc w:val="center"/>
              <w:rPr>
                <w:rFonts w:ascii="Arial Narrow" w:hAnsi="Arial Narrow"/>
                <w:color w:val="000000"/>
                <w:sz w:val="20"/>
                <w:szCs w:val="20"/>
              </w:rPr>
            </w:pPr>
          </w:p>
        </w:tc>
      </w:tr>
      <w:tr w:rsidR="00305225" w:rsidRPr="00425648" w:rsidTr="00305225">
        <w:tc>
          <w:tcPr>
            <w:tcW w:w="2571" w:type="pct"/>
            <w:tcBorders>
              <w:top w:val="single" w:sz="4" w:space="0" w:color="FFFFFF" w:themeColor="background1"/>
              <w:bottom w:val="single" w:sz="4" w:space="0" w:color="FFFFFF" w:themeColor="background1"/>
            </w:tcBorders>
          </w:tcPr>
          <w:p w:rsidR="00305225" w:rsidRPr="004C3AB5" w:rsidRDefault="00305225" w:rsidP="00305225">
            <w:pPr>
              <w:keepNext/>
              <w:keepLines/>
              <w:tabs>
                <w:tab w:val="left" w:pos="142"/>
              </w:tabs>
              <w:rPr>
                <w:rFonts w:ascii="Arial Narrow" w:hAnsi="Arial Narrow" w:cs="Times New Roman"/>
                <w:sz w:val="20"/>
              </w:rPr>
            </w:pPr>
            <w:r w:rsidRPr="004C3AB5">
              <w:rPr>
                <w:rFonts w:ascii="Arial Narrow" w:hAnsi="Arial Narrow" w:cs="Times New Roman"/>
                <w:sz w:val="20"/>
              </w:rPr>
              <w:t>10 years</w:t>
            </w:r>
          </w:p>
        </w:tc>
        <w:tc>
          <w:tcPr>
            <w:tcW w:w="837" w:type="pct"/>
            <w:tcBorders>
              <w:top w:val="single" w:sz="4" w:space="0" w:color="FFFFFF" w:themeColor="background1"/>
              <w:bottom w:val="single" w:sz="4" w:space="0" w:color="FFFFFF" w:themeColor="background1"/>
            </w:tcBorders>
          </w:tcPr>
          <w:p w:rsidR="00305225" w:rsidRPr="004C3AB5" w:rsidRDefault="00305225" w:rsidP="00305225">
            <w:pPr>
              <w:keepNext/>
              <w:keepLines/>
              <w:jc w:val="center"/>
              <w:rPr>
                <w:rFonts w:ascii="Arial Narrow" w:hAnsi="Arial Narrow" w:cs="Times New Roman"/>
                <w:sz w:val="20"/>
              </w:rPr>
            </w:pPr>
            <w:r w:rsidRPr="004C3AB5">
              <w:rPr>
                <w:rFonts w:ascii="Arial Narrow" w:hAnsi="Arial Narrow" w:cs="Times New Roman"/>
                <w:bCs/>
                <w:sz w:val="20"/>
                <w:szCs w:val="20"/>
                <w:lang w:eastAsia="en-AU"/>
              </w:rPr>
              <w:t>$</w:t>
            </w:r>
            <w:r w:rsidR="00C15B75">
              <w:rPr>
                <w:rFonts w:ascii="Arial Narrow" w:hAnsi="Arial Narrow" w:cs="Times New Roman"/>
                <w:bCs/>
                <w:noProof/>
                <w:color w:val="000000"/>
                <w:sz w:val="20"/>
                <w:szCs w:val="20"/>
                <w:highlight w:val="black"/>
                <w:lang w:eastAsia="en-AU"/>
              </w:rPr>
              <w:t>'''''''''''''''''</w:t>
            </w:r>
          </w:p>
        </w:tc>
        <w:tc>
          <w:tcPr>
            <w:tcW w:w="913" w:type="pct"/>
            <w:tcBorders>
              <w:top w:val="single" w:sz="4" w:space="0" w:color="FFFFFF" w:themeColor="background1"/>
              <w:bottom w:val="single" w:sz="4" w:space="0" w:color="FFFFFF" w:themeColor="background1"/>
            </w:tcBorders>
          </w:tcPr>
          <w:p w:rsidR="00305225" w:rsidRPr="004C3AB5" w:rsidRDefault="00305225" w:rsidP="00305225">
            <w:pPr>
              <w:keepNext/>
              <w:keepLines/>
              <w:jc w:val="center"/>
              <w:rPr>
                <w:rFonts w:ascii="Arial Narrow" w:hAnsi="Arial Narrow" w:cs="Times New Roman"/>
                <w:sz w:val="20"/>
              </w:rPr>
            </w:pPr>
            <w:r w:rsidRPr="004C3AB5">
              <w:rPr>
                <w:rFonts w:ascii="Arial Narrow" w:hAnsi="Arial Narrow" w:cs="Times New Roman"/>
                <w:bCs/>
                <w:sz w:val="20"/>
                <w:szCs w:val="20"/>
                <w:lang w:eastAsia="en-AU"/>
              </w:rPr>
              <w:t>0.2669</w:t>
            </w:r>
          </w:p>
        </w:tc>
        <w:tc>
          <w:tcPr>
            <w:tcW w:w="679" w:type="pct"/>
            <w:tcBorders>
              <w:top w:val="single" w:sz="4" w:space="0" w:color="FFFFFF" w:themeColor="background1"/>
              <w:bottom w:val="single" w:sz="4" w:space="0" w:color="FFFFFF" w:themeColor="background1"/>
            </w:tcBorders>
          </w:tcPr>
          <w:p w:rsidR="00305225" w:rsidRPr="004C3AB5" w:rsidRDefault="00305225" w:rsidP="00305225">
            <w:pPr>
              <w:keepNext/>
              <w:keepLines/>
              <w:widowControl/>
              <w:jc w:val="center"/>
              <w:rPr>
                <w:rFonts w:ascii="Arial Narrow" w:hAnsi="Arial Narrow"/>
                <w:color w:val="000000"/>
                <w:sz w:val="20"/>
                <w:szCs w:val="20"/>
              </w:rPr>
            </w:pPr>
            <w:r w:rsidRPr="004C3AB5">
              <w:rPr>
                <w:rFonts w:ascii="Arial Narrow" w:hAnsi="Arial Narrow" w:cs="Times New Roman"/>
                <w:bCs/>
                <w:sz w:val="20"/>
                <w:szCs w:val="20"/>
                <w:lang w:eastAsia="en-AU"/>
              </w:rPr>
              <w:t>$</w:t>
            </w:r>
            <w:r w:rsidR="00C15B75">
              <w:rPr>
                <w:rFonts w:ascii="Arial Narrow" w:hAnsi="Arial Narrow" w:cs="Times New Roman"/>
                <w:bCs/>
                <w:noProof/>
                <w:color w:val="000000"/>
                <w:sz w:val="20"/>
                <w:szCs w:val="20"/>
                <w:highlight w:val="black"/>
                <w:lang w:eastAsia="en-AU"/>
              </w:rPr>
              <w:t>''''''''''''''''''''</w:t>
            </w:r>
          </w:p>
        </w:tc>
      </w:tr>
      <w:tr w:rsidR="00305225" w:rsidRPr="00425648" w:rsidTr="00151044">
        <w:trPr>
          <w:trHeight w:val="43"/>
        </w:trPr>
        <w:tc>
          <w:tcPr>
            <w:tcW w:w="2571" w:type="pct"/>
            <w:tcBorders>
              <w:top w:val="single" w:sz="4" w:space="0" w:color="FFFFFF" w:themeColor="background1"/>
              <w:bottom w:val="single" w:sz="4" w:space="0" w:color="FFFFFF" w:themeColor="background1"/>
            </w:tcBorders>
            <w:shd w:val="clear" w:color="auto" w:fill="auto"/>
          </w:tcPr>
          <w:p w:rsidR="00305225" w:rsidRPr="004C3AB5" w:rsidRDefault="00305225" w:rsidP="00305225">
            <w:pPr>
              <w:keepNext/>
              <w:keepLines/>
              <w:tabs>
                <w:tab w:val="left" w:pos="142"/>
              </w:tabs>
              <w:rPr>
                <w:rFonts w:ascii="Arial Narrow" w:hAnsi="Arial Narrow" w:cs="Times New Roman"/>
                <w:sz w:val="20"/>
              </w:rPr>
            </w:pPr>
            <w:r w:rsidRPr="004C3AB5">
              <w:rPr>
                <w:rFonts w:ascii="Arial Narrow" w:hAnsi="Arial Narrow" w:cs="Times New Roman"/>
                <w:sz w:val="20"/>
              </w:rPr>
              <w:t>20 years</w:t>
            </w:r>
            <w:r w:rsidR="00827DA9">
              <w:rPr>
                <w:rFonts w:ascii="Arial Narrow" w:hAnsi="Arial Narrow" w:cs="Times New Roman"/>
                <w:sz w:val="20"/>
              </w:rPr>
              <w:t xml:space="preserve"> </w:t>
            </w:r>
            <w:r w:rsidR="00827DA9" w:rsidRPr="00827DA9">
              <w:rPr>
                <w:rFonts w:ascii="Arial Narrow" w:hAnsi="Arial Narrow" w:cs="Times New Roman"/>
                <w:b/>
                <w:sz w:val="20"/>
              </w:rPr>
              <w:t>(#2)</w:t>
            </w:r>
          </w:p>
        </w:tc>
        <w:tc>
          <w:tcPr>
            <w:tcW w:w="837" w:type="pct"/>
            <w:tcBorders>
              <w:top w:val="single" w:sz="4" w:space="0" w:color="FFFFFF" w:themeColor="background1"/>
              <w:bottom w:val="single" w:sz="4" w:space="0" w:color="FFFFFF" w:themeColor="background1"/>
            </w:tcBorders>
          </w:tcPr>
          <w:p w:rsidR="00305225" w:rsidRPr="004C3AB5" w:rsidRDefault="00305225" w:rsidP="00305225">
            <w:pPr>
              <w:keepNext/>
              <w:keepLines/>
              <w:jc w:val="center"/>
              <w:rPr>
                <w:rFonts w:ascii="Arial Narrow" w:hAnsi="Arial Narrow" w:cs="Times New Roman"/>
                <w:bCs/>
                <w:sz w:val="20"/>
                <w:szCs w:val="20"/>
                <w:lang w:eastAsia="en-AU"/>
              </w:rPr>
            </w:pPr>
            <w:r w:rsidRPr="004C3AB5">
              <w:rPr>
                <w:rFonts w:ascii="Arial Narrow" w:hAnsi="Arial Narrow" w:cs="Times New Roman"/>
                <w:bCs/>
                <w:sz w:val="20"/>
                <w:szCs w:val="20"/>
                <w:lang w:eastAsia="en-AU"/>
              </w:rPr>
              <w:t>$</w:t>
            </w:r>
            <w:r w:rsidR="00C15B75">
              <w:rPr>
                <w:rFonts w:ascii="Arial Narrow" w:hAnsi="Arial Narrow" w:cs="Times New Roman"/>
                <w:bCs/>
                <w:noProof/>
                <w:color w:val="000000"/>
                <w:sz w:val="20"/>
                <w:szCs w:val="20"/>
                <w:highlight w:val="black"/>
                <w:lang w:eastAsia="en-AU"/>
              </w:rPr>
              <w:t>''''''''''''''''</w:t>
            </w:r>
          </w:p>
        </w:tc>
        <w:tc>
          <w:tcPr>
            <w:tcW w:w="913" w:type="pct"/>
            <w:tcBorders>
              <w:top w:val="single" w:sz="4" w:space="0" w:color="FFFFFF" w:themeColor="background1"/>
              <w:bottom w:val="single" w:sz="4" w:space="0" w:color="FFFFFF" w:themeColor="background1"/>
            </w:tcBorders>
          </w:tcPr>
          <w:p w:rsidR="00305225" w:rsidRPr="004C3AB5" w:rsidRDefault="00305225" w:rsidP="00305225">
            <w:pPr>
              <w:keepNext/>
              <w:keepLines/>
              <w:jc w:val="center"/>
              <w:rPr>
                <w:rFonts w:ascii="Arial Narrow" w:hAnsi="Arial Narrow" w:cs="Times New Roman"/>
                <w:bCs/>
                <w:sz w:val="20"/>
                <w:szCs w:val="20"/>
                <w:lang w:eastAsia="en-AU"/>
              </w:rPr>
            </w:pPr>
            <w:r w:rsidRPr="004C3AB5">
              <w:rPr>
                <w:rFonts w:ascii="Arial Narrow" w:hAnsi="Arial Narrow" w:cs="Times New Roman"/>
                <w:bCs/>
                <w:sz w:val="20"/>
                <w:szCs w:val="20"/>
                <w:lang w:eastAsia="en-AU"/>
              </w:rPr>
              <w:t>0.4166</w:t>
            </w:r>
          </w:p>
        </w:tc>
        <w:tc>
          <w:tcPr>
            <w:tcW w:w="679" w:type="pct"/>
            <w:tcBorders>
              <w:top w:val="single" w:sz="4" w:space="0" w:color="FFFFFF" w:themeColor="background1"/>
              <w:bottom w:val="single" w:sz="4" w:space="0" w:color="FFFFFF" w:themeColor="background1"/>
            </w:tcBorders>
          </w:tcPr>
          <w:p w:rsidR="00305225" w:rsidRPr="004C3AB5" w:rsidRDefault="00305225" w:rsidP="00305225">
            <w:pPr>
              <w:keepNext/>
              <w:keepLines/>
              <w:widowControl/>
              <w:jc w:val="center"/>
              <w:rPr>
                <w:rFonts w:ascii="Arial Narrow" w:hAnsi="Arial Narrow" w:cs="Times New Roman"/>
                <w:bCs/>
                <w:sz w:val="20"/>
                <w:szCs w:val="20"/>
                <w:lang w:eastAsia="en-AU"/>
              </w:rPr>
            </w:pPr>
            <w:r w:rsidRPr="004C3AB5">
              <w:rPr>
                <w:rFonts w:ascii="Arial Narrow" w:hAnsi="Arial Narrow" w:cs="Times New Roman"/>
                <w:bCs/>
                <w:sz w:val="20"/>
                <w:szCs w:val="20"/>
                <w:lang w:eastAsia="en-AU"/>
              </w:rPr>
              <w:t>$</w:t>
            </w:r>
            <w:r w:rsidR="00C15B75">
              <w:rPr>
                <w:rFonts w:ascii="Arial Narrow" w:hAnsi="Arial Narrow" w:cs="Times New Roman"/>
                <w:bCs/>
                <w:noProof/>
                <w:color w:val="000000"/>
                <w:sz w:val="20"/>
                <w:szCs w:val="20"/>
                <w:highlight w:val="black"/>
                <w:lang w:eastAsia="en-AU"/>
              </w:rPr>
              <w:t>'''''''''''''''''</w:t>
            </w:r>
          </w:p>
        </w:tc>
      </w:tr>
      <w:tr w:rsidR="00305225" w:rsidRPr="00425648" w:rsidTr="00305225">
        <w:tc>
          <w:tcPr>
            <w:tcW w:w="2571" w:type="pct"/>
            <w:tcBorders>
              <w:top w:val="single" w:sz="4" w:space="0" w:color="FFFFFF" w:themeColor="background1"/>
            </w:tcBorders>
          </w:tcPr>
          <w:p w:rsidR="00305225" w:rsidRPr="004C3AB5" w:rsidRDefault="00305225" w:rsidP="00305225">
            <w:pPr>
              <w:keepNext/>
              <w:keepLines/>
              <w:tabs>
                <w:tab w:val="left" w:pos="142"/>
              </w:tabs>
              <w:rPr>
                <w:rFonts w:ascii="Arial Narrow" w:hAnsi="Arial Narrow" w:cs="Times New Roman"/>
                <w:sz w:val="20"/>
              </w:rPr>
            </w:pPr>
            <w:r w:rsidRPr="004C3AB5">
              <w:rPr>
                <w:rFonts w:ascii="Arial Narrow" w:hAnsi="Arial Narrow" w:cs="Times New Roman"/>
                <w:sz w:val="20"/>
              </w:rPr>
              <w:t>40 years</w:t>
            </w:r>
          </w:p>
        </w:tc>
        <w:tc>
          <w:tcPr>
            <w:tcW w:w="837" w:type="pct"/>
            <w:tcBorders>
              <w:top w:val="single" w:sz="4" w:space="0" w:color="FFFFFF" w:themeColor="background1"/>
            </w:tcBorders>
          </w:tcPr>
          <w:p w:rsidR="00305225" w:rsidRPr="004C3AB5" w:rsidRDefault="00305225" w:rsidP="00305225">
            <w:pPr>
              <w:keepNext/>
              <w:keepLines/>
              <w:jc w:val="center"/>
              <w:rPr>
                <w:rFonts w:ascii="Arial Narrow" w:hAnsi="Arial Narrow" w:cs="Times New Roman"/>
                <w:bCs/>
                <w:sz w:val="20"/>
                <w:szCs w:val="20"/>
                <w:lang w:eastAsia="en-AU"/>
              </w:rPr>
            </w:pPr>
            <w:r w:rsidRPr="004C3AB5">
              <w:rPr>
                <w:rFonts w:ascii="Arial Narrow" w:hAnsi="Arial Narrow" w:cs="Times New Roman"/>
                <w:bCs/>
                <w:sz w:val="20"/>
                <w:szCs w:val="20"/>
                <w:lang w:eastAsia="en-AU"/>
              </w:rPr>
              <w:t>$</w:t>
            </w:r>
            <w:r w:rsidR="00C15B75">
              <w:rPr>
                <w:rFonts w:ascii="Arial Narrow" w:hAnsi="Arial Narrow" w:cs="Times New Roman"/>
                <w:bCs/>
                <w:noProof/>
                <w:color w:val="000000"/>
                <w:sz w:val="20"/>
                <w:szCs w:val="20"/>
                <w:highlight w:val="black"/>
                <w:lang w:eastAsia="en-AU"/>
              </w:rPr>
              <w:t>'''''''''''''''''</w:t>
            </w:r>
          </w:p>
        </w:tc>
        <w:tc>
          <w:tcPr>
            <w:tcW w:w="913" w:type="pct"/>
            <w:tcBorders>
              <w:top w:val="single" w:sz="4" w:space="0" w:color="FFFFFF" w:themeColor="background1"/>
            </w:tcBorders>
          </w:tcPr>
          <w:p w:rsidR="00305225" w:rsidRPr="004C3AB5" w:rsidRDefault="00305225" w:rsidP="00305225">
            <w:pPr>
              <w:keepNext/>
              <w:keepLines/>
              <w:jc w:val="center"/>
              <w:rPr>
                <w:rFonts w:ascii="Arial Narrow" w:hAnsi="Arial Narrow" w:cs="Times New Roman"/>
                <w:bCs/>
                <w:sz w:val="20"/>
                <w:szCs w:val="20"/>
                <w:lang w:eastAsia="en-AU"/>
              </w:rPr>
            </w:pPr>
            <w:r w:rsidRPr="004C3AB5">
              <w:rPr>
                <w:rFonts w:ascii="Arial Narrow" w:hAnsi="Arial Narrow" w:cs="Times New Roman"/>
                <w:bCs/>
                <w:sz w:val="20"/>
                <w:szCs w:val="20"/>
                <w:lang w:eastAsia="en-AU"/>
              </w:rPr>
              <w:t>0.5202</w:t>
            </w:r>
          </w:p>
        </w:tc>
        <w:tc>
          <w:tcPr>
            <w:tcW w:w="679" w:type="pct"/>
            <w:tcBorders>
              <w:top w:val="single" w:sz="4" w:space="0" w:color="FFFFFF" w:themeColor="background1"/>
            </w:tcBorders>
          </w:tcPr>
          <w:p w:rsidR="00305225" w:rsidRPr="004C3AB5" w:rsidRDefault="00305225" w:rsidP="00305225">
            <w:pPr>
              <w:keepNext/>
              <w:keepLines/>
              <w:widowControl/>
              <w:jc w:val="center"/>
              <w:rPr>
                <w:rFonts w:ascii="Arial Narrow" w:hAnsi="Arial Narrow" w:cs="Times New Roman"/>
                <w:bCs/>
                <w:sz w:val="20"/>
                <w:szCs w:val="20"/>
                <w:lang w:eastAsia="en-AU"/>
              </w:rPr>
            </w:pPr>
            <w:r w:rsidRPr="004C3AB5">
              <w:rPr>
                <w:rFonts w:ascii="Arial Narrow" w:hAnsi="Arial Narrow" w:cs="Times New Roman"/>
                <w:bCs/>
                <w:sz w:val="20"/>
                <w:szCs w:val="20"/>
                <w:lang w:eastAsia="en-AU"/>
              </w:rPr>
              <w:t>$</w:t>
            </w:r>
            <w:r w:rsidR="00C15B75">
              <w:rPr>
                <w:rFonts w:ascii="Arial Narrow" w:hAnsi="Arial Narrow" w:cs="Times New Roman"/>
                <w:bCs/>
                <w:noProof/>
                <w:color w:val="000000"/>
                <w:sz w:val="20"/>
                <w:szCs w:val="20"/>
                <w:highlight w:val="black"/>
                <w:lang w:eastAsia="en-AU"/>
              </w:rPr>
              <w:t>'''''''''''''''</w:t>
            </w:r>
          </w:p>
        </w:tc>
      </w:tr>
      <w:tr w:rsidR="00305225" w:rsidRPr="00425648" w:rsidTr="00E2610E">
        <w:tc>
          <w:tcPr>
            <w:tcW w:w="2571" w:type="pct"/>
          </w:tcPr>
          <w:p w:rsidR="00305225" w:rsidRPr="004C3AB5" w:rsidRDefault="00305225" w:rsidP="00305225">
            <w:pPr>
              <w:pStyle w:val="Tabletext"/>
              <w:keepNext/>
              <w:keepLines/>
              <w:tabs>
                <w:tab w:val="left" w:pos="142"/>
              </w:tabs>
              <w:rPr>
                <w:iCs/>
              </w:rPr>
            </w:pPr>
            <w:r w:rsidRPr="004C3AB5">
              <w:rPr>
                <w:iCs/>
              </w:rPr>
              <w:t>Annual probability of discontinuation – BEL (base case 9.2%)</w:t>
            </w:r>
          </w:p>
          <w:p w:rsidR="00305225" w:rsidRPr="004C3AB5" w:rsidRDefault="00305225" w:rsidP="00305225">
            <w:pPr>
              <w:pStyle w:val="Tabletext"/>
              <w:keepNext/>
              <w:keepLines/>
              <w:tabs>
                <w:tab w:val="left" w:pos="142"/>
              </w:tabs>
              <w:rPr>
                <w:iCs/>
              </w:rPr>
            </w:pPr>
            <w:r w:rsidRPr="004C3AB5">
              <w:rPr>
                <w:iCs/>
              </w:rPr>
              <w:t>3%</w:t>
            </w:r>
          </w:p>
          <w:p w:rsidR="00305225" w:rsidRPr="004C3AB5" w:rsidRDefault="00305225" w:rsidP="00305225">
            <w:pPr>
              <w:pStyle w:val="Tabletext"/>
              <w:keepNext/>
              <w:keepLines/>
              <w:tabs>
                <w:tab w:val="left" w:pos="142"/>
              </w:tabs>
              <w:rPr>
                <w:iCs/>
              </w:rPr>
            </w:pPr>
            <w:r w:rsidRPr="004C3AB5">
              <w:rPr>
                <w:iCs/>
              </w:rPr>
              <w:t>15%</w:t>
            </w:r>
          </w:p>
        </w:tc>
        <w:tc>
          <w:tcPr>
            <w:tcW w:w="837" w:type="pct"/>
            <w:vAlign w:val="bottom"/>
          </w:tcPr>
          <w:p w:rsidR="00305225" w:rsidRPr="004C3AB5" w:rsidRDefault="00305225" w:rsidP="00305225">
            <w:pPr>
              <w:keepNext/>
              <w:keepLines/>
              <w:jc w:val="center"/>
              <w:rPr>
                <w:rFonts w:ascii="Arial Narrow" w:hAnsi="Arial Narrow"/>
                <w:color w:val="000000"/>
                <w:sz w:val="20"/>
                <w:szCs w:val="20"/>
              </w:rPr>
            </w:pPr>
            <w:r w:rsidRPr="004C3AB5">
              <w:rPr>
                <w:rFonts w:ascii="Arial Narrow" w:hAnsi="Arial Narrow"/>
                <w:color w:val="000000"/>
                <w:sz w:val="20"/>
                <w:szCs w:val="20"/>
              </w:rPr>
              <w:t>$</w:t>
            </w:r>
            <w:r w:rsidR="00C15B75">
              <w:rPr>
                <w:rFonts w:ascii="Arial Narrow" w:hAnsi="Arial Narrow"/>
                <w:noProof/>
                <w:color w:val="000000"/>
                <w:sz w:val="20"/>
                <w:szCs w:val="20"/>
                <w:highlight w:val="black"/>
              </w:rPr>
              <w:t>''''''''''''''''</w:t>
            </w:r>
          </w:p>
          <w:p w:rsidR="00305225" w:rsidRPr="004C3AB5" w:rsidRDefault="00305225" w:rsidP="00305225">
            <w:pPr>
              <w:keepNext/>
              <w:keepLines/>
              <w:widowControl/>
              <w:jc w:val="center"/>
              <w:rPr>
                <w:rFonts w:ascii="Arial Narrow" w:hAnsi="Arial Narrow" w:cs="Times New Roman"/>
                <w:iCs/>
                <w:sz w:val="20"/>
              </w:rPr>
            </w:pPr>
            <w:r w:rsidRPr="004C3AB5">
              <w:rPr>
                <w:rFonts w:ascii="Arial Narrow" w:hAnsi="Arial Narrow"/>
                <w:color w:val="000000"/>
                <w:sz w:val="20"/>
                <w:szCs w:val="20"/>
              </w:rPr>
              <w:t>$</w:t>
            </w:r>
            <w:r w:rsidR="00C15B75">
              <w:rPr>
                <w:rFonts w:ascii="Arial Narrow" w:hAnsi="Arial Narrow"/>
                <w:noProof/>
                <w:color w:val="000000"/>
                <w:sz w:val="20"/>
                <w:szCs w:val="20"/>
                <w:highlight w:val="black"/>
              </w:rPr>
              <w:t>''''''''''''''''</w:t>
            </w:r>
          </w:p>
        </w:tc>
        <w:tc>
          <w:tcPr>
            <w:tcW w:w="913" w:type="pct"/>
            <w:vAlign w:val="bottom"/>
          </w:tcPr>
          <w:p w:rsidR="00305225" w:rsidRPr="004C3AB5" w:rsidRDefault="00305225" w:rsidP="00305225">
            <w:pPr>
              <w:keepNext/>
              <w:keepLines/>
              <w:jc w:val="center"/>
              <w:rPr>
                <w:rFonts w:ascii="Arial Narrow" w:hAnsi="Arial Narrow"/>
                <w:iCs/>
                <w:color w:val="000000"/>
                <w:sz w:val="20"/>
                <w:szCs w:val="20"/>
              </w:rPr>
            </w:pPr>
            <w:r w:rsidRPr="004C3AB5">
              <w:rPr>
                <w:rFonts w:ascii="Arial Narrow" w:hAnsi="Arial Narrow"/>
                <w:iCs/>
                <w:color w:val="000000"/>
                <w:sz w:val="20"/>
                <w:szCs w:val="20"/>
              </w:rPr>
              <w:t>1.1981</w:t>
            </w:r>
          </w:p>
          <w:p w:rsidR="00305225" w:rsidRPr="004C3AB5" w:rsidRDefault="00305225" w:rsidP="00305225">
            <w:pPr>
              <w:keepNext/>
              <w:keepLines/>
              <w:widowControl/>
              <w:jc w:val="center"/>
              <w:rPr>
                <w:rFonts w:ascii="Arial Narrow" w:hAnsi="Arial Narrow" w:cs="Times New Roman"/>
                <w:iCs/>
                <w:sz w:val="20"/>
              </w:rPr>
            </w:pPr>
            <w:r w:rsidRPr="004C3AB5">
              <w:rPr>
                <w:rFonts w:ascii="Arial Narrow" w:hAnsi="Arial Narrow"/>
                <w:iCs/>
                <w:color w:val="000000"/>
                <w:sz w:val="20"/>
                <w:szCs w:val="20"/>
              </w:rPr>
              <w:t>0.2541</w:t>
            </w:r>
          </w:p>
        </w:tc>
        <w:tc>
          <w:tcPr>
            <w:tcW w:w="679" w:type="pct"/>
            <w:vAlign w:val="bottom"/>
          </w:tcPr>
          <w:p w:rsidR="00305225" w:rsidRPr="00C15B75" w:rsidRDefault="00305225" w:rsidP="00305225">
            <w:pPr>
              <w:keepNext/>
              <w:keepLines/>
              <w:jc w:val="center"/>
              <w:rPr>
                <w:rFonts w:ascii="Arial Narrow" w:hAnsi="Arial Narrow"/>
                <w:color w:val="000000"/>
                <w:sz w:val="20"/>
                <w:szCs w:val="20"/>
              </w:rPr>
            </w:pPr>
            <w:r w:rsidRPr="004C3AB5">
              <w:rPr>
                <w:rFonts w:ascii="Arial Narrow" w:hAnsi="Arial Narrow"/>
                <w:color w:val="000000"/>
                <w:sz w:val="20"/>
                <w:szCs w:val="20"/>
              </w:rPr>
              <w:t>$</w:t>
            </w:r>
            <w:r w:rsidR="00C15B75">
              <w:rPr>
                <w:rFonts w:ascii="Arial Narrow" w:hAnsi="Arial Narrow"/>
                <w:noProof/>
                <w:color w:val="000000"/>
                <w:sz w:val="20"/>
                <w:szCs w:val="20"/>
                <w:highlight w:val="black"/>
              </w:rPr>
              <w:t>'''''''''''''''''</w:t>
            </w:r>
          </w:p>
          <w:p w:rsidR="00305225" w:rsidRPr="004C3AB5" w:rsidRDefault="00305225" w:rsidP="00305225">
            <w:pPr>
              <w:keepNext/>
              <w:keepLines/>
              <w:widowControl/>
              <w:jc w:val="center"/>
              <w:rPr>
                <w:rFonts w:ascii="Arial Narrow" w:hAnsi="Arial Narrow" w:cs="Times New Roman"/>
                <w:iCs/>
                <w:sz w:val="20"/>
              </w:rPr>
            </w:pPr>
            <w:r w:rsidRPr="004C3AB5">
              <w:rPr>
                <w:rFonts w:ascii="Arial Narrow" w:hAnsi="Arial Narrow"/>
                <w:color w:val="000000"/>
                <w:sz w:val="20"/>
                <w:szCs w:val="20"/>
              </w:rPr>
              <w:t>$</w:t>
            </w:r>
            <w:r w:rsidR="00C15B75">
              <w:rPr>
                <w:rFonts w:ascii="Arial Narrow" w:hAnsi="Arial Narrow"/>
                <w:noProof/>
                <w:color w:val="000000"/>
                <w:sz w:val="20"/>
                <w:szCs w:val="20"/>
                <w:highlight w:val="black"/>
              </w:rPr>
              <w:t>''''''''''''''''''</w:t>
            </w:r>
          </w:p>
        </w:tc>
      </w:tr>
      <w:tr w:rsidR="00305225" w:rsidRPr="00425648" w:rsidTr="00E2610E">
        <w:tc>
          <w:tcPr>
            <w:tcW w:w="2571" w:type="pct"/>
          </w:tcPr>
          <w:p w:rsidR="00305225" w:rsidRPr="004C3AB5" w:rsidRDefault="00305225" w:rsidP="00305225">
            <w:pPr>
              <w:pStyle w:val="Tabletext"/>
              <w:keepNext/>
              <w:keepLines/>
              <w:tabs>
                <w:tab w:val="left" w:pos="142"/>
              </w:tabs>
              <w:rPr>
                <w:iCs/>
              </w:rPr>
            </w:pPr>
            <w:r w:rsidRPr="004C3AB5">
              <w:rPr>
                <w:iCs/>
              </w:rPr>
              <w:t>Probability of losing SOC response (base case 8.08%)</w:t>
            </w:r>
          </w:p>
          <w:p w:rsidR="00305225" w:rsidRPr="004C3AB5" w:rsidRDefault="00305225" w:rsidP="00305225">
            <w:pPr>
              <w:pStyle w:val="Tabletext"/>
              <w:keepNext/>
              <w:keepLines/>
              <w:tabs>
                <w:tab w:val="left" w:pos="142"/>
              </w:tabs>
              <w:rPr>
                <w:iCs/>
              </w:rPr>
            </w:pPr>
            <w:r w:rsidRPr="004C3AB5">
              <w:rPr>
                <w:iCs/>
              </w:rPr>
              <w:t>-50% (0.0404)</w:t>
            </w:r>
          </w:p>
          <w:p w:rsidR="00305225" w:rsidRPr="004C3AB5" w:rsidRDefault="00305225" w:rsidP="00305225">
            <w:pPr>
              <w:pStyle w:val="Tabletext"/>
              <w:keepNext/>
              <w:keepLines/>
              <w:tabs>
                <w:tab w:val="left" w:pos="142"/>
              </w:tabs>
              <w:rPr>
                <w:iCs/>
              </w:rPr>
            </w:pPr>
            <w:r w:rsidRPr="004C3AB5">
              <w:rPr>
                <w:iCs/>
              </w:rPr>
              <w:t>+50% (0.1212)</w:t>
            </w:r>
          </w:p>
        </w:tc>
        <w:tc>
          <w:tcPr>
            <w:tcW w:w="837" w:type="pct"/>
            <w:vAlign w:val="center"/>
          </w:tcPr>
          <w:p w:rsidR="00305225" w:rsidRPr="004C3AB5" w:rsidRDefault="00305225" w:rsidP="00305225">
            <w:pPr>
              <w:keepNext/>
              <w:keepLines/>
              <w:jc w:val="center"/>
              <w:rPr>
                <w:rFonts w:ascii="Arial Narrow" w:hAnsi="Arial Narrow" w:cs="Times New Roman"/>
                <w:iCs/>
                <w:sz w:val="20"/>
              </w:rPr>
            </w:pPr>
          </w:p>
          <w:p w:rsidR="00305225" w:rsidRPr="004C3AB5" w:rsidRDefault="00305225" w:rsidP="00305225">
            <w:pPr>
              <w:keepNext/>
              <w:keepLines/>
              <w:jc w:val="center"/>
              <w:rPr>
                <w:rFonts w:ascii="Arial Narrow" w:hAnsi="Arial Narrow" w:cs="Times New Roman"/>
                <w:iCs/>
                <w:sz w:val="20"/>
              </w:rPr>
            </w:pPr>
            <w:r w:rsidRPr="004C3AB5">
              <w:rPr>
                <w:rFonts w:ascii="Arial Narrow" w:hAnsi="Arial Narrow" w:cs="Times New Roman"/>
                <w:iCs/>
                <w:sz w:val="20"/>
              </w:rPr>
              <w:t>$</w:t>
            </w:r>
            <w:r w:rsidR="00C15B75">
              <w:rPr>
                <w:rFonts w:ascii="Arial Narrow" w:hAnsi="Arial Narrow" w:cs="Times New Roman"/>
                <w:iCs/>
                <w:noProof/>
                <w:color w:val="000000"/>
                <w:sz w:val="20"/>
                <w:highlight w:val="black"/>
              </w:rPr>
              <w:t>''''''''''''''''''</w:t>
            </w:r>
          </w:p>
          <w:p w:rsidR="00305225" w:rsidRPr="004C3AB5" w:rsidRDefault="00305225" w:rsidP="00305225">
            <w:pPr>
              <w:keepNext/>
              <w:keepLines/>
              <w:jc w:val="center"/>
              <w:rPr>
                <w:rFonts w:ascii="Arial Narrow" w:hAnsi="Arial Narrow" w:cs="Times New Roman"/>
                <w:iCs/>
                <w:sz w:val="20"/>
              </w:rPr>
            </w:pPr>
            <w:r w:rsidRPr="004C3AB5">
              <w:rPr>
                <w:rFonts w:ascii="Arial Narrow" w:hAnsi="Arial Narrow" w:cs="Times New Roman"/>
                <w:iCs/>
                <w:sz w:val="20"/>
              </w:rPr>
              <w:t>$</w:t>
            </w:r>
            <w:r w:rsidR="00C15B75">
              <w:rPr>
                <w:rFonts w:ascii="Arial Narrow" w:hAnsi="Arial Narrow" w:cs="Times New Roman"/>
                <w:iCs/>
                <w:noProof/>
                <w:color w:val="000000"/>
                <w:sz w:val="20"/>
                <w:highlight w:val="black"/>
              </w:rPr>
              <w:t>''''''''''''''''</w:t>
            </w:r>
          </w:p>
        </w:tc>
        <w:tc>
          <w:tcPr>
            <w:tcW w:w="913" w:type="pct"/>
            <w:vAlign w:val="center"/>
          </w:tcPr>
          <w:p w:rsidR="00305225" w:rsidRPr="004C3AB5" w:rsidRDefault="00305225" w:rsidP="00305225">
            <w:pPr>
              <w:keepNext/>
              <w:keepLines/>
              <w:jc w:val="center"/>
              <w:rPr>
                <w:rFonts w:ascii="Arial Narrow" w:hAnsi="Arial Narrow" w:cs="Times New Roman"/>
                <w:iCs/>
                <w:sz w:val="20"/>
              </w:rPr>
            </w:pPr>
          </w:p>
          <w:p w:rsidR="00305225" w:rsidRPr="004C3AB5" w:rsidRDefault="00305225" w:rsidP="00305225">
            <w:pPr>
              <w:keepNext/>
              <w:keepLines/>
              <w:jc w:val="center"/>
              <w:rPr>
                <w:rFonts w:ascii="Arial Narrow" w:hAnsi="Arial Narrow" w:cs="Times New Roman"/>
                <w:iCs/>
                <w:sz w:val="20"/>
              </w:rPr>
            </w:pPr>
            <w:r w:rsidRPr="004C3AB5">
              <w:rPr>
                <w:rFonts w:ascii="Arial Narrow" w:hAnsi="Arial Narrow" w:cs="Times New Roman"/>
                <w:iCs/>
                <w:sz w:val="20"/>
              </w:rPr>
              <w:t>0.2269</w:t>
            </w:r>
          </w:p>
          <w:p w:rsidR="00305225" w:rsidRPr="004C3AB5" w:rsidRDefault="00305225" w:rsidP="00305225">
            <w:pPr>
              <w:keepNext/>
              <w:keepLines/>
              <w:jc w:val="center"/>
              <w:rPr>
                <w:rFonts w:ascii="Arial Narrow" w:hAnsi="Arial Narrow" w:cs="Times New Roman"/>
                <w:iCs/>
                <w:sz w:val="20"/>
              </w:rPr>
            </w:pPr>
            <w:r w:rsidRPr="004C3AB5">
              <w:rPr>
                <w:rFonts w:ascii="Arial Narrow" w:hAnsi="Arial Narrow" w:cs="Times New Roman"/>
                <w:iCs/>
                <w:sz w:val="20"/>
              </w:rPr>
              <w:t>0.6837</w:t>
            </w:r>
          </w:p>
        </w:tc>
        <w:tc>
          <w:tcPr>
            <w:tcW w:w="679" w:type="pct"/>
            <w:vAlign w:val="center"/>
          </w:tcPr>
          <w:p w:rsidR="00305225" w:rsidRPr="004C3AB5" w:rsidRDefault="00305225" w:rsidP="00305225">
            <w:pPr>
              <w:keepNext/>
              <w:keepLines/>
              <w:jc w:val="center"/>
              <w:rPr>
                <w:rFonts w:ascii="Arial Narrow" w:hAnsi="Arial Narrow" w:cs="Times New Roman"/>
                <w:iCs/>
                <w:sz w:val="20"/>
              </w:rPr>
            </w:pPr>
          </w:p>
          <w:p w:rsidR="00305225" w:rsidRPr="004C3AB5" w:rsidRDefault="00305225" w:rsidP="00305225">
            <w:pPr>
              <w:keepNext/>
              <w:keepLines/>
              <w:jc w:val="center"/>
              <w:rPr>
                <w:rFonts w:ascii="Arial Narrow" w:hAnsi="Arial Narrow" w:cs="Times New Roman"/>
                <w:iCs/>
                <w:sz w:val="20"/>
              </w:rPr>
            </w:pPr>
            <w:r w:rsidRPr="004C3AB5">
              <w:rPr>
                <w:rFonts w:ascii="Arial Narrow" w:hAnsi="Arial Narrow" w:cs="Times New Roman"/>
                <w:iCs/>
                <w:sz w:val="20"/>
              </w:rPr>
              <w:t>$</w:t>
            </w:r>
            <w:r w:rsidR="00C15B75">
              <w:rPr>
                <w:rFonts w:ascii="Arial Narrow" w:hAnsi="Arial Narrow" w:cs="Times New Roman"/>
                <w:iCs/>
                <w:noProof/>
                <w:color w:val="000000"/>
                <w:sz w:val="20"/>
                <w:highlight w:val="black"/>
              </w:rPr>
              <w:t>'''''''''''''''''''''</w:t>
            </w:r>
          </w:p>
          <w:p w:rsidR="00305225" w:rsidRPr="004C3AB5" w:rsidRDefault="00305225" w:rsidP="00305225">
            <w:pPr>
              <w:keepNext/>
              <w:keepLines/>
              <w:jc w:val="center"/>
              <w:rPr>
                <w:rFonts w:ascii="Arial Narrow" w:hAnsi="Arial Narrow" w:cs="Times New Roman"/>
                <w:iCs/>
                <w:sz w:val="20"/>
              </w:rPr>
            </w:pPr>
            <w:r w:rsidRPr="004C3AB5">
              <w:rPr>
                <w:rFonts w:ascii="Arial Narrow" w:hAnsi="Arial Narrow" w:cs="Times New Roman"/>
                <w:iCs/>
                <w:sz w:val="20"/>
              </w:rPr>
              <w:t>$</w:t>
            </w:r>
            <w:r w:rsidR="00C15B75">
              <w:rPr>
                <w:rFonts w:ascii="Arial Narrow" w:hAnsi="Arial Narrow" w:cs="Times New Roman"/>
                <w:iCs/>
                <w:noProof/>
                <w:color w:val="000000"/>
                <w:sz w:val="20"/>
                <w:highlight w:val="black"/>
              </w:rPr>
              <w:t>'''''''''''''''''</w:t>
            </w:r>
          </w:p>
        </w:tc>
      </w:tr>
      <w:tr w:rsidR="008B7B29" w:rsidRPr="00425648" w:rsidTr="0081634B">
        <w:tc>
          <w:tcPr>
            <w:tcW w:w="1" w:type="pct"/>
            <w:gridSpan w:val="4"/>
          </w:tcPr>
          <w:p w:rsidR="008B7B29" w:rsidRPr="004C3AB5" w:rsidRDefault="008B7B29" w:rsidP="008B7B29">
            <w:pPr>
              <w:keepNext/>
              <w:keepLines/>
              <w:jc w:val="left"/>
              <w:rPr>
                <w:rFonts w:ascii="Arial Narrow" w:hAnsi="Arial Narrow" w:cs="Times New Roman"/>
                <w:iCs/>
                <w:sz w:val="20"/>
              </w:rPr>
            </w:pPr>
            <w:r w:rsidRPr="004C3AB5">
              <w:rPr>
                <w:rFonts w:ascii="Arial Narrow" w:hAnsi="Arial Narrow" w:cs="Times New Roman"/>
                <w:b/>
                <w:bCs/>
                <w:sz w:val="20"/>
              </w:rPr>
              <w:t>Multivariate Sensitivity Analysis</w:t>
            </w:r>
          </w:p>
        </w:tc>
      </w:tr>
      <w:tr w:rsidR="00795E5A" w:rsidRPr="00425648" w:rsidTr="00E2610E">
        <w:tc>
          <w:tcPr>
            <w:tcW w:w="2571" w:type="pct"/>
          </w:tcPr>
          <w:p w:rsidR="00795E5A" w:rsidRPr="004C3AB5" w:rsidRDefault="00AB0FCD" w:rsidP="00AB0FCD">
            <w:pPr>
              <w:pStyle w:val="Tabletext"/>
              <w:keepNext/>
              <w:keepLines/>
              <w:tabs>
                <w:tab w:val="left" w:pos="142"/>
              </w:tabs>
              <w:rPr>
                <w:iCs/>
              </w:rPr>
            </w:pPr>
            <w:r w:rsidRPr="004C3AB5">
              <w:rPr>
                <w:iCs/>
              </w:rPr>
              <w:t>#1 + #2</w:t>
            </w:r>
            <w:r w:rsidR="004C3AB5" w:rsidRPr="004C3AB5">
              <w:rPr>
                <w:iCs/>
                <w:vertAlign w:val="superscript"/>
              </w:rPr>
              <w:t>b</w:t>
            </w:r>
          </w:p>
        </w:tc>
        <w:tc>
          <w:tcPr>
            <w:tcW w:w="837" w:type="pct"/>
            <w:vAlign w:val="center"/>
          </w:tcPr>
          <w:p w:rsidR="00795E5A" w:rsidRPr="004C3AB5" w:rsidRDefault="00A245A4" w:rsidP="00305225">
            <w:pPr>
              <w:keepNext/>
              <w:keepLines/>
              <w:jc w:val="center"/>
              <w:rPr>
                <w:rFonts w:ascii="Arial Narrow" w:hAnsi="Arial Narrow" w:cs="Times New Roman"/>
                <w:iCs/>
                <w:sz w:val="20"/>
              </w:rPr>
            </w:pPr>
            <w:r w:rsidRPr="004C3AB5">
              <w:rPr>
                <w:rFonts w:ascii="Arial Narrow" w:hAnsi="Arial Narrow" w:cs="Times New Roman"/>
                <w:bCs/>
                <w:sz w:val="20"/>
                <w:szCs w:val="20"/>
                <w:lang w:eastAsia="en-AU"/>
              </w:rPr>
              <w:t>$</w:t>
            </w:r>
            <w:r w:rsidR="00C15B75">
              <w:rPr>
                <w:rFonts w:ascii="Arial Narrow" w:hAnsi="Arial Narrow" w:cs="Times New Roman"/>
                <w:bCs/>
                <w:noProof/>
                <w:color w:val="000000"/>
                <w:sz w:val="20"/>
                <w:szCs w:val="20"/>
                <w:highlight w:val="black"/>
                <w:lang w:eastAsia="en-AU"/>
              </w:rPr>
              <w:t>''''''''''''''''''</w:t>
            </w:r>
          </w:p>
        </w:tc>
        <w:tc>
          <w:tcPr>
            <w:tcW w:w="913" w:type="pct"/>
            <w:vAlign w:val="center"/>
          </w:tcPr>
          <w:p w:rsidR="00795E5A" w:rsidRPr="004C3AB5" w:rsidRDefault="00A245A4" w:rsidP="00305225">
            <w:pPr>
              <w:keepNext/>
              <w:keepLines/>
              <w:jc w:val="center"/>
              <w:rPr>
                <w:rFonts w:ascii="Arial Narrow" w:hAnsi="Arial Narrow" w:cs="Times New Roman"/>
                <w:iCs/>
                <w:sz w:val="20"/>
              </w:rPr>
            </w:pPr>
            <w:r>
              <w:rPr>
                <w:rFonts w:ascii="Arial Narrow" w:hAnsi="Arial Narrow" w:cs="Times New Roman"/>
                <w:iCs/>
                <w:sz w:val="20"/>
              </w:rPr>
              <w:t>0.1514</w:t>
            </w:r>
          </w:p>
        </w:tc>
        <w:tc>
          <w:tcPr>
            <w:tcW w:w="679" w:type="pct"/>
            <w:vAlign w:val="center"/>
          </w:tcPr>
          <w:p w:rsidR="00795E5A" w:rsidRPr="004C3AB5" w:rsidRDefault="00A245A4" w:rsidP="00305225">
            <w:pPr>
              <w:keepNext/>
              <w:keepLines/>
              <w:jc w:val="center"/>
              <w:rPr>
                <w:rFonts w:ascii="Arial Narrow" w:hAnsi="Arial Narrow" w:cs="Times New Roman"/>
                <w:iCs/>
                <w:sz w:val="20"/>
              </w:rPr>
            </w:pPr>
            <w:r>
              <w:rPr>
                <w:rFonts w:ascii="Arial Narrow" w:hAnsi="Arial Narrow" w:cs="Times New Roman"/>
                <w:iCs/>
                <w:sz w:val="20"/>
              </w:rPr>
              <w:t>$</w:t>
            </w:r>
            <w:r w:rsidR="00C15B75">
              <w:rPr>
                <w:rFonts w:ascii="Arial Narrow" w:hAnsi="Arial Narrow" w:cs="Times New Roman"/>
                <w:iCs/>
                <w:noProof/>
                <w:color w:val="000000"/>
                <w:sz w:val="20"/>
                <w:highlight w:val="black"/>
              </w:rPr>
              <w:t>'''''''''''''''''''</w:t>
            </w:r>
          </w:p>
        </w:tc>
      </w:tr>
    </w:tbl>
    <w:p w:rsidR="00172AD3" w:rsidRPr="004C3AB5" w:rsidRDefault="00172AD3" w:rsidP="00820032">
      <w:pPr>
        <w:keepNext/>
        <w:keepLines/>
        <w:rPr>
          <w:rFonts w:ascii="Arial Narrow" w:hAnsi="Arial Narrow"/>
          <w:sz w:val="18"/>
          <w:szCs w:val="18"/>
        </w:rPr>
      </w:pPr>
      <w:r w:rsidRPr="004C3AB5">
        <w:rPr>
          <w:rFonts w:ascii="Arial Narrow" w:hAnsi="Arial Narrow"/>
          <w:sz w:val="18"/>
          <w:szCs w:val="18"/>
        </w:rPr>
        <w:t xml:space="preserve">Source: </w:t>
      </w:r>
      <w:r w:rsidR="004A7184" w:rsidRPr="004C3AB5">
        <w:rPr>
          <w:rFonts w:ascii="Arial Narrow" w:hAnsi="Arial Narrow"/>
          <w:sz w:val="18"/>
          <w:szCs w:val="18"/>
        </w:rPr>
        <w:t>Table 103, pp.253-254 of the resubmission and calculated during the evaluation.</w:t>
      </w:r>
    </w:p>
    <w:p w:rsidR="00913CE5" w:rsidRPr="004C3AB5" w:rsidRDefault="004C3AB5" w:rsidP="00820032">
      <w:pPr>
        <w:keepNext/>
        <w:keepLines/>
        <w:rPr>
          <w:rFonts w:ascii="Arial Narrow" w:hAnsi="Arial Narrow"/>
          <w:sz w:val="18"/>
          <w:szCs w:val="18"/>
        </w:rPr>
      </w:pPr>
      <w:r w:rsidRPr="004C3AB5">
        <w:rPr>
          <w:rFonts w:ascii="Arial Narrow" w:hAnsi="Arial Narrow"/>
          <w:sz w:val="18"/>
          <w:szCs w:val="18"/>
          <w:vertAlign w:val="superscript"/>
        </w:rPr>
        <w:t>a</w:t>
      </w:r>
      <w:r w:rsidRPr="004C3AB5">
        <w:rPr>
          <w:rFonts w:ascii="Arial Narrow" w:hAnsi="Arial Narrow"/>
          <w:sz w:val="18"/>
          <w:szCs w:val="18"/>
        </w:rPr>
        <w:t xml:space="preserve"> Time horizon sensitivity analyses performed for ESC ADV.</w:t>
      </w:r>
    </w:p>
    <w:p w:rsidR="00AB0FCD" w:rsidRDefault="004C3AB5" w:rsidP="00820032">
      <w:pPr>
        <w:keepNext/>
        <w:keepLines/>
        <w:rPr>
          <w:rFonts w:ascii="Arial Narrow" w:hAnsi="Arial Narrow"/>
          <w:sz w:val="18"/>
          <w:szCs w:val="18"/>
        </w:rPr>
      </w:pPr>
      <w:r w:rsidRPr="004C3AB5">
        <w:rPr>
          <w:rFonts w:ascii="Arial Narrow" w:hAnsi="Arial Narrow"/>
          <w:sz w:val="18"/>
          <w:szCs w:val="18"/>
          <w:vertAlign w:val="superscript"/>
        </w:rPr>
        <w:t>b</w:t>
      </w:r>
      <w:r w:rsidR="00AB0FCD" w:rsidRPr="004C3AB5">
        <w:rPr>
          <w:rFonts w:ascii="Arial Narrow" w:hAnsi="Arial Narrow"/>
          <w:sz w:val="18"/>
          <w:szCs w:val="18"/>
        </w:rPr>
        <w:t xml:space="preserve"> Multivariate sensitivity analysis with Aggarwal 2009 utilities and </w:t>
      </w:r>
      <w:r w:rsidR="00F85A6C">
        <w:rPr>
          <w:rFonts w:ascii="Arial Narrow" w:hAnsi="Arial Narrow"/>
          <w:sz w:val="18"/>
          <w:szCs w:val="18"/>
        </w:rPr>
        <w:t>2</w:t>
      </w:r>
      <w:r w:rsidR="00AB0FCD" w:rsidRPr="004C3AB5">
        <w:rPr>
          <w:rFonts w:ascii="Arial Narrow" w:hAnsi="Arial Narrow"/>
          <w:sz w:val="18"/>
          <w:szCs w:val="18"/>
        </w:rPr>
        <w:t>0 year time horizon</w:t>
      </w:r>
      <w:r w:rsidR="00F85A6C">
        <w:rPr>
          <w:rFonts w:ascii="Arial Narrow" w:hAnsi="Arial Narrow"/>
          <w:sz w:val="18"/>
          <w:szCs w:val="18"/>
        </w:rPr>
        <w:t>, performed for PBAC meeting</w:t>
      </w:r>
      <w:r w:rsidR="00AB0FCD" w:rsidRPr="004C3AB5">
        <w:rPr>
          <w:rFonts w:ascii="Arial Narrow" w:hAnsi="Arial Narrow"/>
          <w:sz w:val="18"/>
          <w:szCs w:val="18"/>
        </w:rPr>
        <w:t>.</w:t>
      </w:r>
    </w:p>
    <w:p w:rsidR="00C03F09" w:rsidRDefault="00C03F09" w:rsidP="00820032">
      <w:pPr>
        <w:keepNext/>
        <w:keepLines/>
        <w:rPr>
          <w:rFonts w:ascii="Arial Narrow" w:hAnsi="Arial Narrow"/>
          <w:sz w:val="18"/>
          <w:szCs w:val="18"/>
        </w:rPr>
      </w:pPr>
    </w:p>
    <w:p w:rsidR="00C03F09" w:rsidRPr="00C03F09" w:rsidRDefault="00C03F09" w:rsidP="00820032">
      <w:pPr>
        <w:keepNext/>
        <w:keepLines/>
        <w:rPr>
          <w:rFonts w:asciiTheme="minorHAnsi" w:hAnsiTheme="minorHAnsi" w:cstheme="minorHAnsi"/>
          <w:i/>
          <w:szCs w:val="24"/>
        </w:rPr>
      </w:pPr>
      <w:r>
        <w:rPr>
          <w:rFonts w:asciiTheme="minorHAnsi" w:hAnsiTheme="minorHAnsi" w:cstheme="minorHAnsi"/>
          <w:i/>
          <w:szCs w:val="24"/>
        </w:rPr>
        <w:t xml:space="preserve">The redacted table shows ICERs in the range of $55,000 to &lt; $75,000 per QALY, to $155,000 to &lt; $255,000 per QALY. </w:t>
      </w:r>
    </w:p>
    <w:p w:rsidR="005C22F2" w:rsidRPr="00BE1C7D" w:rsidRDefault="005C22F2" w:rsidP="005C22F2">
      <w:pPr>
        <w:pStyle w:val="Bulletpoints"/>
        <w:numPr>
          <w:ilvl w:val="0"/>
          <w:numId w:val="0"/>
        </w:numPr>
        <w:ind w:left="679"/>
        <w:rPr>
          <w:iCs/>
        </w:rPr>
      </w:pPr>
    </w:p>
    <w:p w:rsidR="005C22F2" w:rsidRPr="004C3AB5" w:rsidRDefault="005C22F2" w:rsidP="005B3C53">
      <w:pPr>
        <w:pStyle w:val="ListParagraph"/>
        <w:widowControl/>
        <w:numPr>
          <w:ilvl w:val="1"/>
          <w:numId w:val="1"/>
        </w:numPr>
        <w:spacing w:after="120"/>
        <w:rPr>
          <w:szCs w:val="24"/>
        </w:rPr>
      </w:pPr>
      <w:r w:rsidRPr="004C3AB5">
        <w:rPr>
          <w:iCs/>
        </w:rPr>
        <w:t>The base case analysis was highly sensitive to:</w:t>
      </w:r>
    </w:p>
    <w:p w:rsidR="005C22F2" w:rsidRPr="004C3AB5" w:rsidRDefault="005C22F2" w:rsidP="00A23229">
      <w:pPr>
        <w:pStyle w:val="ListParagraph"/>
        <w:numPr>
          <w:ilvl w:val="0"/>
          <w:numId w:val="22"/>
        </w:numPr>
        <w:spacing w:after="120"/>
        <w:ind w:left="1276" w:hanging="425"/>
        <w:contextualSpacing/>
        <w:rPr>
          <w:szCs w:val="24"/>
        </w:rPr>
      </w:pPr>
      <w:r w:rsidRPr="004C3AB5">
        <w:rPr>
          <w:iCs/>
        </w:rPr>
        <w:t>The probability of belimumab treatment discontinuation. The model assumed an annual probability of discontinuation of 9.2%</w:t>
      </w:r>
      <w:r w:rsidR="008E62D7" w:rsidRPr="004C3AB5">
        <w:rPr>
          <w:iCs/>
        </w:rPr>
        <w:t xml:space="preserve">, which the PSCR stated is a conditional probability only applied after one year of follow-up. This was </w:t>
      </w:r>
      <w:r w:rsidR="00253BCB" w:rsidRPr="004C3AB5">
        <w:rPr>
          <w:iCs/>
        </w:rPr>
        <w:t xml:space="preserve">based on the annual probability (9.2%) of study withdrawals (all reasons) from a pooled analysis of BLISS-52 and BLISS-76 </w:t>
      </w:r>
      <w:r w:rsidR="00EA1535" w:rsidRPr="004C3AB5">
        <w:rPr>
          <w:iCs/>
        </w:rPr>
        <w:t>(</w:t>
      </w:r>
      <w:r w:rsidR="00FC15D8" w:rsidRPr="004C3AB5">
        <w:rPr>
          <w:iCs/>
        </w:rPr>
        <w:t xml:space="preserve">long term extension studies) </w:t>
      </w:r>
      <w:r w:rsidR="00253BCB" w:rsidRPr="004C3AB5">
        <w:rPr>
          <w:iCs/>
        </w:rPr>
        <w:t xml:space="preserve">for years 1 to 6. </w:t>
      </w:r>
      <w:r w:rsidR="00305225" w:rsidRPr="004C3AB5">
        <w:rPr>
          <w:iCs/>
        </w:rPr>
        <w:t>The main reasons for withdrawal in the long term extension studies were adverse events, patient request and “other” (the most common reason for the latter two was a desire to become pregnant).</w:t>
      </w:r>
      <w:r w:rsidR="00253BCB" w:rsidRPr="004C3AB5">
        <w:rPr>
          <w:iCs/>
        </w:rPr>
        <w:t xml:space="preserve"> </w:t>
      </w:r>
      <w:r w:rsidR="00FC15D8" w:rsidRPr="004C3AB5">
        <w:rPr>
          <w:iCs/>
        </w:rPr>
        <w:t>The ESC noted that the</w:t>
      </w:r>
      <w:r w:rsidR="00305225" w:rsidRPr="004C3AB5">
        <w:rPr>
          <w:iCs/>
        </w:rPr>
        <w:t xml:space="preserve"> discontinuation rate applied in the model </w:t>
      </w:r>
      <w:r w:rsidR="00FC15D8" w:rsidRPr="004C3AB5">
        <w:rPr>
          <w:iCs/>
        </w:rPr>
        <w:t>do</w:t>
      </w:r>
      <w:r w:rsidR="00305225" w:rsidRPr="004C3AB5">
        <w:rPr>
          <w:iCs/>
        </w:rPr>
        <w:t>es</w:t>
      </w:r>
      <w:r w:rsidR="00FC15D8" w:rsidRPr="004C3AB5">
        <w:rPr>
          <w:iCs/>
        </w:rPr>
        <w:t xml:space="preserve"> not account for the 22% of patients who did not continue with treatment at the end of the double-blind trials</w:t>
      </w:r>
      <w:r w:rsidR="00F94CD4" w:rsidRPr="004C3AB5">
        <w:rPr>
          <w:iCs/>
        </w:rPr>
        <w:t xml:space="preserve"> (i.e. who did not enter the long term extension studies)</w:t>
      </w:r>
      <w:r w:rsidR="00FC15D8" w:rsidRPr="004C3AB5">
        <w:rPr>
          <w:iCs/>
        </w:rPr>
        <w:t>.</w:t>
      </w:r>
      <w:r w:rsidR="008E62D7" w:rsidRPr="004C3AB5">
        <w:rPr>
          <w:iCs/>
        </w:rPr>
        <w:t xml:space="preserve"> </w:t>
      </w:r>
      <w:r w:rsidR="00AD1632" w:rsidRPr="004C3AB5">
        <w:rPr>
          <w:iCs/>
        </w:rPr>
        <w:t>Thus, the probability of belimumab discontinuation may be underestimated in the first year of the model if patients discontinue for reasons other than non-response.</w:t>
      </w:r>
    </w:p>
    <w:p w:rsidR="005C22F2" w:rsidRPr="004C3AB5" w:rsidRDefault="005C22F2" w:rsidP="00A23229">
      <w:pPr>
        <w:pStyle w:val="ListParagraph"/>
        <w:numPr>
          <w:ilvl w:val="0"/>
          <w:numId w:val="22"/>
        </w:numPr>
        <w:spacing w:after="120"/>
        <w:ind w:left="1276" w:hanging="425"/>
        <w:rPr>
          <w:szCs w:val="24"/>
        </w:rPr>
      </w:pPr>
      <w:r w:rsidRPr="004C3AB5">
        <w:rPr>
          <w:iCs/>
        </w:rPr>
        <w:t xml:space="preserve">The probability of losing SOC response. </w:t>
      </w:r>
      <w:r w:rsidR="00C1386A" w:rsidRPr="004C3AB5">
        <w:rPr>
          <w:iCs/>
        </w:rPr>
        <w:t>As there is no data on the persistence of a placebo response, the resubmission estimated the probability of losing SOC response (in each 6-month cycle) based on the reduction in the proportion of responders at Week 24 versus Week 52 in the placebo arm of BLISS-SC</w:t>
      </w:r>
      <w:r w:rsidR="00417325" w:rsidRPr="004C3AB5">
        <w:rPr>
          <w:iCs/>
        </w:rPr>
        <w:t xml:space="preserve"> (8.08%)</w:t>
      </w:r>
      <w:r w:rsidR="00C1386A" w:rsidRPr="004C3AB5">
        <w:rPr>
          <w:iCs/>
        </w:rPr>
        <w:t xml:space="preserve">. </w:t>
      </w:r>
      <w:r w:rsidRPr="004C3AB5">
        <w:rPr>
          <w:iCs/>
        </w:rPr>
        <w:t xml:space="preserve">As placebo response in trials were high (set to 52.8% in the model at 6 months), the assumed rate of loss of SOC response over time therefore directly impacts the </w:t>
      </w:r>
      <w:r w:rsidR="000B1424" w:rsidRPr="004C3AB5">
        <w:rPr>
          <w:iCs/>
        </w:rPr>
        <w:t>incremental</w:t>
      </w:r>
      <w:r w:rsidRPr="004C3AB5">
        <w:rPr>
          <w:iCs/>
        </w:rPr>
        <w:t xml:space="preserve"> benefit for belimumab.</w:t>
      </w:r>
      <w:r w:rsidR="000B1424" w:rsidRPr="004C3AB5">
        <w:rPr>
          <w:iCs/>
        </w:rPr>
        <w:t xml:space="preserve"> </w:t>
      </w:r>
      <w:r w:rsidR="00C1386A" w:rsidRPr="004C3AB5">
        <w:rPr>
          <w:iCs/>
        </w:rPr>
        <w:t xml:space="preserve">The PSCR argued that </w:t>
      </w:r>
      <w:r w:rsidR="00417325" w:rsidRPr="004C3AB5">
        <w:rPr>
          <w:iCs/>
        </w:rPr>
        <w:t>de</w:t>
      </w:r>
      <w:r w:rsidR="00C1386A" w:rsidRPr="004C3AB5">
        <w:rPr>
          <w:iCs/>
        </w:rPr>
        <w:t>creas</w:t>
      </w:r>
      <w:r w:rsidR="00417325" w:rsidRPr="004C3AB5">
        <w:rPr>
          <w:iCs/>
        </w:rPr>
        <w:t>ing</w:t>
      </w:r>
      <w:r w:rsidR="00C1386A" w:rsidRPr="004C3AB5">
        <w:rPr>
          <w:iCs/>
        </w:rPr>
        <w:t xml:space="preserve"> the probability of losing an SOC response</w:t>
      </w:r>
      <w:r w:rsidR="00417325" w:rsidRPr="004C3AB5">
        <w:rPr>
          <w:iCs/>
        </w:rPr>
        <w:t xml:space="preserve"> would imply a placebo response that is more durable than a belimumab response. </w:t>
      </w:r>
      <w:r w:rsidR="005F4300" w:rsidRPr="004C3AB5">
        <w:rPr>
          <w:iCs/>
        </w:rPr>
        <w:t>However, t</w:t>
      </w:r>
      <w:r w:rsidR="00097667" w:rsidRPr="004C3AB5">
        <w:rPr>
          <w:iCs/>
        </w:rPr>
        <w:t xml:space="preserve">he ESC </w:t>
      </w:r>
      <w:r w:rsidR="00D31D44" w:rsidRPr="004C3AB5">
        <w:rPr>
          <w:iCs/>
        </w:rPr>
        <w:t>considered that there was no evidence that the proportion of SOC responders continue</w:t>
      </w:r>
      <w:r w:rsidR="009D1E8D">
        <w:rPr>
          <w:iCs/>
        </w:rPr>
        <w:t>s</w:t>
      </w:r>
      <w:r w:rsidR="00D31D44" w:rsidRPr="004C3AB5">
        <w:rPr>
          <w:iCs/>
        </w:rPr>
        <w:t xml:space="preserve"> to decrease (</w:t>
      </w:r>
      <w:r w:rsidR="005F4300" w:rsidRPr="004C3AB5">
        <w:rPr>
          <w:iCs/>
        </w:rPr>
        <w:t xml:space="preserve">as outlined in </w:t>
      </w:r>
      <w:r w:rsidR="00834CC4" w:rsidRPr="00C14972">
        <w:rPr>
          <w:iCs/>
        </w:rPr>
        <w:t>p</w:t>
      </w:r>
      <w:r w:rsidR="005F4300" w:rsidRPr="00C14972">
        <w:rPr>
          <w:iCs/>
        </w:rPr>
        <w:t>aragraphs 6.</w:t>
      </w:r>
      <w:r w:rsidR="002431A0" w:rsidRPr="00C14972">
        <w:rPr>
          <w:iCs/>
        </w:rPr>
        <w:t>6</w:t>
      </w:r>
      <w:r w:rsidR="00E12A1C" w:rsidRPr="00C14972">
        <w:rPr>
          <w:iCs/>
        </w:rPr>
        <w:t>1</w:t>
      </w:r>
      <w:r w:rsidR="005F4300" w:rsidRPr="00C14972">
        <w:rPr>
          <w:iCs/>
        </w:rPr>
        <w:t xml:space="preserve"> and 6.</w:t>
      </w:r>
      <w:r w:rsidR="002431A0" w:rsidRPr="00C14972">
        <w:rPr>
          <w:iCs/>
        </w:rPr>
        <w:t>6</w:t>
      </w:r>
      <w:r w:rsidR="00E12A1C" w:rsidRPr="00C14972">
        <w:rPr>
          <w:iCs/>
        </w:rPr>
        <w:t>2</w:t>
      </w:r>
      <w:r w:rsidR="00D31D44" w:rsidRPr="004C3AB5">
        <w:rPr>
          <w:iCs/>
        </w:rPr>
        <w:t>)</w:t>
      </w:r>
      <w:r w:rsidR="00097667" w:rsidRPr="004C3AB5">
        <w:rPr>
          <w:iCs/>
        </w:rPr>
        <w:t xml:space="preserve">.  </w:t>
      </w:r>
    </w:p>
    <w:p w:rsidR="004410C2" w:rsidRPr="004410C2" w:rsidRDefault="004410C2" w:rsidP="00976CD0">
      <w:pPr>
        <w:pStyle w:val="ListParagraph"/>
        <w:widowControl/>
        <w:numPr>
          <w:ilvl w:val="1"/>
          <w:numId w:val="1"/>
        </w:numPr>
      </w:pPr>
      <w:r>
        <w:t xml:space="preserve">The ESC </w:t>
      </w:r>
      <w:r w:rsidR="00632B60">
        <w:t xml:space="preserve">considered that </w:t>
      </w:r>
      <w:r>
        <w:t xml:space="preserve">a key issue </w:t>
      </w:r>
      <w:r w:rsidR="002431A0">
        <w:t>was that</w:t>
      </w:r>
      <w:r>
        <w:t xml:space="preserve"> the economic model assumed that </w:t>
      </w:r>
      <w:r w:rsidRPr="004410C2">
        <w:rPr>
          <w:iCs/>
        </w:rPr>
        <w:t xml:space="preserve">belimumab reduced the rate of SDI progression and consequently reduced mortality. In the pivotal BLISS-SC trial, belimumab did not demonstrate any improvement in survival at Week 52, although the ESC acknowledged that the trial was not powered to detect differences in survival. For SDI progression, the model applied an </w:t>
      </w:r>
      <w:r w:rsidRPr="004410C2">
        <w:rPr>
          <w:iCs/>
          <w:szCs w:val="24"/>
        </w:rPr>
        <w:t>odds ratio of 0.47 for belimumab versus SOC (based on the outcome of SDI worsening at Week 52 observed in BLISS-SC), despite this difference not being statistically significant (95% CI: 0.22, 1.02), although the PSCR argued that significance depended on how missing data were imputed. The ESC noted that differences in significance of results resulting from how missing data were imputed reduced confidence in results. Assuming no difference in SDI progression or mortality (applying an odds ratio of 1) increases the ICER/QALY from $</w:t>
      </w:r>
      <w:r w:rsidR="000D3E1D">
        <w:rPr>
          <w:iCs/>
          <w:szCs w:val="24"/>
        </w:rPr>
        <w:t>55,000 to &lt; $75,000</w:t>
      </w:r>
      <w:r w:rsidRPr="004410C2">
        <w:rPr>
          <w:iCs/>
          <w:szCs w:val="24"/>
        </w:rPr>
        <w:t xml:space="preserve"> to $</w:t>
      </w:r>
      <w:r w:rsidR="001B0072">
        <w:rPr>
          <w:iCs/>
          <w:szCs w:val="24"/>
        </w:rPr>
        <w:t>95,000 to &lt; $115,000</w:t>
      </w:r>
      <w:r w:rsidRPr="004410C2">
        <w:rPr>
          <w:iCs/>
          <w:szCs w:val="24"/>
        </w:rPr>
        <w:t>.</w:t>
      </w:r>
    </w:p>
    <w:p w:rsidR="00963B01" w:rsidRPr="004C3AB5" w:rsidRDefault="00D60943" w:rsidP="00976CD0">
      <w:pPr>
        <w:pStyle w:val="ListParagraph"/>
        <w:widowControl/>
        <w:numPr>
          <w:ilvl w:val="1"/>
          <w:numId w:val="1"/>
        </w:numPr>
        <w:spacing w:after="120"/>
      </w:pPr>
      <w:r w:rsidRPr="004C3AB5">
        <w:rPr>
          <w:iCs/>
          <w:szCs w:val="24"/>
        </w:rPr>
        <w:t xml:space="preserve">The ESC </w:t>
      </w:r>
      <w:r w:rsidR="00963B01" w:rsidRPr="004C3AB5">
        <w:rPr>
          <w:iCs/>
          <w:szCs w:val="24"/>
        </w:rPr>
        <w:t xml:space="preserve">noted that the </w:t>
      </w:r>
      <w:r w:rsidR="004E2704" w:rsidRPr="004C3AB5">
        <w:rPr>
          <w:iCs/>
          <w:szCs w:val="24"/>
        </w:rPr>
        <w:t>ICER</w:t>
      </w:r>
      <w:r w:rsidR="00963B01" w:rsidRPr="004C3AB5">
        <w:rPr>
          <w:iCs/>
          <w:szCs w:val="24"/>
        </w:rPr>
        <w:t xml:space="preserve"> relied heavily on the extrapolated period beyond the 52 week randomised trial period (with the ICER/QALY decreasing from $</w:t>
      </w:r>
      <w:r w:rsidR="00C03F09">
        <w:rPr>
          <w:iCs/>
          <w:szCs w:val="24"/>
        </w:rPr>
        <w:t>355,000 to &lt; $455,000 per QALY</w:t>
      </w:r>
      <w:r w:rsidR="00963B01" w:rsidRPr="004C3AB5">
        <w:rPr>
          <w:iCs/>
          <w:szCs w:val="24"/>
        </w:rPr>
        <w:t xml:space="preserve"> at 52 weeks in Step 4 of the stepped economic evaluation, to $</w:t>
      </w:r>
      <w:r w:rsidR="00C03F09">
        <w:rPr>
          <w:iCs/>
          <w:szCs w:val="24"/>
        </w:rPr>
        <w:t>55,000 to &lt; $75,000 per QALY</w:t>
      </w:r>
      <w:r w:rsidR="007D2844" w:rsidRPr="004C3AB5">
        <w:rPr>
          <w:iCs/>
          <w:szCs w:val="24"/>
        </w:rPr>
        <w:t xml:space="preserve"> </w:t>
      </w:r>
      <w:r w:rsidR="00963B01" w:rsidRPr="004C3AB5">
        <w:rPr>
          <w:iCs/>
          <w:szCs w:val="24"/>
        </w:rPr>
        <w:t>once the time horizon was increased to 60 years, and SDI mortality and</w:t>
      </w:r>
      <w:r w:rsidR="00097667" w:rsidRPr="004C3AB5">
        <w:rPr>
          <w:iCs/>
          <w:szCs w:val="24"/>
        </w:rPr>
        <w:t xml:space="preserve"> SDI</w:t>
      </w:r>
      <w:r w:rsidR="00963B01" w:rsidRPr="004C3AB5">
        <w:rPr>
          <w:iCs/>
          <w:szCs w:val="24"/>
        </w:rPr>
        <w:t xml:space="preserve"> health state costs were included). To help mitigate the </w:t>
      </w:r>
      <w:r w:rsidRPr="004C3AB5">
        <w:rPr>
          <w:iCs/>
          <w:szCs w:val="24"/>
        </w:rPr>
        <w:t xml:space="preserve">uncertainty associated with the economic model </w:t>
      </w:r>
      <w:r w:rsidR="000B1424" w:rsidRPr="004C3AB5">
        <w:rPr>
          <w:iCs/>
          <w:szCs w:val="24"/>
        </w:rPr>
        <w:t xml:space="preserve">(structure and input parameters) </w:t>
      </w:r>
      <w:r w:rsidR="00963B01" w:rsidRPr="004C3AB5">
        <w:rPr>
          <w:iCs/>
          <w:szCs w:val="24"/>
        </w:rPr>
        <w:t xml:space="preserve">and the uncertain long-term effects of belimumab, </w:t>
      </w:r>
      <w:r w:rsidR="00097667" w:rsidRPr="004C3AB5">
        <w:rPr>
          <w:iCs/>
          <w:szCs w:val="24"/>
        </w:rPr>
        <w:t xml:space="preserve">the ESC considered that </w:t>
      </w:r>
      <w:r w:rsidRPr="004C3AB5">
        <w:rPr>
          <w:iCs/>
          <w:szCs w:val="24"/>
        </w:rPr>
        <w:t xml:space="preserve">a shorter time horizon </w:t>
      </w:r>
      <w:r w:rsidR="0030336F">
        <w:rPr>
          <w:iCs/>
          <w:szCs w:val="24"/>
        </w:rPr>
        <w:t>should</w:t>
      </w:r>
      <w:r w:rsidR="0030336F" w:rsidRPr="004C3AB5">
        <w:rPr>
          <w:iCs/>
          <w:szCs w:val="24"/>
        </w:rPr>
        <w:t xml:space="preserve"> </w:t>
      </w:r>
      <w:r w:rsidR="00963B01" w:rsidRPr="004C3AB5">
        <w:rPr>
          <w:iCs/>
          <w:szCs w:val="24"/>
        </w:rPr>
        <w:t>be applied</w:t>
      </w:r>
      <w:r w:rsidRPr="004C3AB5">
        <w:rPr>
          <w:iCs/>
          <w:szCs w:val="24"/>
        </w:rPr>
        <w:t xml:space="preserve">. </w:t>
      </w:r>
    </w:p>
    <w:p w:rsidR="00172AD3" w:rsidRPr="001461A3" w:rsidRDefault="00172AD3" w:rsidP="00172AD3">
      <w:pPr>
        <w:pStyle w:val="Heading2"/>
      </w:pPr>
      <w:bookmarkStart w:id="20" w:name="_Toc371170711"/>
      <w:bookmarkStart w:id="21" w:name="_Toc40113256"/>
      <w:r w:rsidRPr="002C2775">
        <w:t>Drug cost/patient/year</w:t>
      </w:r>
      <w:bookmarkEnd w:id="20"/>
      <w:r>
        <w:t>: $</w:t>
      </w:r>
      <w:bookmarkEnd w:id="21"/>
      <w:r w:rsidR="00C15B75">
        <w:rPr>
          <w:noProof/>
          <w:color w:val="000000"/>
          <w:highlight w:val="black"/>
        </w:rPr>
        <w:t>'''''''''</w:t>
      </w:r>
    </w:p>
    <w:p w:rsidR="00172AD3" w:rsidRPr="001461A3" w:rsidRDefault="00172AD3" w:rsidP="00172AD3">
      <w:pPr>
        <w:rPr>
          <w:szCs w:val="24"/>
        </w:rPr>
      </w:pPr>
    </w:p>
    <w:p w:rsidR="00A552A8" w:rsidRDefault="00172AD3" w:rsidP="00DA711E">
      <w:pPr>
        <w:pStyle w:val="ListParagraph"/>
        <w:widowControl/>
        <w:numPr>
          <w:ilvl w:val="1"/>
          <w:numId w:val="1"/>
        </w:numPr>
        <w:rPr>
          <w:szCs w:val="24"/>
        </w:rPr>
      </w:pPr>
      <w:r w:rsidRPr="00425648">
        <w:rPr>
          <w:szCs w:val="24"/>
        </w:rPr>
        <w:t>In the modelled economic evaluation and financial estimates, the average cost of treatment per patient per script (28 days) was $</w:t>
      </w:r>
      <w:r w:rsidR="00C15B75">
        <w:rPr>
          <w:noProof/>
          <w:color w:val="000000"/>
          <w:szCs w:val="24"/>
          <w:highlight w:val="black"/>
        </w:rPr>
        <w:t>''''''''''''''</w:t>
      </w:r>
      <w:r w:rsidRPr="00425648">
        <w:rPr>
          <w:szCs w:val="24"/>
        </w:rPr>
        <w:t xml:space="preserve"> (assuming a 78:22% split for public and private hospitals respectively</w:t>
      </w:r>
      <w:r w:rsidR="00D54B00" w:rsidRPr="00425648">
        <w:rPr>
          <w:szCs w:val="24"/>
        </w:rPr>
        <w:t>, Table 16</w:t>
      </w:r>
      <w:r w:rsidRPr="00425648">
        <w:rPr>
          <w:szCs w:val="24"/>
        </w:rPr>
        <w:t>), corresponding to an annual cost of $</w:t>
      </w:r>
      <w:r w:rsidR="00C15B75">
        <w:rPr>
          <w:noProof/>
          <w:color w:val="000000"/>
          <w:szCs w:val="24"/>
          <w:highlight w:val="black"/>
        </w:rPr>
        <w:t>'''''''''''''''''</w:t>
      </w:r>
      <w:r w:rsidRPr="00425648">
        <w:rPr>
          <w:szCs w:val="24"/>
        </w:rPr>
        <w:t xml:space="preserve"> assuming 13 scripts per year</w:t>
      </w:r>
      <w:r w:rsidR="00843FD8">
        <w:rPr>
          <w:szCs w:val="24"/>
        </w:rPr>
        <w:t xml:space="preserve"> (assumes full compliance and no discontinuation)</w:t>
      </w:r>
      <w:r w:rsidRPr="00425648">
        <w:rPr>
          <w:szCs w:val="24"/>
        </w:rPr>
        <w:t xml:space="preserve">. </w:t>
      </w:r>
    </w:p>
    <w:p w:rsidR="00172AD3" w:rsidRPr="00425648" w:rsidRDefault="00172AD3" w:rsidP="00DA711E">
      <w:pPr>
        <w:pStyle w:val="ListParagraph"/>
        <w:widowControl/>
        <w:numPr>
          <w:ilvl w:val="1"/>
          <w:numId w:val="1"/>
        </w:numPr>
        <w:rPr>
          <w:szCs w:val="24"/>
        </w:rPr>
      </w:pPr>
      <w:r w:rsidRPr="00425648">
        <w:rPr>
          <w:iCs/>
          <w:szCs w:val="24"/>
        </w:rPr>
        <w:t>The model applied a six monthly drug cost of $</w:t>
      </w:r>
      <w:r w:rsidR="00C15B75">
        <w:rPr>
          <w:iCs/>
          <w:noProof/>
          <w:color w:val="000000"/>
          <w:szCs w:val="24"/>
          <w:highlight w:val="black"/>
        </w:rPr>
        <w:t>''''''''''''''''''</w:t>
      </w:r>
      <w:r w:rsidRPr="00425648">
        <w:rPr>
          <w:iCs/>
          <w:szCs w:val="24"/>
        </w:rPr>
        <w:t xml:space="preserve"> per cycle regardless of induction or continuing treatment. This assumption slightly overestimated the costs for belimumab in the first year, given induction treatment is only for 24 weeks and not six-months (26 weeks).</w:t>
      </w:r>
    </w:p>
    <w:p w:rsidR="00172AD3" w:rsidRPr="001057DE" w:rsidRDefault="00172AD3" w:rsidP="00D54B00">
      <w:pPr>
        <w:keepNext/>
        <w:keepLines/>
        <w:rPr>
          <w:rFonts w:ascii="Arial Narrow" w:hAnsi="Arial Narrow"/>
          <w:b/>
          <w:bCs/>
          <w:sz w:val="20"/>
          <w:szCs w:val="18"/>
        </w:rPr>
      </w:pPr>
      <w:r w:rsidRPr="001057DE">
        <w:rPr>
          <w:rFonts w:ascii="Arial Narrow" w:hAnsi="Arial Narrow"/>
          <w:b/>
          <w:bCs/>
          <w:sz w:val="20"/>
          <w:szCs w:val="14"/>
        </w:rPr>
        <w:t>Table 1</w:t>
      </w:r>
      <w:r w:rsidR="00A133A0">
        <w:rPr>
          <w:rFonts w:ascii="Arial Narrow" w:hAnsi="Arial Narrow"/>
          <w:b/>
          <w:bCs/>
          <w:sz w:val="20"/>
          <w:szCs w:val="14"/>
        </w:rPr>
        <w:t>6</w:t>
      </w:r>
      <w:r w:rsidRPr="001057DE">
        <w:rPr>
          <w:rFonts w:ascii="Arial Narrow" w:hAnsi="Arial Narrow"/>
          <w:b/>
          <w:bCs/>
          <w:sz w:val="20"/>
          <w:szCs w:val="14"/>
        </w:rPr>
        <w:t>: Belimumab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1"/>
        <w:gridCol w:w="2279"/>
        <w:gridCol w:w="2279"/>
        <w:gridCol w:w="2278"/>
      </w:tblGrid>
      <w:tr w:rsidR="00172AD3" w:rsidRPr="00425648" w:rsidTr="005F5804">
        <w:trPr>
          <w:jc w:val="center"/>
        </w:trPr>
        <w:tc>
          <w:tcPr>
            <w:tcW w:w="1209" w:type="pct"/>
            <w:tcMar>
              <w:top w:w="0" w:type="dxa"/>
              <w:left w:w="28" w:type="dxa"/>
              <w:bottom w:w="0" w:type="dxa"/>
              <w:right w:w="28" w:type="dxa"/>
            </w:tcMar>
            <w:vAlign w:val="center"/>
          </w:tcPr>
          <w:p w:rsidR="00172AD3" w:rsidRPr="00425648" w:rsidRDefault="00172AD3" w:rsidP="00D54B00">
            <w:pPr>
              <w:keepNext/>
              <w:keepLines/>
              <w:rPr>
                <w:lang w:val="en-US"/>
              </w:rPr>
            </w:pPr>
          </w:p>
        </w:tc>
        <w:tc>
          <w:tcPr>
            <w:tcW w:w="1264" w:type="pct"/>
            <w:tcMar>
              <w:top w:w="0" w:type="dxa"/>
              <w:left w:w="28" w:type="dxa"/>
              <w:bottom w:w="0" w:type="dxa"/>
              <w:right w:w="28" w:type="dxa"/>
            </w:tcMar>
            <w:vAlign w:val="center"/>
            <w:hideMark/>
          </w:tcPr>
          <w:p w:rsidR="00172AD3" w:rsidRPr="00425648" w:rsidRDefault="00172AD3" w:rsidP="00D54B00">
            <w:pPr>
              <w:keepNext/>
              <w:keepLines/>
              <w:jc w:val="center"/>
              <w:rPr>
                <w:rFonts w:ascii="Arial Narrow" w:hAnsi="Arial Narrow"/>
                <w:b/>
                <w:bCs/>
                <w:sz w:val="20"/>
                <w:szCs w:val="20"/>
                <w:lang w:val="en-US"/>
              </w:rPr>
            </w:pPr>
            <w:r w:rsidRPr="00425648">
              <w:rPr>
                <w:rFonts w:ascii="Arial Narrow" w:hAnsi="Arial Narrow"/>
                <w:b/>
                <w:bCs/>
                <w:sz w:val="20"/>
                <w:szCs w:val="20"/>
                <w:lang w:val="en-US"/>
              </w:rPr>
              <w:t>BLISS-SC</w:t>
            </w:r>
          </w:p>
        </w:tc>
        <w:tc>
          <w:tcPr>
            <w:tcW w:w="1264" w:type="pct"/>
            <w:tcMar>
              <w:top w:w="0" w:type="dxa"/>
              <w:left w:w="28" w:type="dxa"/>
              <w:bottom w:w="0" w:type="dxa"/>
              <w:right w:w="28" w:type="dxa"/>
            </w:tcMar>
            <w:vAlign w:val="center"/>
            <w:hideMark/>
          </w:tcPr>
          <w:p w:rsidR="00172AD3" w:rsidRPr="00425648" w:rsidRDefault="001057DE" w:rsidP="00D54B00">
            <w:pPr>
              <w:keepNext/>
              <w:keepLines/>
              <w:jc w:val="center"/>
              <w:rPr>
                <w:rFonts w:ascii="Arial Narrow" w:hAnsi="Arial Narrow"/>
                <w:b/>
                <w:bCs/>
                <w:sz w:val="20"/>
                <w:szCs w:val="20"/>
                <w:lang w:val="en-US"/>
              </w:rPr>
            </w:pPr>
            <w:r w:rsidRPr="00425648">
              <w:rPr>
                <w:rFonts w:ascii="Arial Narrow" w:hAnsi="Arial Narrow"/>
                <w:b/>
                <w:bCs/>
                <w:sz w:val="20"/>
                <w:szCs w:val="20"/>
                <w:lang w:val="en-US"/>
              </w:rPr>
              <w:t>Economic m</w:t>
            </w:r>
            <w:r w:rsidR="00172AD3" w:rsidRPr="00425648">
              <w:rPr>
                <w:rFonts w:ascii="Arial Narrow" w:hAnsi="Arial Narrow"/>
                <w:b/>
                <w:bCs/>
                <w:sz w:val="20"/>
                <w:szCs w:val="20"/>
                <w:lang w:val="en-US"/>
              </w:rPr>
              <w:t>odel</w:t>
            </w:r>
          </w:p>
        </w:tc>
        <w:tc>
          <w:tcPr>
            <w:tcW w:w="1264" w:type="pct"/>
            <w:tcMar>
              <w:top w:w="0" w:type="dxa"/>
              <w:left w:w="28" w:type="dxa"/>
              <w:bottom w:w="0" w:type="dxa"/>
              <w:right w:w="28" w:type="dxa"/>
            </w:tcMar>
            <w:vAlign w:val="center"/>
            <w:hideMark/>
          </w:tcPr>
          <w:p w:rsidR="00172AD3" w:rsidRPr="00425648" w:rsidRDefault="00172AD3" w:rsidP="00D54B00">
            <w:pPr>
              <w:keepNext/>
              <w:keepLines/>
              <w:jc w:val="center"/>
              <w:rPr>
                <w:rFonts w:ascii="Arial Narrow" w:hAnsi="Arial Narrow"/>
                <w:b/>
                <w:bCs/>
                <w:sz w:val="20"/>
                <w:szCs w:val="20"/>
                <w:lang w:val="en-US"/>
              </w:rPr>
            </w:pPr>
            <w:r w:rsidRPr="00425648">
              <w:rPr>
                <w:rFonts w:ascii="Arial Narrow" w:hAnsi="Arial Narrow"/>
                <w:b/>
                <w:bCs/>
                <w:sz w:val="20"/>
                <w:szCs w:val="20"/>
                <w:lang w:val="en-US"/>
              </w:rPr>
              <w:t>Financial estimates</w:t>
            </w:r>
          </w:p>
        </w:tc>
      </w:tr>
      <w:tr w:rsidR="00172AD3" w:rsidRPr="00425648" w:rsidTr="005F5804">
        <w:trPr>
          <w:trHeight w:val="60"/>
          <w:jc w:val="center"/>
        </w:trPr>
        <w:tc>
          <w:tcPr>
            <w:tcW w:w="1209" w:type="pct"/>
            <w:tcMar>
              <w:top w:w="0" w:type="dxa"/>
              <w:left w:w="28" w:type="dxa"/>
              <w:bottom w:w="0" w:type="dxa"/>
              <w:right w:w="28" w:type="dxa"/>
            </w:tcMar>
            <w:vAlign w:val="center"/>
            <w:hideMark/>
          </w:tcPr>
          <w:p w:rsidR="00172AD3" w:rsidRPr="00425648" w:rsidRDefault="00172AD3" w:rsidP="00D54B00">
            <w:pPr>
              <w:keepNext/>
              <w:keepLines/>
              <w:rPr>
                <w:rFonts w:ascii="Arial Narrow" w:hAnsi="Arial Narrow"/>
                <w:sz w:val="20"/>
                <w:szCs w:val="20"/>
                <w:lang w:val="en-US"/>
              </w:rPr>
            </w:pPr>
            <w:r w:rsidRPr="00425648">
              <w:rPr>
                <w:rFonts w:ascii="Arial Narrow" w:hAnsi="Arial Narrow"/>
                <w:sz w:val="20"/>
                <w:szCs w:val="20"/>
                <w:lang w:val="en-US"/>
              </w:rPr>
              <w:t>Mean dose</w:t>
            </w:r>
          </w:p>
        </w:tc>
        <w:tc>
          <w:tcPr>
            <w:tcW w:w="1264" w:type="pct"/>
            <w:tcMar>
              <w:top w:w="0" w:type="dxa"/>
              <w:left w:w="28" w:type="dxa"/>
              <w:bottom w:w="0" w:type="dxa"/>
              <w:right w:w="28" w:type="dxa"/>
            </w:tcMar>
            <w:vAlign w:val="center"/>
          </w:tcPr>
          <w:p w:rsidR="00172AD3" w:rsidRPr="00425648" w:rsidRDefault="001057DE" w:rsidP="00D54B00">
            <w:pPr>
              <w:keepNext/>
              <w:keepLines/>
              <w:jc w:val="center"/>
              <w:rPr>
                <w:rFonts w:ascii="Arial Narrow" w:hAnsi="Arial Narrow"/>
                <w:sz w:val="20"/>
                <w:szCs w:val="20"/>
                <w:lang w:val="en-US"/>
              </w:rPr>
            </w:pPr>
            <w:r w:rsidRPr="00425648">
              <w:rPr>
                <w:rFonts w:ascii="Arial Narrow" w:hAnsi="Arial Narrow"/>
                <w:sz w:val="20"/>
                <w:szCs w:val="20"/>
                <w:lang w:val="en-US"/>
              </w:rPr>
              <w:t>NR</w:t>
            </w:r>
          </w:p>
        </w:tc>
        <w:tc>
          <w:tcPr>
            <w:tcW w:w="1264" w:type="pct"/>
            <w:tcMar>
              <w:top w:w="0" w:type="dxa"/>
              <w:left w:w="28" w:type="dxa"/>
              <w:bottom w:w="0" w:type="dxa"/>
              <w:right w:w="28" w:type="dxa"/>
            </w:tcMar>
            <w:vAlign w:val="center"/>
          </w:tcPr>
          <w:p w:rsidR="00172AD3" w:rsidRPr="00425648" w:rsidRDefault="00172AD3" w:rsidP="00D54B00">
            <w:pPr>
              <w:keepNext/>
              <w:keepLines/>
              <w:jc w:val="center"/>
              <w:rPr>
                <w:rFonts w:ascii="Arial Narrow" w:hAnsi="Arial Narrow"/>
                <w:b/>
                <w:bCs/>
                <w:sz w:val="20"/>
                <w:szCs w:val="20"/>
                <w:lang w:val="en-US"/>
              </w:rPr>
            </w:pPr>
            <w:r w:rsidRPr="00425648">
              <w:rPr>
                <w:rFonts w:ascii="Arial Narrow" w:hAnsi="Arial Narrow"/>
                <w:b/>
                <w:bCs/>
                <w:sz w:val="20"/>
                <w:szCs w:val="20"/>
                <w:lang w:val="en-US"/>
              </w:rPr>
              <w:t>200mg SC once weekly</w:t>
            </w:r>
          </w:p>
        </w:tc>
        <w:tc>
          <w:tcPr>
            <w:tcW w:w="1264" w:type="pct"/>
            <w:tcMar>
              <w:top w:w="0" w:type="dxa"/>
              <w:left w:w="28" w:type="dxa"/>
              <w:bottom w:w="0" w:type="dxa"/>
              <w:right w:w="28" w:type="dxa"/>
            </w:tcMar>
            <w:vAlign w:val="center"/>
          </w:tcPr>
          <w:p w:rsidR="00172AD3" w:rsidRPr="00425648" w:rsidRDefault="00172AD3" w:rsidP="00D54B00">
            <w:pPr>
              <w:keepNext/>
              <w:keepLines/>
              <w:jc w:val="center"/>
              <w:rPr>
                <w:rFonts w:ascii="Arial Narrow" w:hAnsi="Arial Narrow"/>
                <w:b/>
                <w:bCs/>
                <w:sz w:val="20"/>
                <w:szCs w:val="20"/>
                <w:lang w:val="en-US"/>
              </w:rPr>
            </w:pPr>
            <w:r w:rsidRPr="00425648">
              <w:rPr>
                <w:rFonts w:ascii="Arial Narrow" w:hAnsi="Arial Narrow"/>
                <w:b/>
                <w:bCs/>
                <w:sz w:val="20"/>
                <w:szCs w:val="20"/>
                <w:lang w:val="en-US"/>
              </w:rPr>
              <w:t>200mg SC once weekly</w:t>
            </w:r>
          </w:p>
        </w:tc>
      </w:tr>
      <w:tr w:rsidR="00172AD3" w:rsidRPr="00425648" w:rsidTr="005F5804">
        <w:trPr>
          <w:jc w:val="center"/>
        </w:trPr>
        <w:tc>
          <w:tcPr>
            <w:tcW w:w="1209" w:type="pct"/>
            <w:tcMar>
              <w:top w:w="0" w:type="dxa"/>
              <w:left w:w="28" w:type="dxa"/>
              <w:bottom w:w="0" w:type="dxa"/>
              <w:right w:w="28" w:type="dxa"/>
            </w:tcMar>
            <w:vAlign w:val="center"/>
            <w:hideMark/>
          </w:tcPr>
          <w:p w:rsidR="00172AD3" w:rsidRPr="00425648" w:rsidRDefault="00172AD3" w:rsidP="00D54B00">
            <w:pPr>
              <w:keepNext/>
              <w:keepLines/>
              <w:rPr>
                <w:rFonts w:ascii="Arial Narrow" w:hAnsi="Arial Narrow"/>
                <w:sz w:val="20"/>
                <w:szCs w:val="20"/>
                <w:lang w:val="en-US"/>
              </w:rPr>
            </w:pPr>
            <w:r w:rsidRPr="00425648">
              <w:rPr>
                <w:rFonts w:ascii="Arial Narrow" w:hAnsi="Arial Narrow"/>
                <w:sz w:val="20"/>
                <w:szCs w:val="20"/>
                <w:lang w:val="en-US"/>
              </w:rPr>
              <w:t>Cost/patient/script (28 days)</w:t>
            </w:r>
          </w:p>
        </w:tc>
        <w:tc>
          <w:tcPr>
            <w:tcW w:w="1264" w:type="pct"/>
            <w:tcMar>
              <w:top w:w="0" w:type="dxa"/>
              <w:left w:w="28" w:type="dxa"/>
              <w:bottom w:w="0" w:type="dxa"/>
              <w:right w:w="28" w:type="dxa"/>
            </w:tcMar>
            <w:vAlign w:val="center"/>
          </w:tcPr>
          <w:p w:rsidR="00172AD3" w:rsidRPr="00425648" w:rsidRDefault="00172AD3" w:rsidP="00D54B00">
            <w:pPr>
              <w:keepNext/>
              <w:keepLines/>
              <w:jc w:val="center"/>
              <w:rPr>
                <w:rFonts w:ascii="Arial Narrow" w:hAnsi="Arial Narrow"/>
                <w:sz w:val="20"/>
                <w:szCs w:val="20"/>
                <w:lang w:val="en-US"/>
              </w:rPr>
            </w:pPr>
            <w:r w:rsidRPr="00425648">
              <w:rPr>
                <w:rFonts w:ascii="Arial Narrow" w:hAnsi="Arial Narrow"/>
                <w:sz w:val="20"/>
                <w:szCs w:val="20"/>
                <w:lang w:val="en-US"/>
              </w:rPr>
              <w:t>$</w:t>
            </w:r>
            <w:r w:rsidR="00C15B75">
              <w:rPr>
                <w:rFonts w:ascii="Arial Narrow" w:hAnsi="Arial Narrow"/>
                <w:noProof/>
                <w:color w:val="000000"/>
                <w:sz w:val="20"/>
                <w:szCs w:val="20"/>
                <w:highlight w:val="black"/>
                <w:lang w:val="en-US"/>
              </w:rPr>
              <w:t>''''''''''</w:t>
            </w:r>
            <w:r w:rsidRPr="00425648">
              <w:rPr>
                <w:rFonts w:ascii="Arial Narrow" w:hAnsi="Arial Narrow"/>
                <w:sz w:val="20"/>
                <w:szCs w:val="20"/>
                <w:lang w:val="en-US"/>
              </w:rPr>
              <w:t xml:space="preserve"> (public hospital)</w:t>
            </w:r>
          </w:p>
          <w:p w:rsidR="00172AD3" w:rsidRPr="00425648" w:rsidRDefault="00A91BA6" w:rsidP="00D54B00">
            <w:pPr>
              <w:keepNext/>
              <w:keepLines/>
              <w:jc w:val="center"/>
              <w:rPr>
                <w:rFonts w:ascii="Arial Narrow" w:hAnsi="Arial Narrow"/>
                <w:sz w:val="20"/>
                <w:szCs w:val="20"/>
                <w:lang w:val="en-US"/>
              </w:rPr>
            </w:pPr>
            <w:r w:rsidRPr="00425648">
              <w:rPr>
                <w:rFonts w:ascii="Arial Narrow" w:hAnsi="Arial Narrow"/>
                <w:sz w:val="20"/>
                <w:szCs w:val="20"/>
                <w:lang w:val="en-US"/>
              </w:rPr>
              <w:t>$</w:t>
            </w:r>
            <w:r w:rsidR="00C15B75">
              <w:rPr>
                <w:rFonts w:ascii="Arial Narrow" w:hAnsi="Arial Narrow"/>
                <w:noProof/>
                <w:color w:val="000000"/>
                <w:sz w:val="20"/>
                <w:szCs w:val="20"/>
                <w:highlight w:val="black"/>
                <w:lang w:val="en-US"/>
              </w:rPr>
              <w:t>''''''''''''''''''</w:t>
            </w:r>
            <w:r w:rsidR="00172AD3" w:rsidRPr="00425648">
              <w:rPr>
                <w:rFonts w:ascii="Arial Narrow" w:hAnsi="Arial Narrow"/>
                <w:sz w:val="20"/>
                <w:szCs w:val="20"/>
                <w:lang w:val="en-US"/>
              </w:rPr>
              <w:t xml:space="preserve"> (private hospital)</w:t>
            </w:r>
          </w:p>
        </w:tc>
        <w:tc>
          <w:tcPr>
            <w:tcW w:w="1264" w:type="pct"/>
            <w:tcMar>
              <w:top w:w="0" w:type="dxa"/>
              <w:left w:w="28" w:type="dxa"/>
              <w:bottom w:w="0" w:type="dxa"/>
              <w:right w:w="28" w:type="dxa"/>
            </w:tcMar>
            <w:vAlign w:val="center"/>
          </w:tcPr>
          <w:p w:rsidR="00172AD3" w:rsidRPr="00425648" w:rsidRDefault="00172AD3" w:rsidP="00D54B00">
            <w:pPr>
              <w:keepNext/>
              <w:keepLines/>
              <w:jc w:val="center"/>
              <w:rPr>
                <w:rFonts w:ascii="Arial Narrow" w:hAnsi="Arial Narrow"/>
                <w:sz w:val="20"/>
                <w:szCs w:val="20"/>
                <w:lang w:val="en-US"/>
              </w:rPr>
            </w:pPr>
            <w:r w:rsidRPr="00425648">
              <w:rPr>
                <w:rFonts w:ascii="Arial Narrow" w:hAnsi="Arial Narrow"/>
                <w:sz w:val="20"/>
                <w:szCs w:val="20"/>
                <w:lang w:val="en-US"/>
              </w:rPr>
              <w:t>$</w:t>
            </w:r>
            <w:r w:rsidR="00C15B75">
              <w:rPr>
                <w:rFonts w:ascii="Arial Narrow" w:hAnsi="Arial Narrow"/>
                <w:noProof/>
                <w:color w:val="000000"/>
                <w:sz w:val="20"/>
                <w:szCs w:val="20"/>
                <w:highlight w:val="black"/>
                <w:lang w:val="en-US"/>
              </w:rPr>
              <w:t>''''''''''''''''</w:t>
            </w:r>
            <w:r w:rsidRPr="00425648">
              <w:rPr>
                <w:rFonts w:ascii="Arial Narrow" w:hAnsi="Arial Narrow"/>
                <w:sz w:val="20"/>
                <w:szCs w:val="20"/>
                <w:lang w:val="en-US"/>
              </w:rPr>
              <w:t xml:space="preserve"> </w:t>
            </w:r>
          </w:p>
          <w:p w:rsidR="00172AD3" w:rsidRPr="00425648" w:rsidRDefault="00172AD3" w:rsidP="00D54B00">
            <w:pPr>
              <w:keepNext/>
              <w:keepLines/>
              <w:jc w:val="center"/>
              <w:rPr>
                <w:rFonts w:ascii="Arial Narrow" w:hAnsi="Arial Narrow"/>
                <w:sz w:val="20"/>
                <w:szCs w:val="20"/>
                <w:lang w:val="en-US"/>
              </w:rPr>
            </w:pPr>
            <w:r w:rsidRPr="00425648">
              <w:rPr>
                <w:rFonts w:ascii="Arial Narrow" w:hAnsi="Arial Narrow"/>
                <w:sz w:val="20"/>
                <w:szCs w:val="20"/>
                <w:lang w:val="en-US"/>
              </w:rPr>
              <w:t>(78.27%:21.73% public:private)</w:t>
            </w:r>
          </w:p>
        </w:tc>
        <w:tc>
          <w:tcPr>
            <w:tcW w:w="1264" w:type="pct"/>
            <w:tcMar>
              <w:top w:w="0" w:type="dxa"/>
              <w:left w:w="28" w:type="dxa"/>
              <w:bottom w:w="0" w:type="dxa"/>
              <w:right w:w="28" w:type="dxa"/>
            </w:tcMar>
            <w:vAlign w:val="center"/>
          </w:tcPr>
          <w:p w:rsidR="00172AD3" w:rsidRPr="00425648" w:rsidRDefault="00172AD3" w:rsidP="00D54B00">
            <w:pPr>
              <w:keepNext/>
              <w:keepLines/>
              <w:jc w:val="center"/>
              <w:rPr>
                <w:rFonts w:ascii="Arial Narrow" w:hAnsi="Arial Narrow"/>
                <w:sz w:val="20"/>
                <w:szCs w:val="20"/>
                <w:lang w:val="en-US"/>
              </w:rPr>
            </w:pPr>
            <w:r w:rsidRPr="00425648">
              <w:rPr>
                <w:rFonts w:ascii="Arial Narrow" w:hAnsi="Arial Narrow"/>
                <w:sz w:val="20"/>
                <w:szCs w:val="20"/>
                <w:lang w:val="en-US"/>
              </w:rPr>
              <w:t>$</w:t>
            </w:r>
            <w:r w:rsidR="00C15B75">
              <w:rPr>
                <w:rFonts w:ascii="Arial Narrow" w:hAnsi="Arial Narrow"/>
                <w:noProof/>
                <w:color w:val="000000"/>
                <w:sz w:val="20"/>
                <w:szCs w:val="20"/>
                <w:highlight w:val="black"/>
                <w:lang w:val="en-US"/>
              </w:rPr>
              <w:t>'''''''''''''''</w:t>
            </w:r>
            <w:r w:rsidRPr="00425648">
              <w:rPr>
                <w:rFonts w:ascii="Arial Narrow" w:hAnsi="Arial Narrow"/>
                <w:sz w:val="20"/>
                <w:szCs w:val="20"/>
                <w:lang w:val="en-US"/>
              </w:rPr>
              <w:t xml:space="preserve"> </w:t>
            </w:r>
          </w:p>
          <w:p w:rsidR="00172AD3" w:rsidRPr="00425648" w:rsidRDefault="00172AD3" w:rsidP="00D54B00">
            <w:pPr>
              <w:keepNext/>
              <w:keepLines/>
              <w:jc w:val="center"/>
              <w:rPr>
                <w:rFonts w:ascii="Arial Narrow" w:hAnsi="Arial Narrow"/>
                <w:sz w:val="20"/>
                <w:szCs w:val="20"/>
                <w:lang w:val="en-US"/>
              </w:rPr>
            </w:pPr>
            <w:r w:rsidRPr="00425648">
              <w:rPr>
                <w:rFonts w:ascii="Arial Narrow" w:hAnsi="Arial Narrow"/>
                <w:sz w:val="20"/>
                <w:szCs w:val="20"/>
                <w:lang w:val="en-US"/>
              </w:rPr>
              <w:t>(78.27%:21.73% public:private)</w:t>
            </w:r>
          </w:p>
        </w:tc>
      </w:tr>
      <w:tr w:rsidR="007259D7" w:rsidRPr="00425648" w:rsidTr="005F5804">
        <w:trPr>
          <w:jc w:val="center"/>
        </w:trPr>
        <w:tc>
          <w:tcPr>
            <w:tcW w:w="1209" w:type="pct"/>
            <w:tcMar>
              <w:top w:w="0" w:type="dxa"/>
              <w:left w:w="28" w:type="dxa"/>
              <w:bottom w:w="0" w:type="dxa"/>
              <w:right w:w="28" w:type="dxa"/>
            </w:tcMar>
            <w:vAlign w:val="center"/>
          </w:tcPr>
          <w:p w:rsidR="007259D7" w:rsidRPr="00425648" w:rsidRDefault="007259D7" w:rsidP="00D54B00">
            <w:pPr>
              <w:keepNext/>
              <w:keepLines/>
              <w:rPr>
                <w:rFonts w:ascii="Arial Narrow" w:hAnsi="Arial Narrow"/>
                <w:sz w:val="20"/>
                <w:szCs w:val="20"/>
                <w:lang w:val="en-US"/>
              </w:rPr>
            </w:pPr>
            <w:r w:rsidRPr="00425648">
              <w:rPr>
                <w:rFonts w:ascii="Arial Narrow" w:hAnsi="Arial Narrow"/>
                <w:sz w:val="20"/>
                <w:szCs w:val="20"/>
                <w:lang w:val="en-US"/>
              </w:rPr>
              <w:t>Cost/</w:t>
            </w:r>
            <w:r w:rsidR="00282E3C" w:rsidRPr="00425648">
              <w:rPr>
                <w:rFonts w:ascii="Arial Narrow" w:hAnsi="Arial Narrow"/>
                <w:sz w:val="20"/>
                <w:szCs w:val="20"/>
                <w:lang w:val="en-US"/>
              </w:rPr>
              <w:t>patient in Yr 1</w:t>
            </w:r>
          </w:p>
        </w:tc>
        <w:tc>
          <w:tcPr>
            <w:tcW w:w="1264" w:type="pct"/>
            <w:tcMar>
              <w:top w:w="0" w:type="dxa"/>
              <w:left w:w="28" w:type="dxa"/>
              <w:bottom w:w="0" w:type="dxa"/>
              <w:right w:w="28" w:type="dxa"/>
            </w:tcMar>
            <w:vAlign w:val="center"/>
          </w:tcPr>
          <w:p w:rsidR="007259D7" w:rsidRPr="00425648" w:rsidRDefault="00D42590" w:rsidP="00D54B00">
            <w:pPr>
              <w:keepNext/>
              <w:keepLines/>
              <w:jc w:val="center"/>
              <w:rPr>
                <w:rFonts w:ascii="Arial Narrow" w:hAnsi="Arial Narrow"/>
                <w:sz w:val="20"/>
                <w:szCs w:val="20"/>
                <w:vertAlign w:val="superscript"/>
                <w:lang w:val="en-US"/>
              </w:rPr>
            </w:pPr>
            <w:r w:rsidRPr="00425648">
              <w:rPr>
                <w:rFonts w:ascii="Arial Narrow" w:hAnsi="Arial Narrow"/>
                <w:sz w:val="20"/>
                <w:szCs w:val="20"/>
                <w:lang w:val="en-US"/>
              </w:rPr>
              <w:t>$</w:t>
            </w:r>
            <w:r w:rsidR="00C15B75">
              <w:rPr>
                <w:rFonts w:ascii="Arial Narrow" w:hAnsi="Arial Narrow"/>
                <w:noProof/>
                <w:color w:val="000000"/>
                <w:sz w:val="20"/>
                <w:szCs w:val="20"/>
                <w:highlight w:val="black"/>
                <w:lang w:val="en-US"/>
              </w:rPr>
              <w:t>'''''''''''''''''''</w:t>
            </w:r>
            <w:r w:rsidR="001B1248" w:rsidRPr="00425648">
              <w:rPr>
                <w:rFonts w:ascii="Arial Narrow" w:hAnsi="Arial Narrow"/>
                <w:sz w:val="20"/>
                <w:szCs w:val="20"/>
                <w:lang w:val="en-US"/>
              </w:rPr>
              <w:t>^</w:t>
            </w:r>
          </w:p>
        </w:tc>
        <w:tc>
          <w:tcPr>
            <w:tcW w:w="1264" w:type="pct"/>
            <w:tcMar>
              <w:top w:w="0" w:type="dxa"/>
              <w:left w:w="28" w:type="dxa"/>
              <w:bottom w:w="0" w:type="dxa"/>
              <w:right w:w="28" w:type="dxa"/>
            </w:tcMar>
            <w:vAlign w:val="center"/>
          </w:tcPr>
          <w:p w:rsidR="007259D7" w:rsidRPr="00425648" w:rsidRDefault="00974990" w:rsidP="00D54B00">
            <w:pPr>
              <w:keepNext/>
              <w:keepLines/>
              <w:jc w:val="center"/>
              <w:rPr>
                <w:rFonts w:ascii="Arial Narrow" w:hAnsi="Arial Narrow"/>
                <w:sz w:val="20"/>
                <w:szCs w:val="20"/>
                <w:lang w:val="en-US"/>
              </w:rPr>
            </w:pPr>
            <w:r w:rsidRPr="00425648">
              <w:rPr>
                <w:rFonts w:ascii="Arial Narrow" w:hAnsi="Arial Narrow"/>
                <w:sz w:val="20"/>
                <w:szCs w:val="20"/>
                <w:lang w:val="en-US"/>
              </w:rPr>
              <w:t>$</w:t>
            </w:r>
            <w:r w:rsidR="00C15B75">
              <w:rPr>
                <w:rFonts w:ascii="Arial Narrow" w:hAnsi="Arial Narrow"/>
                <w:noProof/>
                <w:color w:val="000000"/>
                <w:sz w:val="20"/>
                <w:szCs w:val="20"/>
                <w:highlight w:val="black"/>
                <w:lang w:val="en-US"/>
              </w:rPr>
              <w:t>''''''''''''''''''</w:t>
            </w:r>
            <w:r w:rsidR="00C43CE7" w:rsidRPr="00425648">
              <w:rPr>
                <w:rFonts w:ascii="Arial Narrow" w:hAnsi="Arial Narrow"/>
                <w:sz w:val="20"/>
                <w:szCs w:val="20"/>
                <w:vertAlign w:val="superscript"/>
                <w:lang w:val="en-US"/>
              </w:rPr>
              <w:t>#</w:t>
            </w:r>
          </w:p>
        </w:tc>
        <w:tc>
          <w:tcPr>
            <w:tcW w:w="1264" w:type="pct"/>
            <w:tcMar>
              <w:top w:w="0" w:type="dxa"/>
              <w:left w:w="28" w:type="dxa"/>
              <w:bottom w:w="0" w:type="dxa"/>
              <w:right w:w="28" w:type="dxa"/>
            </w:tcMar>
            <w:vAlign w:val="center"/>
          </w:tcPr>
          <w:p w:rsidR="007259D7" w:rsidRPr="00425648" w:rsidRDefault="00986449" w:rsidP="00D54B00">
            <w:pPr>
              <w:keepNext/>
              <w:keepLines/>
              <w:jc w:val="center"/>
              <w:rPr>
                <w:rFonts w:ascii="Arial Narrow" w:hAnsi="Arial Narrow"/>
                <w:sz w:val="20"/>
                <w:szCs w:val="20"/>
                <w:lang w:val="en-US"/>
              </w:rPr>
            </w:pPr>
            <w:r w:rsidRPr="00425648">
              <w:rPr>
                <w:rFonts w:ascii="Arial Narrow" w:hAnsi="Arial Narrow"/>
                <w:sz w:val="20"/>
                <w:szCs w:val="20"/>
                <w:lang w:val="en-US"/>
              </w:rPr>
              <w:t>$</w:t>
            </w:r>
            <w:r w:rsidR="00C15B75">
              <w:rPr>
                <w:rFonts w:ascii="Arial Narrow" w:hAnsi="Arial Narrow"/>
                <w:noProof/>
                <w:color w:val="000000"/>
                <w:sz w:val="20"/>
                <w:szCs w:val="20"/>
                <w:highlight w:val="black"/>
                <w:lang w:val="en-US"/>
              </w:rPr>
              <w:t>''''''''''''''''''</w:t>
            </w:r>
            <w:r w:rsidR="00972123" w:rsidRPr="00425648">
              <w:rPr>
                <w:rFonts w:ascii="Arial Narrow" w:hAnsi="Arial Narrow"/>
                <w:sz w:val="20"/>
                <w:szCs w:val="20"/>
                <w:lang w:val="en-US"/>
              </w:rPr>
              <w:t>*</w:t>
            </w:r>
          </w:p>
        </w:tc>
      </w:tr>
    </w:tbl>
    <w:p w:rsidR="005F5804" w:rsidRPr="00425648" w:rsidRDefault="005F5804" w:rsidP="00D54B00">
      <w:pPr>
        <w:keepNext/>
        <w:keepLines/>
        <w:ind w:left="165" w:hanging="165"/>
        <w:rPr>
          <w:rFonts w:ascii="Arial Narrow" w:hAnsi="Arial Narrow"/>
          <w:bCs/>
          <w:sz w:val="18"/>
          <w:szCs w:val="10"/>
        </w:rPr>
      </w:pPr>
      <w:r w:rsidRPr="00425648">
        <w:rPr>
          <w:rFonts w:ascii="Arial Narrow" w:hAnsi="Arial Narrow"/>
          <w:bCs/>
          <w:sz w:val="18"/>
          <w:szCs w:val="10"/>
        </w:rPr>
        <w:t>^</w:t>
      </w:r>
      <w:r w:rsidRPr="00425648">
        <w:rPr>
          <w:rFonts w:ascii="Arial Narrow" w:hAnsi="Arial Narrow"/>
          <w:bCs/>
          <w:sz w:val="18"/>
          <w:szCs w:val="10"/>
          <w:vertAlign w:val="superscript"/>
        </w:rPr>
        <w:tab/>
      </w:r>
      <w:r w:rsidRPr="00425648">
        <w:rPr>
          <w:rFonts w:ascii="Arial Narrow" w:hAnsi="Arial Narrow"/>
          <w:bCs/>
          <w:sz w:val="18"/>
          <w:szCs w:val="10"/>
        </w:rPr>
        <w:t>BLISS SC reported 16.7% discontinuation for belimumab at Week 52, and 96% compliance, cost for year 1 is calculated as $</w:t>
      </w:r>
      <w:r w:rsidR="00C15B75">
        <w:rPr>
          <w:rFonts w:ascii="Arial Narrow" w:hAnsi="Arial Narrow"/>
          <w:bCs/>
          <w:noProof/>
          <w:color w:val="000000"/>
          <w:sz w:val="18"/>
          <w:szCs w:val="10"/>
          <w:highlight w:val="black"/>
        </w:rPr>
        <w:t>'''''''''''''</w:t>
      </w:r>
      <w:r w:rsidRPr="00425648">
        <w:rPr>
          <w:rFonts w:ascii="Arial Narrow" w:hAnsi="Arial Narrow"/>
          <w:bCs/>
          <w:sz w:val="18"/>
          <w:szCs w:val="10"/>
        </w:rPr>
        <w:t xml:space="preserve"> x (1-16.7%) x (0.96).</w:t>
      </w:r>
    </w:p>
    <w:p w:rsidR="005F5804" w:rsidRPr="00425648" w:rsidRDefault="005F5804" w:rsidP="00D54B00">
      <w:pPr>
        <w:keepNext/>
        <w:keepLines/>
        <w:ind w:left="165" w:hanging="165"/>
        <w:rPr>
          <w:rFonts w:ascii="Arial Narrow" w:hAnsi="Arial Narrow"/>
          <w:bCs/>
          <w:sz w:val="18"/>
          <w:szCs w:val="10"/>
        </w:rPr>
      </w:pPr>
      <w:r w:rsidRPr="00425648">
        <w:rPr>
          <w:rFonts w:ascii="Arial Narrow" w:hAnsi="Arial Narrow"/>
          <w:bCs/>
          <w:sz w:val="18"/>
          <w:szCs w:val="10"/>
          <w:vertAlign w:val="superscript"/>
        </w:rPr>
        <w:t>#</w:t>
      </w:r>
      <w:r w:rsidRPr="00425648">
        <w:rPr>
          <w:rFonts w:ascii="Arial Narrow" w:hAnsi="Arial Narrow"/>
          <w:bCs/>
          <w:sz w:val="18"/>
          <w:szCs w:val="10"/>
          <w:vertAlign w:val="superscript"/>
        </w:rPr>
        <w:tab/>
      </w:r>
      <w:r w:rsidRPr="00425648">
        <w:rPr>
          <w:rFonts w:ascii="Arial Narrow" w:hAnsi="Arial Narrow"/>
          <w:bCs/>
          <w:sz w:val="18"/>
          <w:szCs w:val="10"/>
        </w:rPr>
        <w:t xml:space="preserve">Results estimated in the model by reducing time horizon to 1 year and removing all costs apart from cost of belimumab.  Includes response rate of 61.1% for belimumab at </w:t>
      </w:r>
      <w:r w:rsidR="00BC1C37" w:rsidRPr="00425648">
        <w:rPr>
          <w:rFonts w:ascii="Arial Narrow" w:hAnsi="Arial Narrow"/>
          <w:bCs/>
          <w:sz w:val="18"/>
          <w:szCs w:val="10"/>
        </w:rPr>
        <w:t>6mth and an annual discontinuation rate of 9.2%.</w:t>
      </w:r>
    </w:p>
    <w:p w:rsidR="00972123" w:rsidRPr="00425648" w:rsidRDefault="00F207D4" w:rsidP="00D54B00">
      <w:pPr>
        <w:keepNext/>
        <w:keepLines/>
        <w:ind w:left="165" w:hanging="165"/>
        <w:rPr>
          <w:rFonts w:ascii="Arial Narrow" w:hAnsi="Arial Narrow"/>
          <w:bCs/>
          <w:sz w:val="18"/>
          <w:szCs w:val="10"/>
        </w:rPr>
      </w:pPr>
      <w:r w:rsidRPr="00425648">
        <w:rPr>
          <w:rFonts w:ascii="Arial Narrow" w:hAnsi="Arial Narrow"/>
          <w:bCs/>
          <w:sz w:val="18"/>
          <w:szCs w:val="10"/>
        </w:rPr>
        <w:t>*</w:t>
      </w:r>
      <w:r w:rsidRPr="00425648">
        <w:rPr>
          <w:rFonts w:ascii="Arial Narrow" w:hAnsi="Arial Narrow"/>
          <w:bCs/>
          <w:sz w:val="18"/>
          <w:szCs w:val="10"/>
        </w:rPr>
        <w:tab/>
      </w:r>
      <w:r w:rsidR="00D42590" w:rsidRPr="00425648">
        <w:rPr>
          <w:rFonts w:ascii="Arial Narrow" w:hAnsi="Arial Narrow"/>
          <w:bCs/>
          <w:sz w:val="18"/>
          <w:szCs w:val="10"/>
        </w:rPr>
        <w:t>Patients</w:t>
      </w:r>
      <w:r w:rsidR="001B1248" w:rsidRPr="00425648">
        <w:rPr>
          <w:rFonts w:ascii="Arial Narrow" w:hAnsi="Arial Narrow"/>
          <w:bCs/>
          <w:sz w:val="18"/>
          <w:szCs w:val="10"/>
        </w:rPr>
        <w:t xml:space="preserve"> who do </w:t>
      </w:r>
      <w:r w:rsidR="00D42590" w:rsidRPr="00425648">
        <w:rPr>
          <w:rFonts w:ascii="Arial Narrow" w:hAnsi="Arial Narrow"/>
          <w:bCs/>
          <w:sz w:val="18"/>
          <w:szCs w:val="10"/>
        </w:rPr>
        <w:t xml:space="preserve">not respond </w:t>
      </w:r>
      <w:r w:rsidR="001B1248" w:rsidRPr="00425648">
        <w:rPr>
          <w:rFonts w:ascii="Arial Narrow" w:hAnsi="Arial Narrow"/>
          <w:bCs/>
          <w:sz w:val="18"/>
          <w:szCs w:val="10"/>
        </w:rPr>
        <w:t xml:space="preserve">were assumed to </w:t>
      </w:r>
      <w:r w:rsidR="00D42590" w:rsidRPr="00425648">
        <w:rPr>
          <w:rFonts w:ascii="Arial Narrow" w:hAnsi="Arial Narrow"/>
          <w:bCs/>
          <w:sz w:val="18"/>
          <w:szCs w:val="10"/>
        </w:rPr>
        <w:t>discontinue</w:t>
      </w:r>
      <w:r w:rsidR="001B1248" w:rsidRPr="00425648">
        <w:rPr>
          <w:rFonts w:ascii="Arial Narrow" w:hAnsi="Arial Narrow"/>
          <w:bCs/>
          <w:sz w:val="18"/>
          <w:szCs w:val="10"/>
        </w:rPr>
        <w:t xml:space="preserve"> </w:t>
      </w:r>
      <w:r w:rsidR="00D42590" w:rsidRPr="00425648">
        <w:rPr>
          <w:rFonts w:ascii="Arial Narrow" w:hAnsi="Arial Narrow"/>
          <w:bCs/>
          <w:sz w:val="18"/>
          <w:szCs w:val="10"/>
        </w:rPr>
        <w:t>at 6mth (</w:t>
      </w:r>
      <w:r w:rsidR="00972123" w:rsidRPr="00425648">
        <w:rPr>
          <w:rFonts w:ascii="Arial Narrow" w:hAnsi="Arial Narrow"/>
          <w:bCs/>
          <w:sz w:val="18"/>
          <w:szCs w:val="10"/>
        </w:rPr>
        <w:t>response rate at 6month for belimumab was assumed to be 61%)</w:t>
      </w:r>
      <w:r w:rsidR="002D20DD" w:rsidRPr="00425648">
        <w:rPr>
          <w:rFonts w:ascii="Arial Narrow" w:hAnsi="Arial Narrow"/>
          <w:bCs/>
          <w:sz w:val="18"/>
          <w:szCs w:val="10"/>
        </w:rPr>
        <w:t>. Number of scripts required per year assume</w:t>
      </w:r>
      <w:r w:rsidR="005F5804" w:rsidRPr="00425648">
        <w:rPr>
          <w:rFonts w:ascii="Arial Narrow" w:hAnsi="Arial Narrow"/>
          <w:bCs/>
          <w:sz w:val="18"/>
          <w:szCs w:val="10"/>
        </w:rPr>
        <w:t>d to</w:t>
      </w:r>
      <w:r w:rsidR="002D20DD" w:rsidRPr="00425648">
        <w:rPr>
          <w:rFonts w:ascii="Arial Narrow" w:hAnsi="Arial Narrow"/>
          <w:bCs/>
          <w:sz w:val="18"/>
          <w:szCs w:val="10"/>
        </w:rPr>
        <w:t xml:space="preserve"> equal </w:t>
      </w:r>
      <w:r w:rsidR="00D42590" w:rsidRPr="00425648">
        <w:rPr>
          <w:rFonts w:ascii="Arial Narrow" w:hAnsi="Arial Narrow"/>
          <w:bCs/>
          <w:sz w:val="18"/>
          <w:szCs w:val="10"/>
        </w:rPr>
        <w:t>10.3 scripts</w:t>
      </w:r>
      <w:r w:rsidR="005F5804" w:rsidRPr="00425648">
        <w:rPr>
          <w:rFonts w:ascii="Arial Narrow" w:hAnsi="Arial Narrow"/>
          <w:bCs/>
          <w:sz w:val="18"/>
          <w:szCs w:val="10"/>
        </w:rPr>
        <w:t>.  The financial model assumed 100% compliance.</w:t>
      </w:r>
    </w:p>
    <w:p w:rsidR="00172AD3" w:rsidRPr="00425648" w:rsidRDefault="00172AD3" w:rsidP="00D54B00">
      <w:pPr>
        <w:keepNext/>
        <w:keepLines/>
        <w:rPr>
          <w:rFonts w:ascii="Arial Narrow" w:hAnsi="Arial Narrow"/>
          <w:bCs/>
          <w:sz w:val="18"/>
          <w:szCs w:val="10"/>
        </w:rPr>
      </w:pPr>
      <w:r w:rsidRPr="00425648">
        <w:rPr>
          <w:rFonts w:ascii="Arial Narrow" w:hAnsi="Arial Narrow"/>
          <w:bCs/>
          <w:sz w:val="18"/>
          <w:szCs w:val="10"/>
        </w:rPr>
        <w:t xml:space="preserve">Source: </w:t>
      </w:r>
      <w:r w:rsidR="001057DE" w:rsidRPr="00425648">
        <w:rPr>
          <w:rFonts w:ascii="Arial Narrow" w:hAnsi="Arial Narrow"/>
          <w:bCs/>
          <w:sz w:val="18"/>
          <w:szCs w:val="10"/>
        </w:rPr>
        <w:t>compiled during the evaluation</w:t>
      </w:r>
    </w:p>
    <w:p w:rsidR="00172AD3" w:rsidRDefault="00172AD3" w:rsidP="00172AD3">
      <w:pPr>
        <w:pStyle w:val="BodyText"/>
      </w:pPr>
    </w:p>
    <w:p w:rsidR="00172AD3" w:rsidRPr="00ED7E3E" w:rsidRDefault="00172AD3" w:rsidP="00172AD3">
      <w:pPr>
        <w:pStyle w:val="Heading2"/>
      </w:pPr>
      <w:bookmarkStart w:id="22" w:name="_Toc40113257"/>
      <w:r w:rsidRPr="00ED7E3E">
        <w:t>Estimated PBS usage &amp; financial implications</w:t>
      </w:r>
      <w:bookmarkEnd w:id="22"/>
    </w:p>
    <w:p w:rsidR="00172AD3" w:rsidRPr="00ED7E3E" w:rsidRDefault="00172AD3" w:rsidP="00172AD3">
      <w:pPr>
        <w:ind w:left="720" w:hanging="720"/>
        <w:rPr>
          <w:b/>
          <w:i/>
        </w:rPr>
      </w:pPr>
    </w:p>
    <w:p w:rsidR="00942313" w:rsidRPr="00425648" w:rsidRDefault="00172AD3" w:rsidP="00DA711E">
      <w:pPr>
        <w:pStyle w:val="ListParagraph"/>
        <w:widowControl/>
        <w:numPr>
          <w:ilvl w:val="1"/>
          <w:numId w:val="1"/>
        </w:numPr>
        <w:rPr>
          <w:color w:val="0070C0"/>
          <w:szCs w:val="24"/>
        </w:rPr>
      </w:pPr>
      <w:r w:rsidRPr="00425648">
        <w:rPr>
          <w:szCs w:val="24"/>
        </w:rPr>
        <w:t xml:space="preserve">This </w:t>
      </w:r>
      <w:r w:rsidR="00942313" w:rsidRPr="00425648">
        <w:rPr>
          <w:szCs w:val="24"/>
        </w:rPr>
        <w:t>re</w:t>
      </w:r>
      <w:r w:rsidRPr="00425648">
        <w:rPr>
          <w:szCs w:val="24"/>
        </w:rPr>
        <w:t xml:space="preserve">submission </w:t>
      </w:r>
      <w:r w:rsidR="008D42CC">
        <w:rPr>
          <w:szCs w:val="24"/>
        </w:rPr>
        <w:t>was</w:t>
      </w:r>
      <w:r w:rsidRPr="00425648">
        <w:rPr>
          <w:szCs w:val="24"/>
        </w:rPr>
        <w:t xml:space="preserve"> </w:t>
      </w:r>
      <w:r w:rsidR="008D42CC">
        <w:rPr>
          <w:szCs w:val="24"/>
        </w:rPr>
        <w:t>not</w:t>
      </w:r>
      <w:r w:rsidRPr="00425648">
        <w:rPr>
          <w:szCs w:val="24"/>
        </w:rPr>
        <w:t xml:space="preserve"> considered by DUSC. </w:t>
      </w:r>
      <w:r w:rsidR="00942313" w:rsidRPr="00425648">
        <w:rPr>
          <w:szCs w:val="24"/>
        </w:rPr>
        <w:t xml:space="preserve">With the exception of a few changes, the financial analyses are largely the same as the November 2019 submission. </w:t>
      </w:r>
    </w:p>
    <w:p w:rsidR="00172AD3" w:rsidRPr="00425648" w:rsidRDefault="00172AD3" w:rsidP="00D54B00">
      <w:pPr>
        <w:pStyle w:val="ListParagraph"/>
        <w:widowControl/>
        <w:numPr>
          <w:ilvl w:val="1"/>
          <w:numId w:val="1"/>
        </w:numPr>
        <w:rPr>
          <w:szCs w:val="24"/>
        </w:rPr>
      </w:pPr>
      <w:r w:rsidRPr="00425648">
        <w:rPr>
          <w:szCs w:val="24"/>
        </w:rPr>
        <w:t xml:space="preserve">The </w:t>
      </w:r>
      <w:r w:rsidR="00942313" w:rsidRPr="00425648">
        <w:rPr>
          <w:szCs w:val="24"/>
        </w:rPr>
        <w:t>re</w:t>
      </w:r>
      <w:r w:rsidRPr="00425648">
        <w:rPr>
          <w:szCs w:val="24"/>
        </w:rPr>
        <w:t xml:space="preserve">submission </w:t>
      </w:r>
      <w:r w:rsidRPr="00425648">
        <w:rPr>
          <w:iCs/>
          <w:szCs w:val="24"/>
        </w:rPr>
        <w:t>reasonably</w:t>
      </w:r>
      <w:r w:rsidRPr="00425648">
        <w:rPr>
          <w:szCs w:val="24"/>
        </w:rPr>
        <w:t xml:space="preserve"> used an epidemiological</w:t>
      </w:r>
      <w:r w:rsidR="00C600BE" w:rsidRPr="00425648">
        <w:rPr>
          <w:szCs w:val="24"/>
        </w:rPr>
        <w:t>, prevalence only</w:t>
      </w:r>
      <w:r w:rsidRPr="00425648">
        <w:rPr>
          <w:szCs w:val="24"/>
        </w:rPr>
        <w:t xml:space="preserve"> approach to estimate the financial impact of listing.</w:t>
      </w:r>
      <w:r w:rsidR="00D54B00" w:rsidRPr="00425648">
        <w:rPr>
          <w:szCs w:val="24"/>
        </w:rPr>
        <w:t xml:space="preserve"> Table 17 shows the estimated use of belimumab and cost to the PBS/RPBS. </w:t>
      </w:r>
      <w:r w:rsidRPr="00425648">
        <w:rPr>
          <w:szCs w:val="24"/>
        </w:rPr>
        <w:t>A patient cohort was tracked over time based on the following methods and assumptions:</w:t>
      </w:r>
    </w:p>
    <w:p w:rsidR="00942313" w:rsidRPr="004C3AB5" w:rsidRDefault="00942313" w:rsidP="00D05D23">
      <w:pPr>
        <w:pStyle w:val="ListParagraph"/>
        <w:widowControl/>
        <w:numPr>
          <w:ilvl w:val="0"/>
          <w:numId w:val="22"/>
        </w:numPr>
        <w:ind w:left="1077" w:hanging="357"/>
        <w:rPr>
          <w:szCs w:val="24"/>
        </w:rPr>
      </w:pPr>
      <w:r w:rsidRPr="00425648">
        <w:rPr>
          <w:szCs w:val="24"/>
        </w:rPr>
        <w:t>The model estimated the number of patients meeting the eligibility criteria each year based on an average SLE prevalence rate of 65.26 per 100,000 population, with 15.36% of the SLE population meeting the PBS criteria. The PBAC previously considered that 15.36% was likely overestimated</w:t>
      </w:r>
      <w:r w:rsidR="00C600BE" w:rsidRPr="00425648">
        <w:rPr>
          <w:szCs w:val="24"/>
        </w:rPr>
        <w:t xml:space="preserve"> (paragraphs 6.63 and 7.12, Belimumab </w:t>
      </w:r>
      <w:r w:rsidR="00C600BE" w:rsidRPr="00425648">
        <w:rPr>
          <w:iCs/>
          <w:szCs w:val="24"/>
        </w:rPr>
        <w:t xml:space="preserve">PSD, </w:t>
      </w:r>
      <w:r w:rsidR="00C600BE" w:rsidRPr="00425648">
        <w:rPr>
          <w:szCs w:val="24"/>
        </w:rPr>
        <w:t>November 2019 PBAC meeting)</w:t>
      </w:r>
      <w:r w:rsidRPr="00425648">
        <w:rPr>
          <w:szCs w:val="24"/>
        </w:rPr>
        <w:t xml:space="preserve">. Retaining the same estimate of proportion of patients meeting PBS eligibility criteria is inconsistent with the revised PBS restriction, which is tighter than what was proposed in November 2019. </w:t>
      </w:r>
      <w:r w:rsidR="00116A35" w:rsidRPr="00425648">
        <w:rPr>
          <w:szCs w:val="24"/>
        </w:rPr>
        <w:t xml:space="preserve">Hence a smaller proportion of patients would meet PBS eligibility criteria. </w:t>
      </w:r>
      <w:r w:rsidRPr="004C3AB5">
        <w:rPr>
          <w:szCs w:val="24"/>
        </w:rPr>
        <w:t>The resubmission provided arguments regarding expert opinion on the uptake of PBS listed belimumab as supportive of the 15.36%</w:t>
      </w:r>
      <w:r w:rsidR="005C024B">
        <w:rPr>
          <w:szCs w:val="24"/>
        </w:rPr>
        <w:t xml:space="preserve">. </w:t>
      </w:r>
      <w:r w:rsidR="00941600" w:rsidRPr="004C3AB5">
        <w:rPr>
          <w:iCs/>
          <w:szCs w:val="24"/>
        </w:rPr>
        <w:t xml:space="preserve">The PSCR stated that the </w:t>
      </w:r>
      <w:r w:rsidR="00E62F48" w:rsidRPr="004C3AB5">
        <w:rPr>
          <w:iCs/>
          <w:szCs w:val="24"/>
        </w:rPr>
        <w:t>commentary</w:t>
      </w:r>
      <w:r w:rsidR="00941600" w:rsidRPr="004C3AB5">
        <w:rPr>
          <w:iCs/>
          <w:szCs w:val="24"/>
        </w:rPr>
        <w:t xml:space="preserve"> reached this conclusion from the opinion of 3 out of 4 experts who based their estimates on current access to biologics, rather than reimbursed access. The </w:t>
      </w:r>
      <w:r w:rsidR="000B5630" w:rsidRPr="004C3AB5">
        <w:rPr>
          <w:iCs/>
          <w:szCs w:val="24"/>
        </w:rPr>
        <w:t>PSCR</w:t>
      </w:r>
      <w:r w:rsidR="00941600" w:rsidRPr="004C3AB5">
        <w:rPr>
          <w:iCs/>
          <w:szCs w:val="24"/>
        </w:rPr>
        <w:t xml:space="preserve"> stated that the one expert who acknowledged reimbursed access predicted 20% of patients (implying that the value of 15.36% is not overestimated).</w:t>
      </w:r>
      <w:r w:rsidR="005C024B" w:rsidRPr="005C024B">
        <w:rPr>
          <w:szCs w:val="24"/>
        </w:rPr>
        <w:t xml:space="preserve"> </w:t>
      </w:r>
      <w:r w:rsidR="005C024B">
        <w:rPr>
          <w:szCs w:val="24"/>
        </w:rPr>
        <w:t>H</w:t>
      </w:r>
      <w:r w:rsidR="005C024B" w:rsidRPr="004C3AB5">
        <w:rPr>
          <w:szCs w:val="24"/>
        </w:rPr>
        <w:t>owever</w:t>
      </w:r>
      <w:r w:rsidR="005C024B">
        <w:rPr>
          <w:szCs w:val="24"/>
        </w:rPr>
        <w:t>,</w:t>
      </w:r>
      <w:r w:rsidR="005C024B" w:rsidRPr="004C3AB5">
        <w:rPr>
          <w:szCs w:val="24"/>
        </w:rPr>
        <w:t xml:space="preserve"> the ESC considered the</w:t>
      </w:r>
      <w:r w:rsidR="005C024B">
        <w:rPr>
          <w:szCs w:val="24"/>
        </w:rPr>
        <w:t xml:space="preserve"> estimate was p</w:t>
      </w:r>
      <w:r w:rsidR="005C024B" w:rsidRPr="004C3AB5">
        <w:rPr>
          <w:szCs w:val="24"/>
        </w:rPr>
        <w:t>oorly justified and th</w:t>
      </w:r>
      <w:r w:rsidR="005C024B">
        <w:rPr>
          <w:szCs w:val="24"/>
        </w:rPr>
        <w:t>at</w:t>
      </w:r>
      <w:r w:rsidR="005C024B" w:rsidRPr="004C3AB5">
        <w:rPr>
          <w:szCs w:val="24"/>
        </w:rPr>
        <w:t xml:space="preserve"> 15.36% remains a likely overestimate.</w:t>
      </w:r>
    </w:p>
    <w:p w:rsidR="00942313" w:rsidRPr="004C3AB5" w:rsidRDefault="00942313" w:rsidP="00D05D23">
      <w:pPr>
        <w:pStyle w:val="ListParagraph"/>
        <w:widowControl/>
        <w:numPr>
          <w:ilvl w:val="0"/>
          <w:numId w:val="22"/>
        </w:numPr>
        <w:ind w:left="1077" w:hanging="357"/>
        <w:rPr>
          <w:szCs w:val="24"/>
        </w:rPr>
      </w:pPr>
      <w:r w:rsidRPr="004C3AB5">
        <w:rPr>
          <w:szCs w:val="24"/>
        </w:rPr>
        <w:t xml:space="preserve">The </w:t>
      </w:r>
      <w:r w:rsidR="0048334D">
        <w:rPr>
          <w:szCs w:val="24"/>
        </w:rPr>
        <w:t xml:space="preserve">resubmission </w:t>
      </w:r>
      <w:r w:rsidRPr="004C3AB5">
        <w:rPr>
          <w:szCs w:val="24"/>
        </w:rPr>
        <w:t>estimated the overall uptake of belimumab (uptake rates 20% - 50%) on the premise that approximately 60% of patients will respond, and 90% of those responders will continue on treatment long-term. However, the PBAC considered that the uptake rates</w:t>
      </w:r>
      <w:r w:rsidR="00AC3CBD" w:rsidRPr="004C3AB5">
        <w:rPr>
          <w:szCs w:val="24"/>
        </w:rPr>
        <w:t xml:space="preserve"> proposed in the previous submission (</w:t>
      </w:r>
      <w:r w:rsidRPr="004C3AB5">
        <w:rPr>
          <w:szCs w:val="24"/>
        </w:rPr>
        <w:t>15% - 40%</w:t>
      </w:r>
      <w:r w:rsidR="00AC3CBD" w:rsidRPr="004C3AB5">
        <w:rPr>
          <w:szCs w:val="24"/>
        </w:rPr>
        <w:t>)</w:t>
      </w:r>
      <w:r w:rsidRPr="004C3AB5">
        <w:rPr>
          <w:szCs w:val="24"/>
        </w:rPr>
        <w:t xml:space="preserve"> were highly uncertain, given that the use of IV belimumab was low, the treatment effect is modest and use may be associated with potentially severe adverse events, which may temper uptake.</w:t>
      </w:r>
      <w:r w:rsidR="008461B2" w:rsidRPr="004C3AB5">
        <w:rPr>
          <w:szCs w:val="24"/>
        </w:rPr>
        <w:t xml:space="preserve"> </w:t>
      </w:r>
    </w:p>
    <w:p w:rsidR="00942313" w:rsidRPr="004C3AB5" w:rsidRDefault="00942313" w:rsidP="00D05D23">
      <w:pPr>
        <w:pStyle w:val="ListParagraph"/>
        <w:widowControl/>
        <w:numPr>
          <w:ilvl w:val="0"/>
          <w:numId w:val="22"/>
        </w:numPr>
        <w:ind w:left="1077" w:hanging="357"/>
        <w:rPr>
          <w:szCs w:val="24"/>
        </w:rPr>
      </w:pPr>
      <w:r w:rsidRPr="004C3AB5">
        <w:rPr>
          <w:szCs w:val="24"/>
        </w:rPr>
        <w:t>As per the previous analyses, the resubmission assumed an annual discontinuation rate of 9.2% and a belimumab treatment response rate at 26 weeks of 61.0% (corresponding to a continuation rate of 58.17% in Year 1 and 90.80% in subsequent years</w:t>
      </w:r>
      <w:r w:rsidR="007720AD" w:rsidRPr="004C3AB5">
        <w:rPr>
          <w:szCs w:val="24"/>
        </w:rPr>
        <w:t xml:space="preserve">). </w:t>
      </w:r>
      <w:r w:rsidR="00E33503" w:rsidRPr="004C3AB5">
        <w:rPr>
          <w:szCs w:val="24"/>
        </w:rPr>
        <w:t xml:space="preserve">This </w:t>
      </w:r>
      <w:r w:rsidR="0048334D">
        <w:rPr>
          <w:szCs w:val="24"/>
        </w:rPr>
        <w:t>wa</w:t>
      </w:r>
      <w:r w:rsidR="00E33503" w:rsidRPr="004C3AB5">
        <w:rPr>
          <w:szCs w:val="24"/>
        </w:rPr>
        <w:t>s consistent with the annual discontinuation rate assumed in the economic model.</w:t>
      </w:r>
    </w:p>
    <w:p w:rsidR="00172AD3" w:rsidRPr="007D0DA6" w:rsidRDefault="00172AD3" w:rsidP="0048334D">
      <w:pPr>
        <w:keepNext/>
        <w:keepLines/>
        <w:rPr>
          <w:rStyle w:val="CommentReference"/>
        </w:rPr>
      </w:pPr>
      <w:r w:rsidRPr="007D0DA6">
        <w:rPr>
          <w:rStyle w:val="CommentReference"/>
        </w:rPr>
        <w:t xml:space="preserve">Table </w:t>
      </w:r>
      <w:r>
        <w:rPr>
          <w:rStyle w:val="CommentReference"/>
        </w:rPr>
        <w:t>1</w:t>
      </w:r>
      <w:r w:rsidR="00A133A0">
        <w:rPr>
          <w:rStyle w:val="CommentReference"/>
        </w:rPr>
        <w:t>7</w:t>
      </w:r>
      <w:r w:rsidRPr="007D0DA6">
        <w:rPr>
          <w:rStyle w:val="CommentReference"/>
        </w:rPr>
        <w:t>:</w:t>
      </w:r>
      <w:r>
        <w:rPr>
          <w:rStyle w:val="CommentReference"/>
        </w:rPr>
        <w:t xml:space="preserve"> Estimated use of belimumab and cost to the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0"/>
        <w:gridCol w:w="1079"/>
        <w:gridCol w:w="1080"/>
        <w:gridCol w:w="1080"/>
        <w:gridCol w:w="1080"/>
        <w:gridCol w:w="1080"/>
        <w:gridCol w:w="1078"/>
      </w:tblGrid>
      <w:tr w:rsidR="00A133A0" w:rsidRPr="00EB473F" w:rsidTr="00BB43E5">
        <w:trPr>
          <w:tblHeader/>
        </w:trPr>
        <w:tc>
          <w:tcPr>
            <w:tcW w:w="1408" w:type="pct"/>
            <w:shd w:val="clear" w:color="auto" w:fill="auto"/>
            <w:vAlign w:val="center"/>
          </w:tcPr>
          <w:p w:rsidR="00A133A0" w:rsidRPr="00EB473F" w:rsidRDefault="00A133A0" w:rsidP="0048334D">
            <w:pPr>
              <w:keepNext/>
              <w:keepLines/>
              <w:rPr>
                <w:rFonts w:ascii="Arial Narrow" w:hAnsi="Arial Narrow" w:cs="Times New Roman"/>
                <w:b/>
                <w:sz w:val="20"/>
              </w:rPr>
            </w:pPr>
          </w:p>
        </w:tc>
        <w:tc>
          <w:tcPr>
            <w:tcW w:w="598" w:type="pct"/>
            <w:shd w:val="clear" w:color="auto" w:fill="auto"/>
            <w:vAlign w:val="center"/>
          </w:tcPr>
          <w:p w:rsidR="00A133A0" w:rsidRPr="00EB473F" w:rsidRDefault="00A133A0" w:rsidP="0048334D">
            <w:pPr>
              <w:keepNext/>
              <w:keepLines/>
              <w:jc w:val="center"/>
              <w:rPr>
                <w:rFonts w:ascii="Arial Narrow" w:hAnsi="Arial Narrow" w:cs="Times New Roman"/>
                <w:b/>
                <w:sz w:val="20"/>
              </w:rPr>
            </w:pPr>
            <w:r w:rsidRPr="00EB473F">
              <w:rPr>
                <w:rFonts w:ascii="Arial Narrow" w:hAnsi="Arial Narrow" w:cs="Times New Roman"/>
                <w:b/>
                <w:sz w:val="20"/>
              </w:rPr>
              <w:t>Year 1</w:t>
            </w:r>
          </w:p>
        </w:tc>
        <w:tc>
          <w:tcPr>
            <w:tcW w:w="599" w:type="pct"/>
            <w:shd w:val="clear" w:color="auto" w:fill="auto"/>
            <w:vAlign w:val="center"/>
          </w:tcPr>
          <w:p w:rsidR="00A133A0" w:rsidRPr="00EB473F" w:rsidRDefault="00A133A0" w:rsidP="0048334D">
            <w:pPr>
              <w:keepNext/>
              <w:keepLines/>
              <w:jc w:val="center"/>
              <w:rPr>
                <w:rFonts w:ascii="Arial Narrow" w:hAnsi="Arial Narrow" w:cs="Times New Roman"/>
                <w:b/>
                <w:sz w:val="20"/>
              </w:rPr>
            </w:pPr>
            <w:r w:rsidRPr="00EB473F">
              <w:rPr>
                <w:rFonts w:ascii="Arial Narrow" w:hAnsi="Arial Narrow" w:cs="Times New Roman"/>
                <w:b/>
                <w:sz w:val="20"/>
              </w:rPr>
              <w:t>Year 2</w:t>
            </w:r>
          </w:p>
        </w:tc>
        <w:tc>
          <w:tcPr>
            <w:tcW w:w="599" w:type="pct"/>
            <w:shd w:val="clear" w:color="auto" w:fill="auto"/>
            <w:vAlign w:val="center"/>
          </w:tcPr>
          <w:p w:rsidR="00A133A0" w:rsidRPr="00EB473F" w:rsidRDefault="00A133A0" w:rsidP="0048334D">
            <w:pPr>
              <w:keepNext/>
              <w:keepLines/>
              <w:jc w:val="center"/>
              <w:rPr>
                <w:rFonts w:ascii="Arial Narrow" w:hAnsi="Arial Narrow" w:cs="Times New Roman"/>
                <w:b/>
                <w:sz w:val="20"/>
              </w:rPr>
            </w:pPr>
            <w:r w:rsidRPr="00EB473F">
              <w:rPr>
                <w:rFonts w:ascii="Arial Narrow" w:hAnsi="Arial Narrow" w:cs="Times New Roman"/>
                <w:b/>
                <w:sz w:val="20"/>
              </w:rPr>
              <w:t>Year 3</w:t>
            </w:r>
          </w:p>
        </w:tc>
        <w:tc>
          <w:tcPr>
            <w:tcW w:w="599" w:type="pct"/>
            <w:shd w:val="clear" w:color="auto" w:fill="auto"/>
            <w:vAlign w:val="center"/>
          </w:tcPr>
          <w:p w:rsidR="00A133A0" w:rsidRPr="00EB473F" w:rsidRDefault="00A133A0" w:rsidP="0048334D">
            <w:pPr>
              <w:keepNext/>
              <w:keepLines/>
              <w:jc w:val="center"/>
              <w:rPr>
                <w:rFonts w:ascii="Arial Narrow" w:hAnsi="Arial Narrow" w:cs="Times New Roman"/>
                <w:b/>
                <w:sz w:val="20"/>
              </w:rPr>
            </w:pPr>
            <w:r w:rsidRPr="00EB473F">
              <w:rPr>
                <w:rFonts w:ascii="Arial Narrow" w:hAnsi="Arial Narrow" w:cs="Times New Roman"/>
                <w:b/>
                <w:sz w:val="20"/>
              </w:rPr>
              <w:t>Year 4</w:t>
            </w:r>
          </w:p>
        </w:tc>
        <w:tc>
          <w:tcPr>
            <w:tcW w:w="599" w:type="pct"/>
            <w:shd w:val="clear" w:color="auto" w:fill="auto"/>
            <w:vAlign w:val="center"/>
          </w:tcPr>
          <w:p w:rsidR="00A133A0" w:rsidRPr="00EB473F" w:rsidRDefault="00A133A0" w:rsidP="0048334D">
            <w:pPr>
              <w:keepNext/>
              <w:keepLines/>
              <w:jc w:val="center"/>
              <w:rPr>
                <w:rFonts w:ascii="Arial Narrow" w:hAnsi="Arial Narrow" w:cs="Times New Roman"/>
                <w:b/>
                <w:sz w:val="20"/>
              </w:rPr>
            </w:pPr>
            <w:r w:rsidRPr="00EB473F">
              <w:rPr>
                <w:rFonts w:ascii="Arial Narrow" w:hAnsi="Arial Narrow" w:cs="Times New Roman"/>
                <w:b/>
                <w:sz w:val="20"/>
              </w:rPr>
              <w:t>Year 5</w:t>
            </w:r>
          </w:p>
        </w:tc>
        <w:tc>
          <w:tcPr>
            <w:tcW w:w="598" w:type="pct"/>
            <w:shd w:val="clear" w:color="auto" w:fill="auto"/>
            <w:vAlign w:val="center"/>
          </w:tcPr>
          <w:p w:rsidR="00A133A0" w:rsidRPr="00EB473F" w:rsidRDefault="00A133A0" w:rsidP="0048334D">
            <w:pPr>
              <w:keepNext/>
              <w:keepLines/>
              <w:jc w:val="center"/>
              <w:rPr>
                <w:rFonts w:ascii="Arial Narrow" w:hAnsi="Arial Narrow" w:cs="Times New Roman"/>
                <w:b/>
                <w:sz w:val="20"/>
              </w:rPr>
            </w:pPr>
            <w:r w:rsidRPr="00EB473F">
              <w:rPr>
                <w:rFonts w:ascii="Arial Narrow" w:hAnsi="Arial Narrow" w:cs="Times New Roman"/>
                <w:b/>
                <w:sz w:val="20"/>
              </w:rPr>
              <w:t>Year 6</w:t>
            </w:r>
          </w:p>
        </w:tc>
      </w:tr>
      <w:tr w:rsidR="00A133A0" w:rsidRPr="00EB473F" w:rsidTr="00BB43E5">
        <w:tc>
          <w:tcPr>
            <w:tcW w:w="1408" w:type="pct"/>
            <w:tcBorders>
              <w:bottom w:val="single" w:sz="4" w:space="0" w:color="auto"/>
            </w:tcBorders>
            <w:shd w:val="clear" w:color="auto" w:fill="auto"/>
            <w:vAlign w:val="center"/>
          </w:tcPr>
          <w:p w:rsidR="00A133A0" w:rsidRPr="00EB473F" w:rsidRDefault="00A133A0" w:rsidP="0048334D">
            <w:pPr>
              <w:keepNext/>
              <w:keepLines/>
              <w:rPr>
                <w:rFonts w:ascii="Arial Narrow" w:hAnsi="Arial Narrow" w:cs="Times New Roman"/>
                <w:sz w:val="20"/>
              </w:rPr>
            </w:pPr>
            <w:r w:rsidRPr="00EB473F">
              <w:rPr>
                <w:rFonts w:ascii="Arial Narrow" w:hAnsi="Arial Narrow" w:cs="Times New Roman"/>
                <w:sz w:val="20"/>
              </w:rPr>
              <w:t>Australian population</w:t>
            </w:r>
          </w:p>
        </w:tc>
        <w:tc>
          <w:tcPr>
            <w:tcW w:w="598"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 xml:space="preserve">26,301,274 </w:t>
            </w:r>
          </w:p>
        </w:tc>
        <w:tc>
          <w:tcPr>
            <w:tcW w:w="599"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 xml:space="preserve">26,727,025 </w:t>
            </w:r>
          </w:p>
        </w:tc>
        <w:tc>
          <w:tcPr>
            <w:tcW w:w="599"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 xml:space="preserve">27,147,199 </w:t>
            </w:r>
          </w:p>
        </w:tc>
        <w:tc>
          <w:tcPr>
            <w:tcW w:w="599"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 xml:space="preserve">27,562,195 </w:t>
            </w:r>
          </w:p>
        </w:tc>
        <w:tc>
          <w:tcPr>
            <w:tcW w:w="599"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 xml:space="preserve">27,970,435 </w:t>
            </w:r>
          </w:p>
        </w:tc>
        <w:tc>
          <w:tcPr>
            <w:tcW w:w="598"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 xml:space="preserve">28,372,315 </w:t>
            </w:r>
          </w:p>
        </w:tc>
      </w:tr>
      <w:tr w:rsidR="00A133A0" w:rsidRPr="00EB473F" w:rsidTr="00BB43E5">
        <w:tc>
          <w:tcPr>
            <w:tcW w:w="1408" w:type="pct"/>
            <w:tcBorders>
              <w:bottom w:val="single" w:sz="4" w:space="0" w:color="auto"/>
            </w:tcBorders>
            <w:shd w:val="clear" w:color="auto" w:fill="auto"/>
            <w:vAlign w:val="center"/>
          </w:tcPr>
          <w:p w:rsidR="00A133A0" w:rsidRPr="00EB473F" w:rsidRDefault="00A133A0" w:rsidP="0048334D">
            <w:pPr>
              <w:keepNext/>
              <w:keepLines/>
              <w:rPr>
                <w:rFonts w:ascii="Arial Narrow" w:hAnsi="Arial Narrow" w:cs="Times New Roman"/>
                <w:sz w:val="20"/>
              </w:rPr>
            </w:pPr>
            <w:r w:rsidRPr="00EB473F">
              <w:rPr>
                <w:rFonts w:ascii="Arial Narrow" w:hAnsi="Arial Narrow" w:cs="Times New Roman"/>
                <w:sz w:val="20"/>
              </w:rPr>
              <w:t xml:space="preserve">Eligible SLE patients </w:t>
            </w:r>
          </w:p>
        </w:tc>
        <w:tc>
          <w:tcPr>
            <w:tcW w:w="598" w:type="pct"/>
            <w:tcBorders>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8" w:type="pct"/>
            <w:tcBorders>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133A0" w:rsidRPr="00EB473F" w:rsidTr="00BB43E5">
        <w:tc>
          <w:tcPr>
            <w:tcW w:w="1408" w:type="pct"/>
            <w:tcBorders>
              <w:bottom w:val="single" w:sz="4" w:space="0" w:color="auto"/>
            </w:tcBorders>
            <w:shd w:val="clear" w:color="auto" w:fill="auto"/>
            <w:vAlign w:val="center"/>
          </w:tcPr>
          <w:p w:rsidR="00A133A0" w:rsidRPr="00EB473F" w:rsidRDefault="00A133A0" w:rsidP="0048334D">
            <w:pPr>
              <w:keepNext/>
              <w:keepLines/>
              <w:rPr>
                <w:rFonts w:ascii="Arial Narrow" w:hAnsi="Arial Narrow" w:cs="Times New Roman"/>
                <w:sz w:val="20"/>
              </w:rPr>
            </w:pPr>
            <w:r w:rsidRPr="00EB473F">
              <w:rPr>
                <w:rFonts w:ascii="Arial Narrow" w:hAnsi="Arial Narrow" w:cs="Times New Roman"/>
                <w:sz w:val="20"/>
              </w:rPr>
              <w:t>Uptake rate</w:t>
            </w:r>
          </w:p>
        </w:tc>
        <w:tc>
          <w:tcPr>
            <w:tcW w:w="598"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20%</w:t>
            </w:r>
          </w:p>
        </w:tc>
        <w:tc>
          <w:tcPr>
            <w:tcW w:w="599"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30%</w:t>
            </w:r>
          </w:p>
        </w:tc>
        <w:tc>
          <w:tcPr>
            <w:tcW w:w="599"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40%</w:t>
            </w:r>
          </w:p>
        </w:tc>
        <w:tc>
          <w:tcPr>
            <w:tcW w:w="599"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50%</w:t>
            </w:r>
          </w:p>
        </w:tc>
        <w:tc>
          <w:tcPr>
            <w:tcW w:w="599"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50%</w:t>
            </w:r>
          </w:p>
        </w:tc>
        <w:tc>
          <w:tcPr>
            <w:tcW w:w="598" w:type="pct"/>
            <w:tcBorders>
              <w:bottom w:val="single" w:sz="4" w:space="0" w:color="auto"/>
            </w:tcBorders>
            <w:shd w:val="clear" w:color="auto" w:fill="auto"/>
          </w:tcPr>
          <w:p w:rsidR="00A133A0" w:rsidRPr="00EB473F" w:rsidRDefault="00A133A0" w:rsidP="0048334D">
            <w:pPr>
              <w:keepNext/>
              <w:keepLines/>
              <w:jc w:val="center"/>
              <w:rPr>
                <w:rFonts w:ascii="Arial Narrow" w:hAnsi="Arial Narrow" w:cs="Times New Roman"/>
                <w:sz w:val="20"/>
              </w:rPr>
            </w:pPr>
            <w:r w:rsidRPr="00EB473F">
              <w:rPr>
                <w:rFonts w:ascii="Arial Narrow" w:hAnsi="Arial Narrow" w:cs="Times New Roman"/>
                <w:sz w:val="20"/>
              </w:rPr>
              <w:t>50%</w:t>
            </w:r>
          </w:p>
        </w:tc>
      </w:tr>
      <w:tr w:rsidR="00A133A0" w:rsidRPr="00EB473F" w:rsidTr="00BB43E5">
        <w:tc>
          <w:tcPr>
            <w:tcW w:w="1408" w:type="pct"/>
            <w:tcBorders>
              <w:bottom w:val="nil"/>
            </w:tcBorders>
            <w:shd w:val="clear" w:color="auto" w:fill="auto"/>
            <w:vAlign w:val="center"/>
          </w:tcPr>
          <w:p w:rsidR="00A133A0" w:rsidRPr="00EB473F" w:rsidRDefault="00A133A0" w:rsidP="0048334D">
            <w:pPr>
              <w:keepNext/>
              <w:keepLines/>
              <w:rPr>
                <w:rFonts w:ascii="Arial Narrow" w:hAnsi="Arial Narrow" w:cs="Times New Roman"/>
                <w:sz w:val="20"/>
              </w:rPr>
            </w:pPr>
            <w:r w:rsidRPr="00EB473F">
              <w:rPr>
                <w:rFonts w:ascii="Arial Narrow" w:hAnsi="Arial Narrow" w:cs="Times New Roman"/>
                <w:sz w:val="20"/>
              </w:rPr>
              <w:t>Total treated patients</w:t>
            </w:r>
          </w:p>
        </w:tc>
        <w:tc>
          <w:tcPr>
            <w:tcW w:w="598" w:type="pct"/>
            <w:tcBorders>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8" w:type="pct"/>
            <w:tcBorders>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133A0" w:rsidRPr="00EB473F" w:rsidTr="00BB43E5">
        <w:tc>
          <w:tcPr>
            <w:tcW w:w="1408" w:type="pct"/>
            <w:tcBorders>
              <w:top w:val="nil"/>
              <w:bottom w:val="nil"/>
            </w:tcBorders>
            <w:shd w:val="clear" w:color="auto" w:fill="auto"/>
            <w:vAlign w:val="center"/>
          </w:tcPr>
          <w:p w:rsidR="00A133A0" w:rsidRPr="00EB473F" w:rsidRDefault="00A133A0" w:rsidP="0048334D">
            <w:pPr>
              <w:keepNext/>
              <w:keepLines/>
              <w:ind w:left="112"/>
              <w:rPr>
                <w:rFonts w:ascii="Arial Narrow" w:hAnsi="Arial Narrow" w:cs="Times New Roman"/>
                <w:sz w:val="20"/>
              </w:rPr>
            </w:pPr>
            <w:r w:rsidRPr="00EB473F">
              <w:rPr>
                <w:rFonts w:ascii="Arial Narrow" w:hAnsi="Arial Narrow" w:cs="Times New Roman"/>
                <w:sz w:val="20"/>
              </w:rPr>
              <w:t>Continuing patients</w:t>
            </w:r>
          </w:p>
        </w:tc>
        <w:tc>
          <w:tcPr>
            <w:tcW w:w="598"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8"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133A0" w:rsidRPr="00EB473F" w:rsidTr="00BB43E5">
        <w:tc>
          <w:tcPr>
            <w:tcW w:w="1408" w:type="pct"/>
            <w:tcBorders>
              <w:top w:val="nil"/>
              <w:bottom w:val="single" w:sz="4" w:space="0" w:color="auto"/>
            </w:tcBorders>
            <w:shd w:val="clear" w:color="auto" w:fill="auto"/>
            <w:vAlign w:val="center"/>
          </w:tcPr>
          <w:p w:rsidR="00A133A0" w:rsidRPr="00EB473F" w:rsidRDefault="00A133A0" w:rsidP="0048334D">
            <w:pPr>
              <w:keepNext/>
              <w:keepLines/>
              <w:ind w:left="112"/>
              <w:rPr>
                <w:rFonts w:ascii="Arial Narrow" w:hAnsi="Arial Narrow" w:cs="Times New Roman"/>
                <w:sz w:val="20"/>
              </w:rPr>
            </w:pPr>
            <w:r w:rsidRPr="00EB473F">
              <w:rPr>
                <w:rFonts w:ascii="Arial Narrow" w:hAnsi="Arial Narrow" w:cs="Times New Roman"/>
                <w:sz w:val="20"/>
              </w:rPr>
              <w:t>Initiating patients</w:t>
            </w:r>
          </w:p>
        </w:tc>
        <w:tc>
          <w:tcPr>
            <w:tcW w:w="598"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8"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133A0" w:rsidRPr="00EB473F" w:rsidTr="00BB43E5">
        <w:tc>
          <w:tcPr>
            <w:tcW w:w="1408" w:type="pct"/>
            <w:tcBorders>
              <w:bottom w:val="nil"/>
            </w:tcBorders>
            <w:shd w:val="clear" w:color="auto" w:fill="auto"/>
            <w:vAlign w:val="center"/>
          </w:tcPr>
          <w:p w:rsidR="00A133A0" w:rsidRPr="00EB473F" w:rsidRDefault="00A133A0" w:rsidP="0048334D">
            <w:pPr>
              <w:keepNext/>
              <w:keepLines/>
              <w:rPr>
                <w:rFonts w:ascii="Arial Narrow" w:hAnsi="Arial Narrow" w:cs="Times New Roman"/>
                <w:b/>
                <w:bCs/>
                <w:sz w:val="20"/>
              </w:rPr>
            </w:pPr>
            <w:r w:rsidRPr="00EB473F">
              <w:rPr>
                <w:rFonts w:ascii="Arial Narrow" w:hAnsi="Arial Narrow" w:cs="Times New Roman"/>
                <w:b/>
                <w:bCs/>
                <w:sz w:val="20"/>
              </w:rPr>
              <w:t>Total belimumab scripts</w:t>
            </w:r>
          </w:p>
        </w:tc>
        <w:tc>
          <w:tcPr>
            <w:tcW w:w="598" w:type="pct"/>
            <w:tcBorders>
              <w:bottom w:val="nil"/>
            </w:tcBorders>
            <w:shd w:val="clear" w:color="auto" w:fill="auto"/>
          </w:tcPr>
          <w:p w:rsidR="00A133A0" w:rsidRPr="00C15B75" w:rsidRDefault="00C15B75" w:rsidP="0048334D">
            <w:pPr>
              <w:keepNext/>
              <w:keepLines/>
              <w:jc w:val="center"/>
              <w:rPr>
                <w:rFonts w:ascii="Arial Narrow" w:hAnsi="Arial Narrow" w:cs="Times New Roman"/>
                <w:b/>
                <w:bCs/>
                <w:sz w:val="20"/>
                <w:highlight w:val="black"/>
              </w:rPr>
            </w:pPr>
            <w:r>
              <w:rPr>
                <w:rFonts w:ascii="Arial Narrow" w:hAnsi="Arial Narrow" w:cs="Times New Roman"/>
                <w:noProof/>
                <w:color w:val="000000"/>
                <w:sz w:val="20"/>
                <w:highlight w:val="black"/>
              </w:rPr>
              <w:t>''''''''''''</w:t>
            </w:r>
          </w:p>
        </w:tc>
        <w:tc>
          <w:tcPr>
            <w:tcW w:w="599" w:type="pct"/>
            <w:tcBorders>
              <w:bottom w:val="nil"/>
            </w:tcBorders>
            <w:shd w:val="clear" w:color="auto" w:fill="auto"/>
          </w:tcPr>
          <w:p w:rsidR="00A133A0" w:rsidRPr="00C15B75" w:rsidRDefault="00C15B75" w:rsidP="0048334D">
            <w:pPr>
              <w:keepNext/>
              <w:keepLines/>
              <w:jc w:val="center"/>
              <w:rPr>
                <w:rFonts w:ascii="Arial Narrow" w:hAnsi="Arial Narrow" w:cs="Times New Roman"/>
                <w:b/>
                <w:bCs/>
                <w:sz w:val="20"/>
                <w:highlight w:val="black"/>
              </w:rPr>
            </w:pPr>
            <w:r>
              <w:rPr>
                <w:rFonts w:ascii="Arial Narrow" w:hAnsi="Arial Narrow" w:cs="Times New Roman"/>
                <w:noProof/>
                <w:color w:val="000000"/>
                <w:sz w:val="20"/>
                <w:highlight w:val="black"/>
              </w:rPr>
              <w:t>'''''''''''''</w:t>
            </w:r>
          </w:p>
        </w:tc>
        <w:tc>
          <w:tcPr>
            <w:tcW w:w="599" w:type="pct"/>
            <w:tcBorders>
              <w:bottom w:val="nil"/>
            </w:tcBorders>
            <w:shd w:val="clear" w:color="auto" w:fill="auto"/>
          </w:tcPr>
          <w:p w:rsidR="00A133A0" w:rsidRPr="00C15B75" w:rsidRDefault="00C15B75" w:rsidP="0048334D">
            <w:pPr>
              <w:keepNext/>
              <w:keepLines/>
              <w:jc w:val="center"/>
              <w:rPr>
                <w:rFonts w:ascii="Arial Narrow" w:hAnsi="Arial Narrow" w:cs="Times New Roman"/>
                <w:b/>
                <w:bCs/>
                <w:sz w:val="20"/>
                <w:highlight w:val="black"/>
              </w:rPr>
            </w:pPr>
            <w:r>
              <w:rPr>
                <w:rFonts w:ascii="Arial Narrow" w:hAnsi="Arial Narrow" w:cs="Times New Roman"/>
                <w:noProof/>
                <w:color w:val="000000"/>
                <w:sz w:val="20"/>
                <w:highlight w:val="black"/>
              </w:rPr>
              <w:t>'''''''''''''''''</w:t>
            </w:r>
          </w:p>
        </w:tc>
        <w:tc>
          <w:tcPr>
            <w:tcW w:w="599" w:type="pct"/>
            <w:tcBorders>
              <w:bottom w:val="nil"/>
            </w:tcBorders>
            <w:shd w:val="clear" w:color="auto" w:fill="auto"/>
          </w:tcPr>
          <w:p w:rsidR="00A133A0" w:rsidRPr="00C15B75" w:rsidRDefault="00C15B75" w:rsidP="0048334D">
            <w:pPr>
              <w:keepNext/>
              <w:keepLines/>
              <w:jc w:val="center"/>
              <w:rPr>
                <w:rFonts w:ascii="Arial Narrow" w:hAnsi="Arial Narrow" w:cs="Times New Roman"/>
                <w:b/>
                <w:bCs/>
                <w:sz w:val="20"/>
                <w:highlight w:val="black"/>
              </w:rPr>
            </w:pPr>
            <w:r>
              <w:rPr>
                <w:rFonts w:ascii="Arial Narrow" w:hAnsi="Arial Narrow" w:cs="Times New Roman"/>
                <w:noProof/>
                <w:color w:val="000000"/>
                <w:sz w:val="20"/>
                <w:highlight w:val="black"/>
              </w:rPr>
              <w:t>'''''''''''''''''</w:t>
            </w:r>
          </w:p>
        </w:tc>
        <w:tc>
          <w:tcPr>
            <w:tcW w:w="599" w:type="pct"/>
            <w:tcBorders>
              <w:bottom w:val="nil"/>
            </w:tcBorders>
            <w:shd w:val="clear" w:color="auto" w:fill="auto"/>
          </w:tcPr>
          <w:p w:rsidR="00A133A0" w:rsidRPr="00C15B75" w:rsidRDefault="00C15B75" w:rsidP="0048334D">
            <w:pPr>
              <w:keepNext/>
              <w:keepLines/>
              <w:jc w:val="center"/>
              <w:rPr>
                <w:rFonts w:ascii="Arial Narrow" w:hAnsi="Arial Narrow" w:cs="Times New Roman"/>
                <w:b/>
                <w:bCs/>
                <w:sz w:val="20"/>
                <w:highlight w:val="black"/>
              </w:rPr>
            </w:pPr>
            <w:r>
              <w:rPr>
                <w:rFonts w:ascii="Arial Narrow" w:hAnsi="Arial Narrow" w:cs="Times New Roman"/>
                <w:noProof/>
                <w:color w:val="000000"/>
                <w:sz w:val="20"/>
                <w:highlight w:val="black"/>
              </w:rPr>
              <w:t>''''''''''''''''</w:t>
            </w:r>
          </w:p>
        </w:tc>
        <w:tc>
          <w:tcPr>
            <w:tcW w:w="598" w:type="pct"/>
            <w:tcBorders>
              <w:bottom w:val="nil"/>
            </w:tcBorders>
            <w:shd w:val="clear" w:color="auto" w:fill="auto"/>
          </w:tcPr>
          <w:p w:rsidR="00A133A0" w:rsidRPr="00C15B75" w:rsidRDefault="00C15B75" w:rsidP="0048334D">
            <w:pPr>
              <w:keepNext/>
              <w:keepLines/>
              <w:jc w:val="center"/>
              <w:rPr>
                <w:rFonts w:ascii="Arial Narrow" w:hAnsi="Arial Narrow" w:cs="Times New Roman"/>
                <w:b/>
                <w:bCs/>
                <w:sz w:val="20"/>
                <w:highlight w:val="black"/>
              </w:rPr>
            </w:pPr>
            <w:r>
              <w:rPr>
                <w:rFonts w:ascii="Arial Narrow" w:hAnsi="Arial Narrow" w:cs="Times New Roman"/>
                <w:noProof/>
                <w:color w:val="000000"/>
                <w:sz w:val="20"/>
                <w:highlight w:val="black"/>
              </w:rPr>
              <w:t>'''''''''''''''</w:t>
            </w:r>
          </w:p>
        </w:tc>
      </w:tr>
      <w:tr w:rsidR="00A133A0" w:rsidRPr="00EB473F" w:rsidTr="00BB43E5">
        <w:tc>
          <w:tcPr>
            <w:tcW w:w="1408" w:type="pct"/>
            <w:tcBorders>
              <w:top w:val="nil"/>
              <w:bottom w:val="nil"/>
            </w:tcBorders>
            <w:shd w:val="clear" w:color="auto" w:fill="auto"/>
            <w:vAlign w:val="center"/>
          </w:tcPr>
          <w:p w:rsidR="00A133A0" w:rsidRPr="00EB473F" w:rsidRDefault="00A133A0" w:rsidP="0048334D">
            <w:pPr>
              <w:keepNext/>
              <w:keepLines/>
              <w:ind w:left="112"/>
              <w:rPr>
                <w:rFonts w:ascii="Arial Narrow" w:hAnsi="Arial Narrow" w:cs="Times New Roman"/>
                <w:sz w:val="20"/>
              </w:rPr>
            </w:pPr>
            <w:r w:rsidRPr="00EB473F">
              <w:rPr>
                <w:rFonts w:ascii="Arial Narrow" w:hAnsi="Arial Narrow" w:cs="Times New Roman"/>
                <w:sz w:val="20"/>
              </w:rPr>
              <w:t>Initial</w:t>
            </w:r>
          </w:p>
        </w:tc>
        <w:tc>
          <w:tcPr>
            <w:tcW w:w="598"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8" w:type="pct"/>
            <w:tcBorders>
              <w:top w:val="nil"/>
              <w:bottom w:val="nil"/>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133A0" w:rsidRPr="00EB473F" w:rsidTr="00BB43E5">
        <w:tc>
          <w:tcPr>
            <w:tcW w:w="1408" w:type="pct"/>
            <w:tcBorders>
              <w:top w:val="nil"/>
              <w:bottom w:val="single" w:sz="4" w:space="0" w:color="auto"/>
            </w:tcBorders>
            <w:shd w:val="clear" w:color="auto" w:fill="auto"/>
            <w:vAlign w:val="center"/>
          </w:tcPr>
          <w:p w:rsidR="00A133A0" w:rsidRPr="00EB473F" w:rsidRDefault="00A133A0" w:rsidP="0048334D">
            <w:pPr>
              <w:keepNext/>
              <w:keepLines/>
              <w:ind w:left="112"/>
              <w:rPr>
                <w:rFonts w:ascii="Arial Narrow" w:hAnsi="Arial Narrow" w:cs="Times New Roman"/>
                <w:sz w:val="20"/>
              </w:rPr>
            </w:pPr>
            <w:r w:rsidRPr="00EB473F">
              <w:rPr>
                <w:rFonts w:ascii="Arial Narrow" w:hAnsi="Arial Narrow" w:cs="Times New Roman"/>
                <w:sz w:val="20"/>
              </w:rPr>
              <w:t>Continuing</w:t>
            </w:r>
          </w:p>
        </w:tc>
        <w:tc>
          <w:tcPr>
            <w:tcW w:w="598"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9"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98" w:type="pct"/>
            <w:tcBorders>
              <w:top w:val="nil"/>
              <w:bottom w:val="single" w:sz="4" w:space="0" w:color="auto"/>
            </w:tcBorders>
            <w:shd w:val="clear" w:color="auto" w:fill="auto"/>
          </w:tcPr>
          <w:p w:rsidR="00A133A0" w:rsidRPr="00C15B75" w:rsidRDefault="00C15B75" w:rsidP="0048334D">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A133A0" w:rsidRPr="00EB473F" w:rsidTr="00BB43E5">
        <w:tc>
          <w:tcPr>
            <w:tcW w:w="1408" w:type="pct"/>
            <w:tcBorders>
              <w:top w:val="single" w:sz="4" w:space="0" w:color="auto"/>
              <w:bottom w:val="nil"/>
            </w:tcBorders>
            <w:shd w:val="clear" w:color="auto" w:fill="auto"/>
            <w:vAlign w:val="center"/>
          </w:tcPr>
          <w:p w:rsidR="00A133A0" w:rsidRPr="00EB473F" w:rsidRDefault="00A133A0" w:rsidP="0048334D">
            <w:pPr>
              <w:keepNext/>
              <w:keepLines/>
              <w:rPr>
                <w:rFonts w:ascii="Arial Narrow" w:hAnsi="Arial Narrow" w:cs="Times New Roman"/>
                <w:b/>
                <w:bCs/>
                <w:sz w:val="20"/>
              </w:rPr>
            </w:pPr>
            <w:r w:rsidRPr="00EB473F">
              <w:rPr>
                <w:rFonts w:ascii="Arial Narrow" w:hAnsi="Arial Narrow" w:cs="Times New Roman"/>
                <w:b/>
                <w:bCs/>
                <w:sz w:val="20"/>
                <w:szCs w:val="20"/>
              </w:rPr>
              <w:t>Net cost to PBS/RPBS</w:t>
            </w:r>
          </w:p>
        </w:tc>
        <w:tc>
          <w:tcPr>
            <w:tcW w:w="598" w:type="pct"/>
            <w:tcBorders>
              <w:top w:val="single" w:sz="4" w:space="0" w:color="auto"/>
              <w:bottom w:val="nil"/>
            </w:tcBorders>
            <w:shd w:val="clear" w:color="auto" w:fill="auto"/>
          </w:tcPr>
          <w:p w:rsidR="00A133A0" w:rsidRPr="00EB473F" w:rsidRDefault="00A133A0" w:rsidP="0048334D">
            <w:pPr>
              <w:keepNext/>
              <w:keepLines/>
              <w:jc w:val="center"/>
              <w:rPr>
                <w:rFonts w:ascii="Arial Narrow" w:hAnsi="Arial Narrow" w:cs="Times New Roman"/>
                <w:b/>
                <w:bCs/>
                <w:sz w:val="20"/>
              </w:rPr>
            </w:pPr>
            <w:r w:rsidRPr="00EB473F">
              <w:rPr>
                <w:rFonts w:ascii="Arial Narrow" w:hAnsi="Arial Narrow" w:cs="Times New Roman"/>
                <w:sz w:val="20"/>
              </w:rPr>
              <w:t>$</w:t>
            </w:r>
            <w:r w:rsidR="00C15B75">
              <w:rPr>
                <w:rFonts w:ascii="Arial Narrow" w:hAnsi="Arial Narrow" w:cs="Times New Roman"/>
                <w:noProof/>
                <w:color w:val="000000"/>
                <w:sz w:val="20"/>
                <w:highlight w:val="black"/>
              </w:rPr>
              <w:t>'''''''''''''''''''''''</w:t>
            </w:r>
          </w:p>
        </w:tc>
        <w:tc>
          <w:tcPr>
            <w:tcW w:w="599" w:type="pct"/>
            <w:tcBorders>
              <w:top w:val="single" w:sz="4" w:space="0" w:color="auto"/>
              <w:bottom w:val="nil"/>
            </w:tcBorders>
            <w:shd w:val="clear" w:color="auto" w:fill="auto"/>
            <w:vAlign w:val="bottom"/>
          </w:tcPr>
          <w:p w:rsidR="00A133A0" w:rsidRPr="00EB473F" w:rsidRDefault="00A133A0" w:rsidP="0048334D">
            <w:pPr>
              <w:keepNext/>
              <w:keepLines/>
              <w:jc w:val="center"/>
              <w:rPr>
                <w:rFonts w:ascii="Arial Narrow" w:hAnsi="Arial Narrow" w:cs="Times New Roman"/>
                <w:b/>
                <w:bCs/>
                <w:sz w:val="20"/>
              </w:rPr>
            </w:pPr>
            <w:r w:rsidRPr="00EB473F">
              <w:rPr>
                <w:rFonts w:ascii="Arial Narrow" w:hAnsi="Arial Narrow" w:cs="Times New Roman"/>
                <w:sz w:val="20"/>
              </w:rPr>
              <w:t>$</w:t>
            </w:r>
            <w:r w:rsidR="00C15B75">
              <w:rPr>
                <w:rFonts w:ascii="Arial Narrow" w:hAnsi="Arial Narrow" w:cs="Times New Roman"/>
                <w:noProof/>
                <w:color w:val="000000"/>
                <w:sz w:val="20"/>
                <w:highlight w:val="black"/>
              </w:rPr>
              <w:t>'''''''''''''''''''''''</w:t>
            </w:r>
          </w:p>
        </w:tc>
        <w:tc>
          <w:tcPr>
            <w:tcW w:w="599" w:type="pct"/>
            <w:tcBorders>
              <w:top w:val="single" w:sz="4" w:space="0" w:color="auto"/>
              <w:bottom w:val="nil"/>
            </w:tcBorders>
            <w:shd w:val="clear" w:color="auto" w:fill="auto"/>
            <w:vAlign w:val="bottom"/>
          </w:tcPr>
          <w:p w:rsidR="00A133A0" w:rsidRPr="00EB473F" w:rsidRDefault="00A133A0" w:rsidP="0048334D">
            <w:pPr>
              <w:keepNext/>
              <w:keepLines/>
              <w:jc w:val="center"/>
              <w:rPr>
                <w:rFonts w:ascii="Arial Narrow" w:hAnsi="Arial Narrow" w:cs="Times New Roman"/>
                <w:b/>
                <w:bCs/>
                <w:sz w:val="20"/>
              </w:rPr>
            </w:pPr>
            <w:r w:rsidRPr="00EB473F">
              <w:rPr>
                <w:rFonts w:ascii="Arial Narrow" w:hAnsi="Arial Narrow" w:cs="Times New Roman"/>
                <w:sz w:val="20"/>
              </w:rPr>
              <w:t>$</w:t>
            </w:r>
            <w:r w:rsidR="00C15B75">
              <w:rPr>
                <w:rFonts w:ascii="Arial Narrow" w:hAnsi="Arial Narrow" w:cs="Times New Roman"/>
                <w:noProof/>
                <w:color w:val="000000"/>
                <w:sz w:val="20"/>
                <w:highlight w:val="black"/>
              </w:rPr>
              <w:t>'''''''''''''''''''''''''</w:t>
            </w:r>
          </w:p>
        </w:tc>
        <w:tc>
          <w:tcPr>
            <w:tcW w:w="599" w:type="pct"/>
            <w:tcBorders>
              <w:top w:val="single" w:sz="4" w:space="0" w:color="auto"/>
              <w:bottom w:val="nil"/>
            </w:tcBorders>
            <w:shd w:val="clear" w:color="auto" w:fill="auto"/>
            <w:vAlign w:val="bottom"/>
          </w:tcPr>
          <w:p w:rsidR="00A133A0" w:rsidRPr="00EB473F" w:rsidRDefault="00A133A0" w:rsidP="0048334D">
            <w:pPr>
              <w:keepNext/>
              <w:keepLines/>
              <w:jc w:val="center"/>
              <w:rPr>
                <w:rFonts w:ascii="Arial Narrow" w:hAnsi="Arial Narrow" w:cs="Times New Roman"/>
                <w:b/>
                <w:bCs/>
                <w:sz w:val="20"/>
              </w:rPr>
            </w:pPr>
            <w:r w:rsidRPr="00EB473F">
              <w:rPr>
                <w:rFonts w:ascii="Arial Narrow" w:hAnsi="Arial Narrow" w:cs="Times New Roman"/>
                <w:sz w:val="20"/>
              </w:rPr>
              <w:t>$</w:t>
            </w:r>
            <w:r w:rsidR="00C15B75">
              <w:rPr>
                <w:rFonts w:ascii="Arial Narrow" w:hAnsi="Arial Narrow" w:cs="Times New Roman"/>
                <w:noProof/>
                <w:color w:val="000000"/>
                <w:sz w:val="20"/>
                <w:highlight w:val="black"/>
              </w:rPr>
              <w:t>'''''''''''''''''''''''''''</w:t>
            </w:r>
          </w:p>
        </w:tc>
        <w:tc>
          <w:tcPr>
            <w:tcW w:w="599" w:type="pct"/>
            <w:tcBorders>
              <w:top w:val="single" w:sz="4" w:space="0" w:color="auto"/>
              <w:bottom w:val="nil"/>
            </w:tcBorders>
            <w:shd w:val="clear" w:color="auto" w:fill="auto"/>
            <w:vAlign w:val="bottom"/>
          </w:tcPr>
          <w:p w:rsidR="00A133A0" w:rsidRPr="00EB473F" w:rsidRDefault="00A133A0" w:rsidP="0048334D">
            <w:pPr>
              <w:keepNext/>
              <w:keepLines/>
              <w:jc w:val="center"/>
              <w:rPr>
                <w:rFonts w:ascii="Arial Narrow" w:hAnsi="Arial Narrow" w:cs="Times New Roman"/>
                <w:b/>
                <w:bCs/>
                <w:sz w:val="20"/>
              </w:rPr>
            </w:pPr>
            <w:r w:rsidRPr="00EB473F">
              <w:rPr>
                <w:rFonts w:ascii="Arial Narrow" w:hAnsi="Arial Narrow" w:cs="Times New Roman"/>
                <w:sz w:val="20"/>
              </w:rPr>
              <w:t>$</w:t>
            </w:r>
            <w:r w:rsidR="00C15B75">
              <w:rPr>
                <w:rFonts w:ascii="Arial Narrow" w:hAnsi="Arial Narrow" w:cs="Times New Roman"/>
                <w:noProof/>
                <w:color w:val="000000"/>
                <w:sz w:val="20"/>
                <w:highlight w:val="black"/>
              </w:rPr>
              <w:t>'''''''''''''''''''''''''''</w:t>
            </w:r>
          </w:p>
        </w:tc>
        <w:tc>
          <w:tcPr>
            <w:tcW w:w="598" w:type="pct"/>
            <w:tcBorders>
              <w:top w:val="single" w:sz="4" w:space="0" w:color="auto"/>
              <w:bottom w:val="nil"/>
            </w:tcBorders>
            <w:shd w:val="clear" w:color="auto" w:fill="auto"/>
            <w:vAlign w:val="bottom"/>
          </w:tcPr>
          <w:p w:rsidR="00A133A0" w:rsidRPr="00EB473F" w:rsidRDefault="00A133A0" w:rsidP="0048334D">
            <w:pPr>
              <w:keepNext/>
              <w:keepLines/>
              <w:jc w:val="center"/>
              <w:rPr>
                <w:rFonts w:ascii="Arial Narrow" w:hAnsi="Arial Narrow" w:cs="Times New Roman"/>
                <w:b/>
                <w:bCs/>
                <w:sz w:val="20"/>
              </w:rPr>
            </w:pPr>
            <w:r w:rsidRPr="00EB473F">
              <w:rPr>
                <w:rFonts w:ascii="Arial Narrow" w:hAnsi="Arial Narrow" w:cs="Times New Roman"/>
                <w:sz w:val="20"/>
              </w:rPr>
              <w:t>$</w:t>
            </w:r>
            <w:r w:rsidR="00C15B75">
              <w:rPr>
                <w:rFonts w:ascii="Arial Narrow" w:hAnsi="Arial Narrow" w:cs="Times New Roman"/>
                <w:noProof/>
                <w:color w:val="000000"/>
                <w:sz w:val="20"/>
                <w:highlight w:val="black"/>
              </w:rPr>
              <w:t>'''''''''''''''''''''''''</w:t>
            </w:r>
          </w:p>
        </w:tc>
      </w:tr>
      <w:tr w:rsidR="003E4C35" w:rsidRPr="00EB473F" w:rsidTr="003E4C35">
        <w:tc>
          <w:tcPr>
            <w:tcW w:w="5000" w:type="pct"/>
            <w:gridSpan w:val="7"/>
            <w:tcBorders>
              <w:top w:val="single" w:sz="4" w:space="0" w:color="auto"/>
              <w:bottom w:val="single" w:sz="4" w:space="0" w:color="auto"/>
            </w:tcBorders>
            <w:shd w:val="clear" w:color="auto" w:fill="auto"/>
            <w:vAlign w:val="center"/>
          </w:tcPr>
          <w:p w:rsidR="003E4C35" w:rsidRPr="003E4C35" w:rsidRDefault="003E4C35" w:rsidP="0048334D">
            <w:pPr>
              <w:keepNext/>
              <w:keepLines/>
              <w:jc w:val="left"/>
              <w:rPr>
                <w:rFonts w:ascii="Arial Narrow" w:hAnsi="Arial Narrow" w:cs="Times New Roman"/>
                <w:b/>
                <w:sz w:val="20"/>
              </w:rPr>
            </w:pPr>
            <w:r>
              <w:rPr>
                <w:rFonts w:ascii="Arial Narrow" w:hAnsi="Arial Narrow" w:cs="Times New Roman"/>
                <w:b/>
                <w:sz w:val="20"/>
              </w:rPr>
              <w:t>P</w:t>
            </w:r>
            <w:r w:rsidRPr="003E4C35">
              <w:rPr>
                <w:rFonts w:ascii="Arial Narrow" w:hAnsi="Arial Narrow" w:cs="Times New Roman"/>
                <w:b/>
                <w:sz w:val="20"/>
              </w:rPr>
              <w:t xml:space="preserve">revious submission </w:t>
            </w:r>
          </w:p>
        </w:tc>
      </w:tr>
      <w:tr w:rsidR="003E4C35" w:rsidRPr="00EB473F" w:rsidTr="003E4C35">
        <w:tc>
          <w:tcPr>
            <w:tcW w:w="1408" w:type="pct"/>
            <w:tcBorders>
              <w:top w:val="single" w:sz="4" w:space="0" w:color="auto"/>
            </w:tcBorders>
            <w:shd w:val="clear" w:color="auto" w:fill="auto"/>
            <w:vAlign w:val="center"/>
          </w:tcPr>
          <w:p w:rsidR="003E4C35" w:rsidRPr="00EB473F" w:rsidRDefault="003E4C35" w:rsidP="0048334D">
            <w:pPr>
              <w:keepNext/>
              <w:keepLines/>
              <w:ind w:left="112"/>
              <w:rPr>
                <w:rFonts w:ascii="Arial Narrow" w:hAnsi="Arial Narrow" w:cs="Times New Roman"/>
                <w:sz w:val="20"/>
              </w:rPr>
            </w:pPr>
            <w:r w:rsidRPr="003E4C35">
              <w:rPr>
                <w:rFonts w:ascii="Arial Narrow" w:hAnsi="Arial Narrow" w:cs="Times New Roman"/>
                <w:b/>
                <w:sz w:val="20"/>
              </w:rPr>
              <w:t>Net cost to PBS/RPBS</w:t>
            </w:r>
          </w:p>
        </w:tc>
        <w:tc>
          <w:tcPr>
            <w:tcW w:w="598" w:type="pct"/>
            <w:tcBorders>
              <w:top w:val="single" w:sz="4" w:space="0" w:color="auto"/>
              <w:bottom w:val="single" w:sz="4" w:space="0" w:color="auto"/>
            </w:tcBorders>
            <w:shd w:val="clear" w:color="auto" w:fill="auto"/>
            <w:vAlign w:val="bottom"/>
          </w:tcPr>
          <w:p w:rsidR="003E4C35" w:rsidRPr="00EB473F" w:rsidRDefault="003E4C35" w:rsidP="0048334D">
            <w:pPr>
              <w:keepNext/>
              <w:keepLines/>
              <w:jc w:val="center"/>
              <w:rPr>
                <w:rFonts w:ascii="Arial Narrow" w:hAnsi="Arial Narrow" w:cs="Times New Roman"/>
                <w:sz w:val="20"/>
              </w:rPr>
            </w:pPr>
            <w:r w:rsidRPr="003E4C35">
              <w:rPr>
                <w:rFonts w:ascii="Arial Narrow" w:hAnsi="Arial Narrow" w:cs="Times New Roman"/>
                <w:sz w:val="20"/>
              </w:rPr>
              <w:t>$</w:t>
            </w:r>
            <w:r w:rsidR="00C15B75">
              <w:rPr>
                <w:rFonts w:ascii="Arial Narrow" w:hAnsi="Arial Narrow" w:cs="Times New Roman"/>
                <w:noProof/>
                <w:color w:val="000000"/>
                <w:sz w:val="20"/>
                <w:highlight w:val="black"/>
              </w:rPr>
              <w:t>''''''''''''''''''''''</w:t>
            </w:r>
          </w:p>
        </w:tc>
        <w:tc>
          <w:tcPr>
            <w:tcW w:w="599" w:type="pct"/>
            <w:tcBorders>
              <w:top w:val="single" w:sz="4" w:space="0" w:color="auto"/>
              <w:bottom w:val="single" w:sz="4" w:space="0" w:color="auto"/>
            </w:tcBorders>
            <w:shd w:val="clear" w:color="auto" w:fill="auto"/>
            <w:vAlign w:val="bottom"/>
          </w:tcPr>
          <w:p w:rsidR="003E4C35" w:rsidRPr="00EB473F" w:rsidRDefault="003E4C35" w:rsidP="0048334D">
            <w:pPr>
              <w:keepNext/>
              <w:keepLines/>
              <w:jc w:val="center"/>
              <w:rPr>
                <w:rFonts w:ascii="Arial Narrow" w:hAnsi="Arial Narrow" w:cs="Times New Roman"/>
                <w:sz w:val="20"/>
              </w:rPr>
            </w:pPr>
            <w:r w:rsidRPr="003E4C35">
              <w:rPr>
                <w:rFonts w:ascii="Arial Narrow" w:hAnsi="Arial Narrow" w:cs="Times New Roman"/>
                <w:sz w:val="20"/>
              </w:rPr>
              <w:t>$</w:t>
            </w:r>
            <w:r w:rsidR="00C15B75">
              <w:rPr>
                <w:rFonts w:ascii="Arial Narrow" w:hAnsi="Arial Narrow" w:cs="Times New Roman"/>
                <w:noProof/>
                <w:color w:val="000000"/>
                <w:sz w:val="20"/>
                <w:highlight w:val="black"/>
              </w:rPr>
              <w:t>'''''''''''''''''''''''''</w:t>
            </w:r>
          </w:p>
        </w:tc>
        <w:tc>
          <w:tcPr>
            <w:tcW w:w="599" w:type="pct"/>
            <w:tcBorders>
              <w:top w:val="single" w:sz="4" w:space="0" w:color="auto"/>
              <w:bottom w:val="single" w:sz="4" w:space="0" w:color="auto"/>
            </w:tcBorders>
            <w:shd w:val="clear" w:color="auto" w:fill="auto"/>
            <w:vAlign w:val="bottom"/>
          </w:tcPr>
          <w:p w:rsidR="003E4C35" w:rsidRPr="00EB473F" w:rsidRDefault="003E4C35" w:rsidP="0048334D">
            <w:pPr>
              <w:keepNext/>
              <w:keepLines/>
              <w:jc w:val="center"/>
              <w:rPr>
                <w:rFonts w:ascii="Arial Narrow" w:hAnsi="Arial Narrow" w:cs="Times New Roman"/>
                <w:sz w:val="20"/>
              </w:rPr>
            </w:pPr>
            <w:r w:rsidRPr="003E4C35">
              <w:rPr>
                <w:rFonts w:ascii="Arial Narrow" w:hAnsi="Arial Narrow" w:cs="Times New Roman"/>
                <w:sz w:val="20"/>
              </w:rPr>
              <w:t>$</w:t>
            </w:r>
            <w:r w:rsidR="00C15B75">
              <w:rPr>
                <w:rFonts w:ascii="Arial Narrow" w:hAnsi="Arial Narrow" w:cs="Times New Roman"/>
                <w:noProof/>
                <w:color w:val="000000"/>
                <w:sz w:val="20"/>
                <w:highlight w:val="black"/>
              </w:rPr>
              <w:t>'''''''''''''''''''''</w:t>
            </w:r>
          </w:p>
        </w:tc>
        <w:tc>
          <w:tcPr>
            <w:tcW w:w="599" w:type="pct"/>
            <w:tcBorders>
              <w:top w:val="single" w:sz="4" w:space="0" w:color="auto"/>
              <w:bottom w:val="single" w:sz="4" w:space="0" w:color="auto"/>
            </w:tcBorders>
            <w:shd w:val="clear" w:color="auto" w:fill="auto"/>
            <w:vAlign w:val="bottom"/>
          </w:tcPr>
          <w:p w:rsidR="003E4C35" w:rsidRPr="00EB473F" w:rsidRDefault="003E4C35" w:rsidP="0048334D">
            <w:pPr>
              <w:keepNext/>
              <w:keepLines/>
              <w:jc w:val="center"/>
              <w:rPr>
                <w:rFonts w:ascii="Arial Narrow" w:hAnsi="Arial Narrow" w:cs="Times New Roman"/>
                <w:sz w:val="20"/>
              </w:rPr>
            </w:pPr>
            <w:r w:rsidRPr="003E4C35">
              <w:rPr>
                <w:rFonts w:ascii="Arial Narrow" w:hAnsi="Arial Narrow" w:cs="Times New Roman"/>
                <w:sz w:val="20"/>
              </w:rPr>
              <w:t>$</w:t>
            </w:r>
            <w:r w:rsidR="00C15B75">
              <w:rPr>
                <w:rFonts w:ascii="Arial Narrow" w:hAnsi="Arial Narrow" w:cs="Times New Roman"/>
                <w:noProof/>
                <w:color w:val="000000"/>
                <w:sz w:val="20"/>
                <w:highlight w:val="black"/>
              </w:rPr>
              <w:t>'''''''''''''''''''''''</w:t>
            </w:r>
          </w:p>
        </w:tc>
        <w:tc>
          <w:tcPr>
            <w:tcW w:w="599" w:type="pct"/>
            <w:tcBorders>
              <w:top w:val="single" w:sz="4" w:space="0" w:color="auto"/>
              <w:bottom w:val="single" w:sz="4" w:space="0" w:color="auto"/>
            </w:tcBorders>
            <w:shd w:val="clear" w:color="auto" w:fill="auto"/>
            <w:vAlign w:val="bottom"/>
          </w:tcPr>
          <w:p w:rsidR="003E4C35" w:rsidRPr="00EB473F" w:rsidRDefault="003E4C35" w:rsidP="0048334D">
            <w:pPr>
              <w:keepNext/>
              <w:keepLines/>
              <w:jc w:val="center"/>
              <w:rPr>
                <w:rFonts w:ascii="Arial Narrow" w:hAnsi="Arial Narrow" w:cs="Times New Roman"/>
                <w:sz w:val="20"/>
              </w:rPr>
            </w:pPr>
            <w:r w:rsidRPr="003E4C35">
              <w:rPr>
                <w:rFonts w:ascii="Arial Narrow" w:hAnsi="Arial Narrow" w:cs="Times New Roman"/>
                <w:sz w:val="20"/>
              </w:rPr>
              <w:t>$</w:t>
            </w:r>
            <w:r w:rsidR="00C15B75">
              <w:rPr>
                <w:rFonts w:ascii="Arial Narrow" w:hAnsi="Arial Narrow" w:cs="Times New Roman"/>
                <w:noProof/>
                <w:color w:val="000000"/>
                <w:sz w:val="20"/>
                <w:highlight w:val="black"/>
              </w:rPr>
              <w:t>''''''''''''''''''''''''</w:t>
            </w:r>
          </w:p>
        </w:tc>
        <w:tc>
          <w:tcPr>
            <w:tcW w:w="598" w:type="pct"/>
            <w:tcBorders>
              <w:top w:val="single" w:sz="4" w:space="0" w:color="auto"/>
              <w:bottom w:val="single" w:sz="4" w:space="0" w:color="auto"/>
            </w:tcBorders>
            <w:shd w:val="clear" w:color="auto" w:fill="auto"/>
            <w:vAlign w:val="bottom"/>
          </w:tcPr>
          <w:p w:rsidR="003E4C35" w:rsidRPr="00EB473F" w:rsidRDefault="003E4C35" w:rsidP="0048334D">
            <w:pPr>
              <w:keepNext/>
              <w:keepLines/>
              <w:jc w:val="center"/>
              <w:rPr>
                <w:rFonts w:ascii="Arial Narrow" w:hAnsi="Arial Narrow" w:cs="Times New Roman"/>
                <w:sz w:val="20"/>
              </w:rPr>
            </w:pPr>
            <w:r w:rsidRPr="003E4C35">
              <w:rPr>
                <w:rFonts w:ascii="Arial Narrow" w:hAnsi="Arial Narrow" w:cs="Times New Roman"/>
                <w:sz w:val="20"/>
              </w:rPr>
              <w:t>$</w:t>
            </w:r>
            <w:r w:rsidR="00C15B75">
              <w:rPr>
                <w:rFonts w:ascii="Arial Narrow" w:hAnsi="Arial Narrow" w:cs="Times New Roman"/>
                <w:noProof/>
                <w:color w:val="000000"/>
                <w:sz w:val="20"/>
                <w:highlight w:val="black"/>
              </w:rPr>
              <w:t>''''''''''''''''''''''''''</w:t>
            </w:r>
          </w:p>
        </w:tc>
      </w:tr>
    </w:tbl>
    <w:p w:rsidR="00172AD3" w:rsidRDefault="00172AD3" w:rsidP="0048334D">
      <w:pPr>
        <w:pStyle w:val="TableFooter"/>
        <w:keepNext/>
        <w:keepLines/>
      </w:pPr>
      <w:r>
        <w:t>Abbreviations: SLE=Systemic lupus erythematosus.</w:t>
      </w:r>
    </w:p>
    <w:p w:rsidR="00172AD3" w:rsidRPr="00B1011F" w:rsidRDefault="00172AD3" w:rsidP="0048334D">
      <w:pPr>
        <w:pStyle w:val="TableFooter"/>
        <w:keepNext/>
        <w:keepLines/>
        <w:rPr>
          <w:sz w:val="20"/>
        </w:rPr>
      </w:pPr>
      <w:r w:rsidRPr="00263302">
        <w:t xml:space="preserve">Source: </w:t>
      </w:r>
      <w:r w:rsidR="00A133A0" w:rsidRPr="00EB473F">
        <w:t>Tables 111, 112 and 114, p274-276 of the resubmission.</w:t>
      </w:r>
    </w:p>
    <w:p w:rsidR="00172AD3" w:rsidRPr="002E2CEF" w:rsidRDefault="002E2CEF" w:rsidP="00172AD3">
      <w:pPr>
        <w:rPr>
          <w:i/>
        </w:rPr>
      </w:pPr>
      <w:r>
        <w:br/>
      </w:r>
      <w:r>
        <w:rPr>
          <w:i/>
        </w:rPr>
        <w:t xml:space="preserve">The redacted table shows that at Year 6, the estimated total number of belimumab scripts was 10,000 </w:t>
      </w:r>
      <w:r w:rsidR="00503FDB">
        <w:rPr>
          <w:i/>
        </w:rPr>
        <w:t>to &lt;</w:t>
      </w:r>
      <w:r>
        <w:rPr>
          <w:i/>
        </w:rPr>
        <w:t xml:space="preserve"> 20,000 and the net cost to the PBS would be $10 million to &lt; $ 20 million.  </w:t>
      </w:r>
    </w:p>
    <w:p w:rsidR="002E2CEF" w:rsidRPr="00D5010C" w:rsidRDefault="002E2CEF" w:rsidP="00172AD3"/>
    <w:p w:rsidR="00172AD3" w:rsidRPr="00425648" w:rsidRDefault="00172AD3" w:rsidP="00DA711E">
      <w:pPr>
        <w:pStyle w:val="ListParagraph"/>
        <w:widowControl/>
        <w:numPr>
          <w:ilvl w:val="1"/>
          <w:numId w:val="1"/>
        </w:numPr>
        <w:rPr>
          <w:szCs w:val="24"/>
        </w:rPr>
      </w:pPr>
      <w:r w:rsidRPr="00425648">
        <w:rPr>
          <w:szCs w:val="24"/>
        </w:rPr>
        <w:t xml:space="preserve">The </w:t>
      </w:r>
      <w:r w:rsidR="00841EA7" w:rsidRPr="00425648">
        <w:rPr>
          <w:szCs w:val="24"/>
        </w:rPr>
        <w:t>re</w:t>
      </w:r>
      <w:r w:rsidRPr="00425648">
        <w:rPr>
          <w:szCs w:val="24"/>
        </w:rPr>
        <w:t>submission estimated a net cost to the PBS/RPBS of $</w:t>
      </w:r>
      <w:r w:rsidR="00503FDB">
        <w:rPr>
          <w:szCs w:val="24"/>
        </w:rPr>
        <w:t>50</w:t>
      </w:r>
      <w:r w:rsidR="003E4C35" w:rsidRPr="00425648">
        <w:rPr>
          <w:szCs w:val="24"/>
        </w:rPr>
        <w:t xml:space="preserve"> million</w:t>
      </w:r>
      <w:r w:rsidR="00503FDB">
        <w:rPr>
          <w:szCs w:val="24"/>
        </w:rPr>
        <w:t xml:space="preserve"> to &lt; $60 million</w:t>
      </w:r>
      <w:r w:rsidR="00A366DF" w:rsidRPr="00425648">
        <w:rPr>
          <w:szCs w:val="24"/>
        </w:rPr>
        <w:t xml:space="preserve"> </w:t>
      </w:r>
      <w:r w:rsidRPr="00425648">
        <w:rPr>
          <w:szCs w:val="24"/>
        </w:rPr>
        <w:t>over the first six years of listing</w:t>
      </w:r>
      <w:r w:rsidR="00E33503" w:rsidRPr="00425648">
        <w:rPr>
          <w:szCs w:val="24"/>
        </w:rPr>
        <w:t>, compared to $</w:t>
      </w:r>
      <w:r w:rsidR="00503FDB">
        <w:rPr>
          <w:szCs w:val="24"/>
        </w:rPr>
        <w:t>40</w:t>
      </w:r>
      <w:r w:rsidR="00E33503" w:rsidRPr="00425648">
        <w:rPr>
          <w:szCs w:val="24"/>
        </w:rPr>
        <w:t xml:space="preserve"> million</w:t>
      </w:r>
      <w:r w:rsidR="00503FDB">
        <w:rPr>
          <w:szCs w:val="24"/>
        </w:rPr>
        <w:t xml:space="preserve"> to &lt; $50 million</w:t>
      </w:r>
      <w:r w:rsidR="00E33503" w:rsidRPr="00425648">
        <w:rPr>
          <w:szCs w:val="24"/>
        </w:rPr>
        <w:t xml:space="preserve"> in the previous submission</w:t>
      </w:r>
      <w:r w:rsidRPr="00425648">
        <w:rPr>
          <w:szCs w:val="24"/>
        </w:rPr>
        <w:t xml:space="preserve">. </w:t>
      </w:r>
      <w:r w:rsidR="00E33503" w:rsidRPr="00425648">
        <w:rPr>
          <w:szCs w:val="24"/>
        </w:rPr>
        <w:t xml:space="preserve">This </w:t>
      </w:r>
      <w:r w:rsidR="0048334D">
        <w:rPr>
          <w:szCs w:val="24"/>
        </w:rPr>
        <w:t xml:space="preserve">increase </w:t>
      </w:r>
      <w:r w:rsidR="00E33503" w:rsidRPr="00425648">
        <w:rPr>
          <w:szCs w:val="24"/>
        </w:rPr>
        <w:t xml:space="preserve">was driven by the higher </w:t>
      </w:r>
      <w:r w:rsidR="00A67748" w:rsidRPr="00425648">
        <w:rPr>
          <w:szCs w:val="24"/>
        </w:rPr>
        <w:t xml:space="preserve">projected </w:t>
      </w:r>
      <w:r w:rsidR="00E33503" w:rsidRPr="00425648">
        <w:rPr>
          <w:szCs w:val="24"/>
        </w:rPr>
        <w:t xml:space="preserve">Australian population </w:t>
      </w:r>
      <w:r w:rsidR="00A67748" w:rsidRPr="00425648">
        <w:rPr>
          <w:szCs w:val="24"/>
        </w:rPr>
        <w:t>(</w:t>
      </w:r>
      <w:r w:rsidR="00E33503" w:rsidRPr="00391F8C">
        <w:rPr>
          <w:szCs w:val="24"/>
        </w:rPr>
        <w:t xml:space="preserve">given that estimates are based on 2021 – </w:t>
      </w:r>
      <w:r w:rsidR="00A67748" w:rsidRPr="00391F8C">
        <w:rPr>
          <w:szCs w:val="24"/>
        </w:rPr>
        <w:t>2026, instead</w:t>
      </w:r>
      <w:r w:rsidR="00E33503" w:rsidRPr="00391F8C">
        <w:rPr>
          <w:szCs w:val="24"/>
        </w:rPr>
        <w:t xml:space="preserve"> of 2020 </w:t>
      </w:r>
      <w:r w:rsidR="00A67748" w:rsidRPr="00391F8C">
        <w:rPr>
          <w:szCs w:val="24"/>
        </w:rPr>
        <w:t>–</w:t>
      </w:r>
      <w:r w:rsidR="00E33503" w:rsidRPr="00391F8C">
        <w:rPr>
          <w:szCs w:val="24"/>
        </w:rPr>
        <w:t xml:space="preserve"> 20</w:t>
      </w:r>
      <w:r w:rsidR="00A67748" w:rsidRPr="00391F8C">
        <w:rPr>
          <w:szCs w:val="24"/>
        </w:rPr>
        <w:t>25) and the higher</w:t>
      </w:r>
      <w:r w:rsidR="00E33503" w:rsidRPr="00391F8C">
        <w:rPr>
          <w:szCs w:val="24"/>
        </w:rPr>
        <w:t xml:space="preserve"> estimated uptake rate</w:t>
      </w:r>
      <w:r w:rsidR="00A67748" w:rsidRPr="00391F8C">
        <w:rPr>
          <w:szCs w:val="24"/>
        </w:rPr>
        <w:t xml:space="preserve">s. </w:t>
      </w:r>
      <w:r w:rsidRPr="00391F8C">
        <w:rPr>
          <w:szCs w:val="24"/>
        </w:rPr>
        <w:t>The estimates did not include any changes to the use</w:t>
      </w:r>
      <w:r w:rsidRPr="00425648">
        <w:rPr>
          <w:szCs w:val="24"/>
        </w:rPr>
        <w:t xml:space="preserve"> of other medications on the PBS</w:t>
      </w:r>
      <w:r w:rsidR="00ED5F9E" w:rsidRPr="00425648">
        <w:rPr>
          <w:szCs w:val="24"/>
        </w:rPr>
        <w:t>/RPBS</w:t>
      </w:r>
      <w:r w:rsidRPr="00425648">
        <w:rPr>
          <w:szCs w:val="24"/>
        </w:rPr>
        <w:t xml:space="preserve"> or other healthcare resources,</w:t>
      </w:r>
      <w:r w:rsidRPr="00425648">
        <w:rPr>
          <w:iCs/>
          <w:szCs w:val="24"/>
        </w:rPr>
        <w:t xml:space="preserve"> which was reasonable.</w:t>
      </w:r>
    </w:p>
    <w:p w:rsidR="00172AD3" w:rsidRPr="004C3AB5" w:rsidRDefault="002F6668" w:rsidP="00941600">
      <w:pPr>
        <w:pStyle w:val="ListParagraph"/>
        <w:widowControl/>
        <w:numPr>
          <w:ilvl w:val="1"/>
          <w:numId w:val="1"/>
        </w:numPr>
        <w:rPr>
          <w:iCs/>
          <w:szCs w:val="24"/>
        </w:rPr>
      </w:pPr>
      <w:r w:rsidRPr="004C3AB5">
        <w:rPr>
          <w:iCs/>
          <w:szCs w:val="24"/>
        </w:rPr>
        <w:t>The</w:t>
      </w:r>
      <w:r w:rsidR="00E84EF0">
        <w:rPr>
          <w:iCs/>
          <w:szCs w:val="24"/>
        </w:rPr>
        <w:t xml:space="preserve"> PBAC agreed with the</w:t>
      </w:r>
      <w:r w:rsidRPr="004C3AB5">
        <w:rPr>
          <w:iCs/>
          <w:szCs w:val="24"/>
        </w:rPr>
        <w:t xml:space="preserve"> ESC that the financial estimates were likely over estimated as the proportion of patients meeting the PBS eligibility criteria and the uptake rates were likely overestimated. The ESC also noted that the </w:t>
      </w:r>
      <w:r w:rsidR="00172AD3" w:rsidRPr="004C3AB5">
        <w:rPr>
          <w:iCs/>
          <w:szCs w:val="24"/>
        </w:rPr>
        <w:t xml:space="preserve">prevalence estimates identified in the </w:t>
      </w:r>
      <w:r w:rsidR="00841EA7" w:rsidRPr="004C3AB5">
        <w:rPr>
          <w:iCs/>
          <w:szCs w:val="24"/>
        </w:rPr>
        <w:t>re</w:t>
      </w:r>
      <w:r w:rsidR="00172AD3" w:rsidRPr="004C3AB5">
        <w:rPr>
          <w:iCs/>
          <w:szCs w:val="24"/>
        </w:rPr>
        <w:t xml:space="preserve">submission </w:t>
      </w:r>
      <w:r w:rsidR="00ED5F9E" w:rsidRPr="004C3AB5">
        <w:rPr>
          <w:iCs/>
          <w:szCs w:val="24"/>
        </w:rPr>
        <w:t>varied widely (</w:t>
      </w:r>
      <w:r w:rsidR="00172AD3" w:rsidRPr="004C3AB5">
        <w:rPr>
          <w:iCs/>
          <w:szCs w:val="24"/>
        </w:rPr>
        <w:t>from 50 to 79 patients per 100,000</w:t>
      </w:r>
      <w:r w:rsidR="00ED5F9E" w:rsidRPr="004C3AB5">
        <w:rPr>
          <w:iCs/>
          <w:szCs w:val="24"/>
        </w:rPr>
        <w:t>)</w:t>
      </w:r>
      <w:r w:rsidRPr="004C3AB5">
        <w:rPr>
          <w:iCs/>
          <w:szCs w:val="24"/>
        </w:rPr>
        <w:t xml:space="preserve">. </w:t>
      </w:r>
      <w:r w:rsidR="00172AD3" w:rsidRPr="004C3AB5">
        <w:rPr>
          <w:iCs/>
          <w:szCs w:val="24"/>
        </w:rPr>
        <w:t xml:space="preserve"> </w:t>
      </w:r>
    </w:p>
    <w:p w:rsidR="0088249A" w:rsidRPr="00F16989" w:rsidRDefault="006C6CE9" w:rsidP="00F16989">
      <w:pPr>
        <w:pStyle w:val="ListParagraph"/>
        <w:widowControl/>
        <w:numPr>
          <w:ilvl w:val="1"/>
          <w:numId w:val="1"/>
        </w:numPr>
        <w:rPr>
          <w:szCs w:val="24"/>
        </w:rPr>
      </w:pPr>
      <w:r w:rsidRPr="00425648">
        <w:rPr>
          <w:iCs/>
        </w:rPr>
        <w:t xml:space="preserve">Given the high unmet clinical need </w:t>
      </w:r>
      <w:r w:rsidRPr="00425648">
        <w:rPr>
          <w:szCs w:val="24"/>
        </w:rPr>
        <w:t>in patients with highly active SLE</w:t>
      </w:r>
      <w:r w:rsidRPr="00425648">
        <w:rPr>
          <w:iCs/>
        </w:rPr>
        <w:t xml:space="preserve">, the risk of </w:t>
      </w:r>
      <w:r w:rsidR="0048334D">
        <w:rPr>
          <w:iCs/>
        </w:rPr>
        <w:t>use outside the restriction</w:t>
      </w:r>
      <w:r w:rsidR="0048334D" w:rsidRPr="00425648">
        <w:rPr>
          <w:iCs/>
        </w:rPr>
        <w:t xml:space="preserve"> </w:t>
      </w:r>
      <w:r w:rsidRPr="00425648">
        <w:rPr>
          <w:iCs/>
        </w:rPr>
        <w:t xml:space="preserve">is high because </w:t>
      </w:r>
      <w:r w:rsidRPr="00425648">
        <w:t xml:space="preserve">only a small </w:t>
      </w:r>
      <w:r w:rsidRPr="006B2308">
        <w:t>subpopulation of SLE patients are anticipated to meet the proposed PBS restriction</w:t>
      </w:r>
      <w:r w:rsidRPr="006B2308">
        <w:rPr>
          <w:iCs/>
        </w:rPr>
        <w:t>.</w:t>
      </w:r>
      <w:r w:rsidR="00A366DF" w:rsidRPr="006B2308">
        <w:rPr>
          <w:iCs/>
        </w:rPr>
        <w:t xml:space="preserve"> Increased use of belimumab </w:t>
      </w:r>
      <w:r w:rsidR="006B2308" w:rsidRPr="006B2308">
        <w:rPr>
          <w:iCs/>
        </w:rPr>
        <w:t xml:space="preserve">in severe </w:t>
      </w:r>
      <w:r w:rsidR="00A366DF" w:rsidRPr="006B2308">
        <w:rPr>
          <w:iCs/>
        </w:rPr>
        <w:t>lupus nephritis may occur outside the PBS restriction, given the positive headline results for BLISS-LN.</w:t>
      </w:r>
    </w:p>
    <w:p w:rsidR="00172AD3" w:rsidRPr="00ED7E3E" w:rsidRDefault="00172AD3" w:rsidP="00D54B00">
      <w:pPr>
        <w:pStyle w:val="Heading2"/>
        <w:keepNext/>
        <w:keepLines/>
      </w:pPr>
      <w:bookmarkStart w:id="23" w:name="_Toc40113258"/>
      <w:r w:rsidRPr="00ED7E3E">
        <w:t>Quality Use of Medicines</w:t>
      </w:r>
      <w:bookmarkEnd w:id="23"/>
    </w:p>
    <w:p w:rsidR="00172AD3" w:rsidRPr="00ED7E3E" w:rsidRDefault="00172AD3" w:rsidP="00D54B00">
      <w:pPr>
        <w:keepNext/>
        <w:keepLines/>
        <w:widowControl/>
      </w:pPr>
    </w:p>
    <w:p w:rsidR="00172AD3" w:rsidRPr="00ED7E3E" w:rsidRDefault="00935E41" w:rsidP="00D54B00">
      <w:pPr>
        <w:pStyle w:val="ListParagraph"/>
        <w:keepNext/>
        <w:keepLines/>
        <w:widowControl/>
        <w:numPr>
          <w:ilvl w:val="1"/>
          <w:numId w:val="1"/>
        </w:numPr>
      </w:pPr>
      <w:r w:rsidRPr="00EB473F">
        <w:t>No quality use of medicines information was presented in the resubmission</w:t>
      </w:r>
      <w:r w:rsidRPr="00EB473F">
        <w:rPr>
          <w:iCs/>
          <w:szCs w:val="20"/>
        </w:rPr>
        <w:t xml:space="preserve">. Previously, DUSC considered that </w:t>
      </w:r>
      <w:r w:rsidRPr="00EB473F">
        <w:rPr>
          <w:color w:val="000000"/>
        </w:rPr>
        <w:t>patient and carer familiarisation on appropriate administration and storage of the injections would be required. DUSC also considered that as SLE most commonly affects women of childbearing age, treatment breaks due to pregnancy might affect duration of treatment (DUSC Advice for the November 2019 PBAC meeting).</w:t>
      </w:r>
    </w:p>
    <w:p w:rsidR="00172AD3" w:rsidRPr="00ED7E3E" w:rsidRDefault="00172AD3" w:rsidP="00172AD3">
      <w:pPr>
        <w:pStyle w:val="Heading2"/>
      </w:pPr>
      <w:bookmarkStart w:id="24" w:name="_Toc40113259"/>
      <w:r w:rsidRPr="00ED7E3E">
        <w:t>Financial Management – Risk Sharing Arrangements</w:t>
      </w:r>
      <w:bookmarkEnd w:id="24"/>
    </w:p>
    <w:p w:rsidR="00172AD3" w:rsidRPr="00ED7E3E" w:rsidRDefault="00172AD3" w:rsidP="00172AD3">
      <w:pPr>
        <w:widowControl/>
      </w:pPr>
    </w:p>
    <w:p w:rsidR="00AC2022" w:rsidRPr="004661B2" w:rsidRDefault="00935E41" w:rsidP="00BD33BD">
      <w:pPr>
        <w:pStyle w:val="ListParagraph"/>
        <w:widowControl/>
        <w:numPr>
          <w:ilvl w:val="1"/>
          <w:numId w:val="1"/>
        </w:numPr>
      </w:pPr>
      <w:r>
        <w:t>In</w:t>
      </w:r>
      <w:r w:rsidRPr="00935E41">
        <w:t xml:space="preserve"> November 2019</w:t>
      </w:r>
      <w:r>
        <w:t xml:space="preserve">, the </w:t>
      </w:r>
      <w:r w:rsidR="00F16989">
        <w:t>PBAC considered that a</w:t>
      </w:r>
      <w:r w:rsidRPr="00935E41">
        <w:t xml:space="preserve"> RSA </w:t>
      </w:r>
      <w:r>
        <w:t xml:space="preserve">with </w:t>
      </w:r>
      <w:r w:rsidRPr="00935E41">
        <w:t xml:space="preserve">a </w:t>
      </w:r>
      <w:r w:rsidR="00C15B75">
        <w:rPr>
          <w:noProof/>
          <w:color w:val="000000"/>
          <w:highlight w:val="black"/>
        </w:rPr>
        <w:t>'''''''''''</w:t>
      </w:r>
      <w:r w:rsidRPr="00935E41">
        <w:t xml:space="preserve"> rebate over the cap would be required given the uncertain patient population, treatment duration and uncertain potential for leakage</w:t>
      </w:r>
      <w:r>
        <w:t xml:space="preserve"> </w:t>
      </w:r>
      <w:r w:rsidRPr="00935E41">
        <w:t>(paragraph 7.14</w:t>
      </w:r>
      <w:r>
        <w:t>, Belimumab PSD November 2019 PBAC meeting</w:t>
      </w:r>
      <w:r w:rsidRPr="00935E41">
        <w:t>)</w:t>
      </w:r>
      <w:r>
        <w:t>.</w:t>
      </w:r>
      <w:r w:rsidRPr="00935E41">
        <w:t xml:space="preserve"> The resubmission (p259) confirmed that the sponsor is amenable to </w:t>
      </w:r>
      <w:r w:rsidRPr="004C3AB5">
        <w:t>discussing appropriate risk sharing arrangements to address any areas of uncertainty to the PBS and the Australian Government. However, it argued that the proposed PBS criteria for belimumab limits use to patients with significant clinical need and who will most likely benefit from treatment. The resubmission argued that this means all belimumab use will be in patients deemed appropriate if approved by the PBAC and as such, there is no risk outside the restriction. It stated that the sponsor should not be penalised with rebates for appropriate use of belimumab due to uncertainty in the patient population and treatment duration.</w:t>
      </w:r>
      <w:r w:rsidR="00F16989" w:rsidRPr="004C3AB5">
        <w:t xml:space="preserve"> </w:t>
      </w:r>
      <w:r w:rsidR="00F16989" w:rsidRPr="004C3AB5">
        <w:rPr>
          <w:iCs/>
        </w:rPr>
        <w:t xml:space="preserve">Given that several contributing factors could lead to an overestimation of the financial implications of belimumab, and the potential for </w:t>
      </w:r>
      <w:r w:rsidR="00ED6CE8">
        <w:rPr>
          <w:iCs/>
        </w:rPr>
        <w:t>use</w:t>
      </w:r>
      <w:r w:rsidR="00ED6CE8" w:rsidRPr="004C3AB5">
        <w:rPr>
          <w:iCs/>
        </w:rPr>
        <w:t xml:space="preserve"> </w:t>
      </w:r>
      <w:r w:rsidR="00F16989" w:rsidRPr="004C3AB5">
        <w:rPr>
          <w:iCs/>
        </w:rPr>
        <w:t>outside the proposed PBS restriction, the ESC maintained the view that a RSA would be required.</w:t>
      </w:r>
      <w:r w:rsidR="00FC235D">
        <w:rPr>
          <w:iCs/>
        </w:rPr>
        <w:t xml:space="preserve"> The sponsor stated in the pre-PBAC response that it will be prepared to enter an appropriate RSA based on the parameters put forward in the resubmission. </w:t>
      </w:r>
      <w:r w:rsidR="00FC235D">
        <w:rPr>
          <w:rFonts w:asciiTheme="minorHAnsi" w:hAnsiTheme="minorHAnsi"/>
          <w:bCs/>
          <w:lang w:val="en-GB"/>
        </w:rPr>
        <w:t xml:space="preserve">The PBAC maintained the view that a </w:t>
      </w:r>
      <w:r w:rsidR="00ED6CE8">
        <w:rPr>
          <w:rFonts w:asciiTheme="minorHAnsi" w:hAnsiTheme="minorHAnsi"/>
          <w:bCs/>
          <w:lang w:val="en-GB"/>
        </w:rPr>
        <w:t xml:space="preserve">RSA with a </w:t>
      </w:r>
      <w:r w:rsidR="00C15B75">
        <w:rPr>
          <w:rFonts w:asciiTheme="minorHAnsi" w:hAnsiTheme="minorHAnsi"/>
          <w:bCs/>
          <w:noProof/>
          <w:color w:val="000000"/>
          <w:highlight w:val="black"/>
          <w:lang w:val="en-GB"/>
        </w:rPr>
        <w:t>''''''''''''</w:t>
      </w:r>
      <w:r w:rsidR="00ED6CE8">
        <w:rPr>
          <w:rFonts w:asciiTheme="minorHAnsi" w:hAnsiTheme="minorHAnsi"/>
          <w:bCs/>
          <w:lang w:val="en-GB"/>
        </w:rPr>
        <w:t xml:space="preserve"> rebate above the cap</w:t>
      </w:r>
      <w:r w:rsidR="00FC235D">
        <w:rPr>
          <w:rFonts w:asciiTheme="minorHAnsi" w:hAnsiTheme="minorHAnsi"/>
          <w:bCs/>
          <w:lang w:val="en-GB"/>
        </w:rPr>
        <w:t xml:space="preserve"> would be required given the uncertain patient population, treatment duration and potential for leakage.</w:t>
      </w:r>
    </w:p>
    <w:p w:rsidR="00AC2022" w:rsidRPr="004C3AB5" w:rsidRDefault="00AC2022" w:rsidP="00AC2022">
      <w:pPr>
        <w:widowControl/>
        <w:ind w:left="510" w:firstLine="170"/>
      </w:pPr>
      <w:r w:rsidRPr="00FC235D">
        <w:rPr>
          <w:rFonts w:asciiTheme="minorHAnsi" w:hAnsiTheme="minorHAnsi"/>
          <w:i/>
        </w:rPr>
        <w:t>For more detail on PBAC’s view, see section 7 PBAC outcome.</w:t>
      </w:r>
    </w:p>
    <w:p w:rsidR="001B7E6B" w:rsidRDefault="001B7E6B">
      <w:pPr>
        <w:widowControl/>
        <w:jc w:val="left"/>
      </w:pPr>
    </w:p>
    <w:p w:rsidR="00630DFD" w:rsidRDefault="004661B2" w:rsidP="004661B2">
      <w:pPr>
        <w:pStyle w:val="PBACHeading1"/>
      </w:pPr>
      <w:r>
        <w:t>PBAC Outcome</w:t>
      </w:r>
    </w:p>
    <w:p w:rsidR="004661B2" w:rsidRPr="004661B2" w:rsidRDefault="004661B2" w:rsidP="004661B2"/>
    <w:p w:rsidR="004661B2" w:rsidRDefault="00B761B6" w:rsidP="004661B2">
      <w:pPr>
        <w:pStyle w:val="ListParagraph"/>
        <w:numPr>
          <w:ilvl w:val="1"/>
          <w:numId w:val="1"/>
        </w:numPr>
        <w:rPr>
          <w:rFonts w:asciiTheme="minorHAnsi" w:hAnsiTheme="minorHAnsi"/>
          <w:bCs/>
          <w:lang w:val="en-GB"/>
        </w:rPr>
      </w:pPr>
      <w:r w:rsidRPr="00630DFD">
        <w:rPr>
          <w:rFonts w:asciiTheme="minorHAnsi" w:hAnsiTheme="minorHAnsi"/>
          <w:bCs/>
          <w:lang w:val="en-GB"/>
        </w:rPr>
        <w:t xml:space="preserve">The PBAC did not recommend belimumab for the treatment of patients with active auto-antibody positive SLE with a high degree of disease activity despite ongoing standard therapy. The PBAC </w:t>
      </w:r>
      <w:r w:rsidR="00612A31" w:rsidRPr="00630DFD">
        <w:rPr>
          <w:rFonts w:asciiTheme="minorHAnsi" w:hAnsiTheme="minorHAnsi"/>
          <w:bCs/>
          <w:lang w:val="en-GB"/>
        </w:rPr>
        <w:t>maintained its view</w:t>
      </w:r>
      <w:r w:rsidR="0018421E" w:rsidRPr="00630DFD">
        <w:rPr>
          <w:rFonts w:asciiTheme="minorHAnsi" w:hAnsiTheme="minorHAnsi"/>
          <w:bCs/>
          <w:lang w:val="en-GB"/>
        </w:rPr>
        <w:t xml:space="preserve"> from November 2019</w:t>
      </w:r>
      <w:r w:rsidRPr="00630DFD">
        <w:rPr>
          <w:rFonts w:asciiTheme="minorHAnsi" w:hAnsiTheme="minorHAnsi"/>
          <w:bCs/>
          <w:lang w:val="en-GB"/>
        </w:rPr>
        <w:t xml:space="preserve"> that the evidence demonstrated a modest clinical benefit</w:t>
      </w:r>
      <w:r w:rsidR="00630DFD">
        <w:rPr>
          <w:rFonts w:asciiTheme="minorHAnsi" w:hAnsiTheme="minorHAnsi"/>
          <w:bCs/>
          <w:lang w:val="en-GB"/>
        </w:rPr>
        <w:t xml:space="preserve"> </w:t>
      </w:r>
      <w:r w:rsidR="00630DFD" w:rsidRPr="00630DFD">
        <w:rPr>
          <w:rFonts w:asciiTheme="minorHAnsi" w:hAnsiTheme="minorHAnsi"/>
          <w:bCs/>
          <w:lang w:val="en-GB"/>
        </w:rPr>
        <w:t>in a subset of patients</w:t>
      </w:r>
      <w:r w:rsidRPr="00630DFD">
        <w:rPr>
          <w:rFonts w:asciiTheme="minorHAnsi" w:hAnsiTheme="minorHAnsi"/>
          <w:bCs/>
          <w:lang w:val="en-GB"/>
        </w:rPr>
        <w:t>. The PBAC considered that the</w:t>
      </w:r>
      <w:r w:rsidR="00612A31" w:rsidRPr="00630DFD">
        <w:rPr>
          <w:rFonts w:asciiTheme="minorHAnsi" w:hAnsiTheme="minorHAnsi"/>
          <w:bCs/>
          <w:lang w:val="en-GB"/>
        </w:rPr>
        <w:t xml:space="preserve"> incremental cost effectiveness ratio (ICER) </w:t>
      </w:r>
      <w:r w:rsidR="00630DFD" w:rsidRPr="00630DFD">
        <w:rPr>
          <w:rFonts w:asciiTheme="minorHAnsi" w:hAnsiTheme="minorHAnsi"/>
          <w:bCs/>
          <w:lang w:val="en-GB"/>
        </w:rPr>
        <w:t>was likely to have been underestimated by the submission</w:t>
      </w:r>
      <w:r w:rsidR="00630DFD">
        <w:rPr>
          <w:rFonts w:asciiTheme="minorHAnsi" w:hAnsiTheme="minorHAnsi"/>
          <w:bCs/>
          <w:lang w:val="en-GB"/>
        </w:rPr>
        <w:t>, and that a price reduction would be required for belimumab to be considered suitably cost-effective</w:t>
      </w:r>
      <w:r w:rsidRPr="00630DFD">
        <w:rPr>
          <w:rFonts w:asciiTheme="minorHAnsi" w:hAnsiTheme="minorHAnsi"/>
          <w:bCs/>
          <w:lang w:val="en-GB"/>
        </w:rPr>
        <w:t>.</w:t>
      </w:r>
      <w:r w:rsidR="00630DFD">
        <w:rPr>
          <w:rFonts w:asciiTheme="minorHAnsi" w:hAnsiTheme="minorHAnsi"/>
          <w:bCs/>
          <w:lang w:val="en-GB"/>
        </w:rPr>
        <w:t xml:space="preserve"> The PBAC </w:t>
      </w:r>
      <w:r w:rsidR="002431A0">
        <w:rPr>
          <w:rFonts w:asciiTheme="minorHAnsi" w:hAnsiTheme="minorHAnsi"/>
          <w:bCs/>
          <w:lang w:val="en-GB"/>
        </w:rPr>
        <w:t xml:space="preserve">also </w:t>
      </w:r>
      <w:r w:rsidR="00630DFD">
        <w:rPr>
          <w:rFonts w:asciiTheme="minorHAnsi" w:hAnsiTheme="minorHAnsi"/>
          <w:bCs/>
          <w:lang w:val="en-GB"/>
        </w:rPr>
        <w:t>considered that the financial estimates were overestimated.</w:t>
      </w:r>
    </w:p>
    <w:p w:rsidR="00967170" w:rsidRPr="004661B2" w:rsidRDefault="00967170" w:rsidP="004661B2">
      <w:pPr>
        <w:pStyle w:val="ListParagraph"/>
        <w:numPr>
          <w:ilvl w:val="1"/>
          <w:numId w:val="1"/>
        </w:numPr>
        <w:rPr>
          <w:rFonts w:asciiTheme="minorHAnsi" w:hAnsiTheme="minorHAnsi"/>
          <w:bCs/>
          <w:lang w:val="en-GB"/>
        </w:rPr>
      </w:pPr>
      <w:r w:rsidRPr="004661B2">
        <w:rPr>
          <w:rFonts w:asciiTheme="minorHAnsi" w:hAnsiTheme="minorHAnsi"/>
          <w:bCs/>
          <w:lang w:val="en-GB"/>
        </w:rPr>
        <w:t xml:space="preserve">The PBAC acknowledged the clinical need for effective treatments for SLE, particularly for the group of patients who are not responding to current therapies. </w:t>
      </w:r>
      <w:r w:rsidRPr="004661B2">
        <w:rPr>
          <w:rFonts w:asciiTheme="minorHAnsi" w:hAnsiTheme="minorHAnsi"/>
          <w:bCs/>
        </w:rPr>
        <w:t>The PBAC noted the consumer comments describing the desire for a specific treatment option in this setting</w:t>
      </w:r>
      <w:r w:rsidRPr="004661B2">
        <w:rPr>
          <w:rFonts w:asciiTheme="minorHAnsi" w:hAnsiTheme="minorHAnsi"/>
          <w:bCs/>
          <w:lang w:val="en-GB"/>
        </w:rPr>
        <w:t xml:space="preserve">. </w:t>
      </w:r>
    </w:p>
    <w:p w:rsidR="00BC6EE2" w:rsidRDefault="00BC6EE2" w:rsidP="00FF5DDA">
      <w:pPr>
        <w:numPr>
          <w:ilvl w:val="1"/>
          <w:numId w:val="1"/>
        </w:numPr>
        <w:spacing w:after="160"/>
        <w:rPr>
          <w:rFonts w:asciiTheme="minorHAnsi" w:hAnsiTheme="minorHAnsi"/>
          <w:bCs/>
          <w:lang w:val="en-GB"/>
        </w:rPr>
      </w:pPr>
      <w:r>
        <w:rPr>
          <w:rFonts w:asciiTheme="minorHAnsi" w:hAnsiTheme="minorHAnsi"/>
          <w:bCs/>
          <w:lang w:val="en-GB"/>
        </w:rPr>
        <w:t xml:space="preserve">The PBAC noted that, unchanged from the November 2019 submission, standard of care (SOC) was the </w:t>
      </w:r>
      <w:r w:rsidR="00670005">
        <w:rPr>
          <w:rFonts w:asciiTheme="minorHAnsi" w:hAnsiTheme="minorHAnsi"/>
          <w:bCs/>
          <w:lang w:val="en-GB"/>
        </w:rPr>
        <w:t xml:space="preserve">nominated </w:t>
      </w:r>
      <w:r>
        <w:rPr>
          <w:rFonts w:asciiTheme="minorHAnsi" w:hAnsiTheme="minorHAnsi"/>
          <w:bCs/>
          <w:lang w:val="en-GB"/>
        </w:rPr>
        <w:t xml:space="preserve">comparator and </w:t>
      </w:r>
      <w:r w:rsidR="00670005">
        <w:rPr>
          <w:rFonts w:asciiTheme="minorHAnsi" w:hAnsiTheme="minorHAnsi"/>
          <w:bCs/>
          <w:lang w:val="en-GB"/>
        </w:rPr>
        <w:t xml:space="preserve">considered </w:t>
      </w:r>
      <w:r>
        <w:rPr>
          <w:rFonts w:asciiTheme="minorHAnsi" w:hAnsiTheme="minorHAnsi"/>
          <w:bCs/>
          <w:lang w:val="en-GB"/>
        </w:rPr>
        <w:t>that this was appropriate.</w:t>
      </w:r>
    </w:p>
    <w:p w:rsidR="00BC6EE2" w:rsidRDefault="0018421E" w:rsidP="00741089">
      <w:pPr>
        <w:numPr>
          <w:ilvl w:val="1"/>
          <w:numId w:val="1"/>
        </w:numPr>
        <w:spacing w:after="160"/>
        <w:rPr>
          <w:rFonts w:asciiTheme="minorHAnsi" w:hAnsiTheme="minorHAnsi"/>
          <w:bCs/>
          <w:lang w:val="en-GB"/>
        </w:rPr>
      </w:pPr>
      <w:r>
        <w:rPr>
          <w:rFonts w:asciiTheme="minorHAnsi" w:hAnsiTheme="minorHAnsi"/>
          <w:bCs/>
          <w:lang w:val="en-GB"/>
        </w:rPr>
        <w:t xml:space="preserve">The PBAC noted that the clinical evidence was </w:t>
      </w:r>
      <w:r w:rsidR="00A87FF1">
        <w:rPr>
          <w:rFonts w:asciiTheme="minorHAnsi" w:hAnsiTheme="minorHAnsi"/>
          <w:bCs/>
          <w:lang w:val="en-GB"/>
        </w:rPr>
        <w:t xml:space="preserve">largely </w:t>
      </w:r>
      <w:r>
        <w:rPr>
          <w:rFonts w:asciiTheme="minorHAnsi" w:hAnsiTheme="minorHAnsi"/>
          <w:bCs/>
          <w:lang w:val="en-GB"/>
        </w:rPr>
        <w:t xml:space="preserve">unchanged from the </w:t>
      </w:r>
      <w:r w:rsidR="00630DFD">
        <w:rPr>
          <w:rFonts w:asciiTheme="minorHAnsi" w:hAnsiTheme="minorHAnsi"/>
          <w:bCs/>
          <w:lang w:val="en-GB"/>
        </w:rPr>
        <w:t xml:space="preserve">November 2019 </w:t>
      </w:r>
      <w:r>
        <w:rPr>
          <w:rFonts w:asciiTheme="minorHAnsi" w:hAnsiTheme="minorHAnsi"/>
          <w:bCs/>
          <w:lang w:val="en-GB"/>
        </w:rPr>
        <w:t>submission</w:t>
      </w:r>
      <w:r w:rsidR="006B57DE">
        <w:rPr>
          <w:rFonts w:asciiTheme="minorHAnsi" w:hAnsiTheme="minorHAnsi"/>
          <w:bCs/>
          <w:lang w:val="en-GB"/>
        </w:rPr>
        <w:t xml:space="preserve">, although additional analyses </w:t>
      </w:r>
      <w:r w:rsidR="00670005">
        <w:rPr>
          <w:rFonts w:asciiTheme="minorHAnsi" w:hAnsiTheme="minorHAnsi"/>
          <w:bCs/>
          <w:lang w:val="en-GB"/>
        </w:rPr>
        <w:t xml:space="preserve">of </w:t>
      </w:r>
      <w:r w:rsidR="006B57DE">
        <w:rPr>
          <w:rFonts w:asciiTheme="minorHAnsi" w:hAnsiTheme="minorHAnsi"/>
          <w:bCs/>
          <w:lang w:val="en-GB"/>
        </w:rPr>
        <w:t>Systemic Lupus Damage Index (SDI) outcomes were presented</w:t>
      </w:r>
      <w:r>
        <w:rPr>
          <w:rFonts w:asciiTheme="minorHAnsi" w:hAnsiTheme="minorHAnsi"/>
          <w:bCs/>
          <w:lang w:val="en-GB"/>
        </w:rPr>
        <w:t xml:space="preserve">. The PBAC maintained its view that </w:t>
      </w:r>
      <w:r w:rsidRPr="00A04B69">
        <w:rPr>
          <w:rFonts w:asciiTheme="minorHAnsi" w:hAnsiTheme="minorHAnsi"/>
          <w:bCs/>
          <w:lang w:val="en-GB"/>
        </w:rPr>
        <w:t xml:space="preserve">belimumab demonstrated </w:t>
      </w:r>
      <w:r>
        <w:rPr>
          <w:rFonts w:asciiTheme="minorHAnsi" w:hAnsiTheme="minorHAnsi"/>
          <w:bCs/>
          <w:lang w:val="en-GB"/>
        </w:rPr>
        <w:t xml:space="preserve">a </w:t>
      </w:r>
      <w:r w:rsidRPr="00A04B69">
        <w:rPr>
          <w:rFonts w:asciiTheme="minorHAnsi" w:hAnsiTheme="minorHAnsi"/>
          <w:bCs/>
          <w:lang w:val="en-GB"/>
        </w:rPr>
        <w:t xml:space="preserve">modest </w:t>
      </w:r>
      <w:r>
        <w:rPr>
          <w:rFonts w:asciiTheme="minorHAnsi" w:hAnsiTheme="minorHAnsi"/>
          <w:bCs/>
          <w:lang w:val="en-GB"/>
        </w:rPr>
        <w:t>clinical benefit</w:t>
      </w:r>
      <w:r w:rsidRPr="00A04B69">
        <w:rPr>
          <w:rFonts w:asciiTheme="minorHAnsi" w:hAnsiTheme="minorHAnsi"/>
          <w:bCs/>
          <w:lang w:val="en-GB"/>
        </w:rPr>
        <w:t xml:space="preserve"> compared</w:t>
      </w:r>
      <w:r>
        <w:rPr>
          <w:rFonts w:asciiTheme="minorHAnsi" w:hAnsiTheme="minorHAnsi"/>
          <w:bCs/>
          <w:lang w:val="en-GB"/>
        </w:rPr>
        <w:t xml:space="preserve"> with</w:t>
      </w:r>
      <w:r w:rsidRPr="00A04B69">
        <w:rPr>
          <w:rFonts w:asciiTheme="minorHAnsi" w:hAnsiTheme="minorHAnsi"/>
          <w:bCs/>
          <w:lang w:val="en-GB"/>
        </w:rPr>
        <w:t xml:space="preserve"> placebo</w:t>
      </w:r>
      <w:r>
        <w:rPr>
          <w:rFonts w:asciiTheme="minorHAnsi" w:hAnsiTheme="minorHAnsi"/>
          <w:bCs/>
          <w:lang w:val="en-GB"/>
        </w:rPr>
        <w:t xml:space="preserve">. </w:t>
      </w:r>
      <w:r w:rsidR="00D664D5" w:rsidRPr="00D664D5">
        <w:rPr>
          <w:rFonts w:asciiTheme="minorHAnsi" w:hAnsiTheme="minorHAnsi"/>
          <w:bCs/>
          <w:lang w:val="en-GB"/>
        </w:rPr>
        <w:t xml:space="preserve">The BLISS-SC trial found that belimumab plus SOC resulted in a 13% increase in the proportion of </w:t>
      </w:r>
      <w:r w:rsidR="00741089" w:rsidRPr="00741089">
        <w:rPr>
          <w:rFonts w:asciiTheme="minorHAnsi" w:hAnsiTheme="minorHAnsi"/>
          <w:bCs/>
          <w:lang w:val="en-GB"/>
        </w:rPr>
        <w:t xml:space="preserve">Systemic Lupus Erythematosus Responder Index </w:t>
      </w:r>
      <w:r w:rsidR="00741089">
        <w:rPr>
          <w:rFonts w:asciiTheme="minorHAnsi" w:hAnsiTheme="minorHAnsi"/>
          <w:bCs/>
          <w:lang w:val="en-GB"/>
        </w:rPr>
        <w:t>(</w:t>
      </w:r>
      <w:r w:rsidR="00D664D5" w:rsidRPr="00D664D5">
        <w:rPr>
          <w:rFonts w:asciiTheme="minorHAnsi" w:hAnsiTheme="minorHAnsi"/>
          <w:bCs/>
          <w:lang w:val="en-GB"/>
        </w:rPr>
        <w:t>SRI</w:t>
      </w:r>
      <w:r w:rsidR="00741089">
        <w:rPr>
          <w:rFonts w:asciiTheme="minorHAnsi" w:hAnsiTheme="minorHAnsi"/>
          <w:bCs/>
          <w:lang w:val="en-GB"/>
        </w:rPr>
        <w:t>)</w:t>
      </w:r>
      <w:r w:rsidR="00D664D5" w:rsidRPr="00D664D5">
        <w:rPr>
          <w:rFonts w:asciiTheme="minorHAnsi" w:hAnsiTheme="minorHAnsi"/>
          <w:bCs/>
          <w:lang w:val="en-GB"/>
        </w:rPr>
        <w:t xml:space="preserve"> responders at Week 52 compared with placebo plus SOC (RD = 0.13; 95% CI: 0.06, 0.20).</w:t>
      </w:r>
    </w:p>
    <w:p w:rsidR="009E2DFC" w:rsidRPr="009E2DFC" w:rsidRDefault="00D664D5" w:rsidP="009E2DFC">
      <w:pPr>
        <w:pStyle w:val="ListParagraph"/>
        <w:widowControl/>
        <w:numPr>
          <w:ilvl w:val="1"/>
          <w:numId w:val="1"/>
        </w:numPr>
        <w:spacing w:after="120"/>
        <w:rPr>
          <w:rFonts w:asciiTheme="minorHAnsi" w:hAnsiTheme="minorHAnsi"/>
          <w:bCs/>
          <w:lang w:val="en-GB"/>
        </w:rPr>
      </w:pPr>
      <w:r w:rsidRPr="00D664D5">
        <w:rPr>
          <w:rFonts w:asciiTheme="minorHAnsi" w:hAnsiTheme="minorHAnsi"/>
          <w:bCs/>
          <w:lang w:val="en-GB"/>
        </w:rPr>
        <w:t xml:space="preserve">The PBAC agreed with ESC that </w:t>
      </w:r>
      <w:r w:rsidRPr="004C3AB5">
        <w:t xml:space="preserve">it is clinically plausible to expect a benefit </w:t>
      </w:r>
      <w:r>
        <w:t xml:space="preserve">in SDI progression with belimumab, but that </w:t>
      </w:r>
      <w:r w:rsidRPr="004C3AB5">
        <w:t>the</w:t>
      </w:r>
      <w:r>
        <w:t xml:space="preserve"> magnitude of the</w:t>
      </w:r>
      <w:r w:rsidRPr="004C3AB5">
        <w:t xml:space="preserve"> effect on SDI</w:t>
      </w:r>
      <w:r>
        <w:t xml:space="preserve"> progression remains uncertain </w:t>
      </w:r>
      <w:r w:rsidRPr="004C3AB5">
        <w:t>given</w:t>
      </w:r>
      <w:r w:rsidR="009E2DFC">
        <w:t>:</w:t>
      </w:r>
    </w:p>
    <w:p w:rsidR="009E2DFC" w:rsidRPr="009E2DFC" w:rsidRDefault="00D664D5" w:rsidP="009E2DFC">
      <w:pPr>
        <w:pStyle w:val="ListParagraph"/>
        <w:widowControl/>
        <w:numPr>
          <w:ilvl w:val="0"/>
          <w:numId w:val="22"/>
        </w:numPr>
        <w:spacing w:after="0"/>
        <w:ind w:left="1276" w:hanging="425"/>
        <w:rPr>
          <w:rFonts w:asciiTheme="minorHAnsi" w:hAnsiTheme="minorHAnsi"/>
          <w:bCs/>
          <w:lang w:val="en-GB"/>
        </w:rPr>
      </w:pPr>
      <w:r w:rsidRPr="004C3AB5">
        <w:t>the lack of statistically significant result</w:t>
      </w:r>
      <w:r>
        <w:t>s</w:t>
      </w:r>
      <w:r w:rsidRPr="004C3AB5">
        <w:t xml:space="preserve"> for most measures of organ damage progression, but acknowledging the short duration of the </w:t>
      </w:r>
      <w:r w:rsidR="009E2DFC">
        <w:t>studies</w:t>
      </w:r>
      <w:r w:rsidR="009E2DFC" w:rsidRPr="004C3AB5">
        <w:t xml:space="preserve"> and that the </w:t>
      </w:r>
      <w:r w:rsidR="009E2DFC">
        <w:t>studies</w:t>
      </w:r>
      <w:r w:rsidR="009E2DFC" w:rsidRPr="004C3AB5">
        <w:t xml:space="preserve"> </w:t>
      </w:r>
      <w:r w:rsidRPr="004C3AB5">
        <w:t>we</w:t>
      </w:r>
      <w:r>
        <w:t xml:space="preserve">re not powered for this </w:t>
      </w:r>
      <w:r w:rsidRPr="009E2DFC">
        <w:t>outcome</w:t>
      </w:r>
      <w:r w:rsidR="009E2DFC" w:rsidRPr="009E2DFC">
        <w:t>;</w:t>
      </w:r>
      <w:r w:rsidRPr="009E2DFC">
        <w:t xml:space="preserve"> </w:t>
      </w:r>
    </w:p>
    <w:p w:rsidR="009E2DFC" w:rsidRPr="009E2DFC" w:rsidRDefault="009E2DFC" w:rsidP="009E2DFC">
      <w:pPr>
        <w:pStyle w:val="ListParagraph"/>
        <w:widowControl/>
        <w:numPr>
          <w:ilvl w:val="0"/>
          <w:numId w:val="22"/>
        </w:numPr>
        <w:spacing w:after="0"/>
        <w:ind w:left="1276" w:hanging="425"/>
      </w:pPr>
      <w:r w:rsidRPr="009E2DFC">
        <w:t>the magnitude of the effect varied between studies;</w:t>
      </w:r>
      <w:r>
        <w:t xml:space="preserve"> and</w:t>
      </w:r>
    </w:p>
    <w:p w:rsidR="00D664D5" w:rsidRPr="00D664D5" w:rsidRDefault="009E2DFC" w:rsidP="009E2DFC">
      <w:pPr>
        <w:pStyle w:val="ListParagraph"/>
        <w:widowControl/>
        <w:numPr>
          <w:ilvl w:val="0"/>
          <w:numId w:val="22"/>
        </w:numPr>
        <w:spacing w:after="120"/>
        <w:ind w:left="1276" w:hanging="425"/>
        <w:rPr>
          <w:rFonts w:asciiTheme="minorHAnsi" w:hAnsiTheme="minorHAnsi"/>
          <w:bCs/>
          <w:lang w:val="en-GB"/>
        </w:rPr>
      </w:pPr>
      <w:r>
        <w:t>t</w:t>
      </w:r>
      <w:r w:rsidRPr="009E2DFC">
        <w:t xml:space="preserve">he handling of patients lost to follow- up differed </w:t>
      </w:r>
      <w:r w:rsidR="00A87FF1">
        <w:t>between the</w:t>
      </w:r>
      <w:r w:rsidRPr="009E2DFC">
        <w:t xml:space="preserve"> measure</w:t>
      </w:r>
      <w:r w:rsidR="00A87FF1">
        <w:t>s</w:t>
      </w:r>
      <w:r w:rsidRPr="009E2DFC">
        <w:t xml:space="preserve"> and reached statistical significance for the outcome of ‘patients remaining free from SDI progression’, in which patients lost to follow-up (who were more prevalent in the SOC arm) were assumed to be treatment failures</w:t>
      </w:r>
      <w:r>
        <w:t xml:space="preserve">. </w:t>
      </w:r>
    </w:p>
    <w:p w:rsidR="00394F17" w:rsidRPr="004C3AB5" w:rsidRDefault="003A317B" w:rsidP="00394F17">
      <w:pPr>
        <w:pStyle w:val="ListParagraph"/>
        <w:widowControl/>
        <w:numPr>
          <w:ilvl w:val="1"/>
          <w:numId w:val="1"/>
        </w:numPr>
      </w:pPr>
      <w:r w:rsidRPr="00BB6129">
        <w:rPr>
          <w:rFonts w:asciiTheme="minorHAnsi" w:hAnsiTheme="minorHAnsi"/>
          <w:bCs/>
          <w:lang w:val="en-GB"/>
        </w:rPr>
        <w:t>The PBAC</w:t>
      </w:r>
      <w:r w:rsidR="009E2DFC">
        <w:rPr>
          <w:rFonts w:asciiTheme="minorHAnsi" w:hAnsiTheme="minorHAnsi"/>
          <w:bCs/>
          <w:lang w:val="en-GB"/>
        </w:rPr>
        <w:t xml:space="preserve"> considered that the resubmission had likely underestimated the ICER as</w:t>
      </w:r>
      <w:r w:rsidR="00230E5C">
        <w:rPr>
          <w:rFonts w:asciiTheme="minorHAnsi" w:hAnsiTheme="minorHAnsi"/>
          <w:bCs/>
          <w:lang w:val="en-GB"/>
        </w:rPr>
        <w:t xml:space="preserve"> some of the </w:t>
      </w:r>
      <w:r w:rsidRPr="00BB6129">
        <w:rPr>
          <w:rFonts w:asciiTheme="minorHAnsi" w:hAnsiTheme="minorHAnsi"/>
          <w:bCs/>
          <w:lang w:val="en-GB"/>
        </w:rPr>
        <w:t xml:space="preserve">assumptions </w:t>
      </w:r>
      <w:r w:rsidR="00230E5C">
        <w:rPr>
          <w:rFonts w:asciiTheme="minorHAnsi" w:hAnsiTheme="minorHAnsi"/>
          <w:bCs/>
          <w:lang w:val="en-GB"/>
        </w:rPr>
        <w:t xml:space="preserve">applied in </w:t>
      </w:r>
      <w:r w:rsidRPr="00BB6129">
        <w:rPr>
          <w:rFonts w:asciiTheme="minorHAnsi" w:hAnsiTheme="minorHAnsi"/>
          <w:bCs/>
          <w:lang w:val="en-GB"/>
        </w:rPr>
        <w:t>the economic model may not be reasonable and likely favoured belimumab.</w:t>
      </w:r>
      <w:r w:rsidR="00BB6129" w:rsidRPr="00BB6129">
        <w:rPr>
          <w:rFonts w:asciiTheme="minorHAnsi" w:hAnsiTheme="minorHAnsi"/>
          <w:bCs/>
          <w:lang w:val="en-GB"/>
        </w:rPr>
        <w:t xml:space="preserve"> The PBAC consi</w:t>
      </w:r>
      <w:r w:rsidR="00BB6129">
        <w:rPr>
          <w:rFonts w:asciiTheme="minorHAnsi" w:hAnsiTheme="minorHAnsi"/>
          <w:bCs/>
          <w:lang w:val="en-GB"/>
        </w:rPr>
        <w:t>dered that a key issue was that t</w:t>
      </w:r>
      <w:r w:rsidR="00BB6129" w:rsidRPr="00BB6129">
        <w:rPr>
          <w:rFonts w:asciiTheme="minorHAnsi" w:hAnsiTheme="minorHAnsi"/>
          <w:bCs/>
          <w:lang w:val="en-GB"/>
        </w:rPr>
        <w:t xml:space="preserve">he </w:t>
      </w:r>
      <w:r w:rsidR="00BB6129">
        <w:rPr>
          <w:rFonts w:asciiTheme="minorHAnsi" w:hAnsiTheme="minorHAnsi"/>
          <w:bCs/>
          <w:lang w:val="en-GB"/>
        </w:rPr>
        <w:t xml:space="preserve">economic </w:t>
      </w:r>
      <w:r w:rsidR="00BB6129" w:rsidRPr="00BB6129">
        <w:rPr>
          <w:rFonts w:asciiTheme="minorHAnsi" w:hAnsiTheme="minorHAnsi"/>
          <w:bCs/>
          <w:lang w:val="en-GB"/>
        </w:rPr>
        <w:t xml:space="preserve">model did not apply the utility values as recommended by the ESC previously (which were the EQ-5D estimates by SDI health state in Aggarwal 2009); rather it retained the utility values from Wang 2014 (EQ-5D estimates by SLEDAI). </w:t>
      </w:r>
      <w:r w:rsidR="00394F17" w:rsidRPr="006F70D8">
        <w:t xml:space="preserve">The PBAC </w:t>
      </w:r>
      <w:r w:rsidR="00394F17">
        <w:t xml:space="preserve">considered that the large difference in QALYs generated using the Wang 2014 utilities was not adequately justified. The PBAC considered that it would be implausible for patients to have the same quality of life regardless of their SDI level. While acknowledging that using the </w:t>
      </w:r>
      <w:r w:rsidR="00394F17" w:rsidRPr="006F70D8">
        <w:t xml:space="preserve">Aggarwal 2009 </w:t>
      </w:r>
      <w:r w:rsidR="00394F17">
        <w:t>utilities would result in patients having the same quality of life regardless of SLEDAI response, the PBAC considered that it was more reasonable to base the utilities on SDI progression (using Aggarwal 2009), given the longer term aim of treatment is to avoid organ damage. Overall, the PBAC considered</w:t>
      </w:r>
      <w:r w:rsidR="00394F17" w:rsidRPr="006F70D8">
        <w:t xml:space="preserve"> that the utilities based on SDI health state from Aggarwal 2009 were more appropriate</w:t>
      </w:r>
      <w:r w:rsidR="00394F17">
        <w:t xml:space="preserve"> than the utilities based on SLEDAI response from Wang 2014</w:t>
      </w:r>
      <w:r w:rsidR="00394F17" w:rsidRPr="006F70D8">
        <w:t>.</w:t>
      </w:r>
    </w:p>
    <w:p w:rsidR="00BB6129" w:rsidRDefault="00BB6129" w:rsidP="00FF5DDA">
      <w:pPr>
        <w:numPr>
          <w:ilvl w:val="1"/>
          <w:numId w:val="1"/>
        </w:numPr>
        <w:spacing w:after="160"/>
        <w:rPr>
          <w:rFonts w:asciiTheme="minorHAnsi" w:hAnsiTheme="minorHAnsi"/>
          <w:bCs/>
          <w:lang w:val="en-GB"/>
        </w:rPr>
      </w:pPr>
      <w:r>
        <w:rPr>
          <w:rFonts w:asciiTheme="minorHAnsi" w:hAnsiTheme="minorHAnsi"/>
          <w:bCs/>
          <w:lang w:val="en-GB"/>
        </w:rPr>
        <w:t xml:space="preserve">The PBAC agreed with the ESC that there were several other key issues with the model that </w:t>
      </w:r>
      <w:r w:rsidRPr="00BB6129">
        <w:rPr>
          <w:rFonts w:asciiTheme="minorHAnsi" w:hAnsiTheme="minorHAnsi"/>
          <w:bCs/>
          <w:lang w:val="en-GB"/>
        </w:rPr>
        <w:t>may not be reasonable and likely favoured belimumab</w:t>
      </w:r>
      <w:r>
        <w:rPr>
          <w:rFonts w:asciiTheme="minorHAnsi" w:hAnsiTheme="minorHAnsi"/>
          <w:bCs/>
          <w:lang w:val="en-GB"/>
        </w:rPr>
        <w:t>:</w:t>
      </w:r>
    </w:p>
    <w:p w:rsidR="00D768A8" w:rsidRPr="00BB6129" w:rsidRDefault="00C14972" w:rsidP="00A23229">
      <w:pPr>
        <w:pStyle w:val="ListParagraph"/>
        <w:numPr>
          <w:ilvl w:val="0"/>
          <w:numId w:val="22"/>
        </w:numPr>
        <w:spacing w:after="120"/>
        <w:ind w:left="1276" w:hanging="425"/>
        <w:contextualSpacing/>
        <w:rPr>
          <w:rFonts w:asciiTheme="minorHAnsi" w:hAnsiTheme="minorHAnsi"/>
          <w:bCs/>
          <w:lang w:val="en-GB"/>
        </w:rPr>
      </w:pPr>
      <w:r>
        <w:rPr>
          <w:rFonts w:asciiTheme="minorHAnsi" w:hAnsiTheme="minorHAnsi"/>
          <w:bCs/>
          <w:lang w:val="en-GB"/>
        </w:rPr>
        <w:t>t</w:t>
      </w:r>
      <w:r w:rsidR="006B742E">
        <w:rPr>
          <w:rFonts w:asciiTheme="minorHAnsi" w:hAnsiTheme="minorHAnsi"/>
          <w:bCs/>
          <w:lang w:val="en-GB"/>
        </w:rPr>
        <w:t>he model used</w:t>
      </w:r>
      <w:r w:rsidR="00D768A8" w:rsidRPr="00BB6129">
        <w:rPr>
          <w:rFonts w:asciiTheme="minorHAnsi" w:hAnsiTheme="minorHAnsi"/>
          <w:bCs/>
          <w:lang w:val="en-GB"/>
        </w:rPr>
        <w:t xml:space="preserve"> data from Bruce </w:t>
      </w:r>
      <w:r w:rsidR="00101000">
        <w:rPr>
          <w:rFonts w:asciiTheme="minorHAnsi" w:hAnsiTheme="minorHAnsi"/>
          <w:bCs/>
          <w:lang w:val="en-GB"/>
        </w:rPr>
        <w:t xml:space="preserve">et al </w:t>
      </w:r>
      <w:r w:rsidR="00D768A8" w:rsidRPr="00BB6129">
        <w:rPr>
          <w:rFonts w:asciiTheme="minorHAnsi" w:hAnsiTheme="minorHAnsi"/>
          <w:bCs/>
          <w:lang w:val="en-GB"/>
        </w:rPr>
        <w:t xml:space="preserve">2015 to </w:t>
      </w:r>
      <w:r w:rsidR="00D768A8">
        <w:t>inform</w:t>
      </w:r>
      <w:r w:rsidR="00D768A8" w:rsidRPr="004C3AB5">
        <w:t xml:space="preserve"> the</w:t>
      </w:r>
      <w:r w:rsidR="00D768A8" w:rsidRPr="00BB6129">
        <w:rPr>
          <w:szCs w:val="24"/>
        </w:rPr>
        <w:t xml:space="preserve"> probability of SDI progression for SOC </w:t>
      </w:r>
      <w:r w:rsidR="00D768A8" w:rsidRPr="004C3AB5">
        <w:t>responders and non-responders</w:t>
      </w:r>
      <w:r w:rsidR="006B742E">
        <w:t>.</w:t>
      </w:r>
      <w:r w:rsidR="00D768A8" w:rsidRPr="00BB6129">
        <w:rPr>
          <w:szCs w:val="24"/>
        </w:rPr>
        <w:t xml:space="preserve"> </w:t>
      </w:r>
      <w:r w:rsidR="006B742E">
        <w:t xml:space="preserve">The PBAC </w:t>
      </w:r>
      <w:r w:rsidR="00F24370">
        <w:t>maintained its view from November 2019</w:t>
      </w:r>
      <w:r w:rsidR="00D768A8" w:rsidRPr="008D785F">
        <w:rPr>
          <w:lang w:eastAsia="en-AU"/>
        </w:rPr>
        <w:t xml:space="preserve"> that the</w:t>
      </w:r>
      <w:r w:rsidR="008D785F" w:rsidRPr="008D785F">
        <w:rPr>
          <w:lang w:eastAsia="en-AU"/>
        </w:rPr>
        <w:t xml:space="preserve"> long-term</w:t>
      </w:r>
      <w:r w:rsidR="009E2DFC">
        <w:rPr>
          <w:lang w:eastAsia="en-AU"/>
        </w:rPr>
        <w:t xml:space="preserve"> </w:t>
      </w:r>
      <w:r w:rsidR="00D768A8" w:rsidRPr="008D785F">
        <w:rPr>
          <w:lang w:eastAsia="en-AU"/>
        </w:rPr>
        <w:t>reliability</w:t>
      </w:r>
      <w:r w:rsidR="008D785F" w:rsidRPr="008D785F">
        <w:rPr>
          <w:lang w:eastAsia="en-AU"/>
        </w:rPr>
        <w:t>,</w:t>
      </w:r>
      <w:r w:rsidR="00D768A8" w:rsidRPr="008D785F">
        <w:rPr>
          <w:lang w:eastAsia="en-AU"/>
        </w:rPr>
        <w:t xml:space="preserve"> applicability </w:t>
      </w:r>
      <w:r w:rsidR="008D785F" w:rsidRPr="008D785F">
        <w:rPr>
          <w:lang w:eastAsia="en-AU"/>
        </w:rPr>
        <w:t xml:space="preserve">and external validity </w:t>
      </w:r>
      <w:r w:rsidR="00D768A8" w:rsidRPr="008D785F">
        <w:rPr>
          <w:lang w:eastAsia="en-AU"/>
        </w:rPr>
        <w:t xml:space="preserve">of the Bruce </w:t>
      </w:r>
      <w:r w:rsidR="00101000">
        <w:rPr>
          <w:lang w:eastAsia="en-AU"/>
        </w:rPr>
        <w:t xml:space="preserve">et al </w:t>
      </w:r>
      <w:r w:rsidR="00D768A8" w:rsidRPr="008D785F">
        <w:rPr>
          <w:lang w:eastAsia="en-AU"/>
        </w:rPr>
        <w:t>2</w:t>
      </w:r>
      <w:r w:rsidR="00D768A8">
        <w:rPr>
          <w:lang w:eastAsia="en-AU"/>
        </w:rPr>
        <w:t xml:space="preserve">015 model predictions </w:t>
      </w:r>
      <w:r w:rsidR="008D785F">
        <w:rPr>
          <w:lang w:eastAsia="en-AU"/>
        </w:rPr>
        <w:t xml:space="preserve">to the modelled Australian population </w:t>
      </w:r>
      <w:r w:rsidR="00D768A8">
        <w:rPr>
          <w:lang w:eastAsia="en-AU"/>
        </w:rPr>
        <w:t>were unclear</w:t>
      </w:r>
      <w:r w:rsidR="006B742E">
        <w:rPr>
          <w:lang w:eastAsia="en-AU"/>
        </w:rPr>
        <w:t xml:space="preserve"> (as outlined in </w:t>
      </w:r>
      <w:r w:rsidR="006B742E" w:rsidRPr="00C14972">
        <w:rPr>
          <w:lang w:eastAsia="en-AU"/>
        </w:rPr>
        <w:t>Paragraph 6.4</w:t>
      </w:r>
      <w:r w:rsidR="00E12A1C">
        <w:rPr>
          <w:lang w:eastAsia="en-AU"/>
        </w:rPr>
        <w:t>8</w:t>
      </w:r>
      <w:r w:rsidR="006B742E">
        <w:rPr>
          <w:lang w:eastAsia="en-AU"/>
        </w:rPr>
        <w:t>)</w:t>
      </w:r>
      <w:r w:rsidR="00D768A8" w:rsidRPr="004C3AB5">
        <w:rPr>
          <w:lang w:eastAsia="en-AU"/>
        </w:rPr>
        <w:t>.</w:t>
      </w:r>
    </w:p>
    <w:p w:rsidR="00FF5DDA" w:rsidRPr="00BB6129" w:rsidRDefault="00C14972" w:rsidP="00A23229">
      <w:pPr>
        <w:pStyle w:val="ListParagraph"/>
        <w:numPr>
          <w:ilvl w:val="0"/>
          <w:numId w:val="22"/>
        </w:numPr>
        <w:spacing w:after="120"/>
        <w:ind w:left="1276" w:hanging="425"/>
        <w:contextualSpacing/>
        <w:rPr>
          <w:rFonts w:asciiTheme="minorHAnsi" w:hAnsiTheme="minorHAnsi"/>
          <w:bCs/>
          <w:lang w:val="en-GB"/>
        </w:rPr>
      </w:pPr>
      <w:r>
        <w:t>t</w:t>
      </w:r>
      <w:r w:rsidR="00FF5DDA">
        <w:t xml:space="preserve">he economic model assumed that </w:t>
      </w:r>
      <w:r w:rsidR="00FF5DDA" w:rsidRPr="00BB6129">
        <w:rPr>
          <w:iCs/>
        </w:rPr>
        <w:t xml:space="preserve">belimumab reduced the rate of SDI progression and consequently reduced mortality. </w:t>
      </w:r>
      <w:r w:rsidR="00230E5C">
        <w:rPr>
          <w:iCs/>
        </w:rPr>
        <w:t xml:space="preserve">The economic model applied an </w:t>
      </w:r>
      <w:r w:rsidR="00230E5C" w:rsidRPr="00BB6129">
        <w:rPr>
          <w:iCs/>
          <w:szCs w:val="24"/>
        </w:rPr>
        <w:t>odds ratio of 0.47 for belimumab versus SOC (based on the outcome of SDI worsening at Week 52 observed in BLISS-SC</w:t>
      </w:r>
      <w:r w:rsidR="00230E5C">
        <w:rPr>
          <w:iCs/>
          <w:szCs w:val="24"/>
        </w:rPr>
        <w:t>). The PBAC noted that the</w:t>
      </w:r>
      <w:r w:rsidR="00230E5C">
        <w:rPr>
          <w:iCs/>
        </w:rPr>
        <w:t xml:space="preserve"> EMBRACE trial reported a</w:t>
      </w:r>
      <w:r w:rsidR="00F24370">
        <w:rPr>
          <w:iCs/>
        </w:rPr>
        <w:t xml:space="preserve"> much higher </w:t>
      </w:r>
      <w:r w:rsidR="00230E5C">
        <w:rPr>
          <w:iCs/>
        </w:rPr>
        <w:t xml:space="preserve">odds ratio </w:t>
      </w:r>
      <w:r w:rsidR="00F24370">
        <w:rPr>
          <w:iCs/>
        </w:rPr>
        <w:t>(</w:t>
      </w:r>
      <w:r w:rsidR="00230E5C">
        <w:rPr>
          <w:iCs/>
        </w:rPr>
        <w:t>0.90</w:t>
      </w:r>
      <w:r w:rsidR="00F24370">
        <w:rPr>
          <w:iCs/>
        </w:rPr>
        <w:t xml:space="preserve">, </w:t>
      </w:r>
      <w:r w:rsidR="00230E5C">
        <w:rPr>
          <w:iCs/>
        </w:rPr>
        <w:t xml:space="preserve">95% CI: 0.28, 2.86) for the same outcome. </w:t>
      </w:r>
      <w:r w:rsidR="00BB6129">
        <w:rPr>
          <w:iCs/>
          <w:szCs w:val="24"/>
        </w:rPr>
        <w:t>The PBAC</w:t>
      </w:r>
      <w:r w:rsidR="00FF5DDA" w:rsidRPr="00BB6129">
        <w:rPr>
          <w:iCs/>
          <w:szCs w:val="24"/>
        </w:rPr>
        <w:t xml:space="preserve"> </w:t>
      </w:r>
      <w:r w:rsidR="00BB6129">
        <w:rPr>
          <w:iCs/>
        </w:rPr>
        <w:t xml:space="preserve">considered that the magnitude of the SDI progression (and </w:t>
      </w:r>
      <w:r w:rsidR="00BB6129" w:rsidRPr="00A87FF1">
        <w:rPr>
          <w:iCs/>
        </w:rPr>
        <w:t>the consequent reduction in mortality) applied</w:t>
      </w:r>
      <w:r w:rsidR="00BB6129">
        <w:rPr>
          <w:iCs/>
        </w:rPr>
        <w:t xml:space="preserve"> in the model may have been overestimated</w:t>
      </w:r>
      <w:r w:rsidR="00632B60">
        <w:rPr>
          <w:iCs/>
        </w:rPr>
        <w:t xml:space="preserve"> given the </w:t>
      </w:r>
      <w:r w:rsidR="00632B60" w:rsidRPr="0056678A">
        <w:t xml:space="preserve">magnitude of the effect </w:t>
      </w:r>
      <w:r w:rsidR="00632B60" w:rsidRPr="0056678A">
        <w:rPr>
          <w:szCs w:val="24"/>
        </w:rPr>
        <w:t>varied between studies</w:t>
      </w:r>
      <w:r w:rsidR="00230E5C">
        <w:rPr>
          <w:iCs/>
        </w:rPr>
        <w:t xml:space="preserve">, with the resubmission applying the most favourable result. </w:t>
      </w:r>
      <w:r w:rsidR="002548C6">
        <w:rPr>
          <w:iCs/>
        </w:rPr>
        <w:t xml:space="preserve">The PBAC also agreed with the ESC that </w:t>
      </w:r>
      <w:r w:rsidR="002548C6" w:rsidRPr="004410C2">
        <w:rPr>
          <w:iCs/>
          <w:szCs w:val="24"/>
        </w:rPr>
        <w:t xml:space="preserve">differences in significance of </w:t>
      </w:r>
      <w:r w:rsidR="002548C6">
        <w:rPr>
          <w:iCs/>
          <w:szCs w:val="24"/>
        </w:rPr>
        <w:t xml:space="preserve">SDI progression </w:t>
      </w:r>
      <w:r w:rsidR="002548C6" w:rsidRPr="004410C2">
        <w:rPr>
          <w:iCs/>
          <w:szCs w:val="24"/>
        </w:rPr>
        <w:t xml:space="preserve">results </w:t>
      </w:r>
      <w:r w:rsidR="002548C6">
        <w:rPr>
          <w:iCs/>
          <w:szCs w:val="24"/>
        </w:rPr>
        <w:t>aris</w:t>
      </w:r>
      <w:r w:rsidR="002548C6" w:rsidRPr="004410C2">
        <w:rPr>
          <w:iCs/>
          <w:szCs w:val="24"/>
        </w:rPr>
        <w:t>ing from how missing data were imputed reduced confidence in results</w:t>
      </w:r>
      <w:r w:rsidR="00FF5DDA" w:rsidRPr="00BB6129">
        <w:rPr>
          <w:iCs/>
          <w:szCs w:val="24"/>
        </w:rPr>
        <w:t>.</w:t>
      </w:r>
    </w:p>
    <w:p w:rsidR="00BB6129" w:rsidRPr="00BB6129" w:rsidRDefault="00315A86" w:rsidP="00FF5DDA">
      <w:pPr>
        <w:numPr>
          <w:ilvl w:val="1"/>
          <w:numId w:val="1"/>
        </w:numPr>
        <w:spacing w:after="160"/>
        <w:rPr>
          <w:rFonts w:asciiTheme="minorHAnsi" w:hAnsiTheme="minorHAnsi"/>
          <w:bCs/>
          <w:lang w:val="en-GB"/>
        </w:rPr>
      </w:pPr>
      <w:r>
        <w:t xml:space="preserve">The PBAC considered that a time horizon of </w:t>
      </w:r>
      <w:r w:rsidR="00BB6129">
        <w:t xml:space="preserve">60 years was too long given the aforementioned </w:t>
      </w:r>
      <w:r w:rsidR="00230E5C">
        <w:t>issues</w:t>
      </w:r>
      <w:r w:rsidR="00BB6129">
        <w:t xml:space="preserve">, and </w:t>
      </w:r>
      <w:r w:rsidR="002F2A9E">
        <w:t>considered that a</w:t>
      </w:r>
      <w:r w:rsidR="00230E5C">
        <w:t xml:space="preserve"> shorter </w:t>
      </w:r>
      <w:r w:rsidR="00BB6129">
        <w:t xml:space="preserve">time horizon may help </w:t>
      </w:r>
      <w:r w:rsidRPr="004C3AB5">
        <w:rPr>
          <w:iCs/>
          <w:szCs w:val="24"/>
        </w:rPr>
        <w:t xml:space="preserve">mitigate the uncertain long-term </w:t>
      </w:r>
      <w:r w:rsidR="002548C6">
        <w:rPr>
          <w:iCs/>
          <w:szCs w:val="24"/>
        </w:rPr>
        <w:t xml:space="preserve">incremental </w:t>
      </w:r>
      <w:r w:rsidRPr="004C3AB5">
        <w:rPr>
          <w:iCs/>
          <w:szCs w:val="24"/>
        </w:rPr>
        <w:t>effects of belimumab</w:t>
      </w:r>
      <w:r w:rsidR="002548C6">
        <w:rPr>
          <w:iCs/>
          <w:szCs w:val="24"/>
        </w:rPr>
        <w:t xml:space="preserve">, and the uncertain </w:t>
      </w:r>
      <w:r w:rsidR="008D785F">
        <w:rPr>
          <w:iCs/>
          <w:szCs w:val="24"/>
        </w:rPr>
        <w:t xml:space="preserve">SDI progression applied to the SOC arm (based on Bruce </w:t>
      </w:r>
      <w:r w:rsidR="00101000">
        <w:rPr>
          <w:iCs/>
          <w:szCs w:val="24"/>
        </w:rPr>
        <w:t xml:space="preserve">et al </w:t>
      </w:r>
      <w:r w:rsidR="00A87FF1">
        <w:rPr>
          <w:iCs/>
          <w:szCs w:val="24"/>
        </w:rPr>
        <w:t>2015</w:t>
      </w:r>
      <w:r w:rsidR="008D785F">
        <w:rPr>
          <w:iCs/>
          <w:szCs w:val="24"/>
        </w:rPr>
        <w:t>)</w:t>
      </w:r>
      <w:r>
        <w:rPr>
          <w:iCs/>
          <w:szCs w:val="24"/>
        </w:rPr>
        <w:t xml:space="preserve">. </w:t>
      </w:r>
    </w:p>
    <w:p w:rsidR="001B7E6B" w:rsidRPr="00E84EF0" w:rsidRDefault="001B57A6" w:rsidP="001B57A6">
      <w:pPr>
        <w:numPr>
          <w:ilvl w:val="1"/>
          <w:numId w:val="1"/>
        </w:numPr>
        <w:spacing w:after="160"/>
        <w:rPr>
          <w:rFonts w:asciiTheme="minorHAnsi" w:hAnsiTheme="minorHAnsi"/>
          <w:bCs/>
          <w:lang w:val="en-GB"/>
        </w:rPr>
      </w:pPr>
      <w:r w:rsidRPr="001B57A6">
        <w:rPr>
          <w:iCs/>
          <w:szCs w:val="24"/>
        </w:rPr>
        <w:t>Overall</w:t>
      </w:r>
      <w:r>
        <w:rPr>
          <w:iCs/>
          <w:szCs w:val="24"/>
        </w:rPr>
        <w:t>,</w:t>
      </w:r>
      <w:r w:rsidRPr="001B57A6">
        <w:rPr>
          <w:iCs/>
          <w:szCs w:val="24"/>
        </w:rPr>
        <w:t xml:space="preserve"> the PBAC considered the base case ICER presented in the resubmission was underestimated. The PBAC noted that the ICER increased if utilities were based on organ damage rather than response, the time horizon was reduced, the impact of treatment on organ damage</w:t>
      </w:r>
      <w:r w:rsidR="0030336F">
        <w:rPr>
          <w:iCs/>
          <w:szCs w:val="24"/>
        </w:rPr>
        <w:t xml:space="preserve"> </w:t>
      </w:r>
      <w:r w:rsidR="00A87FF1">
        <w:rPr>
          <w:iCs/>
          <w:szCs w:val="24"/>
        </w:rPr>
        <w:t>(</w:t>
      </w:r>
      <w:r w:rsidR="0030336F">
        <w:rPr>
          <w:iCs/>
          <w:szCs w:val="24"/>
        </w:rPr>
        <w:t>and consequent reduction in mortality</w:t>
      </w:r>
      <w:r w:rsidR="00A87FF1">
        <w:rPr>
          <w:iCs/>
          <w:szCs w:val="24"/>
        </w:rPr>
        <w:t>)</w:t>
      </w:r>
      <w:r w:rsidRPr="001B57A6">
        <w:rPr>
          <w:iCs/>
          <w:szCs w:val="24"/>
        </w:rPr>
        <w:t xml:space="preserve"> was reduced or removed, a higher proportion of patients discontinued belimumab treatment or the SOC response was maint</w:t>
      </w:r>
      <w:r>
        <w:rPr>
          <w:iCs/>
          <w:szCs w:val="24"/>
        </w:rPr>
        <w:t>ain</w:t>
      </w:r>
      <w:r w:rsidRPr="001B57A6">
        <w:rPr>
          <w:iCs/>
          <w:szCs w:val="24"/>
        </w:rPr>
        <w:t>ed for a longer period. The PBAC considered that a price reduction would be required for belimumab to be considered suitably cost-effective.</w:t>
      </w:r>
      <w:r>
        <w:rPr>
          <w:iCs/>
          <w:szCs w:val="24"/>
        </w:rPr>
        <w:t xml:space="preserve"> </w:t>
      </w:r>
    </w:p>
    <w:p w:rsidR="005C024B" w:rsidRDefault="00E84EF0" w:rsidP="00FC235D">
      <w:pPr>
        <w:numPr>
          <w:ilvl w:val="1"/>
          <w:numId w:val="1"/>
        </w:numPr>
        <w:spacing w:after="160"/>
        <w:rPr>
          <w:rFonts w:asciiTheme="minorHAnsi" w:hAnsiTheme="minorHAnsi"/>
          <w:bCs/>
          <w:lang w:val="en-GB"/>
        </w:rPr>
      </w:pPr>
      <w:r>
        <w:rPr>
          <w:rFonts w:asciiTheme="minorHAnsi" w:hAnsiTheme="minorHAnsi"/>
          <w:bCs/>
          <w:lang w:val="en-GB"/>
        </w:rPr>
        <w:t xml:space="preserve">The PBAC </w:t>
      </w:r>
      <w:r w:rsidR="005C024B">
        <w:rPr>
          <w:rFonts w:asciiTheme="minorHAnsi" w:hAnsiTheme="minorHAnsi"/>
          <w:bCs/>
          <w:lang w:val="en-GB"/>
        </w:rPr>
        <w:t>considered</w:t>
      </w:r>
      <w:r>
        <w:rPr>
          <w:rFonts w:asciiTheme="minorHAnsi" w:hAnsiTheme="minorHAnsi"/>
          <w:bCs/>
          <w:lang w:val="en-GB"/>
        </w:rPr>
        <w:t xml:space="preserve"> that the financial estimates were likely overestimated as</w:t>
      </w:r>
      <w:r w:rsidR="005C024B">
        <w:rPr>
          <w:rFonts w:asciiTheme="minorHAnsi" w:hAnsiTheme="minorHAnsi"/>
          <w:bCs/>
          <w:lang w:val="en-GB"/>
        </w:rPr>
        <w:t>:</w:t>
      </w:r>
    </w:p>
    <w:p w:rsidR="005C024B" w:rsidRDefault="00E84EF0" w:rsidP="00A23229">
      <w:pPr>
        <w:pStyle w:val="ListParagraph"/>
        <w:numPr>
          <w:ilvl w:val="0"/>
          <w:numId w:val="22"/>
        </w:numPr>
        <w:spacing w:after="120"/>
        <w:ind w:left="1276" w:hanging="425"/>
        <w:contextualSpacing/>
        <w:rPr>
          <w:rFonts w:asciiTheme="minorHAnsi" w:hAnsiTheme="minorHAnsi"/>
          <w:bCs/>
          <w:lang w:val="en-GB"/>
        </w:rPr>
      </w:pPr>
      <w:r w:rsidRPr="005C024B">
        <w:rPr>
          <w:rFonts w:asciiTheme="minorHAnsi" w:hAnsiTheme="minorHAnsi"/>
          <w:bCs/>
          <w:lang w:val="en-GB"/>
        </w:rPr>
        <w:t xml:space="preserve">the proportion of patients </w:t>
      </w:r>
      <w:r w:rsidR="005C024B">
        <w:rPr>
          <w:rFonts w:asciiTheme="minorHAnsi" w:hAnsiTheme="minorHAnsi"/>
          <w:bCs/>
          <w:lang w:val="en-GB"/>
        </w:rPr>
        <w:t xml:space="preserve">estimated to </w:t>
      </w:r>
      <w:r w:rsidRPr="005C024B">
        <w:rPr>
          <w:rFonts w:asciiTheme="minorHAnsi" w:hAnsiTheme="minorHAnsi"/>
          <w:bCs/>
          <w:lang w:val="en-GB"/>
        </w:rPr>
        <w:t xml:space="preserve">meet the PBS eligibility criteria </w:t>
      </w:r>
      <w:r w:rsidR="00D2735B" w:rsidRPr="005C024B">
        <w:rPr>
          <w:rFonts w:asciiTheme="minorHAnsi" w:hAnsiTheme="minorHAnsi"/>
          <w:bCs/>
          <w:lang w:val="en-GB"/>
        </w:rPr>
        <w:t xml:space="preserve">(15.36%) </w:t>
      </w:r>
      <w:r w:rsidR="005C024B" w:rsidRPr="005C024B">
        <w:rPr>
          <w:rFonts w:asciiTheme="minorHAnsi" w:hAnsiTheme="minorHAnsi"/>
          <w:bCs/>
          <w:lang w:val="en-GB"/>
        </w:rPr>
        <w:t>w</w:t>
      </w:r>
      <w:r w:rsidR="005C024B">
        <w:rPr>
          <w:rFonts w:asciiTheme="minorHAnsi" w:hAnsiTheme="minorHAnsi"/>
          <w:bCs/>
          <w:lang w:val="en-GB"/>
        </w:rPr>
        <w:t>as</w:t>
      </w:r>
      <w:r w:rsidR="005C024B" w:rsidRPr="005C024B">
        <w:rPr>
          <w:rFonts w:asciiTheme="minorHAnsi" w:hAnsiTheme="minorHAnsi"/>
          <w:bCs/>
          <w:lang w:val="en-GB"/>
        </w:rPr>
        <w:t xml:space="preserve"> likely overestimated</w:t>
      </w:r>
      <w:r w:rsidR="005C024B">
        <w:rPr>
          <w:rFonts w:asciiTheme="minorHAnsi" w:hAnsiTheme="minorHAnsi"/>
          <w:bCs/>
          <w:lang w:val="en-GB"/>
        </w:rPr>
        <w:t xml:space="preserve">. The PBAC recalled that it was based on the </w:t>
      </w:r>
      <w:r w:rsidR="005C024B" w:rsidRPr="005C024B">
        <w:rPr>
          <w:rFonts w:asciiTheme="minorHAnsi" w:hAnsiTheme="minorHAnsi"/>
          <w:bCs/>
          <w:lang w:val="en-GB"/>
        </w:rPr>
        <w:t>Monash Lupus Clinic study</w:t>
      </w:r>
      <w:r w:rsidR="005C024B">
        <w:rPr>
          <w:rFonts w:asciiTheme="minorHAnsi" w:hAnsiTheme="minorHAnsi"/>
          <w:bCs/>
          <w:lang w:val="en-GB"/>
        </w:rPr>
        <w:t xml:space="preserve">, which the PBAC previously considered </w:t>
      </w:r>
      <w:r w:rsidR="005C024B" w:rsidRPr="005C024B">
        <w:rPr>
          <w:rFonts w:asciiTheme="minorHAnsi" w:hAnsiTheme="minorHAnsi"/>
          <w:bCs/>
          <w:lang w:val="en-GB"/>
        </w:rPr>
        <w:t>may not be representative of the PBS population</w:t>
      </w:r>
      <w:r w:rsidR="005C024B">
        <w:rPr>
          <w:rFonts w:asciiTheme="minorHAnsi" w:hAnsiTheme="minorHAnsi"/>
          <w:bCs/>
          <w:lang w:val="en-GB"/>
        </w:rPr>
        <w:t xml:space="preserve">. Further, the PBAC noted that the </w:t>
      </w:r>
      <w:r w:rsidR="0048334D">
        <w:rPr>
          <w:rFonts w:asciiTheme="minorHAnsi" w:hAnsiTheme="minorHAnsi"/>
          <w:bCs/>
          <w:lang w:val="en-GB"/>
        </w:rPr>
        <w:t>proportion</w:t>
      </w:r>
      <w:r w:rsidR="005C024B">
        <w:rPr>
          <w:rFonts w:asciiTheme="minorHAnsi" w:hAnsiTheme="minorHAnsi"/>
          <w:bCs/>
          <w:lang w:val="en-GB"/>
        </w:rPr>
        <w:t xml:space="preserve"> was unchanged since the previous submission despite the proposed PBS restriction </w:t>
      </w:r>
      <w:r w:rsidR="0048334D">
        <w:rPr>
          <w:rFonts w:asciiTheme="minorHAnsi" w:hAnsiTheme="minorHAnsi"/>
          <w:bCs/>
          <w:lang w:val="en-GB"/>
        </w:rPr>
        <w:t>now defining a</w:t>
      </w:r>
      <w:r w:rsidR="005C024B">
        <w:rPr>
          <w:rFonts w:asciiTheme="minorHAnsi" w:hAnsiTheme="minorHAnsi"/>
          <w:bCs/>
          <w:lang w:val="en-GB"/>
        </w:rPr>
        <w:t xml:space="preserve"> </w:t>
      </w:r>
      <w:r w:rsidR="0048334D">
        <w:rPr>
          <w:rFonts w:asciiTheme="minorHAnsi" w:hAnsiTheme="minorHAnsi"/>
          <w:bCs/>
          <w:lang w:val="en-GB"/>
        </w:rPr>
        <w:t>narrower</w:t>
      </w:r>
      <w:r w:rsidR="005C024B">
        <w:rPr>
          <w:rFonts w:asciiTheme="minorHAnsi" w:hAnsiTheme="minorHAnsi"/>
          <w:bCs/>
          <w:lang w:val="en-GB"/>
        </w:rPr>
        <w:t xml:space="preserve"> </w:t>
      </w:r>
      <w:r w:rsidR="0048334D">
        <w:rPr>
          <w:rFonts w:asciiTheme="minorHAnsi" w:hAnsiTheme="minorHAnsi"/>
          <w:bCs/>
          <w:lang w:val="en-GB"/>
        </w:rPr>
        <w:t xml:space="preserve">population </w:t>
      </w:r>
      <w:r w:rsidR="005C024B">
        <w:rPr>
          <w:rFonts w:asciiTheme="minorHAnsi" w:hAnsiTheme="minorHAnsi"/>
          <w:bCs/>
          <w:lang w:val="en-GB"/>
        </w:rPr>
        <w:t xml:space="preserve">as it requires patients to be on </w:t>
      </w:r>
      <w:r w:rsidR="005C024B" w:rsidRPr="005C024B">
        <w:rPr>
          <w:rFonts w:asciiTheme="minorHAnsi" w:hAnsiTheme="minorHAnsi"/>
          <w:bCs/>
          <w:lang w:val="en-GB"/>
        </w:rPr>
        <w:t xml:space="preserve">simultaneous triple therapy (rather than any prior exposure, as assumed in the </w:t>
      </w:r>
      <w:r w:rsidR="0048334D">
        <w:rPr>
          <w:rFonts w:asciiTheme="minorHAnsi" w:hAnsiTheme="minorHAnsi"/>
          <w:bCs/>
          <w:lang w:val="en-GB"/>
        </w:rPr>
        <w:t>previous submission)</w:t>
      </w:r>
      <w:r w:rsidR="005C024B">
        <w:rPr>
          <w:rFonts w:asciiTheme="minorHAnsi" w:hAnsiTheme="minorHAnsi"/>
          <w:bCs/>
          <w:lang w:val="en-GB"/>
        </w:rPr>
        <w:t xml:space="preserve">; </w:t>
      </w:r>
      <w:r w:rsidRPr="005C024B">
        <w:rPr>
          <w:rFonts w:asciiTheme="minorHAnsi" w:hAnsiTheme="minorHAnsi"/>
          <w:bCs/>
          <w:lang w:val="en-GB"/>
        </w:rPr>
        <w:t xml:space="preserve">and </w:t>
      </w:r>
    </w:p>
    <w:p w:rsidR="00D2735B" w:rsidRPr="005C024B" w:rsidRDefault="00E84EF0" w:rsidP="00A23229">
      <w:pPr>
        <w:pStyle w:val="ListParagraph"/>
        <w:numPr>
          <w:ilvl w:val="0"/>
          <w:numId w:val="22"/>
        </w:numPr>
        <w:spacing w:after="120"/>
        <w:ind w:left="1276" w:hanging="425"/>
        <w:contextualSpacing/>
        <w:rPr>
          <w:rFonts w:asciiTheme="minorHAnsi" w:hAnsiTheme="minorHAnsi"/>
          <w:bCs/>
          <w:lang w:val="en-GB"/>
        </w:rPr>
      </w:pPr>
      <w:r w:rsidRPr="00A23229">
        <w:rPr>
          <w:iCs/>
        </w:rPr>
        <w:t>the</w:t>
      </w:r>
      <w:r w:rsidRPr="005C024B">
        <w:rPr>
          <w:rFonts w:asciiTheme="minorHAnsi" w:hAnsiTheme="minorHAnsi"/>
          <w:bCs/>
          <w:lang w:val="en-GB"/>
        </w:rPr>
        <w:t xml:space="preserve"> uptake rates were likely overestimated</w:t>
      </w:r>
      <w:r w:rsidR="00D2735B" w:rsidRPr="005C024B">
        <w:rPr>
          <w:rFonts w:asciiTheme="minorHAnsi" w:hAnsiTheme="minorHAnsi"/>
          <w:bCs/>
          <w:lang w:val="en-GB"/>
        </w:rPr>
        <w:t>.</w:t>
      </w:r>
      <w:r w:rsidR="005C024B">
        <w:rPr>
          <w:rFonts w:asciiTheme="minorHAnsi" w:hAnsiTheme="minorHAnsi"/>
          <w:bCs/>
          <w:lang w:val="en-GB"/>
        </w:rPr>
        <w:t xml:space="preserve"> The </w:t>
      </w:r>
      <w:r w:rsidR="0048334D">
        <w:rPr>
          <w:rFonts w:asciiTheme="minorHAnsi" w:hAnsiTheme="minorHAnsi"/>
          <w:bCs/>
          <w:lang w:val="en-GB"/>
        </w:rPr>
        <w:t xml:space="preserve">resubmission applied </w:t>
      </w:r>
      <w:r w:rsidR="0048334D" w:rsidRPr="004C3AB5">
        <w:rPr>
          <w:szCs w:val="24"/>
        </w:rPr>
        <w:t xml:space="preserve">uptake rates </w:t>
      </w:r>
      <w:r w:rsidR="0048334D">
        <w:rPr>
          <w:szCs w:val="24"/>
        </w:rPr>
        <w:t xml:space="preserve">of </w:t>
      </w:r>
      <w:r w:rsidR="0048334D" w:rsidRPr="004C3AB5">
        <w:rPr>
          <w:szCs w:val="24"/>
        </w:rPr>
        <w:t>20%</w:t>
      </w:r>
      <w:r w:rsidR="0048334D">
        <w:rPr>
          <w:szCs w:val="24"/>
        </w:rPr>
        <w:t xml:space="preserve"> to</w:t>
      </w:r>
      <w:r w:rsidR="0048334D" w:rsidRPr="004C3AB5">
        <w:rPr>
          <w:szCs w:val="24"/>
        </w:rPr>
        <w:t xml:space="preserve"> 50%</w:t>
      </w:r>
      <w:r w:rsidR="0048334D">
        <w:rPr>
          <w:szCs w:val="24"/>
        </w:rPr>
        <w:t xml:space="preserve">, which were higher than the rates applied </w:t>
      </w:r>
      <w:r w:rsidR="0048334D" w:rsidRPr="0048334D">
        <w:rPr>
          <w:szCs w:val="24"/>
        </w:rPr>
        <w:t>in the previous submission (15%</w:t>
      </w:r>
      <w:r w:rsidR="0048334D">
        <w:rPr>
          <w:szCs w:val="24"/>
        </w:rPr>
        <w:t xml:space="preserve"> to 40%). The PBAC recalled that it had considered </w:t>
      </w:r>
      <w:r w:rsidR="0048334D" w:rsidRPr="0048334D">
        <w:rPr>
          <w:szCs w:val="24"/>
        </w:rPr>
        <w:t xml:space="preserve">the </w:t>
      </w:r>
      <w:r w:rsidR="0048334D">
        <w:rPr>
          <w:szCs w:val="24"/>
        </w:rPr>
        <w:t xml:space="preserve">previous </w:t>
      </w:r>
      <w:r w:rsidR="0048334D" w:rsidRPr="0048334D">
        <w:rPr>
          <w:szCs w:val="24"/>
        </w:rPr>
        <w:t>uptake rates were highly uncertain, given that the use of IV belimumab was low, the treatment effect is modest and use may be associated with potentially severe adverse events, which may temper uptake</w:t>
      </w:r>
      <w:r w:rsidR="0048334D">
        <w:rPr>
          <w:szCs w:val="24"/>
        </w:rPr>
        <w:t xml:space="preserve">. The PBAC considered that the uptake rates applied previously, though highly uncertain, were more reasonable than the higher rates proposed in the resubmission. </w:t>
      </w:r>
    </w:p>
    <w:p w:rsidR="001B7E6B" w:rsidRPr="00FC235D" w:rsidRDefault="00D2735B" w:rsidP="00FC235D">
      <w:pPr>
        <w:numPr>
          <w:ilvl w:val="1"/>
          <w:numId w:val="1"/>
        </w:numPr>
        <w:spacing w:after="160"/>
        <w:rPr>
          <w:rFonts w:asciiTheme="minorHAnsi" w:hAnsiTheme="minorHAnsi"/>
          <w:bCs/>
          <w:lang w:val="en-GB"/>
        </w:rPr>
      </w:pPr>
      <w:r>
        <w:rPr>
          <w:rFonts w:asciiTheme="minorHAnsi" w:hAnsiTheme="minorHAnsi"/>
          <w:bCs/>
          <w:lang w:val="en-GB"/>
        </w:rPr>
        <w:t xml:space="preserve">The PBAC considered there is a high risk of use outside the restriction given that </w:t>
      </w:r>
      <w:r w:rsidR="00E84EF0">
        <w:rPr>
          <w:rFonts w:asciiTheme="minorHAnsi" w:hAnsiTheme="minorHAnsi"/>
          <w:bCs/>
          <w:lang w:val="en-GB"/>
        </w:rPr>
        <w:t>only a small sub</w:t>
      </w:r>
      <w:r>
        <w:rPr>
          <w:rFonts w:asciiTheme="minorHAnsi" w:hAnsiTheme="minorHAnsi"/>
          <w:bCs/>
          <w:lang w:val="en-GB"/>
        </w:rPr>
        <w:t>set</w:t>
      </w:r>
      <w:r w:rsidR="00E84EF0">
        <w:rPr>
          <w:rFonts w:asciiTheme="minorHAnsi" w:hAnsiTheme="minorHAnsi"/>
          <w:bCs/>
          <w:lang w:val="en-GB"/>
        </w:rPr>
        <w:t xml:space="preserve"> of SLE patients </w:t>
      </w:r>
      <w:r>
        <w:rPr>
          <w:rFonts w:asciiTheme="minorHAnsi" w:hAnsiTheme="minorHAnsi"/>
          <w:bCs/>
          <w:lang w:val="en-GB"/>
        </w:rPr>
        <w:t>will meet</w:t>
      </w:r>
      <w:r w:rsidR="00E84EF0">
        <w:rPr>
          <w:rFonts w:asciiTheme="minorHAnsi" w:hAnsiTheme="minorHAnsi"/>
          <w:bCs/>
          <w:lang w:val="en-GB"/>
        </w:rPr>
        <w:t xml:space="preserve"> the proposed PBS restriction. The PBAC</w:t>
      </w:r>
      <w:r w:rsidR="00FC235D">
        <w:rPr>
          <w:rFonts w:asciiTheme="minorHAnsi" w:hAnsiTheme="minorHAnsi"/>
          <w:bCs/>
          <w:lang w:val="en-GB"/>
        </w:rPr>
        <w:t xml:space="preserve"> maintained the view that a risk share agreement</w:t>
      </w:r>
      <w:r w:rsidR="00E84EF0">
        <w:rPr>
          <w:rFonts w:asciiTheme="minorHAnsi" w:hAnsiTheme="minorHAnsi"/>
          <w:bCs/>
          <w:lang w:val="en-GB"/>
        </w:rPr>
        <w:t xml:space="preserve"> </w:t>
      </w:r>
      <w:r w:rsidR="001A63EF" w:rsidRPr="00D52EB4">
        <w:t xml:space="preserve">with a </w:t>
      </w:r>
      <w:r w:rsidR="00C15B75">
        <w:rPr>
          <w:noProof/>
          <w:color w:val="000000"/>
          <w:highlight w:val="black"/>
        </w:rPr>
        <w:t>''''''''''</w:t>
      </w:r>
      <w:r w:rsidR="001A63EF" w:rsidRPr="00D52EB4">
        <w:t xml:space="preserve"> rebate over the cap</w:t>
      </w:r>
      <w:r w:rsidR="001A63EF">
        <w:rPr>
          <w:rFonts w:asciiTheme="minorHAnsi" w:hAnsiTheme="minorHAnsi"/>
          <w:bCs/>
          <w:lang w:val="en-GB"/>
        </w:rPr>
        <w:t xml:space="preserve"> </w:t>
      </w:r>
      <w:r w:rsidR="00E84EF0">
        <w:rPr>
          <w:rFonts w:asciiTheme="minorHAnsi" w:hAnsiTheme="minorHAnsi"/>
          <w:bCs/>
          <w:lang w:val="en-GB"/>
        </w:rPr>
        <w:t>would be required given the uncertain</w:t>
      </w:r>
      <w:r w:rsidR="001A63EF">
        <w:rPr>
          <w:rFonts w:asciiTheme="minorHAnsi" w:hAnsiTheme="minorHAnsi"/>
          <w:bCs/>
          <w:lang w:val="en-GB"/>
        </w:rPr>
        <w:t xml:space="preserve"> size of the</w:t>
      </w:r>
      <w:r w:rsidR="00E84EF0">
        <w:rPr>
          <w:rFonts w:asciiTheme="minorHAnsi" w:hAnsiTheme="minorHAnsi"/>
          <w:bCs/>
          <w:lang w:val="en-GB"/>
        </w:rPr>
        <w:t xml:space="preserve"> patient population, </w:t>
      </w:r>
      <w:r w:rsidR="00A87FF1">
        <w:rPr>
          <w:rFonts w:asciiTheme="minorHAnsi" w:hAnsiTheme="minorHAnsi"/>
          <w:bCs/>
          <w:lang w:val="en-GB"/>
        </w:rPr>
        <w:t xml:space="preserve">uncertain </w:t>
      </w:r>
      <w:r w:rsidR="00E84EF0">
        <w:rPr>
          <w:rFonts w:asciiTheme="minorHAnsi" w:hAnsiTheme="minorHAnsi"/>
          <w:bCs/>
          <w:lang w:val="en-GB"/>
        </w:rPr>
        <w:t xml:space="preserve">treatment duration and potential for </w:t>
      </w:r>
      <w:r>
        <w:rPr>
          <w:rFonts w:asciiTheme="minorHAnsi" w:hAnsiTheme="minorHAnsi"/>
          <w:bCs/>
          <w:lang w:val="en-GB"/>
        </w:rPr>
        <w:t>use outside the restriction</w:t>
      </w:r>
      <w:r w:rsidR="00E84EF0">
        <w:rPr>
          <w:rFonts w:asciiTheme="minorHAnsi" w:hAnsiTheme="minorHAnsi"/>
          <w:bCs/>
          <w:lang w:val="en-GB"/>
        </w:rPr>
        <w:t xml:space="preserve">. </w:t>
      </w:r>
    </w:p>
    <w:p w:rsidR="003C77A5" w:rsidRPr="003C77A5" w:rsidRDefault="003C77A5" w:rsidP="001A63EF">
      <w:pPr>
        <w:numPr>
          <w:ilvl w:val="1"/>
          <w:numId w:val="1"/>
        </w:numPr>
        <w:spacing w:after="160"/>
        <w:rPr>
          <w:rFonts w:asciiTheme="minorHAnsi" w:hAnsiTheme="minorHAnsi"/>
          <w:bCs/>
          <w:lang w:val="en-GB"/>
        </w:rPr>
      </w:pPr>
      <w:r w:rsidRPr="001A63EF">
        <w:rPr>
          <w:rFonts w:asciiTheme="minorHAnsi" w:hAnsiTheme="minorHAnsi"/>
          <w:bCs/>
          <w:lang w:val="en-GB"/>
        </w:rPr>
        <w:t>The PBAC considered that any resubmission would need to be a major submission, and would need to</w:t>
      </w:r>
      <w:r w:rsidR="001A63EF">
        <w:rPr>
          <w:rFonts w:asciiTheme="minorHAnsi" w:hAnsiTheme="minorHAnsi"/>
          <w:bCs/>
          <w:lang w:val="en-GB"/>
        </w:rPr>
        <w:t xml:space="preserve"> revise </w:t>
      </w:r>
      <w:r w:rsidRPr="001A63EF">
        <w:rPr>
          <w:rFonts w:asciiTheme="minorHAnsi" w:hAnsiTheme="minorHAnsi"/>
          <w:bCs/>
          <w:lang w:val="en-GB"/>
        </w:rPr>
        <w:t xml:space="preserve">the economic model </w:t>
      </w:r>
      <w:r w:rsidR="001A63EF">
        <w:rPr>
          <w:rFonts w:asciiTheme="minorHAnsi" w:hAnsiTheme="minorHAnsi"/>
          <w:bCs/>
          <w:lang w:val="en-GB"/>
        </w:rPr>
        <w:t xml:space="preserve">and </w:t>
      </w:r>
      <w:r w:rsidR="001A63EF" w:rsidRPr="00D52EB4">
        <w:t>financial estimates</w:t>
      </w:r>
      <w:r w:rsidR="001A63EF">
        <w:t xml:space="preserve"> </w:t>
      </w:r>
      <w:r w:rsidRPr="001A63EF">
        <w:rPr>
          <w:rFonts w:asciiTheme="minorHAnsi" w:hAnsiTheme="minorHAnsi"/>
          <w:bCs/>
          <w:lang w:val="en-GB"/>
        </w:rPr>
        <w:t xml:space="preserve">to address the issues raised </w:t>
      </w:r>
      <w:r w:rsidR="001A63EF">
        <w:rPr>
          <w:rFonts w:asciiTheme="minorHAnsi" w:hAnsiTheme="minorHAnsi"/>
          <w:bCs/>
          <w:lang w:val="en-GB"/>
        </w:rPr>
        <w:t>above.</w:t>
      </w:r>
    </w:p>
    <w:p w:rsidR="00616287" w:rsidRPr="00525B39" w:rsidRDefault="001B7E6B" w:rsidP="00616287">
      <w:pPr>
        <w:numPr>
          <w:ilvl w:val="1"/>
          <w:numId w:val="1"/>
        </w:numPr>
        <w:spacing w:after="120"/>
        <w:rPr>
          <w:rFonts w:asciiTheme="minorHAnsi" w:hAnsiTheme="minorHAnsi"/>
          <w:bCs/>
          <w:i/>
          <w:lang w:val="en-GB"/>
        </w:rPr>
      </w:pPr>
      <w:r w:rsidRPr="00525B39">
        <w:rPr>
          <w:rFonts w:asciiTheme="minorHAnsi" w:hAnsiTheme="minorHAnsi"/>
          <w:bCs/>
          <w:lang w:val="en-GB"/>
        </w:rPr>
        <w:t>The PBAC noted</w:t>
      </w:r>
      <w:r w:rsidR="00616287">
        <w:rPr>
          <w:rFonts w:asciiTheme="minorHAnsi" w:hAnsiTheme="minorHAnsi"/>
          <w:bCs/>
          <w:lang w:val="en-GB"/>
        </w:rPr>
        <w:t xml:space="preserve"> that this submission is </w:t>
      </w:r>
      <w:r w:rsidRPr="00525B39">
        <w:rPr>
          <w:rFonts w:asciiTheme="minorHAnsi" w:hAnsiTheme="minorHAnsi"/>
          <w:bCs/>
          <w:lang w:val="en-GB"/>
        </w:rPr>
        <w:t xml:space="preserve">eligible for an Independent Review. </w:t>
      </w:r>
    </w:p>
    <w:p w:rsidR="001B7E6B" w:rsidRPr="00525B39" w:rsidRDefault="001B7E6B" w:rsidP="001B7E6B">
      <w:pPr>
        <w:spacing w:before="240"/>
        <w:rPr>
          <w:rFonts w:asciiTheme="minorHAnsi" w:hAnsiTheme="minorHAnsi"/>
          <w:b/>
          <w:bCs/>
          <w:lang w:val="en-GB"/>
        </w:rPr>
      </w:pPr>
      <w:r w:rsidRPr="00525B39">
        <w:rPr>
          <w:rFonts w:asciiTheme="minorHAnsi" w:hAnsiTheme="minorHAnsi"/>
          <w:b/>
          <w:bCs/>
          <w:lang w:val="en-GB"/>
        </w:rPr>
        <w:t>Outcome:</w:t>
      </w:r>
    </w:p>
    <w:p w:rsidR="00252899" w:rsidRDefault="001B7E6B" w:rsidP="006A7793">
      <w:pPr>
        <w:rPr>
          <w:rFonts w:asciiTheme="minorHAnsi" w:hAnsiTheme="minorHAnsi"/>
          <w:bCs/>
          <w:lang w:val="en-GB"/>
        </w:rPr>
      </w:pPr>
      <w:r w:rsidRPr="00525B39">
        <w:rPr>
          <w:rFonts w:asciiTheme="minorHAnsi" w:hAnsiTheme="minorHAnsi"/>
          <w:bCs/>
          <w:lang w:val="en-GB"/>
        </w:rPr>
        <w:t>Reje</w:t>
      </w:r>
      <w:r w:rsidR="00D05D23">
        <w:rPr>
          <w:rFonts w:asciiTheme="minorHAnsi" w:hAnsiTheme="minorHAnsi"/>
          <w:bCs/>
          <w:lang w:val="en-GB"/>
        </w:rPr>
        <w:t>cted</w:t>
      </w:r>
    </w:p>
    <w:p w:rsidR="001871A5" w:rsidRDefault="001871A5" w:rsidP="006A7793">
      <w:pPr>
        <w:rPr>
          <w:rFonts w:asciiTheme="minorHAnsi" w:hAnsiTheme="minorHAnsi"/>
          <w:bCs/>
          <w:lang w:val="en-GB"/>
        </w:rPr>
      </w:pPr>
    </w:p>
    <w:p w:rsidR="001871A5" w:rsidRDefault="001871A5" w:rsidP="001871A5">
      <w:pPr>
        <w:pStyle w:val="2Sections"/>
        <w:numPr>
          <w:ilvl w:val="0"/>
          <w:numId w:val="1"/>
        </w:numPr>
        <w:rPr>
          <w:color w:val="1F497D"/>
        </w:rPr>
      </w:pPr>
      <w:r w:rsidRPr="00C07617">
        <w:t>Context for Decision</w:t>
      </w:r>
    </w:p>
    <w:p w:rsidR="001871A5" w:rsidRDefault="001871A5" w:rsidP="001871A5">
      <w:pPr>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bCs/>
          <w:lang w:val="en-GB"/>
        </w:rPr>
        <w:t>medicines</w:t>
      </w:r>
      <w:r w:rsidRPr="007129F2">
        <w:rPr>
          <w:rFonts w:asciiTheme="minorHAnsi" w:hAnsiTheme="minorHAnsi"/>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871A5" w:rsidRPr="007129F2" w:rsidRDefault="001871A5" w:rsidP="001871A5">
      <w:pPr>
        <w:rPr>
          <w:rFonts w:asciiTheme="minorHAnsi" w:hAnsiTheme="minorHAnsi"/>
          <w:bCs/>
          <w:lang w:val="en-GB"/>
        </w:rPr>
      </w:pPr>
    </w:p>
    <w:p w:rsidR="001871A5" w:rsidRPr="00C07617" w:rsidRDefault="001871A5" w:rsidP="001871A5">
      <w:pPr>
        <w:pStyle w:val="2Sections"/>
        <w:numPr>
          <w:ilvl w:val="0"/>
          <w:numId w:val="1"/>
        </w:numPr>
        <w:rPr>
          <w:b w:val="0"/>
        </w:rPr>
      </w:pPr>
      <w:r>
        <w:t>Sponsor’s Comment</w:t>
      </w:r>
    </w:p>
    <w:p w:rsidR="001B0072" w:rsidRPr="003D58CE" w:rsidRDefault="001B0072" w:rsidP="001B0072">
      <w:pPr>
        <w:rPr>
          <w:rFonts w:asciiTheme="minorHAnsi" w:hAnsiTheme="minorHAnsi"/>
          <w:bCs/>
          <w:lang w:val="en-GB"/>
        </w:rPr>
      </w:pPr>
      <w:r w:rsidRPr="003D58CE">
        <w:rPr>
          <w:rFonts w:asciiTheme="minorHAnsi" w:hAnsiTheme="minorHAnsi"/>
          <w:bCs/>
          <w:lang w:val="en-GB"/>
        </w:rPr>
        <w:t xml:space="preserve">GSK remains disappointed by the PBAC’s decision not to recommend Benlysta® (belimumab) administered subcutaneously for the treatment of patients with systemic lupus erythematosus (SLE), which is the only new therapy to be approved by the Therapeutic Goods Administration for this indication in 50 years. </w:t>
      </w:r>
    </w:p>
    <w:p w:rsidR="001B0072" w:rsidRPr="003D58CE" w:rsidRDefault="001B0072" w:rsidP="001B0072">
      <w:pPr>
        <w:rPr>
          <w:rFonts w:asciiTheme="minorHAnsi" w:hAnsiTheme="minorHAnsi"/>
          <w:bCs/>
          <w:lang w:val="en-GB"/>
        </w:rPr>
      </w:pPr>
    </w:p>
    <w:p w:rsidR="001B0072" w:rsidRPr="003D58CE" w:rsidRDefault="001B0072" w:rsidP="001B0072">
      <w:pPr>
        <w:rPr>
          <w:rFonts w:asciiTheme="minorHAnsi" w:hAnsiTheme="minorHAnsi"/>
          <w:bCs/>
          <w:lang w:val="en-GB"/>
        </w:rPr>
      </w:pPr>
      <w:r w:rsidRPr="003D58CE">
        <w:rPr>
          <w:rFonts w:asciiTheme="minorHAnsi" w:hAnsiTheme="minorHAnsi"/>
          <w:bCs/>
          <w:lang w:val="en-GB"/>
        </w:rPr>
        <w:t xml:space="preserve">GSK welcomes the PBAC’s acknowledgement of the clinical need for effective treatments for SLE, particularly for the group of patients who are not responding to current therapies, given the debilitating impact this condition can have on people’s lives and specifically their individual quality of life. </w:t>
      </w:r>
    </w:p>
    <w:p w:rsidR="001B0072" w:rsidRPr="003D58CE" w:rsidRDefault="001B0072" w:rsidP="001B0072">
      <w:pPr>
        <w:rPr>
          <w:rFonts w:asciiTheme="minorHAnsi" w:hAnsiTheme="minorHAnsi"/>
          <w:bCs/>
          <w:lang w:val="en-GB"/>
        </w:rPr>
      </w:pPr>
    </w:p>
    <w:p w:rsidR="001B0072" w:rsidRPr="003D58CE" w:rsidRDefault="001B0072" w:rsidP="001B0072">
      <w:pPr>
        <w:rPr>
          <w:rFonts w:asciiTheme="minorHAnsi" w:hAnsiTheme="minorHAnsi"/>
          <w:bCs/>
          <w:lang w:val="en-GB"/>
        </w:rPr>
      </w:pPr>
      <w:r w:rsidRPr="003D58CE">
        <w:rPr>
          <w:rFonts w:asciiTheme="minorHAnsi" w:hAnsiTheme="minorHAnsi"/>
          <w:bCs/>
          <w:lang w:val="en-GB"/>
        </w:rPr>
        <w:t>GSK considers that both the impact of the disease and the overarching value of therapy proposed in the submission is aligned to the lived experience of patients with SLE and their treating clinicians and varies significantly from that ascribed by the PBAC. Specifically, we disagree with the negligible improvement in a patients’ quality of life insisted on by the PBAC for patients who respond to therapy. Further, we do not consider that due weight has been attributed to the totality of the evidence supporting Benlysta, particularly with regards to disease flares, steroid dose and organ damage.</w:t>
      </w:r>
    </w:p>
    <w:p w:rsidR="001B0072" w:rsidRPr="003D58CE" w:rsidRDefault="001B0072" w:rsidP="001B0072">
      <w:pPr>
        <w:rPr>
          <w:rFonts w:asciiTheme="minorHAnsi" w:hAnsiTheme="minorHAnsi"/>
          <w:bCs/>
          <w:lang w:val="en-GB"/>
        </w:rPr>
      </w:pPr>
    </w:p>
    <w:p w:rsidR="001B0072" w:rsidRPr="003D58CE" w:rsidRDefault="001B0072" w:rsidP="001B0072">
      <w:pPr>
        <w:rPr>
          <w:rFonts w:asciiTheme="minorHAnsi" w:hAnsiTheme="minorHAnsi"/>
          <w:bCs/>
          <w:lang w:val="en-GB"/>
        </w:rPr>
      </w:pPr>
      <w:r w:rsidRPr="003D58CE">
        <w:rPr>
          <w:rFonts w:asciiTheme="minorHAnsi" w:hAnsiTheme="minorHAnsi"/>
          <w:bCs/>
          <w:lang w:val="en-GB"/>
        </w:rPr>
        <w:t>GSK accepts there is some uncertainty in the evidence in this area, however, the efficacy of Benlysta is supported by four randomised controlled trials with over seven years of long-term clinical data. The PBAC has the flexibility to accept data uncertainty where there is a large clinical need with no alternative treatment options available and at a relatively small cost to the government. GSK made it clear to the PBAC, through our submission and all associated meetings, that we were offering the lowest possible price for Benlysta in order to achieve this listing and still maintain continuous supply of the medicine.</w:t>
      </w:r>
    </w:p>
    <w:p w:rsidR="001B0072" w:rsidRPr="003D58CE" w:rsidRDefault="001B0072" w:rsidP="001B0072">
      <w:pPr>
        <w:rPr>
          <w:rFonts w:asciiTheme="minorHAnsi" w:hAnsiTheme="minorHAnsi"/>
          <w:bCs/>
          <w:lang w:val="en-GB"/>
        </w:rPr>
      </w:pPr>
    </w:p>
    <w:p w:rsidR="001B0072" w:rsidRPr="003D58CE" w:rsidRDefault="001B0072" w:rsidP="001B0072">
      <w:pPr>
        <w:rPr>
          <w:rFonts w:asciiTheme="minorHAnsi" w:hAnsiTheme="minorHAnsi"/>
          <w:bCs/>
          <w:lang w:val="en-GB"/>
        </w:rPr>
      </w:pPr>
      <w:r w:rsidRPr="003D58CE">
        <w:rPr>
          <w:rFonts w:asciiTheme="minorHAnsi" w:hAnsiTheme="minorHAnsi"/>
          <w:bCs/>
          <w:lang w:val="en-GB"/>
        </w:rPr>
        <w:t xml:space="preserve">This is the second submission to the PBAC that has been rejected despite attempts put forward to mitigate the uncertainties identified.  GSK can see no way forward and reluctantly will not be resubmitting to the PBAC for this subset of patients living with severe SLE. </w:t>
      </w:r>
    </w:p>
    <w:p w:rsidR="001B0072" w:rsidRPr="003D58CE" w:rsidRDefault="001B0072" w:rsidP="001B0072">
      <w:pPr>
        <w:rPr>
          <w:rFonts w:asciiTheme="minorHAnsi" w:hAnsiTheme="minorHAnsi"/>
          <w:bCs/>
          <w:lang w:val="en-GB"/>
        </w:rPr>
      </w:pPr>
      <w:r w:rsidRPr="003D58CE">
        <w:rPr>
          <w:rFonts w:asciiTheme="minorHAnsi" w:hAnsiTheme="minorHAnsi"/>
          <w:bCs/>
          <w:lang w:val="en-GB"/>
        </w:rPr>
        <w:t>This evaluation raises concerns regarding the viability of any future treatments for SLE being listed on the PBS, given the wealth of evidence available to support Benlysta and the difficulty in achieving outcomes for this heterogeneous group of patients with high clinical need. We sincerely thank those patients, advocacy organisations and clinicians who provided advice on this submission.</w:t>
      </w:r>
    </w:p>
    <w:p w:rsidR="001871A5" w:rsidRPr="006A7793" w:rsidRDefault="001871A5" w:rsidP="006A7793">
      <w:pPr>
        <w:rPr>
          <w:rFonts w:asciiTheme="minorHAnsi" w:hAnsiTheme="minorHAnsi"/>
          <w:bCs/>
          <w:lang w:val="en-GB"/>
        </w:rPr>
      </w:pPr>
    </w:p>
    <w:sectPr w:rsidR="001871A5" w:rsidRPr="006A7793" w:rsidSect="00831AF2">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48FD" w16cex:dateUtc="2020-08-11T06:42:00Z"/>
  <w16cex:commentExtensible w16cex:durableId="22DD4B0E" w16cex:dateUtc="2020-08-11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5EACC1" w16cid:durableId="22DD44EB"/>
  <w16cid:commentId w16cid:paraId="26060378" w16cid:durableId="22DD48FD"/>
  <w16cid:commentId w16cid:paraId="70460344" w16cid:durableId="22DD44EC"/>
  <w16cid:commentId w16cid:paraId="35E8C2BC" w16cid:durableId="22DD4B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B75" w:rsidRDefault="00C15B75" w:rsidP="00124A51">
      <w:r>
        <w:separator/>
      </w:r>
    </w:p>
    <w:p w:rsidR="00C15B75" w:rsidRDefault="00C15B75"/>
  </w:endnote>
  <w:endnote w:type="continuationSeparator" w:id="0">
    <w:p w:rsidR="00C15B75" w:rsidRDefault="00C15B75" w:rsidP="00124A51">
      <w:r>
        <w:continuationSeparator/>
      </w:r>
    </w:p>
    <w:p w:rsidR="00C15B75" w:rsidRDefault="00C15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elior">
    <w:altName w:val="Calibri"/>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17" w:rsidRDefault="00413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1D" w:rsidRDefault="000D3E1D">
    <w:pPr>
      <w:pStyle w:val="Footer"/>
      <w:jc w:val="center"/>
    </w:pPr>
  </w:p>
  <w:p w:rsidR="000D3E1D" w:rsidRDefault="00A5623D">
    <w:pPr>
      <w:pStyle w:val="Footer"/>
      <w:jc w:val="center"/>
    </w:pPr>
    <w:sdt>
      <w:sdtPr>
        <w:id w:val="-579596042"/>
        <w:docPartObj>
          <w:docPartGallery w:val="Page Numbers (Bottom of Page)"/>
          <w:docPartUnique/>
        </w:docPartObj>
      </w:sdtPr>
      <w:sdtEndPr>
        <w:rPr>
          <w:noProof/>
        </w:rPr>
      </w:sdtEndPr>
      <w:sdtContent>
        <w:r w:rsidR="000D3E1D" w:rsidRPr="00DC58D2">
          <w:rPr>
            <w:b/>
          </w:rPr>
          <w:fldChar w:fldCharType="begin"/>
        </w:r>
        <w:r w:rsidR="000D3E1D" w:rsidRPr="00DC58D2">
          <w:rPr>
            <w:b/>
          </w:rPr>
          <w:instrText xml:space="preserve"> PAGE   \* MERGEFORMAT </w:instrText>
        </w:r>
        <w:r w:rsidR="000D3E1D" w:rsidRPr="00DC58D2">
          <w:rPr>
            <w:b/>
          </w:rPr>
          <w:fldChar w:fldCharType="separate"/>
        </w:r>
        <w:r>
          <w:rPr>
            <w:b/>
            <w:noProof/>
          </w:rPr>
          <w:t>1</w:t>
        </w:r>
        <w:r w:rsidR="000D3E1D" w:rsidRPr="00DC58D2">
          <w:rPr>
            <w:b/>
            <w:noProof/>
          </w:rPr>
          <w:fldChar w:fldCharType="end"/>
        </w:r>
      </w:sdtContent>
    </w:sdt>
  </w:p>
  <w:p w:rsidR="000D3E1D" w:rsidRDefault="000D3E1D" w:rsidP="00F24D8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17" w:rsidRDefault="00413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B75" w:rsidRDefault="00C15B75" w:rsidP="00124A51">
      <w:r>
        <w:separator/>
      </w:r>
    </w:p>
    <w:p w:rsidR="00C15B75" w:rsidRDefault="00C15B75"/>
  </w:footnote>
  <w:footnote w:type="continuationSeparator" w:id="0">
    <w:p w:rsidR="00C15B75" w:rsidRDefault="00C15B75" w:rsidP="00124A51">
      <w:r>
        <w:continuationSeparator/>
      </w:r>
    </w:p>
    <w:p w:rsidR="00C15B75" w:rsidRDefault="00C15B75"/>
  </w:footnote>
  <w:footnote w:id="1">
    <w:p w:rsidR="000D3E1D" w:rsidRPr="00D14CA7" w:rsidRDefault="000D3E1D" w:rsidP="00172AD3">
      <w:pPr>
        <w:pStyle w:val="FootnoteText"/>
        <w:rPr>
          <w:rFonts w:ascii="Arial Narrow" w:hAnsi="Arial Narrow"/>
          <w:sz w:val="18"/>
          <w:szCs w:val="18"/>
        </w:rPr>
      </w:pPr>
      <w:r w:rsidRPr="00D14CA7">
        <w:rPr>
          <w:rStyle w:val="FootnoteReference"/>
          <w:rFonts w:ascii="Arial Narrow" w:hAnsi="Arial Narrow"/>
          <w:sz w:val="18"/>
          <w:szCs w:val="18"/>
        </w:rPr>
        <w:footnoteRef/>
      </w:r>
      <w:r w:rsidRPr="00D14CA7">
        <w:rPr>
          <w:rFonts w:ascii="Arial Narrow" w:hAnsi="Arial Narrow"/>
          <w:sz w:val="18"/>
          <w:szCs w:val="18"/>
        </w:rPr>
        <w:t xml:space="preserve"> </w:t>
      </w:r>
      <w:r w:rsidRPr="00D14CA7">
        <w:rPr>
          <w:rFonts w:ascii="Arial Narrow" w:hAnsi="Arial Narrow"/>
          <w:color w:val="333333"/>
          <w:sz w:val="18"/>
          <w:szCs w:val="18"/>
          <w:shd w:val="clear" w:color="auto" w:fill="FFFFFF"/>
        </w:rPr>
        <w:t>Connelly K, Morand EF, Hoi AY. Asian ethnicity in systemic lupus erythematosus: an Australian perspective. Intern Med J 2013;43:618–24.</w:t>
      </w:r>
    </w:p>
  </w:footnote>
  <w:footnote w:id="2">
    <w:p w:rsidR="000D3E1D" w:rsidRPr="00D14CA7" w:rsidRDefault="000D3E1D" w:rsidP="00172AD3">
      <w:pPr>
        <w:pStyle w:val="FootnoteText"/>
        <w:rPr>
          <w:rFonts w:ascii="Arial Narrow" w:hAnsi="Arial Narrow"/>
          <w:sz w:val="18"/>
          <w:szCs w:val="18"/>
        </w:rPr>
      </w:pPr>
      <w:r w:rsidRPr="00D14CA7">
        <w:rPr>
          <w:rStyle w:val="FootnoteReference"/>
          <w:rFonts w:ascii="Arial Narrow" w:hAnsi="Arial Narrow"/>
          <w:sz w:val="18"/>
          <w:szCs w:val="18"/>
        </w:rPr>
        <w:footnoteRef/>
      </w:r>
      <w:r w:rsidRPr="00D14CA7">
        <w:rPr>
          <w:rFonts w:ascii="Arial Narrow" w:hAnsi="Arial Narrow"/>
          <w:sz w:val="18"/>
          <w:szCs w:val="18"/>
        </w:rPr>
        <w:t xml:space="preserve"> </w:t>
      </w:r>
      <w:r w:rsidRPr="00D14CA7">
        <w:rPr>
          <w:rFonts w:ascii="Arial Narrow" w:hAnsi="Arial Narrow"/>
          <w:color w:val="333333"/>
          <w:sz w:val="18"/>
          <w:szCs w:val="18"/>
          <w:shd w:val="clear" w:color="auto" w:fill="FFFFFF"/>
        </w:rPr>
        <w:t>Vincent FB, Bourke P, Morand EF, Mackay F, Bossingham D. Focus on systemic lupus erythematosus in Indigenous Australians: towards a better understanding of autoimmune diseases. Intern Med 2013;43:227–34.</w:t>
      </w:r>
    </w:p>
  </w:footnote>
  <w:footnote w:id="3">
    <w:p w:rsidR="000D3E1D" w:rsidRPr="00D14CA7" w:rsidRDefault="000D3E1D" w:rsidP="00172AD3">
      <w:pPr>
        <w:pStyle w:val="FootnoteText"/>
        <w:rPr>
          <w:rFonts w:ascii="Arial Narrow" w:hAnsi="Arial Narrow"/>
          <w:sz w:val="18"/>
          <w:szCs w:val="18"/>
        </w:rPr>
      </w:pPr>
      <w:r w:rsidRPr="00D14CA7">
        <w:rPr>
          <w:rStyle w:val="FootnoteReference"/>
          <w:rFonts w:ascii="Arial Narrow" w:hAnsi="Arial Narrow"/>
          <w:sz w:val="18"/>
          <w:szCs w:val="18"/>
        </w:rPr>
        <w:footnoteRef/>
      </w:r>
      <w:r w:rsidRPr="00D14CA7">
        <w:rPr>
          <w:rFonts w:ascii="Arial Narrow" w:hAnsi="Arial Narrow"/>
          <w:sz w:val="18"/>
          <w:szCs w:val="18"/>
        </w:rPr>
        <w:t xml:space="preserve"> Mikdashi, J., &amp; Nived, O. (2015). Measuring disease activity in adults with systemic lupus erythematosus: the challenges of administrative burden and responsiveness to patient concerns in clinical research. Arthritis research &amp; therapy, 17(1), 183. doi:10.1186/s13075-015-0702-6</w:t>
      </w:r>
    </w:p>
  </w:footnote>
  <w:footnote w:id="4">
    <w:p w:rsidR="000D3E1D" w:rsidRPr="00D14CA7" w:rsidRDefault="000D3E1D" w:rsidP="00172AD3">
      <w:pPr>
        <w:pStyle w:val="FootnoteText"/>
        <w:rPr>
          <w:rFonts w:ascii="Arial Narrow" w:hAnsi="Arial Narrow"/>
          <w:sz w:val="18"/>
          <w:szCs w:val="18"/>
        </w:rPr>
      </w:pPr>
      <w:r w:rsidRPr="00D14CA7">
        <w:rPr>
          <w:rStyle w:val="FootnoteReference"/>
          <w:rFonts w:ascii="Arial Narrow" w:hAnsi="Arial Narrow"/>
          <w:sz w:val="18"/>
          <w:szCs w:val="18"/>
        </w:rPr>
        <w:footnoteRef/>
      </w:r>
      <w:r w:rsidRPr="00D14CA7">
        <w:rPr>
          <w:rFonts w:ascii="Arial Narrow" w:hAnsi="Arial Narrow"/>
          <w:sz w:val="18"/>
          <w:szCs w:val="18"/>
        </w:rPr>
        <w:t xml:space="preserve"> Wallace DJ, Stohl W, Furie RA, Lisse JR, McKay JD, Merrill JT, et al. A phase II, randomized, double-blind, placebo controlled, dose-ranging study of belimumab in patients with active systemic lupus erythematosus. Arthritis Rheum 2009; 61:1168–78.</w:t>
      </w:r>
    </w:p>
  </w:footnote>
  <w:footnote w:id="5">
    <w:p w:rsidR="000D3E1D" w:rsidRPr="0056678A" w:rsidRDefault="000D3E1D" w:rsidP="0072728F">
      <w:pPr>
        <w:pStyle w:val="FootnoteText"/>
        <w:rPr>
          <w:rFonts w:ascii="Arial Narrow" w:hAnsi="Arial Narrow"/>
          <w:sz w:val="18"/>
          <w:szCs w:val="18"/>
        </w:rPr>
      </w:pPr>
      <w:r w:rsidRPr="0056678A">
        <w:rPr>
          <w:rStyle w:val="FootnoteReference"/>
          <w:rFonts w:ascii="Arial Narrow" w:hAnsi="Arial Narrow"/>
          <w:sz w:val="18"/>
          <w:szCs w:val="18"/>
        </w:rPr>
        <w:footnoteRef/>
      </w:r>
      <w:r w:rsidRPr="0056678A">
        <w:rPr>
          <w:rFonts w:ascii="Arial Narrow" w:hAnsi="Arial Narrow"/>
          <w:sz w:val="18"/>
          <w:szCs w:val="18"/>
        </w:rPr>
        <w:t xml:space="preserve"> The TGA PI was based on a Phase II belimumab study and the BLISS trials</w:t>
      </w:r>
    </w:p>
  </w:footnote>
  <w:footnote w:id="6">
    <w:p w:rsidR="000D3E1D" w:rsidRPr="0056678A" w:rsidRDefault="000D3E1D" w:rsidP="0072728F">
      <w:pPr>
        <w:pStyle w:val="FootnoteText"/>
        <w:rPr>
          <w:rFonts w:ascii="Arial Narrow" w:hAnsi="Arial Narrow"/>
          <w:sz w:val="18"/>
          <w:szCs w:val="18"/>
        </w:rPr>
      </w:pPr>
      <w:r w:rsidRPr="0056678A">
        <w:rPr>
          <w:rStyle w:val="FootnoteReference"/>
          <w:rFonts w:ascii="Arial Narrow" w:hAnsi="Arial Narrow"/>
          <w:sz w:val="18"/>
          <w:szCs w:val="18"/>
        </w:rPr>
        <w:footnoteRef/>
      </w:r>
      <w:r w:rsidRPr="0056678A">
        <w:rPr>
          <w:rFonts w:ascii="Arial Narrow" w:hAnsi="Arial Narrow"/>
          <w:sz w:val="18"/>
          <w:szCs w:val="18"/>
        </w:rPr>
        <w:t xml:space="preserve"> Sheikh S, Scheinberg M, Cheng-Chung Wei J, et al Headline results for a Phase 4, 52 Week, Randomised, Double-blind, Placebo-controlled study to assess adverse events of special interest (AESI) in adults with active, auto-antibody-positive systemic lupus erythematosus (SLE) receiving belimumab. Annals of the Rheumatic Diseases 2019;78:266.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17" w:rsidRDefault="00413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1D" w:rsidRPr="00966288" w:rsidRDefault="000D3E1D" w:rsidP="001871A5">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rsidR="000D3E1D" w:rsidRDefault="000D3E1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17" w:rsidRDefault="00413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6AE60C"/>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0A5702"/>
    <w:multiLevelType w:val="hybridMultilevel"/>
    <w:tmpl w:val="7834C474"/>
    <w:lvl w:ilvl="0" w:tplc="A82ADB8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55C2F"/>
    <w:multiLevelType w:val="hybridMultilevel"/>
    <w:tmpl w:val="78B098BA"/>
    <w:lvl w:ilvl="0" w:tplc="A82ADB8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4F14026"/>
    <w:multiLevelType w:val="hybridMultilevel"/>
    <w:tmpl w:val="4954712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B358C"/>
    <w:multiLevelType w:val="hybridMultilevel"/>
    <w:tmpl w:val="EAF66E7E"/>
    <w:lvl w:ilvl="0" w:tplc="A82ADB8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32AEB"/>
    <w:multiLevelType w:val="hybridMultilevel"/>
    <w:tmpl w:val="52305472"/>
    <w:lvl w:ilvl="0" w:tplc="A82ADB8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B975F8"/>
    <w:multiLevelType w:val="hybridMultilevel"/>
    <w:tmpl w:val="F5462830"/>
    <w:lvl w:ilvl="0" w:tplc="A82ADB8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FC146C"/>
    <w:multiLevelType w:val="hybridMultilevel"/>
    <w:tmpl w:val="3F040E30"/>
    <w:lvl w:ilvl="0" w:tplc="A82ADB8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2715F"/>
    <w:multiLevelType w:val="hybridMultilevel"/>
    <w:tmpl w:val="30741E3C"/>
    <w:lvl w:ilvl="0" w:tplc="A82ADB8C">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15" w15:restartNumberingAfterBreak="0">
    <w:nsid w:val="38F3083A"/>
    <w:multiLevelType w:val="hybridMultilevel"/>
    <w:tmpl w:val="32A4452C"/>
    <w:lvl w:ilvl="0" w:tplc="A82ADB8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20B6ECC"/>
    <w:multiLevelType w:val="hybridMultilevel"/>
    <w:tmpl w:val="C23E7B90"/>
    <w:lvl w:ilvl="0" w:tplc="ED1E5F1E">
      <w:start w:val="1"/>
      <w:numFmt w:val="bullet"/>
      <w:pStyle w:val="BulletedList"/>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E6A6BAA"/>
    <w:multiLevelType w:val="hybridMultilevel"/>
    <w:tmpl w:val="701A128A"/>
    <w:lvl w:ilvl="0" w:tplc="A82ADB8C">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E57C6"/>
    <w:multiLevelType w:val="hybridMultilevel"/>
    <w:tmpl w:val="0650AC06"/>
    <w:lvl w:ilvl="0" w:tplc="C5C80ADE">
      <w:numFmt w:val="bullet"/>
      <w:lvlText w:val="-"/>
      <w:lvlJc w:val="left"/>
      <w:pPr>
        <w:ind w:left="720" w:hanging="360"/>
      </w:pPr>
      <w:rPr>
        <w:rFonts w:ascii="Calibri" w:eastAsiaTheme="minorEastAs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581138"/>
    <w:multiLevelType w:val="hybridMultilevel"/>
    <w:tmpl w:val="A126A4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81E4CC4"/>
    <w:multiLevelType w:val="hybridMultilevel"/>
    <w:tmpl w:val="6FE07388"/>
    <w:lvl w:ilvl="0" w:tplc="A82ADB8C">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8C25C48"/>
    <w:multiLevelType w:val="hybridMultilevel"/>
    <w:tmpl w:val="F93063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4134E9"/>
    <w:multiLevelType w:val="hybridMultilevel"/>
    <w:tmpl w:val="6C2090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E26911"/>
    <w:multiLevelType w:val="hybridMultilevel"/>
    <w:tmpl w:val="755605B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5104A76"/>
    <w:multiLevelType w:val="hybridMultilevel"/>
    <w:tmpl w:val="B6824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4D033C"/>
    <w:multiLevelType w:val="multilevel"/>
    <w:tmpl w:val="214E28E2"/>
    <w:lvl w:ilvl="0">
      <w:start w:val="1"/>
      <w:numFmt w:val="decimal"/>
      <w:pStyle w:val="PBACHeading1"/>
      <w:lvlText w:val="%1"/>
      <w:lvlJc w:val="left"/>
      <w:pPr>
        <w:ind w:left="720" w:hanging="720"/>
      </w:pPr>
      <w:rPr>
        <w:rFonts w:hint="default"/>
        <w:b/>
        <w:color w:val="auto"/>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9D6967"/>
    <w:multiLevelType w:val="hybridMultilevel"/>
    <w:tmpl w:val="A0904310"/>
    <w:lvl w:ilvl="0" w:tplc="C5C80ADE">
      <w:numFmt w:val="bullet"/>
      <w:lvlText w:val="-"/>
      <w:lvlJc w:val="left"/>
      <w:pPr>
        <w:ind w:left="1026" w:hanging="360"/>
      </w:pPr>
      <w:rPr>
        <w:rFonts w:ascii="Calibri" w:eastAsiaTheme="minorEastAsia" w:hAnsi="Calibri" w:cs="Aria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0" w15:restartNumberingAfterBreak="0">
    <w:nsid w:val="7A7B0AC6"/>
    <w:multiLevelType w:val="hybridMultilevel"/>
    <w:tmpl w:val="03C85098"/>
    <w:lvl w:ilvl="0" w:tplc="C5C80ADE">
      <w:numFmt w:val="bullet"/>
      <w:lvlText w:val="-"/>
      <w:lvlJc w:val="left"/>
      <w:pPr>
        <w:ind w:left="720" w:hanging="360"/>
      </w:pPr>
      <w:rPr>
        <w:rFonts w:ascii="Calibri" w:eastAsiaTheme="minorEastAs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CC60FE"/>
    <w:multiLevelType w:val="hybridMultilevel"/>
    <w:tmpl w:val="8062D648"/>
    <w:lvl w:ilvl="0" w:tplc="A82ADB8C">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8"/>
  </w:num>
  <w:num w:numId="2">
    <w:abstractNumId w:val="17"/>
  </w:num>
  <w:num w:numId="3">
    <w:abstractNumId w:val="16"/>
  </w:num>
  <w:num w:numId="4">
    <w:abstractNumId w:val="14"/>
  </w:num>
  <w:num w:numId="5">
    <w:abstractNumId w:val="30"/>
  </w:num>
  <w:num w:numId="6">
    <w:abstractNumId w:val="19"/>
  </w:num>
  <w:num w:numId="7">
    <w:abstractNumId w:val="27"/>
  </w:num>
  <w:num w:numId="8">
    <w:abstractNumId w:val="24"/>
  </w:num>
  <w:num w:numId="9">
    <w:abstractNumId w:val="26"/>
  </w:num>
  <w:num w:numId="10">
    <w:abstractNumId w:val="15"/>
  </w:num>
  <w:num w:numId="11">
    <w:abstractNumId w:val="29"/>
  </w:num>
  <w:num w:numId="12">
    <w:abstractNumId w:val="7"/>
  </w:num>
  <w:num w:numId="13">
    <w:abstractNumId w:val="3"/>
  </w:num>
  <w:num w:numId="14">
    <w:abstractNumId w:val="10"/>
  </w:num>
  <w:num w:numId="15">
    <w:abstractNumId w:val="11"/>
  </w:num>
  <w:num w:numId="16">
    <w:abstractNumId w:val="6"/>
  </w:num>
  <w:num w:numId="17">
    <w:abstractNumId w:val="2"/>
  </w:num>
  <w:num w:numId="18">
    <w:abstractNumId w:val="13"/>
  </w:num>
  <w:num w:numId="19">
    <w:abstractNumId w:val="18"/>
  </w:num>
  <w:num w:numId="20">
    <w:abstractNumId w:val="23"/>
  </w:num>
  <w:num w:numId="21">
    <w:abstractNumId w:val="31"/>
  </w:num>
  <w:num w:numId="22">
    <w:abstractNumId w:val="25"/>
  </w:num>
  <w:num w:numId="23">
    <w:abstractNumId w:val="20"/>
  </w:num>
  <w:num w:numId="24">
    <w:abstractNumId w:val="21"/>
  </w:num>
  <w:num w:numId="25">
    <w:abstractNumId w:val="5"/>
  </w:num>
  <w:num w:numId="26">
    <w:abstractNumId w:val="1"/>
  </w:num>
  <w:num w:numId="27">
    <w:abstractNumId w:val="9"/>
  </w:num>
  <w:num w:numId="28">
    <w:abstractNumId w:val="12"/>
  </w:num>
  <w:num w:numId="29">
    <w:abstractNumId w:val="8"/>
  </w:num>
  <w:num w:numId="30">
    <w:abstractNumId w:val="0"/>
  </w:num>
  <w:num w:numId="31">
    <w:abstractNumId w:val="4"/>
  </w:num>
  <w:num w:numId="32">
    <w:abstractNumId w:val="22"/>
  </w:num>
  <w:num w:numId="33">
    <w:abstractNumId w:val="28"/>
  </w:num>
  <w:num w:numId="3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doNotTrackFormatting/>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38C"/>
    <w:rsid w:val="000029D2"/>
    <w:rsid w:val="00003499"/>
    <w:rsid w:val="000039B7"/>
    <w:rsid w:val="0000438D"/>
    <w:rsid w:val="00004E32"/>
    <w:rsid w:val="000056D8"/>
    <w:rsid w:val="000056ED"/>
    <w:rsid w:val="000069E8"/>
    <w:rsid w:val="0000740C"/>
    <w:rsid w:val="000074E5"/>
    <w:rsid w:val="000106CD"/>
    <w:rsid w:val="000107A9"/>
    <w:rsid w:val="00011138"/>
    <w:rsid w:val="00011297"/>
    <w:rsid w:val="00011584"/>
    <w:rsid w:val="000115FD"/>
    <w:rsid w:val="000117FB"/>
    <w:rsid w:val="00011E56"/>
    <w:rsid w:val="0001253E"/>
    <w:rsid w:val="00013247"/>
    <w:rsid w:val="00013256"/>
    <w:rsid w:val="0001325E"/>
    <w:rsid w:val="00013995"/>
    <w:rsid w:val="00013A92"/>
    <w:rsid w:val="00014101"/>
    <w:rsid w:val="000145AA"/>
    <w:rsid w:val="000155FB"/>
    <w:rsid w:val="00015886"/>
    <w:rsid w:val="000162EF"/>
    <w:rsid w:val="0002032D"/>
    <w:rsid w:val="000211CB"/>
    <w:rsid w:val="00021808"/>
    <w:rsid w:val="00021ABB"/>
    <w:rsid w:val="0002225F"/>
    <w:rsid w:val="000225AE"/>
    <w:rsid w:val="00023763"/>
    <w:rsid w:val="0002393C"/>
    <w:rsid w:val="00024F9E"/>
    <w:rsid w:val="00025A64"/>
    <w:rsid w:val="00026595"/>
    <w:rsid w:val="0003069F"/>
    <w:rsid w:val="000308CE"/>
    <w:rsid w:val="00030F6B"/>
    <w:rsid w:val="00031E11"/>
    <w:rsid w:val="00031ED6"/>
    <w:rsid w:val="00032D34"/>
    <w:rsid w:val="000337CB"/>
    <w:rsid w:val="00033863"/>
    <w:rsid w:val="000339E1"/>
    <w:rsid w:val="00033AA5"/>
    <w:rsid w:val="00033FAE"/>
    <w:rsid w:val="00034836"/>
    <w:rsid w:val="000350F6"/>
    <w:rsid w:val="00035DC0"/>
    <w:rsid w:val="00036829"/>
    <w:rsid w:val="00036C12"/>
    <w:rsid w:val="000371CD"/>
    <w:rsid w:val="00040584"/>
    <w:rsid w:val="00040895"/>
    <w:rsid w:val="00041106"/>
    <w:rsid w:val="000426A5"/>
    <w:rsid w:val="00043C37"/>
    <w:rsid w:val="0004403C"/>
    <w:rsid w:val="00044675"/>
    <w:rsid w:val="00045017"/>
    <w:rsid w:val="0004520F"/>
    <w:rsid w:val="00045A2B"/>
    <w:rsid w:val="0004698F"/>
    <w:rsid w:val="00046B91"/>
    <w:rsid w:val="00047B21"/>
    <w:rsid w:val="00047D6D"/>
    <w:rsid w:val="00047DFB"/>
    <w:rsid w:val="00050DF7"/>
    <w:rsid w:val="0005111D"/>
    <w:rsid w:val="00051238"/>
    <w:rsid w:val="00051406"/>
    <w:rsid w:val="000539D0"/>
    <w:rsid w:val="00054621"/>
    <w:rsid w:val="000546D7"/>
    <w:rsid w:val="00055F12"/>
    <w:rsid w:val="0005603B"/>
    <w:rsid w:val="00060775"/>
    <w:rsid w:val="00060924"/>
    <w:rsid w:val="00062673"/>
    <w:rsid w:val="000627E7"/>
    <w:rsid w:val="000640C1"/>
    <w:rsid w:val="00064481"/>
    <w:rsid w:val="0006529B"/>
    <w:rsid w:val="00065ECF"/>
    <w:rsid w:val="00066360"/>
    <w:rsid w:val="0006639A"/>
    <w:rsid w:val="00067808"/>
    <w:rsid w:val="000678B6"/>
    <w:rsid w:val="000704AC"/>
    <w:rsid w:val="00071248"/>
    <w:rsid w:val="000720B9"/>
    <w:rsid w:val="000727D4"/>
    <w:rsid w:val="00072881"/>
    <w:rsid w:val="0007311A"/>
    <w:rsid w:val="000737F7"/>
    <w:rsid w:val="00074DAF"/>
    <w:rsid w:val="0007574A"/>
    <w:rsid w:val="00075BD9"/>
    <w:rsid w:val="00075DEA"/>
    <w:rsid w:val="00076063"/>
    <w:rsid w:val="0007672F"/>
    <w:rsid w:val="00076D2D"/>
    <w:rsid w:val="00076E57"/>
    <w:rsid w:val="00076FA8"/>
    <w:rsid w:val="000774F0"/>
    <w:rsid w:val="00080573"/>
    <w:rsid w:val="00080640"/>
    <w:rsid w:val="00080909"/>
    <w:rsid w:val="000812CA"/>
    <w:rsid w:val="00081906"/>
    <w:rsid w:val="0008258D"/>
    <w:rsid w:val="000828F5"/>
    <w:rsid w:val="000829DA"/>
    <w:rsid w:val="00082CB2"/>
    <w:rsid w:val="00083E99"/>
    <w:rsid w:val="000856C5"/>
    <w:rsid w:val="00085E47"/>
    <w:rsid w:val="000862D4"/>
    <w:rsid w:val="000862E9"/>
    <w:rsid w:val="000869FA"/>
    <w:rsid w:val="00087F45"/>
    <w:rsid w:val="000900ED"/>
    <w:rsid w:val="00090158"/>
    <w:rsid w:val="00090267"/>
    <w:rsid w:val="00090C7E"/>
    <w:rsid w:val="00092585"/>
    <w:rsid w:val="00092600"/>
    <w:rsid w:val="0009262B"/>
    <w:rsid w:val="00093310"/>
    <w:rsid w:val="00093FCE"/>
    <w:rsid w:val="0009445C"/>
    <w:rsid w:val="00094830"/>
    <w:rsid w:val="000954F7"/>
    <w:rsid w:val="0009552C"/>
    <w:rsid w:val="00095F83"/>
    <w:rsid w:val="00095FE5"/>
    <w:rsid w:val="00096041"/>
    <w:rsid w:val="00096284"/>
    <w:rsid w:val="0009633B"/>
    <w:rsid w:val="000965EC"/>
    <w:rsid w:val="000975F3"/>
    <w:rsid w:val="00097667"/>
    <w:rsid w:val="000A10F9"/>
    <w:rsid w:val="000A150D"/>
    <w:rsid w:val="000A1689"/>
    <w:rsid w:val="000A1D1F"/>
    <w:rsid w:val="000A21E1"/>
    <w:rsid w:val="000A2D2A"/>
    <w:rsid w:val="000A37CD"/>
    <w:rsid w:val="000A65E1"/>
    <w:rsid w:val="000A72E6"/>
    <w:rsid w:val="000A7D08"/>
    <w:rsid w:val="000B0494"/>
    <w:rsid w:val="000B0670"/>
    <w:rsid w:val="000B0E75"/>
    <w:rsid w:val="000B107F"/>
    <w:rsid w:val="000B1424"/>
    <w:rsid w:val="000B2A65"/>
    <w:rsid w:val="000B33EE"/>
    <w:rsid w:val="000B43DE"/>
    <w:rsid w:val="000B4AF1"/>
    <w:rsid w:val="000B4D7B"/>
    <w:rsid w:val="000B50B7"/>
    <w:rsid w:val="000B50E5"/>
    <w:rsid w:val="000B5630"/>
    <w:rsid w:val="000B57C9"/>
    <w:rsid w:val="000B5C1C"/>
    <w:rsid w:val="000B6CAC"/>
    <w:rsid w:val="000B70A4"/>
    <w:rsid w:val="000B7612"/>
    <w:rsid w:val="000C1228"/>
    <w:rsid w:val="000C32D6"/>
    <w:rsid w:val="000C3DF9"/>
    <w:rsid w:val="000C4FED"/>
    <w:rsid w:val="000C5C8F"/>
    <w:rsid w:val="000C63CF"/>
    <w:rsid w:val="000C6713"/>
    <w:rsid w:val="000C6B9C"/>
    <w:rsid w:val="000C6BCF"/>
    <w:rsid w:val="000C70A2"/>
    <w:rsid w:val="000C781C"/>
    <w:rsid w:val="000D0865"/>
    <w:rsid w:val="000D0A4D"/>
    <w:rsid w:val="000D1BFC"/>
    <w:rsid w:val="000D228A"/>
    <w:rsid w:val="000D281A"/>
    <w:rsid w:val="000D326A"/>
    <w:rsid w:val="000D3B43"/>
    <w:rsid w:val="000D3E1D"/>
    <w:rsid w:val="000D4E5B"/>
    <w:rsid w:val="000D5061"/>
    <w:rsid w:val="000D51FB"/>
    <w:rsid w:val="000D5240"/>
    <w:rsid w:val="000D6B80"/>
    <w:rsid w:val="000D770F"/>
    <w:rsid w:val="000E008B"/>
    <w:rsid w:val="000E135D"/>
    <w:rsid w:val="000E268D"/>
    <w:rsid w:val="000E3221"/>
    <w:rsid w:val="000E5154"/>
    <w:rsid w:val="000E63DE"/>
    <w:rsid w:val="000E7DAA"/>
    <w:rsid w:val="000E7DF6"/>
    <w:rsid w:val="000F00BA"/>
    <w:rsid w:val="000F1959"/>
    <w:rsid w:val="000F1E26"/>
    <w:rsid w:val="000F209B"/>
    <w:rsid w:val="000F24ED"/>
    <w:rsid w:val="000F2A29"/>
    <w:rsid w:val="000F2CA2"/>
    <w:rsid w:val="000F316A"/>
    <w:rsid w:val="000F32E7"/>
    <w:rsid w:val="000F3933"/>
    <w:rsid w:val="000F3C74"/>
    <w:rsid w:val="000F4A84"/>
    <w:rsid w:val="000F4BB8"/>
    <w:rsid w:val="000F5FD7"/>
    <w:rsid w:val="000F6085"/>
    <w:rsid w:val="000F6108"/>
    <w:rsid w:val="000F67CD"/>
    <w:rsid w:val="000F6D7E"/>
    <w:rsid w:val="000F7112"/>
    <w:rsid w:val="000F7127"/>
    <w:rsid w:val="00100462"/>
    <w:rsid w:val="00100860"/>
    <w:rsid w:val="00100F22"/>
    <w:rsid w:val="00100F8A"/>
    <w:rsid w:val="00101000"/>
    <w:rsid w:val="001012CD"/>
    <w:rsid w:val="001028BF"/>
    <w:rsid w:val="001030C4"/>
    <w:rsid w:val="00105159"/>
    <w:rsid w:val="00105531"/>
    <w:rsid w:val="001057DE"/>
    <w:rsid w:val="00105AE2"/>
    <w:rsid w:val="00106B80"/>
    <w:rsid w:val="0010751D"/>
    <w:rsid w:val="00107F3E"/>
    <w:rsid w:val="00110144"/>
    <w:rsid w:val="0011016C"/>
    <w:rsid w:val="001102EB"/>
    <w:rsid w:val="0011032E"/>
    <w:rsid w:val="00110B19"/>
    <w:rsid w:val="001111ED"/>
    <w:rsid w:val="00111E75"/>
    <w:rsid w:val="0011348B"/>
    <w:rsid w:val="0011373D"/>
    <w:rsid w:val="00113B72"/>
    <w:rsid w:val="001140BD"/>
    <w:rsid w:val="0011582A"/>
    <w:rsid w:val="00115982"/>
    <w:rsid w:val="00116833"/>
    <w:rsid w:val="00116A35"/>
    <w:rsid w:val="00116C53"/>
    <w:rsid w:val="00117841"/>
    <w:rsid w:val="001203AB"/>
    <w:rsid w:val="00120B43"/>
    <w:rsid w:val="00121799"/>
    <w:rsid w:val="00122181"/>
    <w:rsid w:val="001222FC"/>
    <w:rsid w:val="00122BF4"/>
    <w:rsid w:val="00122D9C"/>
    <w:rsid w:val="00123265"/>
    <w:rsid w:val="00124A51"/>
    <w:rsid w:val="00124AD5"/>
    <w:rsid w:val="00125459"/>
    <w:rsid w:val="001254A6"/>
    <w:rsid w:val="00125608"/>
    <w:rsid w:val="001258AC"/>
    <w:rsid w:val="00126377"/>
    <w:rsid w:val="00126621"/>
    <w:rsid w:val="00126FBE"/>
    <w:rsid w:val="00127531"/>
    <w:rsid w:val="001301E9"/>
    <w:rsid w:val="00131013"/>
    <w:rsid w:val="00131A4C"/>
    <w:rsid w:val="00131D82"/>
    <w:rsid w:val="00131DFA"/>
    <w:rsid w:val="00131E15"/>
    <w:rsid w:val="001328D2"/>
    <w:rsid w:val="0013293F"/>
    <w:rsid w:val="0013319F"/>
    <w:rsid w:val="001339BE"/>
    <w:rsid w:val="00133D36"/>
    <w:rsid w:val="00133ED7"/>
    <w:rsid w:val="00136D52"/>
    <w:rsid w:val="00136D75"/>
    <w:rsid w:val="00137645"/>
    <w:rsid w:val="0014015A"/>
    <w:rsid w:val="00140E99"/>
    <w:rsid w:val="0014250D"/>
    <w:rsid w:val="00142663"/>
    <w:rsid w:val="0014313B"/>
    <w:rsid w:val="001434F0"/>
    <w:rsid w:val="00143E39"/>
    <w:rsid w:val="00144C4F"/>
    <w:rsid w:val="00144CCD"/>
    <w:rsid w:val="00144F27"/>
    <w:rsid w:val="00145540"/>
    <w:rsid w:val="001456B0"/>
    <w:rsid w:val="001459B3"/>
    <w:rsid w:val="001500C8"/>
    <w:rsid w:val="001502F3"/>
    <w:rsid w:val="00150527"/>
    <w:rsid w:val="001506DC"/>
    <w:rsid w:val="00150AEF"/>
    <w:rsid w:val="00150CA9"/>
    <w:rsid w:val="00151044"/>
    <w:rsid w:val="001522E2"/>
    <w:rsid w:val="00152B7B"/>
    <w:rsid w:val="00152C2A"/>
    <w:rsid w:val="00153E2D"/>
    <w:rsid w:val="001550DB"/>
    <w:rsid w:val="00156422"/>
    <w:rsid w:val="00157130"/>
    <w:rsid w:val="001576B1"/>
    <w:rsid w:val="00160A4C"/>
    <w:rsid w:val="00160E3A"/>
    <w:rsid w:val="001620D3"/>
    <w:rsid w:val="00162913"/>
    <w:rsid w:val="0016347B"/>
    <w:rsid w:val="00163EFF"/>
    <w:rsid w:val="001651A2"/>
    <w:rsid w:val="00165E43"/>
    <w:rsid w:val="001661FB"/>
    <w:rsid w:val="00166C67"/>
    <w:rsid w:val="00167C8D"/>
    <w:rsid w:val="00170FE6"/>
    <w:rsid w:val="00171100"/>
    <w:rsid w:val="00171653"/>
    <w:rsid w:val="001722E5"/>
    <w:rsid w:val="00172AD3"/>
    <w:rsid w:val="00173565"/>
    <w:rsid w:val="00173B07"/>
    <w:rsid w:val="001752AB"/>
    <w:rsid w:val="00175559"/>
    <w:rsid w:val="00176B9B"/>
    <w:rsid w:val="00177309"/>
    <w:rsid w:val="00177311"/>
    <w:rsid w:val="00177E84"/>
    <w:rsid w:val="001815A2"/>
    <w:rsid w:val="001818B8"/>
    <w:rsid w:val="00181D9C"/>
    <w:rsid w:val="0018258A"/>
    <w:rsid w:val="00182C8F"/>
    <w:rsid w:val="00183601"/>
    <w:rsid w:val="001839D3"/>
    <w:rsid w:val="0018421E"/>
    <w:rsid w:val="00184A1D"/>
    <w:rsid w:val="00184A5E"/>
    <w:rsid w:val="00184D39"/>
    <w:rsid w:val="00186643"/>
    <w:rsid w:val="00186D1D"/>
    <w:rsid w:val="001871A5"/>
    <w:rsid w:val="0018752F"/>
    <w:rsid w:val="001878AE"/>
    <w:rsid w:val="00190428"/>
    <w:rsid w:val="00191233"/>
    <w:rsid w:val="00191FAF"/>
    <w:rsid w:val="0019271A"/>
    <w:rsid w:val="0019312C"/>
    <w:rsid w:val="00193A74"/>
    <w:rsid w:val="00194459"/>
    <w:rsid w:val="00194607"/>
    <w:rsid w:val="00195222"/>
    <w:rsid w:val="00195265"/>
    <w:rsid w:val="001969E7"/>
    <w:rsid w:val="00196C3F"/>
    <w:rsid w:val="00197079"/>
    <w:rsid w:val="001975D8"/>
    <w:rsid w:val="00197BB7"/>
    <w:rsid w:val="00197C2B"/>
    <w:rsid w:val="001A00A8"/>
    <w:rsid w:val="001A1796"/>
    <w:rsid w:val="001A1AEE"/>
    <w:rsid w:val="001A1B1E"/>
    <w:rsid w:val="001A2C8F"/>
    <w:rsid w:val="001A2CBE"/>
    <w:rsid w:val="001A2FC4"/>
    <w:rsid w:val="001A35E3"/>
    <w:rsid w:val="001A387D"/>
    <w:rsid w:val="001A3B6B"/>
    <w:rsid w:val="001A3CC4"/>
    <w:rsid w:val="001A3D50"/>
    <w:rsid w:val="001A3E56"/>
    <w:rsid w:val="001A426F"/>
    <w:rsid w:val="001A43FA"/>
    <w:rsid w:val="001A4813"/>
    <w:rsid w:val="001A4AE3"/>
    <w:rsid w:val="001A59FB"/>
    <w:rsid w:val="001A6354"/>
    <w:rsid w:val="001A63EF"/>
    <w:rsid w:val="001A6AE2"/>
    <w:rsid w:val="001A79C1"/>
    <w:rsid w:val="001A7AE8"/>
    <w:rsid w:val="001B0072"/>
    <w:rsid w:val="001B0950"/>
    <w:rsid w:val="001B0A5E"/>
    <w:rsid w:val="001B0C01"/>
    <w:rsid w:val="001B1248"/>
    <w:rsid w:val="001B204E"/>
    <w:rsid w:val="001B205A"/>
    <w:rsid w:val="001B2B1F"/>
    <w:rsid w:val="001B3357"/>
    <w:rsid w:val="001B3443"/>
    <w:rsid w:val="001B4D20"/>
    <w:rsid w:val="001B4DFD"/>
    <w:rsid w:val="001B4F00"/>
    <w:rsid w:val="001B5260"/>
    <w:rsid w:val="001B57A6"/>
    <w:rsid w:val="001B5EFC"/>
    <w:rsid w:val="001B7E6B"/>
    <w:rsid w:val="001C2A9B"/>
    <w:rsid w:val="001C301F"/>
    <w:rsid w:val="001C357C"/>
    <w:rsid w:val="001C3AF5"/>
    <w:rsid w:val="001C4299"/>
    <w:rsid w:val="001C5109"/>
    <w:rsid w:val="001C5567"/>
    <w:rsid w:val="001C5F94"/>
    <w:rsid w:val="001C6E66"/>
    <w:rsid w:val="001C7987"/>
    <w:rsid w:val="001C7BC1"/>
    <w:rsid w:val="001D0AE5"/>
    <w:rsid w:val="001D1361"/>
    <w:rsid w:val="001D1499"/>
    <w:rsid w:val="001D19D9"/>
    <w:rsid w:val="001D2682"/>
    <w:rsid w:val="001D3A2E"/>
    <w:rsid w:val="001D4143"/>
    <w:rsid w:val="001D550A"/>
    <w:rsid w:val="001D5852"/>
    <w:rsid w:val="001D5B35"/>
    <w:rsid w:val="001D60AC"/>
    <w:rsid w:val="001D63EB"/>
    <w:rsid w:val="001D6D7C"/>
    <w:rsid w:val="001D7B1B"/>
    <w:rsid w:val="001E00BD"/>
    <w:rsid w:val="001E03E0"/>
    <w:rsid w:val="001E09EC"/>
    <w:rsid w:val="001E0DB9"/>
    <w:rsid w:val="001E238E"/>
    <w:rsid w:val="001E2483"/>
    <w:rsid w:val="001E28F4"/>
    <w:rsid w:val="001E2B1E"/>
    <w:rsid w:val="001E2B32"/>
    <w:rsid w:val="001E2D19"/>
    <w:rsid w:val="001E30D4"/>
    <w:rsid w:val="001E52EB"/>
    <w:rsid w:val="001E5FD8"/>
    <w:rsid w:val="001E61D2"/>
    <w:rsid w:val="001E6234"/>
    <w:rsid w:val="001E62BF"/>
    <w:rsid w:val="001E740C"/>
    <w:rsid w:val="001E7EEB"/>
    <w:rsid w:val="001F1235"/>
    <w:rsid w:val="001F1BBE"/>
    <w:rsid w:val="001F1CB3"/>
    <w:rsid w:val="001F38B5"/>
    <w:rsid w:val="001F5228"/>
    <w:rsid w:val="001F7361"/>
    <w:rsid w:val="001F798F"/>
    <w:rsid w:val="0020024E"/>
    <w:rsid w:val="00200445"/>
    <w:rsid w:val="00200606"/>
    <w:rsid w:val="002008A4"/>
    <w:rsid w:val="00200DC8"/>
    <w:rsid w:val="00200F51"/>
    <w:rsid w:val="002011B0"/>
    <w:rsid w:val="002013ED"/>
    <w:rsid w:val="00202944"/>
    <w:rsid w:val="00203181"/>
    <w:rsid w:val="002032FF"/>
    <w:rsid w:val="00203783"/>
    <w:rsid w:val="0020385F"/>
    <w:rsid w:val="00204993"/>
    <w:rsid w:val="00205224"/>
    <w:rsid w:val="0020636C"/>
    <w:rsid w:val="00207021"/>
    <w:rsid w:val="0020732F"/>
    <w:rsid w:val="00207D00"/>
    <w:rsid w:val="002100A2"/>
    <w:rsid w:val="002105C1"/>
    <w:rsid w:val="00212FE3"/>
    <w:rsid w:val="00213910"/>
    <w:rsid w:val="00214C0F"/>
    <w:rsid w:val="00215924"/>
    <w:rsid w:val="00217CA0"/>
    <w:rsid w:val="00220107"/>
    <w:rsid w:val="002210CD"/>
    <w:rsid w:val="00221929"/>
    <w:rsid w:val="00223B49"/>
    <w:rsid w:val="0022435E"/>
    <w:rsid w:val="00224BF1"/>
    <w:rsid w:val="00224DD4"/>
    <w:rsid w:val="00225118"/>
    <w:rsid w:val="00226023"/>
    <w:rsid w:val="002262F2"/>
    <w:rsid w:val="00226CCA"/>
    <w:rsid w:val="00227591"/>
    <w:rsid w:val="002300B1"/>
    <w:rsid w:val="002309CC"/>
    <w:rsid w:val="00230E5C"/>
    <w:rsid w:val="00231736"/>
    <w:rsid w:val="0023209F"/>
    <w:rsid w:val="00232820"/>
    <w:rsid w:val="00233004"/>
    <w:rsid w:val="00233664"/>
    <w:rsid w:val="00233720"/>
    <w:rsid w:val="00233CB9"/>
    <w:rsid w:val="002343F3"/>
    <w:rsid w:val="002349A0"/>
    <w:rsid w:val="002353F1"/>
    <w:rsid w:val="0023629D"/>
    <w:rsid w:val="00237255"/>
    <w:rsid w:val="0023771C"/>
    <w:rsid w:val="002403B5"/>
    <w:rsid w:val="00240A6E"/>
    <w:rsid w:val="00241E8E"/>
    <w:rsid w:val="002424AF"/>
    <w:rsid w:val="0024259D"/>
    <w:rsid w:val="002426E0"/>
    <w:rsid w:val="00242C90"/>
    <w:rsid w:val="002431A0"/>
    <w:rsid w:val="002439DC"/>
    <w:rsid w:val="0024424C"/>
    <w:rsid w:val="00244DC8"/>
    <w:rsid w:val="002458BA"/>
    <w:rsid w:val="0024636C"/>
    <w:rsid w:val="00246FDB"/>
    <w:rsid w:val="00247925"/>
    <w:rsid w:val="002506B0"/>
    <w:rsid w:val="002511E2"/>
    <w:rsid w:val="00251D52"/>
    <w:rsid w:val="00252899"/>
    <w:rsid w:val="00252A55"/>
    <w:rsid w:val="0025329A"/>
    <w:rsid w:val="00253343"/>
    <w:rsid w:val="00253450"/>
    <w:rsid w:val="00253BCB"/>
    <w:rsid w:val="002543CA"/>
    <w:rsid w:val="002548C6"/>
    <w:rsid w:val="00254BD9"/>
    <w:rsid w:val="00254DCF"/>
    <w:rsid w:val="00254F30"/>
    <w:rsid w:val="0025534B"/>
    <w:rsid w:val="00255943"/>
    <w:rsid w:val="002559B1"/>
    <w:rsid w:val="00255BB7"/>
    <w:rsid w:val="002571FB"/>
    <w:rsid w:val="00257541"/>
    <w:rsid w:val="0026032C"/>
    <w:rsid w:val="00261048"/>
    <w:rsid w:val="0026127C"/>
    <w:rsid w:val="00261538"/>
    <w:rsid w:val="0026179F"/>
    <w:rsid w:val="00262028"/>
    <w:rsid w:val="00262A1A"/>
    <w:rsid w:val="00262A87"/>
    <w:rsid w:val="00262BFA"/>
    <w:rsid w:val="0026494B"/>
    <w:rsid w:val="00264D26"/>
    <w:rsid w:val="00264F78"/>
    <w:rsid w:val="00265DFA"/>
    <w:rsid w:val="00267642"/>
    <w:rsid w:val="0026783C"/>
    <w:rsid w:val="00267AEA"/>
    <w:rsid w:val="00267FF5"/>
    <w:rsid w:val="002700E6"/>
    <w:rsid w:val="00270DA8"/>
    <w:rsid w:val="00270F15"/>
    <w:rsid w:val="00272380"/>
    <w:rsid w:val="0027294B"/>
    <w:rsid w:val="00272EC5"/>
    <w:rsid w:val="00273386"/>
    <w:rsid w:val="002737AF"/>
    <w:rsid w:val="00273FB3"/>
    <w:rsid w:val="00274219"/>
    <w:rsid w:val="002744F6"/>
    <w:rsid w:val="002746F9"/>
    <w:rsid w:val="00275C53"/>
    <w:rsid w:val="00275C5A"/>
    <w:rsid w:val="00275F89"/>
    <w:rsid w:val="00276032"/>
    <w:rsid w:val="002776DC"/>
    <w:rsid w:val="002800E3"/>
    <w:rsid w:val="00281014"/>
    <w:rsid w:val="0028198D"/>
    <w:rsid w:val="002823E8"/>
    <w:rsid w:val="002826AA"/>
    <w:rsid w:val="00282E3C"/>
    <w:rsid w:val="00282E82"/>
    <w:rsid w:val="00283359"/>
    <w:rsid w:val="00283C65"/>
    <w:rsid w:val="00286CE9"/>
    <w:rsid w:val="00287572"/>
    <w:rsid w:val="00293EF7"/>
    <w:rsid w:val="00294FAD"/>
    <w:rsid w:val="002955DF"/>
    <w:rsid w:val="002A00E2"/>
    <w:rsid w:val="002A14AB"/>
    <w:rsid w:val="002A1AEC"/>
    <w:rsid w:val="002A2CD9"/>
    <w:rsid w:val="002A2F50"/>
    <w:rsid w:val="002A3C93"/>
    <w:rsid w:val="002A43A3"/>
    <w:rsid w:val="002A44A6"/>
    <w:rsid w:val="002A4AFE"/>
    <w:rsid w:val="002A518E"/>
    <w:rsid w:val="002A6128"/>
    <w:rsid w:val="002A7484"/>
    <w:rsid w:val="002A78E3"/>
    <w:rsid w:val="002B09A4"/>
    <w:rsid w:val="002B0AD6"/>
    <w:rsid w:val="002B13E6"/>
    <w:rsid w:val="002B1C1F"/>
    <w:rsid w:val="002B2484"/>
    <w:rsid w:val="002B3FE1"/>
    <w:rsid w:val="002B432F"/>
    <w:rsid w:val="002B5F3B"/>
    <w:rsid w:val="002B62B3"/>
    <w:rsid w:val="002B650D"/>
    <w:rsid w:val="002B6754"/>
    <w:rsid w:val="002B6CCE"/>
    <w:rsid w:val="002C0565"/>
    <w:rsid w:val="002C0AD0"/>
    <w:rsid w:val="002C1592"/>
    <w:rsid w:val="002C2510"/>
    <w:rsid w:val="002C2775"/>
    <w:rsid w:val="002C27C1"/>
    <w:rsid w:val="002C32F9"/>
    <w:rsid w:val="002C4223"/>
    <w:rsid w:val="002C42D8"/>
    <w:rsid w:val="002C4727"/>
    <w:rsid w:val="002C5099"/>
    <w:rsid w:val="002C5726"/>
    <w:rsid w:val="002C5889"/>
    <w:rsid w:val="002C62FE"/>
    <w:rsid w:val="002C71CE"/>
    <w:rsid w:val="002D05C7"/>
    <w:rsid w:val="002D086D"/>
    <w:rsid w:val="002D20DD"/>
    <w:rsid w:val="002D25DA"/>
    <w:rsid w:val="002D2923"/>
    <w:rsid w:val="002D29B6"/>
    <w:rsid w:val="002D2CC1"/>
    <w:rsid w:val="002D3D5A"/>
    <w:rsid w:val="002D3F20"/>
    <w:rsid w:val="002D4984"/>
    <w:rsid w:val="002D4FCA"/>
    <w:rsid w:val="002D5624"/>
    <w:rsid w:val="002D577C"/>
    <w:rsid w:val="002D5B24"/>
    <w:rsid w:val="002D6C9F"/>
    <w:rsid w:val="002D7275"/>
    <w:rsid w:val="002E00A1"/>
    <w:rsid w:val="002E077E"/>
    <w:rsid w:val="002E15B9"/>
    <w:rsid w:val="002E1925"/>
    <w:rsid w:val="002E2158"/>
    <w:rsid w:val="002E23A7"/>
    <w:rsid w:val="002E255A"/>
    <w:rsid w:val="002E2CEF"/>
    <w:rsid w:val="002E3AE4"/>
    <w:rsid w:val="002E4F46"/>
    <w:rsid w:val="002E5059"/>
    <w:rsid w:val="002E6047"/>
    <w:rsid w:val="002E6811"/>
    <w:rsid w:val="002E6CBD"/>
    <w:rsid w:val="002E6EC9"/>
    <w:rsid w:val="002E729E"/>
    <w:rsid w:val="002E7722"/>
    <w:rsid w:val="002E7954"/>
    <w:rsid w:val="002F0341"/>
    <w:rsid w:val="002F0363"/>
    <w:rsid w:val="002F066C"/>
    <w:rsid w:val="002F07BA"/>
    <w:rsid w:val="002F0DA9"/>
    <w:rsid w:val="002F1022"/>
    <w:rsid w:val="002F1032"/>
    <w:rsid w:val="002F1E52"/>
    <w:rsid w:val="002F2286"/>
    <w:rsid w:val="002F2A9E"/>
    <w:rsid w:val="002F3F96"/>
    <w:rsid w:val="002F40CB"/>
    <w:rsid w:val="002F45B6"/>
    <w:rsid w:val="002F4778"/>
    <w:rsid w:val="002F61A6"/>
    <w:rsid w:val="002F6232"/>
    <w:rsid w:val="002F62CF"/>
    <w:rsid w:val="002F643C"/>
    <w:rsid w:val="002F6668"/>
    <w:rsid w:val="002F6D72"/>
    <w:rsid w:val="002F71C0"/>
    <w:rsid w:val="002F7DA3"/>
    <w:rsid w:val="00301017"/>
    <w:rsid w:val="0030155F"/>
    <w:rsid w:val="00303352"/>
    <w:rsid w:val="0030336F"/>
    <w:rsid w:val="00303DFA"/>
    <w:rsid w:val="0030422E"/>
    <w:rsid w:val="00304AFD"/>
    <w:rsid w:val="00305225"/>
    <w:rsid w:val="00305430"/>
    <w:rsid w:val="0030587B"/>
    <w:rsid w:val="00306D98"/>
    <w:rsid w:val="00306DED"/>
    <w:rsid w:val="003077B5"/>
    <w:rsid w:val="0030786C"/>
    <w:rsid w:val="0031031A"/>
    <w:rsid w:val="00310981"/>
    <w:rsid w:val="0031103E"/>
    <w:rsid w:val="003110B4"/>
    <w:rsid w:val="00312B36"/>
    <w:rsid w:val="00312EE5"/>
    <w:rsid w:val="003134F9"/>
    <w:rsid w:val="0031498B"/>
    <w:rsid w:val="00315498"/>
    <w:rsid w:val="00315A86"/>
    <w:rsid w:val="003160CA"/>
    <w:rsid w:val="00316591"/>
    <w:rsid w:val="003206B9"/>
    <w:rsid w:val="0032154C"/>
    <w:rsid w:val="00322107"/>
    <w:rsid w:val="00322846"/>
    <w:rsid w:val="00323AFE"/>
    <w:rsid w:val="00323C65"/>
    <w:rsid w:val="00323DF6"/>
    <w:rsid w:val="003240AF"/>
    <w:rsid w:val="003268C7"/>
    <w:rsid w:val="00326DA7"/>
    <w:rsid w:val="00326DF0"/>
    <w:rsid w:val="003270E4"/>
    <w:rsid w:val="003278CB"/>
    <w:rsid w:val="00327A25"/>
    <w:rsid w:val="00327D1A"/>
    <w:rsid w:val="0033010C"/>
    <w:rsid w:val="00330F5C"/>
    <w:rsid w:val="0033123B"/>
    <w:rsid w:val="00331AD0"/>
    <w:rsid w:val="0033210A"/>
    <w:rsid w:val="00332215"/>
    <w:rsid w:val="0033454E"/>
    <w:rsid w:val="003358C3"/>
    <w:rsid w:val="003366C9"/>
    <w:rsid w:val="00337168"/>
    <w:rsid w:val="003371B0"/>
    <w:rsid w:val="00340DF1"/>
    <w:rsid w:val="0034111C"/>
    <w:rsid w:val="003420C0"/>
    <w:rsid w:val="003427B6"/>
    <w:rsid w:val="003429B7"/>
    <w:rsid w:val="00343260"/>
    <w:rsid w:val="003441CE"/>
    <w:rsid w:val="0034513D"/>
    <w:rsid w:val="0034625A"/>
    <w:rsid w:val="00346675"/>
    <w:rsid w:val="00347198"/>
    <w:rsid w:val="00347293"/>
    <w:rsid w:val="003517F9"/>
    <w:rsid w:val="00351A9E"/>
    <w:rsid w:val="00351D33"/>
    <w:rsid w:val="00351EE2"/>
    <w:rsid w:val="00352116"/>
    <w:rsid w:val="003539D2"/>
    <w:rsid w:val="00355A57"/>
    <w:rsid w:val="00355C84"/>
    <w:rsid w:val="0035620E"/>
    <w:rsid w:val="00356237"/>
    <w:rsid w:val="00356958"/>
    <w:rsid w:val="00356E18"/>
    <w:rsid w:val="00357681"/>
    <w:rsid w:val="00360B89"/>
    <w:rsid w:val="0036202F"/>
    <w:rsid w:val="003620F0"/>
    <w:rsid w:val="00362142"/>
    <w:rsid w:val="003624C4"/>
    <w:rsid w:val="003627E4"/>
    <w:rsid w:val="003628AD"/>
    <w:rsid w:val="003647CC"/>
    <w:rsid w:val="003649EE"/>
    <w:rsid w:val="003654AC"/>
    <w:rsid w:val="003656AE"/>
    <w:rsid w:val="00365A6F"/>
    <w:rsid w:val="00370C8B"/>
    <w:rsid w:val="003710CF"/>
    <w:rsid w:val="0037177C"/>
    <w:rsid w:val="00371BE6"/>
    <w:rsid w:val="00372574"/>
    <w:rsid w:val="00372676"/>
    <w:rsid w:val="0037358A"/>
    <w:rsid w:val="00373B62"/>
    <w:rsid w:val="003750F6"/>
    <w:rsid w:val="003760FC"/>
    <w:rsid w:val="00376E8A"/>
    <w:rsid w:val="00376ED0"/>
    <w:rsid w:val="0037778B"/>
    <w:rsid w:val="00377F88"/>
    <w:rsid w:val="00380340"/>
    <w:rsid w:val="00380365"/>
    <w:rsid w:val="003804EC"/>
    <w:rsid w:val="00380AEC"/>
    <w:rsid w:val="00381AF1"/>
    <w:rsid w:val="0038365C"/>
    <w:rsid w:val="0038369B"/>
    <w:rsid w:val="00383B78"/>
    <w:rsid w:val="00385529"/>
    <w:rsid w:val="00385A9D"/>
    <w:rsid w:val="00385DD2"/>
    <w:rsid w:val="00386F13"/>
    <w:rsid w:val="00387D18"/>
    <w:rsid w:val="00387F54"/>
    <w:rsid w:val="003902B1"/>
    <w:rsid w:val="00391F8C"/>
    <w:rsid w:val="00391FC5"/>
    <w:rsid w:val="00392507"/>
    <w:rsid w:val="00393FC3"/>
    <w:rsid w:val="003943C3"/>
    <w:rsid w:val="003947DD"/>
    <w:rsid w:val="00394E6E"/>
    <w:rsid w:val="00394F17"/>
    <w:rsid w:val="0039516B"/>
    <w:rsid w:val="003966CC"/>
    <w:rsid w:val="00396896"/>
    <w:rsid w:val="00396B8B"/>
    <w:rsid w:val="00396CDA"/>
    <w:rsid w:val="00396FD0"/>
    <w:rsid w:val="003A0300"/>
    <w:rsid w:val="003A08CF"/>
    <w:rsid w:val="003A0A6B"/>
    <w:rsid w:val="003A1A20"/>
    <w:rsid w:val="003A1A7A"/>
    <w:rsid w:val="003A2392"/>
    <w:rsid w:val="003A2831"/>
    <w:rsid w:val="003A2D28"/>
    <w:rsid w:val="003A317B"/>
    <w:rsid w:val="003A3405"/>
    <w:rsid w:val="003A35A0"/>
    <w:rsid w:val="003A3ED1"/>
    <w:rsid w:val="003A3FF6"/>
    <w:rsid w:val="003A53EA"/>
    <w:rsid w:val="003A5567"/>
    <w:rsid w:val="003A5B8B"/>
    <w:rsid w:val="003A73F7"/>
    <w:rsid w:val="003A7612"/>
    <w:rsid w:val="003A7800"/>
    <w:rsid w:val="003B0165"/>
    <w:rsid w:val="003B04CF"/>
    <w:rsid w:val="003B146D"/>
    <w:rsid w:val="003B1ED0"/>
    <w:rsid w:val="003B20CF"/>
    <w:rsid w:val="003B247C"/>
    <w:rsid w:val="003B4296"/>
    <w:rsid w:val="003B42AD"/>
    <w:rsid w:val="003B469C"/>
    <w:rsid w:val="003B4806"/>
    <w:rsid w:val="003B5B04"/>
    <w:rsid w:val="003B5B61"/>
    <w:rsid w:val="003B5EAB"/>
    <w:rsid w:val="003B6BAC"/>
    <w:rsid w:val="003C03AB"/>
    <w:rsid w:val="003C1654"/>
    <w:rsid w:val="003C2459"/>
    <w:rsid w:val="003C3010"/>
    <w:rsid w:val="003C34D7"/>
    <w:rsid w:val="003C36B4"/>
    <w:rsid w:val="003C3DBA"/>
    <w:rsid w:val="003C400C"/>
    <w:rsid w:val="003C52A8"/>
    <w:rsid w:val="003C595C"/>
    <w:rsid w:val="003C5BC5"/>
    <w:rsid w:val="003C5BFD"/>
    <w:rsid w:val="003C77A5"/>
    <w:rsid w:val="003C7866"/>
    <w:rsid w:val="003C790A"/>
    <w:rsid w:val="003C7D19"/>
    <w:rsid w:val="003D1828"/>
    <w:rsid w:val="003D1DE4"/>
    <w:rsid w:val="003D2078"/>
    <w:rsid w:val="003D21BA"/>
    <w:rsid w:val="003D2422"/>
    <w:rsid w:val="003D2687"/>
    <w:rsid w:val="003D26B5"/>
    <w:rsid w:val="003D37F3"/>
    <w:rsid w:val="003D39A1"/>
    <w:rsid w:val="003D3FBF"/>
    <w:rsid w:val="003D4046"/>
    <w:rsid w:val="003D47B4"/>
    <w:rsid w:val="003D4A30"/>
    <w:rsid w:val="003D4ED7"/>
    <w:rsid w:val="003D522E"/>
    <w:rsid w:val="003D5B0B"/>
    <w:rsid w:val="003D6942"/>
    <w:rsid w:val="003D779D"/>
    <w:rsid w:val="003D79BB"/>
    <w:rsid w:val="003D7C98"/>
    <w:rsid w:val="003E02CA"/>
    <w:rsid w:val="003E0543"/>
    <w:rsid w:val="003E0A2F"/>
    <w:rsid w:val="003E23A7"/>
    <w:rsid w:val="003E2C05"/>
    <w:rsid w:val="003E3F92"/>
    <w:rsid w:val="003E4C35"/>
    <w:rsid w:val="003E4C85"/>
    <w:rsid w:val="003E5682"/>
    <w:rsid w:val="003E7824"/>
    <w:rsid w:val="003E7DEA"/>
    <w:rsid w:val="003F0126"/>
    <w:rsid w:val="003F1889"/>
    <w:rsid w:val="003F2150"/>
    <w:rsid w:val="003F27BE"/>
    <w:rsid w:val="003F2A09"/>
    <w:rsid w:val="003F2A90"/>
    <w:rsid w:val="003F2CA8"/>
    <w:rsid w:val="003F3EED"/>
    <w:rsid w:val="003F4156"/>
    <w:rsid w:val="003F4EC9"/>
    <w:rsid w:val="003F4F71"/>
    <w:rsid w:val="003F57FC"/>
    <w:rsid w:val="003F5B61"/>
    <w:rsid w:val="003F5BFF"/>
    <w:rsid w:val="003F5C3F"/>
    <w:rsid w:val="003F7C2D"/>
    <w:rsid w:val="004005A5"/>
    <w:rsid w:val="00400B29"/>
    <w:rsid w:val="00400D5A"/>
    <w:rsid w:val="004012A3"/>
    <w:rsid w:val="0040309F"/>
    <w:rsid w:val="004030E3"/>
    <w:rsid w:val="00403D3F"/>
    <w:rsid w:val="0040504B"/>
    <w:rsid w:val="00405B65"/>
    <w:rsid w:val="00406C41"/>
    <w:rsid w:val="004070DE"/>
    <w:rsid w:val="0040740B"/>
    <w:rsid w:val="00407D66"/>
    <w:rsid w:val="00410708"/>
    <w:rsid w:val="00410729"/>
    <w:rsid w:val="00410EC7"/>
    <w:rsid w:val="00410FC7"/>
    <w:rsid w:val="00410FE2"/>
    <w:rsid w:val="00411B39"/>
    <w:rsid w:val="00411BFB"/>
    <w:rsid w:val="00412E15"/>
    <w:rsid w:val="00413A1E"/>
    <w:rsid w:val="00413C17"/>
    <w:rsid w:val="004142CF"/>
    <w:rsid w:val="00414476"/>
    <w:rsid w:val="00414C2E"/>
    <w:rsid w:val="0041503F"/>
    <w:rsid w:val="004151CF"/>
    <w:rsid w:val="00415886"/>
    <w:rsid w:val="0041596C"/>
    <w:rsid w:val="00416364"/>
    <w:rsid w:val="004165F7"/>
    <w:rsid w:val="00416BC4"/>
    <w:rsid w:val="00417325"/>
    <w:rsid w:val="00420AA6"/>
    <w:rsid w:val="00420B9F"/>
    <w:rsid w:val="004210B5"/>
    <w:rsid w:val="00422260"/>
    <w:rsid w:val="00423753"/>
    <w:rsid w:val="0042413F"/>
    <w:rsid w:val="0042419C"/>
    <w:rsid w:val="00424958"/>
    <w:rsid w:val="00425210"/>
    <w:rsid w:val="00425515"/>
    <w:rsid w:val="00425648"/>
    <w:rsid w:val="00426031"/>
    <w:rsid w:val="00426645"/>
    <w:rsid w:val="00427DC7"/>
    <w:rsid w:val="00430257"/>
    <w:rsid w:val="00430992"/>
    <w:rsid w:val="0043176A"/>
    <w:rsid w:val="004319F8"/>
    <w:rsid w:val="00431E55"/>
    <w:rsid w:val="004321F6"/>
    <w:rsid w:val="00432313"/>
    <w:rsid w:val="0043288C"/>
    <w:rsid w:val="00433044"/>
    <w:rsid w:val="004331DE"/>
    <w:rsid w:val="00433895"/>
    <w:rsid w:val="00436CAF"/>
    <w:rsid w:val="0043718E"/>
    <w:rsid w:val="00437353"/>
    <w:rsid w:val="004375B9"/>
    <w:rsid w:val="00440BF0"/>
    <w:rsid w:val="004410C2"/>
    <w:rsid w:val="00441231"/>
    <w:rsid w:val="0044160F"/>
    <w:rsid w:val="0044192B"/>
    <w:rsid w:val="004422F7"/>
    <w:rsid w:val="00442421"/>
    <w:rsid w:val="004428D0"/>
    <w:rsid w:val="00442E0B"/>
    <w:rsid w:val="00443326"/>
    <w:rsid w:val="004435D9"/>
    <w:rsid w:val="004443A7"/>
    <w:rsid w:val="0044442C"/>
    <w:rsid w:val="00444707"/>
    <w:rsid w:val="00445941"/>
    <w:rsid w:val="00445F36"/>
    <w:rsid w:val="004461EE"/>
    <w:rsid w:val="004464EB"/>
    <w:rsid w:val="00447D26"/>
    <w:rsid w:val="00447F54"/>
    <w:rsid w:val="0045020A"/>
    <w:rsid w:val="004507C2"/>
    <w:rsid w:val="00450907"/>
    <w:rsid w:val="00451F1F"/>
    <w:rsid w:val="00453097"/>
    <w:rsid w:val="00455009"/>
    <w:rsid w:val="004558DB"/>
    <w:rsid w:val="00455AC6"/>
    <w:rsid w:val="00455D45"/>
    <w:rsid w:val="00456AE1"/>
    <w:rsid w:val="00457DAF"/>
    <w:rsid w:val="00457F7E"/>
    <w:rsid w:val="00460424"/>
    <w:rsid w:val="00460F63"/>
    <w:rsid w:val="00462B17"/>
    <w:rsid w:val="004644A1"/>
    <w:rsid w:val="00464595"/>
    <w:rsid w:val="00464929"/>
    <w:rsid w:val="00464BC2"/>
    <w:rsid w:val="00464BE4"/>
    <w:rsid w:val="00464BEE"/>
    <w:rsid w:val="004661B2"/>
    <w:rsid w:val="0046642C"/>
    <w:rsid w:val="004675F9"/>
    <w:rsid w:val="00467BD6"/>
    <w:rsid w:val="004706A3"/>
    <w:rsid w:val="00470A88"/>
    <w:rsid w:val="00470BF9"/>
    <w:rsid w:val="00471691"/>
    <w:rsid w:val="0047182E"/>
    <w:rsid w:val="00471BAF"/>
    <w:rsid w:val="00472A79"/>
    <w:rsid w:val="00472C27"/>
    <w:rsid w:val="00472D27"/>
    <w:rsid w:val="00473F19"/>
    <w:rsid w:val="00474B38"/>
    <w:rsid w:val="004758E1"/>
    <w:rsid w:val="00475E22"/>
    <w:rsid w:val="00475E5A"/>
    <w:rsid w:val="00475EE5"/>
    <w:rsid w:val="0047650D"/>
    <w:rsid w:val="004769EA"/>
    <w:rsid w:val="0048088E"/>
    <w:rsid w:val="00480CF5"/>
    <w:rsid w:val="00482720"/>
    <w:rsid w:val="004829DA"/>
    <w:rsid w:val="004832CE"/>
    <w:rsid w:val="0048334D"/>
    <w:rsid w:val="004835E7"/>
    <w:rsid w:val="00483D72"/>
    <w:rsid w:val="00483E67"/>
    <w:rsid w:val="004840B1"/>
    <w:rsid w:val="00484152"/>
    <w:rsid w:val="0048446D"/>
    <w:rsid w:val="004851E4"/>
    <w:rsid w:val="004860C7"/>
    <w:rsid w:val="004864A9"/>
    <w:rsid w:val="004867E2"/>
    <w:rsid w:val="00486A1E"/>
    <w:rsid w:val="00486DBA"/>
    <w:rsid w:val="004875D6"/>
    <w:rsid w:val="00487700"/>
    <w:rsid w:val="0049135F"/>
    <w:rsid w:val="004915EB"/>
    <w:rsid w:val="004917D7"/>
    <w:rsid w:val="00491B3A"/>
    <w:rsid w:val="00491D1A"/>
    <w:rsid w:val="00492215"/>
    <w:rsid w:val="00492ADF"/>
    <w:rsid w:val="00492CFD"/>
    <w:rsid w:val="00492D05"/>
    <w:rsid w:val="0049308A"/>
    <w:rsid w:val="00493E0C"/>
    <w:rsid w:val="00494DD5"/>
    <w:rsid w:val="00495689"/>
    <w:rsid w:val="0049605C"/>
    <w:rsid w:val="004962D2"/>
    <w:rsid w:val="004A0633"/>
    <w:rsid w:val="004A0A6E"/>
    <w:rsid w:val="004A0DA1"/>
    <w:rsid w:val="004A32EC"/>
    <w:rsid w:val="004A4682"/>
    <w:rsid w:val="004A52E9"/>
    <w:rsid w:val="004A56FC"/>
    <w:rsid w:val="004A6597"/>
    <w:rsid w:val="004A6BC4"/>
    <w:rsid w:val="004A7184"/>
    <w:rsid w:val="004A7671"/>
    <w:rsid w:val="004A76E3"/>
    <w:rsid w:val="004A7848"/>
    <w:rsid w:val="004A7A11"/>
    <w:rsid w:val="004A7C35"/>
    <w:rsid w:val="004B066A"/>
    <w:rsid w:val="004B0CE5"/>
    <w:rsid w:val="004B18D8"/>
    <w:rsid w:val="004B199F"/>
    <w:rsid w:val="004B1CB4"/>
    <w:rsid w:val="004B21BA"/>
    <w:rsid w:val="004B2C99"/>
    <w:rsid w:val="004B2F18"/>
    <w:rsid w:val="004B3DDB"/>
    <w:rsid w:val="004B4468"/>
    <w:rsid w:val="004B44FD"/>
    <w:rsid w:val="004B5630"/>
    <w:rsid w:val="004B5CE8"/>
    <w:rsid w:val="004B5CFC"/>
    <w:rsid w:val="004B76AD"/>
    <w:rsid w:val="004B774D"/>
    <w:rsid w:val="004B7B67"/>
    <w:rsid w:val="004B7D27"/>
    <w:rsid w:val="004C0103"/>
    <w:rsid w:val="004C06B0"/>
    <w:rsid w:val="004C09A3"/>
    <w:rsid w:val="004C1130"/>
    <w:rsid w:val="004C26C7"/>
    <w:rsid w:val="004C2E69"/>
    <w:rsid w:val="004C370D"/>
    <w:rsid w:val="004C3AB5"/>
    <w:rsid w:val="004C3C30"/>
    <w:rsid w:val="004C4A18"/>
    <w:rsid w:val="004C4AED"/>
    <w:rsid w:val="004C5825"/>
    <w:rsid w:val="004C68F3"/>
    <w:rsid w:val="004D0C9E"/>
    <w:rsid w:val="004D20B9"/>
    <w:rsid w:val="004D21E3"/>
    <w:rsid w:val="004D2C2D"/>
    <w:rsid w:val="004D2CE1"/>
    <w:rsid w:val="004D4C9A"/>
    <w:rsid w:val="004D5D2A"/>
    <w:rsid w:val="004D6D96"/>
    <w:rsid w:val="004D7227"/>
    <w:rsid w:val="004D762C"/>
    <w:rsid w:val="004D7EA2"/>
    <w:rsid w:val="004E0E7F"/>
    <w:rsid w:val="004E0EB8"/>
    <w:rsid w:val="004E1BF6"/>
    <w:rsid w:val="004E1F2E"/>
    <w:rsid w:val="004E2704"/>
    <w:rsid w:val="004E2ADC"/>
    <w:rsid w:val="004E3B8B"/>
    <w:rsid w:val="004E3C2B"/>
    <w:rsid w:val="004E40F1"/>
    <w:rsid w:val="004E4332"/>
    <w:rsid w:val="004E43B2"/>
    <w:rsid w:val="004E4F47"/>
    <w:rsid w:val="004E60C4"/>
    <w:rsid w:val="004E63DE"/>
    <w:rsid w:val="004E6DB1"/>
    <w:rsid w:val="004E7E84"/>
    <w:rsid w:val="004E7F66"/>
    <w:rsid w:val="004F0637"/>
    <w:rsid w:val="004F0D6C"/>
    <w:rsid w:val="004F1D02"/>
    <w:rsid w:val="004F2679"/>
    <w:rsid w:val="004F2F21"/>
    <w:rsid w:val="004F347D"/>
    <w:rsid w:val="004F35E8"/>
    <w:rsid w:val="004F552F"/>
    <w:rsid w:val="004F5B32"/>
    <w:rsid w:val="004F6035"/>
    <w:rsid w:val="004F6913"/>
    <w:rsid w:val="004F755F"/>
    <w:rsid w:val="004F7567"/>
    <w:rsid w:val="004F7865"/>
    <w:rsid w:val="004F7FBE"/>
    <w:rsid w:val="00500762"/>
    <w:rsid w:val="00500AFD"/>
    <w:rsid w:val="00500F46"/>
    <w:rsid w:val="0050219B"/>
    <w:rsid w:val="0050274C"/>
    <w:rsid w:val="00502F6A"/>
    <w:rsid w:val="00503E84"/>
    <w:rsid w:val="00503F17"/>
    <w:rsid w:val="00503FDB"/>
    <w:rsid w:val="00505F23"/>
    <w:rsid w:val="0050606D"/>
    <w:rsid w:val="00506928"/>
    <w:rsid w:val="00506D2E"/>
    <w:rsid w:val="00506DAC"/>
    <w:rsid w:val="00507678"/>
    <w:rsid w:val="005076B0"/>
    <w:rsid w:val="00510356"/>
    <w:rsid w:val="005109EF"/>
    <w:rsid w:val="00511406"/>
    <w:rsid w:val="005123DC"/>
    <w:rsid w:val="00512663"/>
    <w:rsid w:val="00512D47"/>
    <w:rsid w:val="00514ED6"/>
    <w:rsid w:val="00514F0A"/>
    <w:rsid w:val="005152B5"/>
    <w:rsid w:val="00516FFD"/>
    <w:rsid w:val="00517B70"/>
    <w:rsid w:val="0052002D"/>
    <w:rsid w:val="0052036A"/>
    <w:rsid w:val="00520FF9"/>
    <w:rsid w:val="00521319"/>
    <w:rsid w:val="00522BC8"/>
    <w:rsid w:val="00523C28"/>
    <w:rsid w:val="00525B53"/>
    <w:rsid w:val="00526219"/>
    <w:rsid w:val="00526D77"/>
    <w:rsid w:val="005272E4"/>
    <w:rsid w:val="00527B8D"/>
    <w:rsid w:val="00530B4F"/>
    <w:rsid w:val="00531659"/>
    <w:rsid w:val="00531760"/>
    <w:rsid w:val="0053254E"/>
    <w:rsid w:val="00532B2E"/>
    <w:rsid w:val="00533DFD"/>
    <w:rsid w:val="005347FF"/>
    <w:rsid w:val="00534D40"/>
    <w:rsid w:val="00535760"/>
    <w:rsid w:val="00536AAC"/>
    <w:rsid w:val="00536F42"/>
    <w:rsid w:val="00537182"/>
    <w:rsid w:val="0054011D"/>
    <w:rsid w:val="00540908"/>
    <w:rsid w:val="00540D2F"/>
    <w:rsid w:val="005420B2"/>
    <w:rsid w:val="00542743"/>
    <w:rsid w:val="00542B88"/>
    <w:rsid w:val="00542C2D"/>
    <w:rsid w:val="0054410E"/>
    <w:rsid w:val="0054479B"/>
    <w:rsid w:val="00544AB3"/>
    <w:rsid w:val="00545209"/>
    <w:rsid w:val="00545FA7"/>
    <w:rsid w:val="00546A10"/>
    <w:rsid w:val="00547DD0"/>
    <w:rsid w:val="005505C9"/>
    <w:rsid w:val="00551985"/>
    <w:rsid w:val="00551B28"/>
    <w:rsid w:val="00552B3E"/>
    <w:rsid w:val="00552BD3"/>
    <w:rsid w:val="005531A0"/>
    <w:rsid w:val="00553B15"/>
    <w:rsid w:val="00555109"/>
    <w:rsid w:val="00555CBA"/>
    <w:rsid w:val="00556F9C"/>
    <w:rsid w:val="005574DE"/>
    <w:rsid w:val="00557501"/>
    <w:rsid w:val="005613FA"/>
    <w:rsid w:val="00561525"/>
    <w:rsid w:val="005625FA"/>
    <w:rsid w:val="00565199"/>
    <w:rsid w:val="00566101"/>
    <w:rsid w:val="0056678A"/>
    <w:rsid w:val="0056696F"/>
    <w:rsid w:val="0056770B"/>
    <w:rsid w:val="00570E80"/>
    <w:rsid w:val="0057168A"/>
    <w:rsid w:val="00571A9A"/>
    <w:rsid w:val="00572269"/>
    <w:rsid w:val="0057244A"/>
    <w:rsid w:val="00572686"/>
    <w:rsid w:val="005727D8"/>
    <w:rsid w:val="00572E72"/>
    <w:rsid w:val="0057441B"/>
    <w:rsid w:val="005751EE"/>
    <w:rsid w:val="005752C4"/>
    <w:rsid w:val="00575500"/>
    <w:rsid w:val="0057598B"/>
    <w:rsid w:val="00575D8D"/>
    <w:rsid w:val="0057637F"/>
    <w:rsid w:val="0057647B"/>
    <w:rsid w:val="00576972"/>
    <w:rsid w:val="00576B0B"/>
    <w:rsid w:val="005779FD"/>
    <w:rsid w:val="005823E2"/>
    <w:rsid w:val="00582EFF"/>
    <w:rsid w:val="00583699"/>
    <w:rsid w:val="00584197"/>
    <w:rsid w:val="0058419D"/>
    <w:rsid w:val="00584959"/>
    <w:rsid w:val="00584B66"/>
    <w:rsid w:val="00585CDD"/>
    <w:rsid w:val="00587058"/>
    <w:rsid w:val="00590FF6"/>
    <w:rsid w:val="00591957"/>
    <w:rsid w:val="00591B82"/>
    <w:rsid w:val="00592A9B"/>
    <w:rsid w:val="00594223"/>
    <w:rsid w:val="00594A8F"/>
    <w:rsid w:val="00595568"/>
    <w:rsid w:val="005966CE"/>
    <w:rsid w:val="00597BF9"/>
    <w:rsid w:val="00597D1C"/>
    <w:rsid w:val="005A0433"/>
    <w:rsid w:val="005A04C9"/>
    <w:rsid w:val="005A10C5"/>
    <w:rsid w:val="005A139B"/>
    <w:rsid w:val="005A279E"/>
    <w:rsid w:val="005A286F"/>
    <w:rsid w:val="005A2CDE"/>
    <w:rsid w:val="005A373D"/>
    <w:rsid w:val="005A4955"/>
    <w:rsid w:val="005A6322"/>
    <w:rsid w:val="005A6DCD"/>
    <w:rsid w:val="005A6DF5"/>
    <w:rsid w:val="005A7181"/>
    <w:rsid w:val="005A7845"/>
    <w:rsid w:val="005B0290"/>
    <w:rsid w:val="005B034C"/>
    <w:rsid w:val="005B08B3"/>
    <w:rsid w:val="005B1F0E"/>
    <w:rsid w:val="005B22FC"/>
    <w:rsid w:val="005B24A1"/>
    <w:rsid w:val="005B26C5"/>
    <w:rsid w:val="005B31F9"/>
    <w:rsid w:val="005B3C53"/>
    <w:rsid w:val="005B4720"/>
    <w:rsid w:val="005B4903"/>
    <w:rsid w:val="005B5857"/>
    <w:rsid w:val="005B68C0"/>
    <w:rsid w:val="005B6B82"/>
    <w:rsid w:val="005B6D37"/>
    <w:rsid w:val="005B72A2"/>
    <w:rsid w:val="005B7BAD"/>
    <w:rsid w:val="005C024B"/>
    <w:rsid w:val="005C1498"/>
    <w:rsid w:val="005C1B83"/>
    <w:rsid w:val="005C22F2"/>
    <w:rsid w:val="005C2D55"/>
    <w:rsid w:val="005C314D"/>
    <w:rsid w:val="005C346B"/>
    <w:rsid w:val="005C5F55"/>
    <w:rsid w:val="005D044D"/>
    <w:rsid w:val="005D0ABD"/>
    <w:rsid w:val="005D0C07"/>
    <w:rsid w:val="005D1637"/>
    <w:rsid w:val="005D18AD"/>
    <w:rsid w:val="005D26B4"/>
    <w:rsid w:val="005D2967"/>
    <w:rsid w:val="005D4D60"/>
    <w:rsid w:val="005D61AF"/>
    <w:rsid w:val="005D7377"/>
    <w:rsid w:val="005D7685"/>
    <w:rsid w:val="005D7B2A"/>
    <w:rsid w:val="005E005E"/>
    <w:rsid w:val="005E0A80"/>
    <w:rsid w:val="005E0FBF"/>
    <w:rsid w:val="005E1B28"/>
    <w:rsid w:val="005E2886"/>
    <w:rsid w:val="005E28B1"/>
    <w:rsid w:val="005E28B4"/>
    <w:rsid w:val="005E35E0"/>
    <w:rsid w:val="005E3610"/>
    <w:rsid w:val="005E4E19"/>
    <w:rsid w:val="005E5A73"/>
    <w:rsid w:val="005E6CBC"/>
    <w:rsid w:val="005E73C0"/>
    <w:rsid w:val="005E7637"/>
    <w:rsid w:val="005E7C23"/>
    <w:rsid w:val="005F0481"/>
    <w:rsid w:val="005F0489"/>
    <w:rsid w:val="005F1322"/>
    <w:rsid w:val="005F1F1B"/>
    <w:rsid w:val="005F23EE"/>
    <w:rsid w:val="005F2706"/>
    <w:rsid w:val="005F3863"/>
    <w:rsid w:val="005F3B2E"/>
    <w:rsid w:val="005F4300"/>
    <w:rsid w:val="005F43A7"/>
    <w:rsid w:val="005F5804"/>
    <w:rsid w:val="005F5D26"/>
    <w:rsid w:val="005F61CB"/>
    <w:rsid w:val="005F6633"/>
    <w:rsid w:val="005F6A8F"/>
    <w:rsid w:val="005F705F"/>
    <w:rsid w:val="005F7129"/>
    <w:rsid w:val="005F7B0E"/>
    <w:rsid w:val="00600415"/>
    <w:rsid w:val="00600455"/>
    <w:rsid w:val="00600ABE"/>
    <w:rsid w:val="00601497"/>
    <w:rsid w:val="00601956"/>
    <w:rsid w:val="00601BD8"/>
    <w:rsid w:val="00601CAF"/>
    <w:rsid w:val="00602F0C"/>
    <w:rsid w:val="00603555"/>
    <w:rsid w:val="00603A14"/>
    <w:rsid w:val="00603DB9"/>
    <w:rsid w:val="00603EDF"/>
    <w:rsid w:val="00604FC6"/>
    <w:rsid w:val="00605642"/>
    <w:rsid w:val="00605790"/>
    <w:rsid w:val="00606D4E"/>
    <w:rsid w:val="00607669"/>
    <w:rsid w:val="00607AFD"/>
    <w:rsid w:val="0061058B"/>
    <w:rsid w:val="006105BE"/>
    <w:rsid w:val="006110A4"/>
    <w:rsid w:val="00611EAE"/>
    <w:rsid w:val="00612A31"/>
    <w:rsid w:val="00612F97"/>
    <w:rsid w:val="0061345D"/>
    <w:rsid w:val="0061367E"/>
    <w:rsid w:val="00614C25"/>
    <w:rsid w:val="00614C47"/>
    <w:rsid w:val="00615957"/>
    <w:rsid w:val="00616287"/>
    <w:rsid w:val="00616802"/>
    <w:rsid w:val="00616F88"/>
    <w:rsid w:val="00617D8A"/>
    <w:rsid w:val="00617E12"/>
    <w:rsid w:val="00620046"/>
    <w:rsid w:val="00620FEC"/>
    <w:rsid w:val="00621477"/>
    <w:rsid w:val="00621829"/>
    <w:rsid w:val="0062203F"/>
    <w:rsid w:val="00622C05"/>
    <w:rsid w:val="006230E0"/>
    <w:rsid w:val="0062559B"/>
    <w:rsid w:val="0062572B"/>
    <w:rsid w:val="00625889"/>
    <w:rsid w:val="00625F81"/>
    <w:rsid w:val="00626E19"/>
    <w:rsid w:val="00630770"/>
    <w:rsid w:val="00630C61"/>
    <w:rsid w:val="00630D49"/>
    <w:rsid w:val="00630DFD"/>
    <w:rsid w:val="0063158F"/>
    <w:rsid w:val="00631D6B"/>
    <w:rsid w:val="00632627"/>
    <w:rsid w:val="006326FE"/>
    <w:rsid w:val="00632B60"/>
    <w:rsid w:val="006330A1"/>
    <w:rsid w:val="00633328"/>
    <w:rsid w:val="006335C9"/>
    <w:rsid w:val="0063479F"/>
    <w:rsid w:val="00634839"/>
    <w:rsid w:val="006353F0"/>
    <w:rsid w:val="00635CC2"/>
    <w:rsid w:val="00635F38"/>
    <w:rsid w:val="006360F3"/>
    <w:rsid w:val="006364A1"/>
    <w:rsid w:val="00637BFD"/>
    <w:rsid w:val="00640880"/>
    <w:rsid w:val="00640E0F"/>
    <w:rsid w:val="00641C4E"/>
    <w:rsid w:val="00645E34"/>
    <w:rsid w:val="00645E82"/>
    <w:rsid w:val="00646A8C"/>
    <w:rsid w:val="006471CC"/>
    <w:rsid w:val="00647926"/>
    <w:rsid w:val="00647D14"/>
    <w:rsid w:val="0065079F"/>
    <w:rsid w:val="006510DE"/>
    <w:rsid w:val="0065156E"/>
    <w:rsid w:val="00652F6E"/>
    <w:rsid w:val="00653335"/>
    <w:rsid w:val="0065379F"/>
    <w:rsid w:val="00653B10"/>
    <w:rsid w:val="006569D8"/>
    <w:rsid w:val="00661B8B"/>
    <w:rsid w:val="00661C6B"/>
    <w:rsid w:val="0066259A"/>
    <w:rsid w:val="00662C2C"/>
    <w:rsid w:val="00662F6F"/>
    <w:rsid w:val="00663068"/>
    <w:rsid w:val="00664963"/>
    <w:rsid w:val="00670005"/>
    <w:rsid w:val="006700BE"/>
    <w:rsid w:val="00670313"/>
    <w:rsid w:val="00670334"/>
    <w:rsid w:val="00670384"/>
    <w:rsid w:val="00670748"/>
    <w:rsid w:val="00671389"/>
    <w:rsid w:val="006713DB"/>
    <w:rsid w:val="00671A8C"/>
    <w:rsid w:val="006727D7"/>
    <w:rsid w:val="00673216"/>
    <w:rsid w:val="00674E42"/>
    <w:rsid w:val="00675A39"/>
    <w:rsid w:val="00676A40"/>
    <w:rsid w:val="00680606"/>
    <w:rsid w:val="00680AA9"/>
    <w:rsid w:val="00681578"/>
    <w:rsid w:val="00681698"/>
    <w:rsid w:val="006817D2"/>
    <w:rsid w:val="00681976"/>
    <w:rsid w:val="00682112"/>
    <w:rsid w:val="0068299A"/>
    <w:rsid w:val="00682B91"/>
    <w:rsid w:val="0068348B"/>
    <w:rsid w:val="006835EE"/>
    <w:rsid w:val="00684670"/>
    <w:rsid w:val="00684B02"/>
    <w:rsid w:val="00685370"/>
    <w:rsid w:val="006855DD"/>
    <w:rsid w:val="00685CC5"/>
    <w:rsid w:val="00686957"/>
    <w:rsid w:val="00686BED"/>
    <w:rsid w:val="006872BA"/>
    <w:rsid w:val="00687778"/>
    <w:rsid w:val="006912FA"/>
    <w:rsid w:val="00691648"/>
    <w:rsid w:val="006917D7"/>
    <w:rsid w:val="00691A3D"/>
    <w:rsid w:val="0069221D"/>
    <w:rsid w:val="0069364F"/>
    <w:rsid w:val="006939EB"/>
    <w:rsid w:val="00693C18"/>
    <w:rsid w:val="00693E17"/>
    <w:rsid w:val="00694A70"/>
    <w:rsid w:val="00694AAE"/>
    <w:rsid w:val="00694F44"/>
    <w:rsid w:val="00695937"/>
    <w:rsid w:val="006960AD"/>
    <w:rsid w:val="0069637E"/>
    <w:rsid w:val="0069638B"/>
    <w:rsid w:val="006A0470"/>
    <w:rsid w:val="006A0EF8"/>
    <w:rsid w:val="006A15B6"/>
    <w:rsid w:val="006A2C69"/>
    <w:rsid w:val="006A3BDB"/>
    <w:rsid w:val="006A580E"/>
    <w:rsid w:val="006A6364"/>
    <w:rsid w:val="006A7771"/>
    <w:rsid w:val="006A7793"/>
    <w:rsid w:val="006A7E5F"/>
    <w:rsid w:val="006B0E0A"/>
    <w:rsid w:val="006B108E"/>
    <w:rsid w:val="006B2308"/>
    <w:rsid w:val="006B261B"/>
    <w:rsid w:val="006B2C18"/>
    <w:rsid w:val="006B2C90"/>
    <w:rsid w:val="006B3B3D"/>
    <w:rsid w:val="006B3C2A"/>
    <w:rsid w:val="006B3E15"/>
    <w:rsid w:val="006B57DE"/>
    <w:rsid w:val="006B66E4"/>
    <w:rsid w:val="006B6D82"/>
    <w:rsid w:val="006B6DD0"/>
    <w:rsid w:val="006B742E"/>
    <w:rsid w:val="006B7803"/>
    <w:rsid w:val="006C02C9"/>
    <w:rsid w:val="006C0D28"/>
    <w:rsid w:val="006C1667"/>
    <w:rsid w:val="006C1680"/>
    <w:rsid w:val="006C1752"/>
    <w:rsid w:val="006C2146"/>
    <w:rsid w:val="006C25A5"/>
    <w:rsid w:val="006C2A8E"/>
    <w:rsid w:val="006C326D"/>
    <w:rsid w:val="006C434D"/>
    <w:rsid w:val="006C511F"/>
    <w:rsid w:val="006C57D4"/>
    <w:rsid w:val="006C5A53"/>
    <w:rsid w:val="006C653B"/>
    <w:rsid w:val="006C6CE9"/>
    <w:rsid w:val="006C72E6"/>
    <w:rsid w:val="006C7DEA"/>
    <w:rsid w:val="006C7E42"/>
    <w:rsid w:val="006D28F2"/>
    <w:rsid w:val="006D2E5D"/>
    <w:rsid w:val="006D3458"/>
    <w:rsid w:val="006D3C7D"/>
    <w:rsid w:val="006D5BFC"/>
    <w:rsid w:val="006D5D5F"/>
    <w:rsid w:val="006D67BB"/>
    <w:rsid w:val="006D6832"/>
    <w:rsid w:val="006E1097"/>
    <w:rsid w:val="006E1F35"/>
    <w:rsid w:val="006E1FE5"/>
    <w:rsid w:val="006E2129"/>
    <w:rsid w:val="006E285D"/>
    <w:rsid w:val="006E37B3"/>
    <w:rsid w:val="006E39D6"/>
    <w:rsid w:val="006E3E7D"/>
    <w:rsid w:val="006E4027"/>
    <w:rsid w:val="006E54D5"/>
    <w:rsid w:val="006E761D"/>
    <w:rsid w:val="006E7957"/>
    <w:rsid w:val="006F08C6"/>
    <w:rsid w:val="006F2C0B"/>
    <w:rsid w:val="006F306C"/>
    <w:rsid w:val="006F30B2"/>
    <w:rsid w:val="006F362D"/>
    <w:rsid w:val="006F4A00"/>
    <w:rsid w:val="006F5039"/>
    <w:rsid w:val="006F541F"/>
    <w:rsid w:val="006F63A5"/>
    <w:rsid w:val="006F69CB"/>
    <w:rsid w:val="006F70D8"/>
    <w:rsid w:val="006F7DE6"/>
    <w:rsid w:val="0070142B"/>
    <w:rsid w:val="00701C69"/>
    <w:rsid w:val="0070276E"/>
    <w:rsid w:val="007027A2"/>
    <w:rsid w:val="00702F8F"/>
    <w:rsid w:val="0070322E"/>
    <w:rsid w:val="00703D67"/>
    <w:rsid w:val="00704C0C"/>
    <w:rsid w:val="00705036"/>
    <w:rsid w:val="007056D7"/>
    <w:rsid w:val="00705AF0"/>
    <w:rsid w:val="00706386"/>
    <w:rsid w:val="00706674"/>
    <w:rsid w:val="00710AA4"/>
    <w:rsid w:val="00710DF5"/>
    <w:rsid w:val="007113DF"/>
    <w:rsid w:val="007118CB"/>
    <w:rsid w:val="00711A36"/>
    <w:rsid w:val="00712CFC"/>
    <w:rsid w:val="00713191"/>
    <w:rsid w:val="007140AB"/>
    <w:rsid w:val="00714123"/>
    <w:rsid w:val="00714289"/>
    <w:rsid w:val="007144FA"/>
    <w:rsid w:val="00714CB7"/>
    <w:rsid w:val="0071529C"/>
    <w:rsid w:val="00715AF5"/>
    <w:rsid w:val="00715E13"/>
    <w:rsid w:val="007163C6"/>
    <w:rsid w:val="00716F34"/>
    <w:rsid w:val="007172AD"/>
    <w:rsid w:val="007204C8"/>
    <w:rsid w:val="0072076A"/>
    <w:rsid w:val="007208BF"/>
    <w:rsid w:val="007226BE"/>
    <w:rsid w:val="00722B1B"/>
    <w:rsid w:val="007231FB"/>
    <w:rsid w:val="0072363E"/>
    <w:rsid w:val="00723B36"/>
    <w:rsid w:val="0072416F"/>
    <w:rsid w:val="00724E9A"/>
    <w:rsid w:val="007259D7"/>
    <w:rsid w:val="00726CF4"/>
    <w:rsid w:val="0072728F"/>
    <w:rsid w:val="00727C94"/>
    <w:rsid w:val="00727CA9"/>
    <w:rsid w:val="00727E06"/>
    <w:rsid w:val="007302A0"/>
    <w:rsid w:val="0073107B"/>
    <w:rsid w:val="00731D0E"/>
    <w:rsid w:val="00731EAE"/>
    <w:rsid w:val="007326A7"/>
    <w:rsid w:val="0073270D"/>
    <w:rsid w:val="00733421"/>
    <w:rsid w:val="00733C47"/>
    <w:rsid w:val="007344E3"/>
    <w:rsid w:val="00735033"/>
    <w:rsid w:val="00735328"/>
    <w:rsid w:val="0073593F"/>
    <w:rsid w:val="00735B60"/>
    <w:rsid w:val="00735E1D"/>
    <w:rsid w:val="0073685B"/>
    <w:rsid w:val="00741089"/>
    <w:rsid w:val="007437A7"/>
    <w:rsid w:val="00745C0E"/>
    <w:rsid w:val="0074609E"/>
    <w:rsid w:val="00747720"/>
    <w:rsid w:val="0075169A"/>
    <w:rsid w:val="00752142"/>
    <w:rsid w:val="007523F9"/>
    <w:rsid w:val="007535AB"/>
    <w:rsid w:val="007549D8"/>
    <w:rsid w:val="00754E20"/>
    <w:rsid w:val="007554A4"/>
    <w:rsid w:val="00755670"/>
    <w:rsid w:val="00755E7B"/>
    <w:rsid w:val="00756E04"/>
    <w:rsid w:val="0075703B"/>
    <w:rsid w:val="007573E8"/>
    <w:rsid w:val="00757A27"/>
    <w:rsid w:val="00760C4E"/>
    <w:rsid w:val="00760F45"/>
    <w:rsid w:val="00761988"/>
    <w:rsid w:val="0076337E"/>
    <w:rsid w:val="00763D50"/>
    <w:rsid w:val="00763E03"/>
    <w:rsid w:val="00764217"/>
    <w:rsid w:val="00765B1A"/>
    <w:rsid w:val="00765D3F"/>
    <w:rsid w:val="00766836"/>
    <w:rsid w:val="00766E84"/>
    <w:rsid w:val="00766EC1"/>
    <w:rsid w:val="0077054F"/>
    <w:rsid w:val="00770775"/>
    <w:rsid w:val="00771847"/>
    <w:rsid w:val="00771F8C"/>
    <w:rsid w:val="007720AD"/>
    <w:rsid w:val="00774B85"/>
    <w:rsid w:val="00774BD1"/>
    <w:rsid w:val="0077507D"/>
    <w:rsid w:val="007755F6"/>
    <w:rsid w:val="00775B55"/>
    <w:rsid w:val="00776223"/>
    <w:rsid w:val="00776512"/>
    <w:rsid w:val="00776D3D"/>
    <w:rsid w:val="00777688"/>
    <w:rsid w:val="007778B0"/>
    <w:rsid w:val="00777D02"/>
    <w:rsid w:val="00781025"/>
    <w:rsid w:val="007822FB"/>
    <w:rsid w:val="007833D0"/>
    <w:rsid w:val="007835E9"/>
    <w:rsid w:val="00783981"/>
    <w:rsid w:val="007843F2"/>
    <w:rsid w:val="0078456F"/>
    <w:rsid w:val="00784ACF"/>
    <w:rsid w:val="00784B07"/>
    <w:rsid w:val="007851BF"/>
    <w:rsid w:val="007852A2"/>
    <w:rsid w:val="00785840"/>
    <w:rsid w:val="00785A38"/>
    <w:rsid w:val="00785B89"/>
    <w:rsid w:val="007875B7"/>
    <w:rsid w:val="00787C7C"/>
    <w:rsid w:val="00790105"/>
    <w:rsid w:val="00792BE2"/>
    <w:rsid w:val="00792DC2"/>
    <w:rsid w:val="00793048"/>
    <w:rsid w:val="00793915"/>
    <w:rsid w:val="00794563"/>
    <w:rsid w:val="00795142"/>
    <w:rsid w:val="00795A5B"/>
    <w:rsid w:val="00795E5A"/>
    <w:rsid w:val="00796AAB"/>
    <w:rsid w:val="00796C57"/>
    <w:rsid w:val="0079734C"/>
    <w:rsid w:val="007974D3"/>
    <w:rsid w:val="00797909"/>
    <w:rsid w:val="007A0018"/>
    <w:rsid w:val="007A03E6"/>
    <w:rsid w:val="007A0A12"/>
    <w:rsid w:val="007A0E52"/>
    <w:rsid w:val="007A0F0D"/>
    <w:rsid w:val="007A1183"/>
    <w:rsid w:val="007A132D"/>
    <w:rsid w:val="007A13A7"/>
    <w:rsid w:val="007A1DE4"/>
    <w:rsid w:val="007A2133"/>
    <w:rsid w:val="007A3A0D"/>
    <w:rsid w:val="007A4067"/>
    <w:rsid w:val="007A4196"/>
    <w:rsid w:val="007A4467"/>
    <w:rsid w:val="007A5F98"/>
    <w:rsid w:val="007A7199"/>
    <w:rsid w:val="007A7232"/>
    <w:rsid w:val="007B0D68"/>
    <w:rsid w:val="007B220D"/>
    <w:rsid w:val="007B251D"/>
    <w:rsid w:val="007B351D"/>
    <w:rsid w:val="007B36CB"/>
    <w:rsid w:val="007B4380"/>
    <w:rsid w:val="007B448E"/>
    <w:rsid w:val="007B4847"/>
    <w:rsid w:val="007B4F58"/>
    <w:rsid w:val="007B528D"/>
    <w:rsid w:val="007B579E"/>
    <w:rsid w:val="007B5BD2"/>
    <w:rsid w:val="007B5E85"/>
    <w:rsid w:val="007B618A"/>
    <w:rsid w:val="007B6BE0"/>
    <w:rsid w:val="007B7228"/>
    <w:rsid w:val="007B77D1"/>
    <w:rsid w:val="007C0DDE"/>
    <w:rsid w:val="007C104B"/>
    <w:rsid w:val="007C1164"/>
    <w:rsid w:val="007C1CD9"/>
    <w:rsid w:val="007C2613"/>
    <w:rsid w:val="007C361D"/>
    <w:rsid w:val="007C38F2"/>
    <w:rsid w:val="007C3FC1"/>
    <w:rsid w:val="007C40AE"/>
    <w:rsid w:val="007C47FF"/>
    <w:rsid w:val="007C4873"/>
    <w:rsid w:val="007C4B84"/>
    <w:rsid w:val="007C650A"/>
    <w:rsid w:val="007C6747"/>
    <w:rsid w:val="007C6D1B"/>
    <w:rsid w:val="007C76C1"/>
    <w:rsid w:val="007C7F7B"/>
    <w:rsid w:val="007D004F"/>
    <w:rsid w:val="007D0B38"/>
    <w:rsid w:val="007D0B49"/>
    <w:rsid w:val="007D0BA5"/>
    <w:rsid w:val="007D209F"/>
    <w:rsid w:val="007D2315"/>
    <w:rsid w:val="007D2844"/>
    <w:rsid w:val="007D29E5"/>
    <w:rsid w:val="007D3579"/>
    <w:rsid w:val="007D5440"/>
    <w:rsid w:val="007D55C9"/>
    <w:rsid w:val="007D6979"/>
    <w:rsid w:val="007D7214"/>
    <w:rsid w:val="007D7491"/>
    <w:rsid w:val="007E19FA"/>
    <w:rsid w:val="007E1AF1"/>
    <w:rsid w:val="007E1C49"/>
    <w:rsid w:val="007E2E86"/>
    <w:rsid w:val="007E3C40"/>
    <w:rsid w:val="007E3CC1"/>
    <w:rsid w:val="007E47C3"/>
    <w:rsid w:val="007E4B1B"/>
    <w:rsid w:val="007E533E"/>
    <w:rsid w:val="007E5B14"/>
    <w:rsid w:val="007E600D"/>
    <w:rsid w:val="007E6C9A"/>
    <w:rsid w:val="007E797A"/>
    <w:rsid w:val="007F0898"/>
    <w:rsid w:val="007F1017"/>
    <w:rsid w:val="007F12E1"/>
    <w:rsid w:val="007F1DE4"/>
    <w:rsid w:val="007F2307"/>
    <w:rsid w:val="007F3181"/>
    <w:rsid w:val="007F3679"/>
    <w:rsid w:val="007F3B48"/>
    <w:rsid w:val="007F4A3F"/>
    <w:rsid w:val="007F4A61"/>
    <w:rsid w:val="007F57B6"/>
    <w:rsid w:val="007F60DB"/>
    <w:rsid w:val="007F61C2"/>
    <w:rsid w:val="007F7465"/>
    <w:rsid w:val="00800A59"/>
    <w:rsid w:val="00800D0D"/>
    <w:rsid w:val="008015D2"/>
    <w:rsid w:val="008025BC"/>
    <w:rsid w:val="00802A53"/>
    <w:rsid w:val="00802CBC"/>
    <w:rsid w:val="00803360"/>
    <w:rsid w:val="00803A24"/>
    <w:rsid w:val="008040E7"/>
    <w:rsid w:val="00804C27"/>
    <w:rsid w:val="008050D9"/>
    <w:rsid w:val="00805142"/>
    <w:rsid w:val="008072B3"/>
    <w:rsid w:val="008079AE"/>
    <w:rsid w:val="00807A8B"/>
    <w:rsid w:val="00807E37"/>
    <w:rsid w:val="00811383"/>
    <w:rsid w:val="008113E3"/>
    <w:rsid w:val="00811802"/>
    <w:rsid w:val="008118C1"/>
    <w:rsid w:val="00812149"/>
    <w:rsid w:val="008127CA"/>
    <w:rsid w:val="00812CAC"/>
    <w:rsid w:val="0081385D"/>
    <w:rsid w:val="00814D70"/>
    <w:rsid w:val="00814F34"/>
    <w:rsid w:val="0081634B"/>
    <w:rsid w:val="008166EF"/>
    <w:rsid w:val="008173D7"/>
    <w:rsid w:val="00820032"/>
    <w:rsid w:val="00820432"/>
    <w:rsid w:val="008207F7"/>
    <w:rsid w:val="00821DB8"/>
    <w:rsid w:val="00821E08"/>
    <w:rsid w:val="00822225"/>
    <w:rsid w:val="0082234C"/>
    <w:rsid w:val="008223C4"/>
    <w:rsid w:val="008253AD"/>
    <w:rsid w:val="00825751"/>
    <w:rsid w:val="008264EB"/>
    <w:rsid w:val="0082783A"/>
    <w:rsid w:val="00827862"/>
    <w:rsid w:val="00827DA9"/>
    <w:rsid w:val="00827F6D"/>
    <w:rsid w:val="00830FB1"/>
    <w:rsid w:val="008318F6"/>
    <w:rsid w:val="00831AF2"/>
    <w:rsid w:val="00832FD4"/>
    <w:rsid w:val="008331B9"/>
    <w:rsid w:val="008332EA"/>
    <w:rsid w:val="00833B05"/>
    <w:rsid w:val="00834CC4"/>
    <w:rsid w:val="008362B4"/>
    <w:rsid w:val="0083696B"/>
    <w:rsid w:val="008376CA"/>
    <w:rsid w:val="0084062D"/>
    <w:rsid w:val="00840CA2"/>
    <w:rsid w:val="00841EA7"/>
    <w:rsid w:val="00841FD3"/>
    <w:rsid w:val="00842200"/>
    <w:rsid w:val="0084310B"/>
    <w:rsid w:val="0084374F"/>
    <w:rsid w:val="00843FD8"/>
    <w:rsid w:val="008441F2"/>
    <w:rsid w:val="008446CE"/>
    <w:rsid w:val="00844919"/>
    <w:rsid w:val="00845814"/>
    <w:rsid w:val="00845E4D"/>
    <w:rsid w:val="008461B2"/>
    <w:rsid w:val="008462B9"/>
    <w:rsid w:val="00847809"/>
    <w:rsid w:val="00847DF5"/>
    <w:rsid w:val="00850262"/>
    <w:rsid w:val="00850458"/>
    <w:rsid w:val="00850C64"/>
    <w:rsid w:val="00851DF8"/>
    <w:rsid w:val="0085309D"/>
    <w:rsid w:val="00853672"/>
    <w:rsid w:val="0085495F"/>
    <w:rsid w:val="008549F3"/>
    <w:rsid w:val="00854D73"/>
    <w:rsid w:val="008557FF"/>
    <w:rsid w:val="00856897"/>
    <w:rsid w:val="00856E9A"/>
    <w:rsid w:val="0085724E"/>
    <w:rsid w:val="00857750"/>
    <w:rsid w:val="00860673"/>
    <w:rsid w:val="0086075D"/>
    <w:rsid w:val="0086124A"/>
    <w:rsid w:val="008622CB"/>
    <w:rsid w:val="00862502"/>
    <w:rsid w:val="008625A6"/>
    <w:rsid w:val="0086266B"/>
    <w:rsid w:val="00863372"/>
    <w:rsid w:val="00864EB7"/>
    <w:rsid w:val="00865377"/>
    <w:rsid w:val="008660D4"/>
    <w:rsid w:val="00866458"/>
    <w:rsid w:val="00866A5C"/>
    <w:rsid w:val="00866C79"/>
    <w:rsid w:val="00867039"/>
    <w:rsid w:val="0087014E"/>
    <w:rsid w:val="008709B9"/>
    <w:rsid w:val="00871FA9"/>
    <w:rsid w:val="0087203D"/>
    <w:rsid w:val="008728E9"/>
    <w:rsid w:val="00873101"/>
    <w:rsid w:val="008747C0"/>
    <w:rsid w:val="00876BC2"/>
    <w:rsid w:val="00877701"/>
    <w:rsid w:val="00877CF0"/>
    <w:rsid w:val="00882012"/>
    <w:rsid w:val="0088249A"/>
    <w:rsid w:val="00882874"/>
    <w:rsid w:val="00882B91"/>
    <w:rsid w:val="00882CA6"/>
    <w:rsid w:val="00882FDF"/>
    <w:rsid w:val="00883787"/>
    <w:rsid w:val="00885112"/>
    <w:rsid w:val="008852F0"/>
    <w:rsid w:val="00885BF6"/>
    <w:rsid w:val="008863F3"/>
    <w:rsid w:val="00886CD2"/>
    <w:rsid w:val="00892308"/>
    <w:rsid w:val="0089275D"/>
    <w:rsid w:val="00892A1D"/>
    <w:rsid w:val="00892A36"/>
    <w:rsid w:val="00892D03"/>
    <w:rsid w:val="00893239"/>
    <w:rsid w:val="00893BAA"/>
    <w:rsid w:val="00893FF2"/>
    <w:rsid w:val="00894480"/>
    <w:rsid w:val="00894489"/>
    <w:rsid w:val="00894592"/>
    <w:rsid w:val="00894D9E"/>
    <w:rsid w:val="00895312"/>
    <w:rsid w:val="0089562F"/>
    <w:rsid w:val="0089579D"/>
    <w:rsid w:val="0089608E"/>
    <w:rsid w:val="008963A5"/>
    <w:rsid w:val="008A1BD8"/>
    <w:rsid w:val="008A24DD"/>
    <w:rsid w:val="008A3363"/>
    <w:rsid w:val="008A3371"/>
    <w:rsid w:val="008A3C3E"/>
    <w:rsid w:val="008A4052"/>
    <w:rsid w:val="008A4068"/>
    <w:rsid w:val="008A4905"/>
    <w:rsid w:val="008A5D2C"/>
    <w:rsid w:val="008A6DB5"/>
    <w:rsid w:val="008A6DD1"/>
    <w:rsid w:val="008A6DF4"/>
    <w:rsid w:val="008A7272"/>
    <w:rsid w:val="008A79DE"/>
    <w:rsid w:val="008B009C"/>
    <w:rsid w:val="008B01BE"/>
    <w:rsid w:val="008B06A2"/>
    <w:rsid w:val="008B102F"/>
    <w:rsid w:val="008B1757"/>
    <w:rsid w:val="008B1BA9"/>
    <w:rsid w:val="008B2133"/>
    <w:rsid w:val="008B2414"/>
    <w:rsid w:val="008B4635"/>
    <w:rsid w:val="008B46F5"/>
    <w:rsid w:val="008B51FF"/>
    <w:rsid w:val="008B621B"/>
    <w:rsid w:val="008B7231"/>
    <w:rsid w:val="008B7B29"/>
    <w:rsid w:val="008B7B7C"/>
    <w:rsid w:val="008B7C88"/>
    <w:rsid w:val="008B7D7E"/>
    <w:rsid w:val="008C0977"/>
    <w:rsid w:val="008C3D03"/>
    <w:rsid w:val="008C4CA9"/>
    <w:rsid w:val="008C4E6D"/>
    <w:rsid w:val="008C518F"/>
    <w:rsid w:val="008C6323"/>
    <w:rsid w:val="008C6580"/>
    <w:rsid w:val="008C6781"/>
    <w:rsid w:val="008C6A55"/>
    <w:rsid w:val="008C73CB"/>
    <w:rsid w:val="008C73E2"/>
    <w:rsid w:val="008C7ECB"/>
    <w:rsid w:val="008D0BA4"/>
    <w:rsid w:val="008D13F9"/>
    <w:rsid w:val="008D15DD"/>
    <w:rsid w:val="008D1B3F"/>
    <w:rsid w:val="008D2107"/>
    <w:rsid w:val="008D3B3C"/>
    <w:rsid w:val="008D3FB9"/>
    <w:rsid w:val="008D42CC"/>
    <w:rsid w:val="008D4755"/>
    <w:rsid w:val="008D49F8"/>
    <w:rsid w:val="008D4C3D"/>
    <w:rsid w:val="008D619C"/>
    <w:rsid w:val="008D6663"/>
    <w:rsid w:val="008D6883"/>
    <w:rsid w:val="008D6A98"/>
    <w:rsid w:val="008D71DB"/>
    <w:rsid w:val="008D7649"/>
    <w:rsid w:val="008D785F"/>
    <w:rsid w:val="008D7954"/>
    <w:rsid w:val="008E04A9"/>
    <w:rsid w:val="008E0D3C"/>
    <w:rsid w:val="008E1B9E"/>
    <w:rsid w:val="008E1C1F"/>
    <w:rsid w:val="008E2A3C"/>
    <w:rsid w:val="008E2CD9"/>
    <w:rsid w:val="008E3438"/>
    <w:rsid w:val="008E540D"/>
    <w:rsid w:val="008E55AB"/>
    <w:rsid w:val="008E62D7"/>
    <w:rsid w:val="008E6465"/>
    <w:rsid w:val="008E7792"/>
    <w:rsid w:val="008F02DD"/>
    <w:rsid w:val="008F03D3"/>
    <w:rsid w:val="008F07A1"/>
    <w:rsid w:val="008F0E95"/>
    <w:rsid w:val="008F120A"/>
    <w:rsid w:val="008F2140"/>
    <w:rsid w:val="008F267C"/>
    <w:rsid w:val="008F27E0"/>
    <w:rsid w:val="008F44EE"/>
    <w:rsid w:val="008F48EB"/>
    <w:rsid w:val="008F49CE"/>
    <w:rsid w:val="008F4E17"/>
    <w:rsid w:val="008F4E3C"/>
    <w:rsid w:val="008F4F0B"/>
    <w:rsid w:val="008F58A7"/>
    <w:rsid w:val="008F629C"/>
    <w:rsid w:val="008F64DB"/>
    <w:rsid w:val="008F6984"/>
    <w:rsid w:val="00900728"/>
    <w:rsid w:val="00900FB3"/>
    <w:rsid w:val="00901612"/>
    <w:rsid w:val="00902E04"/>
    <w:rsid w:val="00902E1D"/>
    <w:rsid w:val="0090320C"/>
    <w:rsid w:val="0090398B"/>
    <w:rsid w:val="00903F78"/>
    <w:rsid w:val="009046C4"/>
    <w:rsid w:val="009059C6"/>
    <w:rsid w:val="009062A5"/>
    <w:rsid w:val="009064B6"/>
    <w:rsid w:val="0090704D"/>
    <w:rsid w:val="009074BE"/>
    <w:rsid w:val="00910AA5"/>
    <w:rsid w:val="00910D2C"/>
    <w:rsid w:val="00911272"/>
    <w:rsid w:val="00911724"/>
    <w:rsid w:val="0091174C"/>
    <w:rsid w:val="0091183B"/>
    <w:rsid w:val="00911B13"/>
    <w:rsid w:val="0091261D"/>
    <w:rsid w:val="00912BE9"/>
    <w:rsid w:val="009135D6"/>
    <w:rsid w:val="00913607"/>
    <w:rsid w:val="00913921"/>
    <w:rsid w:val="00913CE5"/>
    <w:rsid w:val="00914C77"/>
    <w:rsid w:val="00916118"/>
    <w:rsid w:val="00916767"/>
    <w:rsid w:val="009174D4"/>
    <w:rsid w:val="0092001D"/>
    <w:rsid w:val="00920FEA"/>
    <w:rsid w:val="009222EA"/>
    <w:rsid w:val="0092369B"/>
    <w:rsid w:val="00924F5B"/>
    <w:rsid w:val="009255DF"/>
    <w:rsid w:val="00926079"/>
    <w:rsid w:val="00926A12"/>
    <w:rsid w:val="00926FF0"/>
    <w:rsid w:val="009304A0"/>
    <w:rsid w:val="00930B2F"/>
    <w:rsid w:val="009312CE"/>
    <w:rsid w:val="00931B65"/>
    <w:rsid w:val="00932180"/>
    <w:rsid w:val="00932B1F"/>
    <w:rsid w:val="00932BB6"/>
    <w:rsid w:val="00932D76"/>
    <w:rsid w:val="009330C8"/>
    <w:rsid w:val="009346DF"/>
    <w:rsid w:val="00935E41"/>
    <w:rsid w:val="00935F91"/>
    <w:rsid w:val="009368A1"/>
    <w:rsid w:val="009374B4"/>
    <w:rsid w:val="0093753D"/>
    <w:rsid w:val="00940A47"/>
    <w:rsid w:val="00941600"/>
    <w:rsid w:val="00941ABD"/>
    <w:rsid w:val="00942313"/>
    <w:rsid w:val="00942857"/>
    <w:rsid w:val="00943C43"/>
    <w:rsid w:val="00943C83"/>
    <w:rsid w:val="009440D0"/>
    <w:rsid w:val="009442F1"/>
    <w:rsid w:val="009448A7"/>
    <w:rsid w:val="00944CC1"/>
    <w:rsid w:val="0094643A"/>
    <w:rsid w:val="009464F6"/>
    <w:rsid w:val="00947AA7"/>
    <w:rsid w:val="00950212"/>
    <w:rsid w:val="009503FD"/>
    <w:rsid w:val="009510A2"/>
    <w:rsid w:val="009511A0"/>
    <w:rsid w:val="009523B4"/>
    <w:rsid w:val="00953100"/>
    <w:rsid w:val="00953257"/>
    <w:rsid w:val="00954731"/>
    <w:rsid w:val="00954E0D"/>
    <w:rsid w:val="0095652E"/>
    <w:rsid w:val="009570E5"/>
    <w:rsid w:val="00957343"/>
    <w:rsid w:val="009600DF"/>
    <w:rsid w:val="009609EB"/>
    <w:rsid w:val="00962139"/>
    <w:rsid w:val="009625F8"/>
    <w:rsid w:val="00962BAB"/>
    <w:rsid w:val="00962CB9"/>
    <w:rsid w:val="00962CC5"/>
    <w:rsid w:val="009635C4"/>
    <w:rsid w:val="009637AD"/>
    <w:rsid w:val="009638B5"/>
    <w:rsid w:val="00963B01"/>
    <w:rsid w:val="00964312"/>
    <w:rsid w:val="00964915"/>
    <w:rsid w:val="00965B8A"/>
    <w:rsid w:val="009664DA"/>
    <w:rsid w:val="00966BFD"/>
    <w:rsid w:val="00966E92"/>
    <w:rsid w:val="00967170"/>
    <w:rsid w:val="00967628"/>
    <w:rsid w:val="009679DA"/>
    <w:rsid w:val="0097129D"/>
    <w:rsid w:val="009716F5"/>
    <w:rsid w:val="009717AC"/>
    <w:rsid w:val="00971ECC"/>
    <w:rsid w:val="00972123"/>
    <w:rsid w:val="009724FD"/>
    <w:rsid w:val="00972889"/>
    <w:rsid w:val="00973DB9"/>
    <w:rsid w:val="00974990"/>
    <w:rsid w:val="00975245"/>
    <w:rsid w:val="00975BB4"/>
    <w:rsid w:val="009768AC"/>
    <w:rsid w:val="00976CC6"/>
    <w:rsid w:val="00976CD0"/>
    <w:rsid w:val="00976DD0"/>
    <w:rsid w:val="0097768A"/>
    <w:rsid w:val="009779FE"/>
    <w:rsid w:val="0098101C"/>
    <w:rsid w:val="00981332"/>
    <w:rsid w:val="00981B7C"/>
    <w:rsid w:val="009820E1"/>
    <w:rsid w:val="0098219A"/>
    <w:rsid w:val="00982780"/>
    <w:rsid w:val="00982EB5"/>
    <w:rsid w:val="0098315E"/>
    <w:rsid w:val="00983E57"/>
    <w:rsid w:val="00984FBC"/>
    <w:rsid w:val="009859F5"/>
    <w:rsid w:val="0098627C"/>
    <w:rsid w:val="00986449"/>
    <w:rsid w:val="00986697"/>
    <w:rsid w:val="0098675D"/>
    <w:rsid w:val="00987044"/>
    <w:rsid w:val="0098739D"/>
    <w:rsid w:val="00987B34"/>
    <w:rsid w:val="009906C4"/>
    <w:rsid w:val="009916D0"/>
    <w:rsid w:val="0099382A"/>
    <w:rsid w:val="009939CC"/>
    <w:rsid w:val="009945FD"/>
    <w:rsid w:val="009954AA"/>
    <w:rsid w:val="00995DCD"/>
    <w:rsid w:val="0099648E"/>
    <w:rsid w:val="00996B1A"/>
    <w:rsid w:val="0099732F"/>
    <w:rsid w:val="0099747F"/>
    <w:rsid w:val="00997528"/>
    <w:rsid w:val="00997902"/>
    <w:rsid w:val="00997A89"/>
    <w:rsid w:val="00997BE9"/>
    <w:rsid w:val="00997CE7"/>
    <w:rsid w:val="009A2E7D"/>
    <w:rsid w:val="009A31ED"/>
    <w:rsid w:val="009A7486"/>
    <w:rsid w:val="009A768F"/>
    <w:rsid w:val="009A7E37"/>
    <w:rsid w:val="009A7F10"/>
    <w:rsid w:val="009B0596"/>
    <w:rsid w:val="009B142E"/>
    <w:rsid w:val="009B1682"/>
    <w:rsid w:val="009B23B8"/>
    <w:rsid w:val="009B26B5"/>
    <w:rsid w:val="009B283F"/>
    <w:rsid w:val="009B2CE2"/>
    <w:rsid w:val="009B3C3F"/>
    <w:rsid w:val="009B3E26"/>
    <w:rsid w:val="009B464F"/>
    <w:rsid w:val="009B5030"/>
    <w:rsid w:val="009B6220"/>
    <w:rsid w:val="009B6856"/>
    <w:rsid w:val="009B7562"/>
    <w:rsid w:val="009B7717"/>
    <w:rsid w:val="009C072A"/>
    <w:rsid w:val="009C27A3"/>
    <w:rsid w:val="009C2DBF"/>
    <w:rsid w:val="009C32E7"/>
    <w:rsid w:val="009C434A"/>
    <w:rsid w:val="009C444E"/>
    <w:rsid w:val="009C6CEA"/>
    <w:rsid w:val="009C7B5B"/>
    <w:rsid w:val="009C7B85"/>
    <w:rsid w:val="009C7FBB"/>
    <w:rsid w:val="009D040D"/>
    <w:rsid w:val="009D0781"/>
    <w:rsid w:val="009D0CB5"/>
    <w:rsid w:val="009D11E8"/>
    <w:rsid w:val="009D1E8D"/>
    <w:rsid w:val="009D2605"/>
    <w:rsid w:val="009D3727"/>
    <w:rsid w:val="009D3B76"/>
    <w:rsid w:val="009D5785"/>
    <w:rsid w:val="009D5B91"/>
    <w:rsid w:val="009D5B9F"/>
    <w:rsid w:val="009D792E"/>
    <w:rsid w:val="009E0DFE"/>
    <w:rsid w:val="009E0FF8"/>
    <w:rsid w:val="009E295B"/>
    <w:rsid w:val="009E2DFC"/>
    <w:rsid w:val="009E3A32"/>
    <w:rsid w:val="009E44AA"/>
    <w:rsid w:val="009E4C07"/>
    <w:rsid w:val="009E77EE"/>
    <w:rsid w:val="009E7E60"/>
    <w:rsid w:val="009F085D"/>
    <w:rsid w:val="009F2791"/>
    <w:rsid w:val="009F2D5D"/>
    <w:rsid w:val="009F3A02"/>
    <w:rsid w:val="009F5B28"/>
    <w:rsid w:val="009F5DA4"/>
    <w:rsid w:val="009F609B"/>
    <w:rsid w:val="009F74DE"/>
    <w:rsid w:val="009F7990"/>
    <w:rsid w:val="00A00837"/>
    <w:rsid w:val="00A00ACC"/>
    <w:rsid w:val="00A01113"/>
    <w:rsid w:val="00A01184"/>
    <w:rsid w:val="00A01856"/>
    <w:rsid w:val="00A01DF8"/>
    <w:rsid w:val="00A02129"/>
    <w:rsid w:val="00A02772"/>
    <w:rsid w:val="00A033C5"/>
    <w:rsid w:val="00A03C51"/>
    <w:rsid w:val="00A03D43"/>
    <w:rsid w:val="00A04380"/>
    <w:rsid w:val="00A06EF8"/>
    <w:rsid w:val="00A06F07"/>
    <w:rsid w:val="00A07BB4"/>
    <w:rsid w:val="00A10C92"/>
    <w:rsid w:val="00A10F72"/>
    <w:rsid w:val="00A11CD0"/>
    <w:rsid w:val="00A11D92"/>
    <w:rsid w:val="00A11F2F"/>
    <w:rsid w:val="00A12031"/>
    <w:rsid w:val="00A122C6"/>
    <w:rsid w:val="00A123E1"/>
    <w:rsid w:val="00A12DF1"/>
    <w:rsid w:val="00A133A0"/>
    <w:rsid w:val="00A13920"/>
    <w:rsid w:val="00A13948"/>
    <w:rsid w:val="00A14457"/>
    <w:rsid w:val="00A151A2"/>
    <w:rsid w:val="00A1555B"/>
    <w:rsid w:val="00A155C5"/>
    <w:rsid w:val="00A16AD8"/>
    <w:rsid w:val="00A1781C"/>
    <w:rsid w:val="00A17CDA"/>
    <w:rsid w:val="00A17E3F"/>
    <w:rsid w:val="00A20282"/>
    <w:rsid w:val="00A21CF3"/>
    <w:rsid w:val="00A22272"/>
    <w:rsid w:val="00A22888"/>
    <w:rsid w:val="00A22B29"/>
    <w:rsid w:val="00A22F0B"/>
    <w:rsid w:val="00A230AD"/>
    <w:rsid w:val="00A23229"/>
    <w:rsid w:val="00A237F1"/>
    <w:rsid w:val="00A23BC3"/>
    <w:rsid w:val="00A245A4"/>
    <w:rsid w:val="00A250E2"/>
    <w:rsid w:val="00A255C2"/>
    <w:rsid w:val="00A27AEC"/>
    <w:rsid w:val="00A27F55"/>
    <w:rsid w:val="00A30685"/>
    <w:rsid w:val="00A3139D"/>
    <w:rsid w:val="00A314EF"/>
    <w:rsid w:val="00A320DB"/>
    <w:rsid w:val="00A32821"/>
    <w:rsid w:val="00A32D45"/>
    <w:rsid w:val="00A32F1D"/>
    <w:rsid w:val="00A34224"/>
    <w:rsid w:val="00A35D16"/>
    <w:rsid w:val="00A3629E"/>
    <w:rsid w:val="00A366DF"/>
    <w:rsid w:val="00A367B5"/>
    <w:rsid w:val="00A37BCD"/>
    <w:rsid w:val="00A40024"/>
    <w:rsid w:val="00A40CDA"/>
    <w:rsid w:val="00A412C2"/>
    <w:rsid w:val="00A41881"/>
    <w:rsid w:val="00A41E5B"/>
    <w:rsid w:val="00A42B14"/>
    <w:rsid w:val="00A438A3"/>
    <w:rsid w:val="00A43A35"/>
    <w:rsid w:val="00A43C59"/>
    <w:rsid w:val="00A440A9"/>
    <w:rsid w:val="00A441DD"/>
    <w:rsid w:val="00A45DB4"/>
    <w:rsid w:val="00A46AE1"/>
    <w:rsid w:val="00A47574"/>
    <w:rsid w:val="00A50ECD"/>
    <w:rsid w:val="00A518F3"/>
    <w:rsid w:val="00A5218C"/>
    <w:rsid w:val="00A52296"/>
    <w:rsid w:val="00A52729"/>
    <w:rsid w:val="00A5274B"/>
    <w:rsid w:val="00A52DD4"/>
    <w:rsid w:val="00A533C8"/>
    <w:rsid w:val="00A53675"/>
    <w:rsid w:val="00A53E79"/>
    <w:rsid w:val="00A552A8"/>
    <w:rsid w:val="00A5623D"/>
    <w:rsid w:val="00A564D7"/>
    <w:rsid w:val="00A56B6A"/>
    <w:rsid w:val="00A56C44"/>
    <w:rsid w:val="00A57285"/>
    <w:rsid w:val="00A57501"/>
    <w:rsid w:val="00A578DC"/>
    <w:rsid w:val="00A6098D"/>
    <w:rsid w:val="00A6098E"/>
    <w:rsid w:val="00A6147C"/>
    <w:rsid w:val="00A6322C"/>
    <w:rsid w:val="00A642F5"/>
    <w:rsid w:val="00A64712"/>
    <w:rsid w:val="00A6581D"/>
    <w:rsid w:val="00A65A78"/>
    <w:rsid w:val="00A663CC"/>
    <w:rsid w:val="00A6725B"/>
    <w:rsid w:val="00A67748"/>
    <w:rsid w:val="00A70605"/>
    <w:rsid w:val="00A70CCE"/>
    <w:rsid w:val="00A70D72"/>
    <w:rsid w:val="00A70DD4"/>
    <w:rsid w:val="00A71D95"/>
    <w:rsid w:val="00A7244E"/>
    <w:rsid w:val="00A72CCB"/>
    <w:rsid w:val="00A72E13"/>
    <w:rsid w:val="00A72EE5"/>
    <w:rsid w:val="00A73134"/>
    <w:rsid w:val="00A73660"/>
    <w:rsid w:val="00A741FC"/>
    <w:rsid w:val="00A745BE"/>
    <w:rsid w:val="00A74BD5"/>
    <w:rsid w:val="00A74F37"/>
    <w:rsid w:val="00A75559"/>
    <w:rsid w:val="00A75EBE"/>
    <w:rsid w:val="00A77609"/>
    <w:rsid w:val="00A777B2"/>
    <w:rsid w:val="00A77A5B"/>
    <w:rsid w:val="00A77FEC"/>
    <w:rsid w:val="00A80442"/>
    <w:rsid w:val="00A8052D"/>
    <w:rsid w:val="00A80CFA"/>
    <w:rsid w:val="00A8117F"/>
    <w:rsid w:val="00A83FA6"/>
    <w:rsid w:val="00A84EFD"/>
    <w:rsid w:val="00A86407"/>
    <w:rsid w:val="00A866EC"/>
    <w:rsid w:val="00A86E8B"/>
    <w:rsid w:val="00A87164"/>
    <w:rsid w:val="00A87A15"/>
    <w:rsid w:val="00A87DF3"/>
    <w:rsid w:val="00A87FF1"/>
    <w:rsid w:val="00A910B8"/>
    <w:rsid w:val="00A91325"/>
    <w:rsid w:val="00A91BA6"/>
    <w:rsid w:val="00A93072"/>
    <w:rsid w:val="00A93641"/>
    <w:rsid w:val="00A93822"/>
    <w:rsid w:val="00A938DC"/>
    <w:rsid w:val="00A93953"/>
    <w:rsid w:val="00A94078"/>
    <w:rsid w:val="00A959B8"/>
    <w:rsid w:val="00A959D8"/>
    <w:rsid w:val="00A97A2C"/>
    <w:rsid w:val="00AA08ED"/>
    <w:rsid w:val="00AA113D"/>
    <w:rsid w:val="00AA19DC"/>
    <w:rsid w:val="00AA1CB2"/>
    <w:rsid w:val="00AA2118"/>
    <w:rsid w:val="00AA30BC"/>
    <w:rsid w:val="00AA432D"/>
    <w:rsid w:val="00AA4FEA"/>
    <w:rsid w:val="00AA5716"/>
    <w:rsid w:val="00AA65AD"/>
    <w:rsid w:val="00AA6C7D"/>
    <w:rsid w:val="00AA7FD6"/>
    <w:rsid w:val="00AB042A"/>
    <w:rsid w:val="00AB0FCD"/>
    <w:rsid w:val="00AB111A"/>
    <w:rsid w:val="00AB17F1"/>
    <w:rsid w:val="00AB1FAF"/>
    <w:rsid w:val="00AB245C"/>
    <w:rsid w:val="00AB2D34"/>
    <w:rsid w:val="00AB3430"/>
    <w:rsid w:val="00AB43B6"/>
    <w:rsid w:val="00AB44A1"/>
    <w:rsid w:val="00AB4AD1"/>
    <w:rsid w:val="00AB4B04"/>
    <w:rsid w:val="00AB4FC2"/>
    <w:rsid w:val="00AB670C"/>
    <w:rsid w:val="00AB7BB7"/>
    <w:rsid w:val="00AB7C7D"/>
    <w:rsid w:val="00AB7CFA"/>
    <w:rsid w:val="00AC0B37"/>
    <w:rsid w:val="00AC1440"/>
    <w:rsid w:val="00AC2022"/>
    <w:rsid w:val="00AC220D"/>
    <w:rsid w:val="00AC3CBD"/>
    <w:rsid w:val="00AC46E6"/>
    <w:rsid w:val="00AC485F"/>
    <w:rsid w:val="00AC4D46"/>
    <w:rsid w:val="00AC4E60"/>
    <w:rsid w:val="00AC5B48"/>
    <w:rsid w:val="00AC753E"/>
    <w:rsid w:val="00AD043F"/>
    <w:rsid w:val="00AD0640"/>
    <w:rsid w:val="00AD1260"/>
    <w:rsid w:val="00AD1577"/>
    <w:rsid w:val="00AD1632"/>
    <w:rsid w:val="00AD1966"/>
    <w:rsid w:val="00AD2465"/>
    <w:rsid w:val="00AD2A9D"/>
    <w:rsid w:val="00AD31A2"/>
    <w:rsid w:val="00AD32F1"/>
    <w:rsid w:val="00AD3CB3"/>
    <w:rsid w:val="00AD5700"/>
    <w:rsid w:val="00AD5EB2"/>
    <w:rsid w:val="00AD6502"/>
    <w:rsid w:val="00AD6E64"/>
    <w:rsid w:val="00AD6F55"/>
    <w:rsid w:val="00AD71BE"/>
    <w:rsid w:val="00AE05AA"/>
    <w:rsid w:val="00AE16A3"/>
    <w:rsid w:val="00AE28E4"/>
    <w:rsid w:val="00AE2FFB"/>
    <w:rsid w:val="00AE34C4"/>
    <w:rsid w:val="00AE37B7"/>
    <w:rsid w:val="00AE5003"/>
    <w:rsid w:val="00AE5E26"/>
    <w:rsid w:val="00AE64A0"/>
    <w:rsid w:val="00AE6BCF"/>
    <w:rsid w:val="00AE6DAD"/>
    <w:rsid w:val="00AE7713"/>
    <w:rsid w:val="00AE7F66"/>
    <w:rsid w:val="00AF0056"/>
    <w:rsid w:val="00AF1315"/>
    <w:rsid w:val="00AF19BF"/>
    <w:rsid w:val="00AF2DC3"/>
    <w:rsid w:val="00AF3E61"/>
    <w:rsid w:val="00AF3EC1"/>
    <w:rsid w:val="00AF3F46"/>
    <w:rsid w:val="00AF4479"/>
    <w:rsid w:val="00AF49C8"/>
    <w:rsid w:val="00AF51AE"/>
    <w:rsid w:val="00AF5701"/>
    <w:rsid w:val="00AF7779"/>
    <w:rsid w:val="00AF79C6"/>
    <w:rsid w:val="00B00BD5"/>
    <w:rsid w:val="00B00DBB"/>
    <w:rsid w:val="00B01C29"/>
    <w:rsid w:val="00B01C32"/>
    <w:rsid w:val="00B0223A"/>
    <w:rsid w:val="00B02431"/>
    <w:rsid w:val="00B029B9"/>
    <w:rsid w:val="00B02EC7"/>
    <w:rsid w:val="00B02F25"/>
    <w:rsid w:val="00B033E5"/>
    <w:rsid w:val="00B0371D"/>
    <w:rsid w:val="00B03841"/>
    <w:rsid w:val="00B03A63"/>
    <w:rsid w:val="00B05FFA"/>
    <w:rsid w:val="00B0711C"/>
    <w:rsid w:val="00B07227"/>
    <w:rsid w:val="00B130D3"/>
    <w:rsid w:val="00B13A89"/>
    <w:rsid w:val="00B14544"/>
    <w:rsid w:val="00B201A4"/>
    <w:rsid w:val="00B205FB"/>
    <w:rsid w:val="00B2077F"/>
    <w:rsid w:val="00B20B88"/>
    <w:rsid w:val="00B213A6"/>
    <w:rsid w:val="00B22932"/>
    <w:rsid w:val="00B22BDB"/>
    <w:rsid w:val="00B22DEE"/>
    <w:rsid w:val="00B23D79"/>
    <w:rsid w:val="00B24315"/>
    <w:rsid w:val="00B24524"/>
    <w:rsid w:val="00B249B0"/>
    <w:rsid w:val="00B24DF6"/>
    <w:rsid w:val="00B25297"/>
    <w:rsid w:val="00B25E7D"/>
    <w:rsid w:val="00B26986"/>
    <w:rsid w:val="00B2789B"/>
    <w:rsid w:val="00B27C78"/>
    <w:rsid w:val="00B30A00"/>
    <w:rsid w:val="00B31196"/>
    <w:rsid w:val="00B31560"/>
    <w:rsid w:val="00B31583"/>
    <w:rsid w:val="00B32B97"/>
    <w:rsid w:val="00B32C0E"/>
    <w:rsid w:val="00B344E5"/>
    <w:rsid w:val="00B34FE2"/>
    <w:rsid w:val="00B35505"/>
    <w:rsid w:val="00B357D8"/>
    <w:rsid w:val="00B360DA"/>
    <w:rsid w:val="00B364E1"/>
    <w:rsid w:val="00B36B65"/>
    <w:rsid w:val="00B3784F"/>
    <w:rsid w:val="00B37BFC"/>
    <w:rsid w:val="00B40358"/>
    <w:rsid w:val="00B40D42"/>
    <w:rsid w:val="00B40DB5"/>
    <w:rsid w:val="00B41614"/>
    <w:rsid w:val="00B41C05"/>
    <w:rsid w:val="00B42048"/>
    <w:rsid w:val="00B42851"/>
    <w:rsid w:val="00B42F80"/>
    <w:rsid w:val="00B435CB"/>
    <w:rsid w:val="00B4391D"/>
    <w:rsid w:val="00B43FC6"/>
    <w:rsid w:val="00B46E44"/>
    <w:rsid w:val="00B50235"/>
    <w:rsid w:val="00B509AE"/>
    <w:rsid w:val="00B50C18"/>
    <w:rsid w:val="00B50C1B"/>
    <w:rsid w:val="00B50D66"/>
    <w:rsid w:val="00B50DB8"/>
    <w:rsid w:val="00B51D9E"/>
    <w:rsid w:val="00B52092"/>
    <w:rsid w:val="00B52386"/>
    <w:rsid w:val="00B52ADB"/>
    <w:rsid w:val="00B52AE9"/>
    <w:rsid w:val="00B52DCE"/>
    <w:rsid w:val="00B535F6"/>
    <w:rsid w:val="00B53654"/>
    <w:rsid w:val="00B53869"/>
    <w:rsid w:val="00B53905"/>
    <w:rsid w:val="00B54B5B"/>
    <w:rsid w:val="00B5562E"/>
    <w:rsid w:val="00B57000"/>
    <w:rsid w:val="00B6043E"/>
    <w:rsid w:val="00B60939"/>
    <w:rsid w:val="00B60AFD"/>
    <w:rsid w:val="00B61CF9"/>
    <w:rsid w:val="00B62715"/>
    <w:rsid w:val="00B6394E"/>
    <w:rsid w:val="00B64A79"/>
    <w:rsid w:val="00B65B06"/>
    <w:rsid w:val="00B66470"/>
    <w:rsid w:val="00B66E35"/>
    <w:rsid w:val="00B6713F"/>
    <w:rsid w:val="00B70C49"/>
    <w:rsid w:val="00B719FE"/>
    <w:rsid w:val="00B72226"/>
    <w:rsid w:val="00B74262"/>
    <w:rsid w:val="00B761B6"/>
    <w:rsid w:val="00B807FD"/>
    <w:rsid w:val="00B80A99"/>
    <w:rsid w:val="00B818A4"/>
    <w:rsid w:val="00B819A8"/>
    <w:rsid w:val="00B81F6E"/>
    <w:rsid w:val="00B82528"/>
    <w:rsid w:val="00B82939"/>
    <w:rsid w:val="00B83C5F"/>
    <w:rsid w:val="00B84117"/>
    <w:rsid w:val="00B85641"/>
    <w:rsid w:val="00B85AA2"/>
    <w:rsid w:val="00B85DCB"/>
    <w:rsid w:val="00B8649C"/>
    <w:rsid w:val="00B86731"/>
    <w:rsid w:val="00B869DC"/>
    <w:rsid w:val="00B86B38"/>
    <w:rsid w:val="00B86E32"/>
    <w:rsid w:val="00B874C1"/>
    <w:rsid w:val="00B87F0A"/>
    <w:rsid w:val="00B91098"/>
    <w:rsid w:val="00B914F2"/>
    <w:rsid w:val="00B91740"/>
    <w:rsid w:val="00B924AA"/>
    <w:rsid w:val="00B92D0B"/>
    <w:rsid w:val="00B94868"/>
    <w:rsid w:val="00B94945"/>
    <w:rsid w:val="00B95448"/>
    <w:rsid w:val="00B96203"/>
    <w:rsid w:val="00B965FB"/>
    <w:rsid w:val="00B974A2"/>
    <w:rsid w:val="00B97C0C"/>
    <w:rsid w:val="00B97F68"/>
    <w:rsid w:val="00BA127C"/>
    <w:rsid w:val="00BA19E5"/>
    <w:rsid w:val="00BA2234"/>
    <w:rsid w:val="00BA322D"/>
    <w:rsid w:val="00BA4395"/>
    <w:rsid w:val="00BA4DB7"/>
    <w:rsid w:val="00BA578C"/>
    <w:rsid w:val="00BA57C6"/>
    <w:rsid w:val="00BA5A42"/>
    <w:rsid w:val="00BA61EB"/>
    <w:rsid w:val="00BA762F"/>
    <w:rsid w:val="00BA76AB"/>
    <w:rsid w:val="00BA79AA"/>
    <w:rsid w:val="00BA7AAE"/>
    <w:rsid w:val="00BA7BFD"/>
    <w:rsid w:val="00BB04E8"/>
    <w:rsid w:val="00BB09FC"/>
    <w:rsid w:val="00BB0BDD"/>
    <w:rsid w:val="00BB2A73"/>
    <w:rsid w:val="00BB2DD4"/>
    <w:rsid w:val="00BB2FF3"/>
    <w:rsid w:val="00BB43E5"/>
    <w:rsid w:val="00BB4ACC"/>
    <w:rsid w:val="00BB6129"/>
    <w:rsid w:val="00BB63E4"/>
    <w:rsid w:val="00BB6479"/>
    <w:rsid w:val="00BB703E"/>
    <w:rsid w:val="00BB71ED"/>
    <w:rsid w:val="00BB7405"/>
    <w:rsid w:val="00BB75B4"/>
    <w:rsid w:val="00BB7BD5"/>
    <w:rsid w:val="00BC1164"/>
    <w:rsid w:val="00BC1C37"/>
    <w:rsid w:val="00BC243D"/>
    <w:rsid w:val="00BC3631"/>
    <w:rsid w:val="00BC39AD"/>
    <w:rsid w:val="00BC5274"/>
    <w:rsid w:val="00BC56E2"/>
    <w:rsid w:val="00BC6EE2"/>
    <w:rsid w:val="00BC7AD1"/>
    <w:rsid w:val="00BD0536"/>
    <w:rsid w:val="00BD07EB"/>
    <w:rsid w:val="00BD0B43"/>
    <w:rsid w:val="00BD0D4A"/>
    <w:rsid w:val="00BD1378"/>
    <w:rsid w:val="00BD17C6"/>
    <w:rsid w:val="00BD2AEB"/>
    <w:rsid w:val="00BD33BD"/>
    <w:rsid w:val="00BD3A95"/>
    <w:rsid w:val="00BD4303"/>
    <w:rsid w:val="00BD4AC6"/>
    <w:rsid w:val="00BD4E66"/>
    <w:rsid w:val="00BD4FD3"/>
    <w:rsid w:val="00BD60D3"/>
    <w:rsid w:val="00BD6266"/>
    <w:rsid w:val="00BD68A3"/>
    <w:rsid w:val="00BD6938"/>
    <w:rsid w:val="00BD6CF3"/>
    <w:rsid w:val="00BD71E7"/>
    <w:rsid w:val="00BD7494"/>
    <w:rsid w:val="00BE03F3"/>
    <w:rsid w:val="00BE04D5"/>
    <w:rsid w:val="00BE1C7D"/>
    <w:rsid w:val="00BE1D02"/>
    <w:rsid w:val="00BE1F0F"/>
    <w:rsid w:val="00BE2180"/>
    <w:rsid w:val="00BE21F2"/>
    <w:rsid w:val="00BE32CC"/>
    <w:rsid w:val="00BE33BF"/>
    <w:rsid w:val="00BE3865"/>
    <w:rsid w:val="00BE4275"/>
    <w:rsid w:val="00BE463D"/>
    <w:rsid w:val="00BE4860"/>
    <w:rsid w:val="00BE79EA"/>
    <w:rsid w:val="00BF0C2C"/>
    <w:rsid w:val="00BF0F95"/>
    <w:rsid w:val="00BF1ECC"/>
    <w:rsid w:val="00BF203A"/>
    <w:rsid w:val="00BF2433"/>
    <w:rsid w:val="00BF2AB0"/>
    <w:rsid w:val="00BF3284"/>
    <w:rsid w:val="00BF4FAE"/>
    <w:rsid w:val="00BF61C9"/>
    <w:rsid w:val="00BF6541"/>
    <w:rsid w:val="00BF6AAB"/>
    <w:rsid w:val="00BF6C94"/>
    <w:rsid w:val="00BF755E"/>
    <w:rsid w:val="00C00159"/>
    <w:rsid w:val="00C001A9"/>
    <w:rsid w:val="00C00424"/>
    <w:rsid w:val="00C0101A"/>
    <w:rsid w:val="00C018E2"/>
    <w:rsid w:val="00C01D76"/>
    <w:rsid w:val="00C02488"/>
    <w:rsid w:val="00C030C6"/>
    <w:rsid w:val="00C03499"/>
    <w:rsid w:val="00C03F09"/>
    <w:rsid w:val="00C045CB"/>
    <w:rsid w:val="00C04614"/>
    <w:rsid w:val="00C0468F"/>
    <w:rsid w:val="00C04B1D"/>
    <w:rsid w:val="00C05113"/>
    <w:rsid w:val="00C056F5"/>
    <w:rsid w:val="00C063DF"/>
    <w:rsid w:val="00C10B40"/>
    <w:rsid w:val="00C1279F"/>
    <w:rsid w:val="00C127CC"/>
    <w:rsid w:val="00C12C14"/>
    <w:rsid w:val="00C130E3"/>
    <w:rsid w:val="00C1386A"/>
    <w:rsid w:val="00C14389"/>
    <w:rsid w:val="00C144ED"/>
    <w:rsid w:val="00C14972"/>
    <w:rsid w:val="00C14D56"/>
    <w:rsid w:val="00C1511A"/>
    <w:rsid w:val="00C1567A"/>
    <w:rsid w:val="00C15B75"/>
    <w:rsid w:val="00C165E3"/>
    <w:rsid w:val="00C17C5D"/>
    <w:rsid w:val="00C200AA"/>
    <w:rsid w:val="00C20793"/>
    <w:rsid w:val="00C211E9"/>
    <w:rsid w:val="00C22AE4"/>
    <w:rsid w:val="00C22DC2"/>
    <w:rsid w:val="00C237ED"/>
    <w:rsid w:val="00C2421E"/>
    <w:rsid w:val="00C24632"/>
    <w:rsid w:val="00C24BBE"/>
    <w:rsid w:val="00C24DBF"/>
    <w:rsid w:val="00C25418"/>
    <w:rsid w:val="00C258AB"/>
    <w:rsid w:val="00C25D9C"/>
    <w:rsid w:val="00C25E46"/>
    <w:rsid w:val="00C26058"/>
    <w:rsid w:val="00C2655A"/>
    <w:rsid w:val="00C2778B"/>
    <w:rsid w:val="00C3003A"/>
    <w:rsid w:val="00C30EA9"/>
    <w:rsid w:val="00C31649"/>
    <w:rsid w:val="00C33EF7"/>
    <w:rsid w:val="00C3425D"/>
    <w:rsid w:val="00C35165"/>
    <w:rsid w:val="00C353B5"/>
    <w:rsid w:val="00C359B7"/>
    <w:rsid w:val="00C3619A"/>
    <w:rsid w:val="00C36749"/>
    <w:rsid w:val="00C36829"/>
    <w:rsid w:val="00C40385"/>
    <w:rsid w:val="00C41523"/>
    <w:rsid w:val="00C42C2C"/>
    <w:rsid w:val="00C43BA2"/>
    <w:rsid w:val="00C43C2A"/>
    <w:rsid w:val="00C43CE7"/>
    <w:rsid w:val="00C46CA1"/>
    <w:rsid w:val="00C4746A"/>
    <w:rsid w:val="00C475AA"/>
    <w:rsid w:val="00C478B4"/>
    <w:rsid w:val="00C47AD7"/>
    <w:rsid w:val="00C47D4B"/>
    <w:rsid w:val="00C528CD"/>
    <w:rsid w:val="00C52918"/>
    <w:rsid w:val="00C52EE9"/>
    <w:rsid w:val="00C56141"/>
    <w:rsid w:val="00C56B70"/>
    <w:rsid w:val="00C57087"/>
    <w:rsid w:val="00C600BE"/>
    <w:rsid w:val="00C600C7"/>
    <w:rsid w:val="00C61B16"/>
    <w:rsid w:val="00C63196"/>
    <w:rsid w:val="00C63312"/>
    <w:rsid w:val="00C6389B"/>
    <w:rsid w:val="00C65576"/>
    <w:rsid w:val="00C65A12"/>
    <w:rsid w:val="00C65D1C"/>
    <w:rsid w:val="00C66165"/>
    <w:rsid w:val="00C66CBB"/>
    <w:rsid w:val="00C67444"/>
    <w:rsid w:val="00C70905"/>
    <w:rsid w:val="00C70F5D"/>
    <w:rsid w:val="00C713EE"/>
    <w:rsid w:val="00C7151A"/>
    <w:rsid w:val="00C715E5"/>
    <w:rsid w:val="00C71DD1"/>
    <w:rsid w:val="00C71F60"/>
    <w:rsid w:val="00C72241"/>
    <w:rsid w:val="00C728D8"/>
    <w:rsid w:val="00C750C8"/>
    <w:rsid w:val="00C755AC"/>
    <w:rsid w:val="00C755D5"/>
    <w:rsid w:val="00C7560F"/>
    <w:rsid w:val="00C75D76"/>
    <w:rsid w:val="00C80A0E"/>
    <w:rsid w:val="00C80B37"/>
    <w:rsid w:val="00C8213F"/>
    <w:rsid w:val="00C82C68"/>
    <w:rsid w:val="00C83AAB"/>
    <w:rsid w:val="00C83AE0"/>
    <w:rsid w:val="00C859FA"/>
    <w:rsid w:val="00C85B5A"/>
    <w:rsid w:val="00C8638F"/>
    <w:rsid w:val="00C86427"/>
    <w:rsid w:val="00C86962"/>
    <w:rsid w:val="00C86FB0"/>
    <w:rsid w:val="00C871A1"/>
    <w:rsid w:val="00C8797A"/>
    <w:rsid w:val="00C879E2"/>
    <w:rsid w:val="00C87CEC"/>
    <w:rsid w:val="00C87E89"/>
    <w:rsid w:val="00C87F88"/>
    <w:rsid w:val="00C900B8"/>
    <w:rsid w:val="00C9048B"/>
    <w:rsid w:val="00C9068D"/>
    <w:rsid w:val="00C906E9"/>
    <w:rsid w:val="00C90A9F"/>
    <w:rsid w:val="00C90BA5"/>
    <w:rsid w:val="00C90C71"/>
    <w:rsid w:val="00C917B7"/>
    <w:rsid w:val="00C918D3"/>
    <w:rsid w:val="00C9286D"/>
    <w:rsid w:val="00C931CF"/>
    <w:rsid w:val="00C938CF"/>
    <w:rsid w:val="00C940A4"/>
    <w:rsid w:val="00C94A4E"/>
    <w:rsid w:val="00C9525E"/>
    <w:rsid w:val="00C9624D"/>
    <w:rsid w:val="00C9652D"/>
    <w:rsid w:val="00C969DA"/>
    <w:rsid w:val="00C96E49"/>
    <w:rsid w:val="00C9764C"/>
    <w:rsid w:val="00CA0318"/>
    <w:rsid w:val="00CA15EE"/>
    <w:rsid w:val="00CA21DF"/>
    <w:rsid w:val="00CA28D2"/>
    <w:rsid w:val="00CA2C77"/>
    <w:rsid w:val="00CA2C7E"/>
    <w:rsid w:val="00CA2FDA"/>
    <w:rsid w:val="00CA3EFA"/>
    <w:rsid w:val="00CA3F59"/>
    <w:rsid w:val="00CA444F"/>
    <w:rsid w:val="00CA469B"/>
    <w:rsid w:val="00CA4B77"/>
    <w:rsid w:val="00CA5015"/>
    <w:rsid w:val="00CA5245"/>
    <w:rsid w:val="00CA683B"/>
    <w:rsid w:val="00CA71F4"/>
    <w:rsid w:val="00CA74A7"/>
    <w:rsid w:val="00CA7B09"/>
    <w:rsid w:val="00CB0BE1"/>
    <w:rsid w:val="00CB2F2A"/>
    <w:rsid w:val="00CB3B10"/>
    <w:rsid w:val="00CB405F"/>
    <w:rsid w:val="00CB5200"/>
    <w:rsid w:val="00CB5276"/>
    <w:rsid w:val="00CB5B1A"/>
    <w:rsid w:val="00CB6B22"/>
    <w:rsid w:val="00CB778F"/>
    <w:rsid w:val="00CB7F5F"/>
    <w:rsid w:val="00CC0727"/>
    <w:rsid w:val="00CC1B39"/>
    <w:rsid w:val="00CC3999"/>
    <w:rsid w:val="00CC3FB6"/>
    <w:rsid w:val="00CC4890"/>
    <w:rsid w:val="00CC4A6C"/>
    <w:rsid w:val="00CC79B3"/>
    <w:rsid w:val="00CD11E2"/>
    <w:rsid w:val="00CD3652"/>
    <w:rsid w:val="00CD3692"/>
    <w:rsid w:val="00CD3BD9"/>
    <w:rsid w:val="00CD41A4"/>
    <w:rsid w:val="00CD6ADC"/>
    <w:rsid w:val="00CD7767"/>
    <w:rsid w:val="00CD7ABD"/>
    <w:rsid w:val="00CD7B89"/>
    <w:rsid w:val="00CE023B"/>
    <w:rsid w:val="00CE0F85"/>
    <w:rsid w:val="00CE0F8E"/>
    <w:rsid w:val="00CE2319"/>
    <w:rsid w:val="00CE2403"/>
    <w:rsid w:val="00CE2B7C"/>
    <w:rsid w:val="00CE3343"/>
    <w:rsid w:val="00CE4BF1"/>
    <w:rsid w:val="00CE619F"/>
    <w:rsid w:val="00CE6274"/>
    <w:rsid w:val="00CE7480"/>
    <w:rsid w:val="00CF055B"/>
    <w:rsid w:val="00CF0A22"/>
    <w:rsid w:val="00CF20BF"/>
    <w:rsid w:val="00CF21AD"/>
    <w:rsid w:val="00CF23C5"/>
    <w:rsid w:val="00CF2425"/>
    <w:rsid w:val="00CF2B8D"/>
    <w:rsid w:val="00CF4162"/>
    <w:rsid w:val="00CF456B"/>
    <w:rsid w:val="00CF4CE1"/>
    <w:rsid w:val="00CF5A22"/>
    <w:rsid w:val="00CF5E27"/>
    <w:rsid w:val="00CF6178"/>
    <w:rsid w:val="00CF61C4"/>
    <w:rsid w:val="00CF68B0"/>
    <w:rsid w:val="00CF7974"/>
    <w:rsid w:val="00CF7B36"/>
    <w:rsid w:val="00D00BC4"/>
    <w:rsid w:val="00D01F43"/>
    <w:rsid w:val="00D020ED"/>
    <w:rsid w:val="00D021D0"/>
    <w:rsid w:val="00D0262E"/>
    <w:rsid w:val="00D02831"/>
    <w:rsid w:val="00D03D82"/>
    <w:rsid w:val="00D0468E"/>
    <w:rsid w:val="00D04F88"/>
    <w:rsid w:val="00D05D23"/>
    <w:rsid w:val="00D06AB7"/>
    <w:rsid w:val="00D07B5B"/>
    <w:rsid w:val="00D10971"/>
    <w:rsid w:val="00D10D1D"/>
    <w:rsid w:val="00D110BD"/>
    <w:rsid w:val="00D12C94"/>
    <w:rsid w:val="00D13675"/>
    <w:rsid w:val="00D13A34"/>
    <w:rsid w:val="00D141E1"/>
    <w:rsid w:val="00D14CA7"/>
    <w:rsid w:val="00D154C3"/>
    <w:rsid w:val="00D16894"/>
    <w:rsid w:val="00D16ECD"/>
    <w:rsid w:val="00D17D6C"/>
    <w:rsid w:val="00D22606"/>
    <w:rsid w:val="00D22D14"/>
    <w:rsid w:val="00D23792"/>
    <w:rsid w:val="00D250C3"/>
    <w:rsid w:val="00D2735B"/>
    <w:rsid w:val="00D2744A"/>
    <w:rsid w:val="00D2754D"/>
    <w:rsid w:val="00D27B27"/>
    <w:rsid w:val="00D30439"/>
    <w:rsid w:val="00D319E3"/>
    <w:rsid w:val="00D31AAD"/>
    <w:rsid w:val="00D31D44"/>
    <w:rsid w:val="00D32D21"/>
    <w:rsid w:val="00D32D4E"/>
    <w:rsid w:val="00D33BE9"/>
    <w:rsid w:val="00D34630"/>
    <w:rsid w:val="00D357FF"/>
    <w:rsid w:val="00D35B3C"/>
    <w:rsid w:val="00D35B3E"/>
    <w:rsid w:val="00D363B0"/>
    <w:rsid w:val="00D36E08"/>
    <w:rsid w:val="00D37698"/>
    <w:rsid w:val="00D37BFC"/>
    <w:rsid w:val="00D37E42"/>
    <w:rsid w:val="00D4014B"/>
    <w:rsid w:val="00D4079A"/>
    <w:rsid w:val="00D41139"/>
    <w:rsid w:val="00D41278"/>
    <w:rsid w:val="00D4140D"/>
    <w:rsid w:val="00D41990"/>
    <w:rsid w:val="00D424C7"/>
    <w:rsid w:val="00D42590"/>
    <w:rsid w:val="00D43B2A"/>
    <w:rsid w:val="00D46AE4"/>
    <w:rsid w:val="00D47575"/>
    <w:rsid w:val="00D47CBC"/>
    <w:rsid w:val="00D50A40"/>
    <w:rsid w:val="00D515EA"/>
    <w:rsid w:val="00D51AFA"/>
    <w:rsid w:val="00D53256"/>
    <w:rsid w:val="00D54B00"/>
    <w:rsid w:val="00D56441"/>
    <w:rsid w:val="00D56AEA"/>
    <w:rsid w:val="00D56EFB"/>
    <w:rsid w:val="00D5750B"/>
    <w:rsid w:val="00D578E3"/>
    <w:rsid w:val="00D57925"/>
    <w:rsid w:val="00D60943"/>
    <w:rsid w:val="00D62338"/>
    <w:rsid w:val="00D62923"/>
    <w:rsid w:val="00D62CE4"/>
    <w:rsid w:val="00D63D62"/>
    <w:rsid w:val="00D658D6"/>
    <w:rsid w:val="00D664D5"/>
    <w:rsid w:val="00D66561"/>
    <w:rsid w:val="00D67B41"/>
    <w:rsid w:val="00D67D85"/>
    <w:rsid w:val="00D67F43"/>
    <w:rsid w:val="00D7064E"/>
    <w:rsid w:val="00D70F16"/>
    <w:rsid w:val="00D71BFA"/>
    <w:rsid w:val="00D71C02"/>
    <w:rsid w:val="00D71DF9"/>
    <w:rsid w:val="00D721C8"/>
    <w:rsid w:val="00D73B2D"/>
    <w:rsid w:val="00D73BBB"/>
    <w:rsid w:val="00D74405"/>
    <w:rsid w:val="00D746F0"/>
    <w:rsid w:val="00D74736"/>
    <w:rsid w:val="00D768A8"/>
    <w:rsid w:val="00D76A44"/>
    <w:rsid w:val="00D76BC6"/>
    <w:rsid w:val="00D773FC"/>
    <w:rsid w:val="00D806BD"/>
    <w:rsid w:val="00D815EF"/>
    <w:rsid w:val="00D816A6"/>
    <w:rsid w:val="00D81B78"/>
    <w:rsid w:val="00D82819"/>
    <w:rsid w:val="00D84007"/>
    <w:rsid w:val="00D844C3"/>
    <w:rsid w:val="00D8464E"/>
    <w:rsid w:val="00D85445"/>
    <w:rsid w:val="00D854A6"/>
    <w:rsid w:val="00D85C50"/>
    <w:rsid w:val="00D8736A"/>
    <w:rsid w:val="00D8740D"/>
    <w:rsid w:val="00D878B3"/>
    <w:rsid w:val="00D91801"/>
    <w:rsid w:val="00D91923"/>
    <w:rsid w:val="00D92875"/>
    <w:rsid w:val="00D934EC"/>
    <w:rsid w:val="00D9358B"/>
    <w:rsid w:val="00D93753"/>
    <w:rsid w:val="00D937AD"/>
    <w:rsid w:val="00D93DD3"/>
    <w:rsid w:val="00D953A4"/>
    <w:rsid w:val="00D96057"/>
    <w:rsid w:val="00D9650B"/>
    <w:rsid w:val="00D96BD4"/>
    <w:rsid w:val="00D96E59"/>
    <w:rsid w:val="00DA015B"/>
    <w:rsid w:val="00DA1BB3"/>
    <w:rsid w:val="00DA1C11"/>
    <w:rsid w:val="00DA2BF4"/>
    <w:rsid w:val="00DA3167"/>
    <w:rsid w:val="00DA33E2"/>
    <w:rsid w:val="00DA3CDF"/>
    <w:rsid w:val="00DA3DE1"/>
    <w:rsid w:val="00DA413B"/>
    <w:rsid w:val="00DA4DC3"/>
    <w:rsid w:val="00DA4E7A"/>
    <w:rsid w:val="00DA5C81"/>
    <w:rsid w:val="00DA711E"/>
    <w:rsid w:val="00DA77A5"/>
    <w:rsid w:val="00DA7D7D"/>
    <w:rsid w:val="00DA7EB6"/>
    <w:rsid w:val="00DB00DE"/>
    <w:rsid w:val="00DB12E3"/>
    <w:rsid w:val="00DB1506"/>
    <w:rsid w:val="00DB1935"/>
    <w:rsid w:val="00DB29E4"/>
    <w:rsid w:val="00DB2CAB"/>
    <w:rsid w:val="00DB3842"/>
    <w:rsid w:val="00DB442A"/>
    <w:rsid w:val="00DB4575"/>
    <w:rsid w:val="00DB484F"/>
    <w:rsid w:val="00DB4897"/>
    <w:rsid w:val="00DB537C"/>
    <w:rsid w:val="00DB5B29"/>
    <w:rsid w:val="00DB5F6B"/>
    <w:rsid w:val="00DB6500"/>
    <w:rsid w:val="00DB6D4B"/>
    <w:rsid w:val="00DC04F6"/>
    <w:rsid w:val="00DC10B8"/>
    <w:rsid w:val="00DC1EA8"/>
    <w:rsid w:val="00DC3B86"/>
    <w:rsid w:val="00DC3C57"/>
    <w:rsid w:val="00DC3F89"/>
    <w:rsid w:val="00DC4866"/>
    <w:rsid w:val="00DC5501"/>
    <w:rsid w:val="00DC58D2"/>
    <w:rsid w:val="00DC6319"/>
    <w:rsid w:val="00DC67B8"/>
    <w:rsid w:val="00DC721D"/>
    <w:rsid w:val="00DC7A82"/>
    <w:rsid w:val="00DD0261"/>
    <w:rsid w:val="00DD11A7"/>
    <w:rsid w:val="00DD1D17"/>
    <w:rsid w:val="00DD26A0"/>
    <w:rsid w:val="00DD273C"/>
    <w:rsid w:val="00DD30CC"/>
    <w:rsid w:val="00DD351A"/>
    <w:rsid w:val="00DD3D32"/>
    <w:rsid w:val="00DD3F28"/>
    <w:rsid w:val="00DD4537"/>
    <w:rsid w:val="00DD4E15"/>
    <w:rsid w:val="00DD4E35"/>
    <w:rsid w:val="00DD5A3C"/>
    <w:rsid w:val="00DD5C30"/>
    <w:rsid w:val="00DD5F04"/>
    <w:rsid w:val="00DD6581"/>
    <w:rsid w:val="00DD7328"/>
    <w:rsid w:val="00DE005D"/>
    <w:rsid w:val="00DE0E90"/>
    <w:rsid w:val="00DE18BA"/>
    <w:rsid w:val="00DE1DE1"/>
    <w:rsid w:val="00DE2AD9"/>
    <w:rsid w:val="00DE3138"/>
    <w:rsid w:val="00DE31FB"/>
    <w:rsid w:val="00DE3417"/>
    <w:rsid w:val="00DE37F8"/>
    <w:rsid w:val="00DE4FCB"/>
    <w:rsid w:val="00DE5153"/>
    <w:rsid w:val="00DE5944"/>
    <w:rsid w:val="00DE6386"/>
    <w:rsid w:val="00DE63DF"/>
    <w:rsid w:val="00DE6401"/>
    <w:rsid w:val="00DE7832"/>
    <w:rsid w:val="00DF068B"/>
    <w:rsid w:val="00DF0819"/>
    <w:rsid w:val="00DF18FC"/>
    <w:rsid w:val="00DF19B7"/>
    <w:rsid w:val="00DF1D9C"/>
    <w:rsid w:val="00DF3851"/>
    <w:rsid w:val="00DF48CF"/>
    <w:rsid w:val="00DF5BAF"/>
    <w:rsid w:val="00DF5D2B"/>
    <w:rsid w:val="00DF64A8"/>
    <w:rsid w:val="00DF74D9"/>
    <w:rsid w:val="00DF768D"/>
    <w:rsid w:val="00DF7C20"/>
    <w:rsid w:val="00E00855"/>
    <w:rsid w:val="00E00E8E"/>
    <w:rsid w:val="00E012E1"/>
    <w:rsid w:val="00E02832"/>
    <w:rsid w:val="00E0295D"/>
    <w:rsid w:val="00E03106"/>
    <w:rsid w:val="00E03F99"/>
    <w:rsid w:val="00E054D4"/>
    <w:rsid w:val="00E0559B"/>
    <w:rsid w:val="00E05630"/>
    <w:rsid w:val="00E0621D"/>
    <w:rsid w:val="00E067FF"/>
    <w:rsid w:val="00E06DBB"/>
    <w:rsid w:val="00E07447"/>
    <w:rsid w:val="00E10149"/>
    <w:rsid w:val="00E1234B"/>
    <w:rsid w:val="00E12497"/>
    <w:rsid w:val="00E12A1C"/>
    <w:rsid w:val="00E13A4F"/>
    <w:rsid w:val="00E14B04"/>
    <w:rsid w:val="00E153CE"/>
    <w:rsid w:val="00E15541"/>
    <w:rsid w:val="00E16372"/>
    <w:rsid w:val="00E164AB"/>
    <w:rsid w:val="00E167A8"/>
    <w:rsid w:val="00E16871"/>
    <w:rsid w:val="00E17260"/>
    <w:rsid w:val="00E17750"/>
    <w:rsid w:val="00E17A12"/>
    <w:rsid w:val="00E17C64"/>
    <w:rsid w:val="00E17EB2"/>
    <w:rsid w:val="00E20E15"/>
    <w:rsid w:val="00E20E4D"/>
    <w:rsid w:val="00E20ED6"/>
    <w:rsid w:val="00E21358"/>
    <w:rsid w:val="00E22270"/>
    <w:rsid w:val="00E2249B"/>
    <w:rsid w:val="00E22A0D"/>
    <w:rsid w:val="00E2355A"/>
    <w:rsid w:val="00E24FDD"/>
    <w:rsid w:val="00E255B0"/>
    <w:rsid w:val="00E255C7"/>
    <w:rsid w:val="00E2610E"/>
    <w:rsid w:val="00E264C1"/>
    <w:rsid w:val="00E26DDA"/>
    <w:rsid w:val="00E2771E"/>
    <w:rsid w:val="00E27B63"/>
    <w:rsid w:val="00E27F89"/>
    <w:rsid w:val="00E303E3"/>
    <w:rsid w:val="00E30501"/>
    <w:rsid w:val="00E315A0"/>
    <w:rsid w:val="00E31666"/>
    <w:rsid w:val="00E32554"/>
    <w:rsid w:val="00E32B63"/>
    <w:rsid w:val="00E32C54"/>
    <w:rsid w:val="00E33503"/>
    <w:rsid w:val="00E33766"/>
    <w:rsid w:val="00E34948"/>
    <w:rsid w:val="00E351A1"/>
    <w:rsid w:val="00E3604A"/>
    <w:rsid w:val="00E37569"/>
    <w:rsid w:val="00E379DB"/>
    <w:rsid w:val="00E37CC1"/>
    <w:rsid w:val="00E4095C"/>
    <w:rsid w:val="00E40A55"/>
    <w:rsid w:val="00E40D43"/>
    <w:rsid w:val="00E415FE"/>
    <w:rsid w:val="00E416D1"/>
    <w:rsid w:val="00E4175B"/>
    <w:rsid w:val="00E417F3"/>
    <w:rsid w:val="00E41B6D"/>
    <w:rsid w:val="00E41D1E"/>
    <w:rsid w:val="00E41E30"/>
    <w:rsid w:val="00E42948"/>
    <w:rsid w:val="00E42FC9"/>
    <w:rsid w:val="00E43D70"/>
    <w:rsid w:val="00E43F16"/>
    <w:rsid w:val="00E44B74"/>
    <w:rsid w:val="00E450E9"/>
    <w:rsid w:val="00E4552C"/>
    <w:rsid w:val="00E45954"/>
    <w:rsid w:val="00E45B34"/>
    <w:rsid w:val="00E46200"/>
    <w:rsid w:val="00E463B6"/>
    <w:rsid w:val="00E464D0"/>
    <w:rsid w:val="00E466F3"/>
    <w:rsid w:val="00E46897"/>
    <w:rsid w:val="00E47104"/>
    <w:rsid w:val="00E4732C"/>
    <w:rsid w:val="00E47666"/>
    <w:rsid w:val="00E47B2C"/>
    <w:rsid w:val="00E51560"/>
    <w:rsid w:val="00E51A3E"/>
    <w:rsid w:val="00E5346D"/>
    <w:rsid w:val="00E54347"/>
    <w:rsid w:val="00E54A33"/>
    <w:rsid w:val="00E55424"/>
    <w:rsid w:val="00E55BB5"/>
    <w:rsid w:val="00E5613B"/>
    <w:rsid w:val="00E5620F"/>
    <w:rsid w:val="00E56556"/>
    <w:rsid w:val="00E61391"/>
    <w:rsid w:val="00E614E9"/>
    <w:rsid w:val="00E62149"/>
    <w:rsid w:val="00E62151"/>
    <w:rsid w:val="00E62BB8"/>
    <w:rsid w:val="00E62F48"/>
    <w:rsid w:val="00E6342D"/>
    <w:rsid w:val="00E635C8"/>
    <w:rsid w:val="00E63CD1"/>
    <w:rsid w:val="00E63DEC"/>
    <w:rsid w:val="00E652F4"/>
    <w:rsid w:val="00E65784"/>
    <w:rsid w:val="00E65E79"/>
    <w:rsid w:val="00E66262"/>
    <w:rsid w:val="00E6690E"/>
    <w:rsid w:val="00E66BA2"/>
    <w:rsid w:val="00E67416"/>
    <w:rsid w:val="00E67D21"/>
    <w:rsid w:val="00E70EE5"/>
    <w:rsid w:val="00E711DE"/>
    <w:rsid w:val="00E718B6"/>
    <w:rsid w:val="00E71DE6"/>
    <w:rsid w:val="00E71FC7"/>
    <w:rsid w:val="00E723BA"/>
    <w:rsid w:val="00E72539"/>
    <w:rsid w:val="00E72665"/>
    <w:rsid w:val="00E72711"/>
    <w:rsid w:val="00E72C7C"/>
    <w:rsid w:val="00E72D2A"/>
    <w:rsid w:val="00E73252"/>
    <w:rsid w:val="00E732D4"/>
    <w:rsid w:val="00E73581"/>
    <w:rsid w:val="00E73EA8"/>
    <w:rsid w:val="00E74B1E"/>
    <w:rsid w:val="00E7519D"/>
    <w:rsid w:val="00E7648F"/>
    <w:rsid w:val="00E77D5A"/>
    <w:rsid w:val="00E77F23"/>
    <w:rsid w:val="00E77F4C"/>
    <w:rsid w:val="00E8100E"/>
    <w:rsid w:val="00E815B0"/>
    <w:rsid w:val="00E8299A"/>
    <w:rsid w:val="00E829B5"/>
    <w:rsid w:val="00E82A55"/>
    <w:rsid w:val="00E82E3B"/>
    <w:rsid w:val="00E833F7"/>
    <w:rsid w:val="00E83BDF"/>
    <w:rsid w:val="00E83E17"/>
    <w:rsid w:val="00E840F2"/>
    <w:rsid w:val="00E84EF0"/>
    <w:rsid w:val="00E8524F"/>
    <w:rsid w:val="00E866BF"/>
    <w:rsid w:val="00E87A1D"/>
    <w:rsid w:val="00E912AB"/>
    <w:rsid w:val="00E91EBF"/>
    <w:rsid w:val="00E922E3"/>
    <w:rsid w:val="00E926A5"/>
    <w:rsid w:val="00E93F09"/>
    <w:rsid w:val="00E945BE"/>
    <w:rsid w:val="00E95CA3"/>
    <w:rsid w:val="00E96224"/>
    <w:rsid w:val="00E96B99"/>
    <w:rsid w:val="00E96E82"/>
    <w:rsid w:val="00E97AF1"/>
    <w:rsid w:val="00EA0096"/>
    <w:rsid w:val="00EA111C"/>
    <w:rsid w:val="00EA1535"/>
    <w:rsid w:val="00EA16B2"/>
    <w:rsid w:val="00EA17C3"/>
    <w:rsid w:val="00EA2234"/>
    <w:rsid w:val="00EA254C"/>
    <w:rsid w:val="00EA2CAA"/>
    <w:rsid w:val="00EA350A"/>
    <w:rsid w:val="00EA37C1"/>
    <w:rsid w:val="00EA3864"/>
    <w:rsid w:val="00EA51C7"/>
    <w:rsid w:val="00EA556B"/>
    <w:rsid w:val="00EA6C05"/>
    <w:rsid w:val="00EA7AAE"/>
    <w:rsid w:val="00EA7F22"/>
    <w:rsid w:val="00EA7F31"/>
    <w:rsid w:val="00EB0190"/>
    <w:rsid w:val="00EB01F5"/>
    <w:rsid w:val="00EB114D"/>
    <w:rsid w:val="00EB15B6"/>
    <w:rsid w:val="00EB203F"/>
    <w:rsid w:val="00EB30AE"/>
    <w:rsid w:val="00EB3989"/>
    <w:rsid w:val="00EB3AF6"/>
    <w:rsid w:val="00EB4916"/>
    <w:rsid w:val="00EB4D04"/>
    <w:rsid w:val="00EB5486"/>
    <w:rsid w:val="00EB5A7F"/>
    <w:rsid w:val="00EB5F2A"/>
    <w:rsid w:val="00EC00C9"/>
    <w:rsid w:val="00EC0E95"/>
    <w:rsid w:val="00EC1A82"/>
    <w:rsid w:val="00EC2649"/>
    <w:rsid w:val="00EC30FE"/>
    <w:rsid w:val="00EC3265"/>
    <w:rsid w:val="00EC3480"/>
    <w:rsid w:val="00EC3B3A"/>
    <w:rsid w:val="00EC3BBE"/>
    <w:rsid w:val="00EC4042"/>
    <w:rsid w:val="00EC43FA"/>
    <w:rsid w:val="00EC4F00"/>
    <w:rsid w:val="00EC551C"/>
    <w:rsid w:val="00EC556F"/>
    <w:rsid w:val="00EC5E7A"/>
    <w:rsid w:val="00EC74C5"/>
    <w:rsid w:val="00ED0254"/>
    <w:rsid w:val="00ED1AD1"/>
    <w:rsid w:val="00ED36ED"/>
    <w:rsid w:val="00ED468B"/>
    <w:rsid w:val="00ED4C92"/>
    <w:rsid w:val="00ED57EA"/>
    <w:rsid w:val="00ED5D53"/>
    <w:rsid w:val="00ED5F9E"/>
    <w:rsid w:val="00ED69F1"/>
    <w:rsid w:val="00ED6CE8"/>
    <w:rsid w:val="00ED7ABC"/>
    <w:rsid w:val="00ED7E3E"/>
    <w:rsid w:val="00EE0574"/>
    <w:rsid w:val="00EE07D3"/>
    <w:rsid w:val="00EE1154"/>
    <w:rsid w:val="00EE2126"/>
    <w:rsid w:val="00EE22AF"/>
    <w:rsid w:val="00EE319B"/>
    <w:rsid w:val="00EE3415"/>
    <w:rsid w:val="00EE4C2B"/>
    <w:rsid w:val="00EE4FFE"/>
    <w:rsid w:val="00EE594D"/>
    <w:rsid w:val="00EE6284"/>
    <w:rsid w:val="00EE662E"/>
    <w:rsid w:val="00EE7127"/>
    <w:rsid w:val="00EE7964"/>
    <w:rsid w:val="00EE7CC0"/>
    <w:rsid w:val="00EF0171"/>
    <w:rsid w:val="00EF07EE"/>
    <w:rsid w:val="00EF1B25"/>
    <w:rsid w:val="00EF1F96"/>
    <w:rsid w:val="00EF3238"/>
    <w:rsid w:val="00EF3690"/>
    <w:rsid w:val="00EF3C63"/>
    <w:rsid w:val="00EF4747"/>
    <w:rsid w:val="00EF4BF8"/>
    <w:rsid w:val="00EF505E"/>
    <w:rsid w:val="00EF51E8"/>
    <w:rsid w:val="00EF59C4"/>
    <w:rsid w:val="00EF7891"/>
    <w:rsid w:val="00F018F3"/>
    <w:rsid w:val="00F01E4E"/>
    <w:rsid w:val="00F02253"/>
    <w:rsid w:val="00F029EF"/>
    <w:rsid w:val="00F030AF"/>
    <w:rsid w:val="00F03555"/>
    <w:rsid w:val="00F03763"/>
    <w:rsid w:val="00F03886"/>
    <w:rsid w:val="00F03C2E"/>
    <w:rsid w:val="00F04776"/>
    <w:rsid w:val="00F04A66"/>
    <w:rsid w:val="00F04B02"/>
    <w:rsid w:val="00F0504D"/>
    <w:rsid w:val="00F0516C"/>
    <w:rsid w:val="00F055C8"/>
    <w:rsid w:val="00F067A2"/>
    <w:rsid w:val="00F1021E"/>
    <w:rsid w:val="00F10420"/>
    <w:rsid w:val="00F10B7D"/>
    <w:rsid w:val="00F10C62"/>
    <w:rsid w:val="00F110AA"/>
    <w:rsid w:val="00F110FA"/>
    <w:rsid w:val="00F11438"/>
    <w:rsid w:val="00F11880"/>
    <w:rsid w:val="00F11A2C"/>
    <w:rsid w:val="00F11FE3"/>
    <w:rsid w:val="00F1263A"/>
    <w:rsid w:val="00F12D97"/>
    <w:rsid w:val="00F1382A"/>
    <w:rsid w:val="00F13B24"/>
    <w:rsid w:val="00F13F29"/>
    <w:rsid w:val="00F15900"/>
    <w:rsid w:val="00F16989"/>
    <w:rsid w:val="00F17D6A"/>
    <w:rsid w:val="00F205A2"/>
    <w:rsid w:val="00F20699"/>
    <w:rsid w:val="00F207D4"/>
    <w:rsid w:val="00F22258"/>
    <w:rsid w:val="00F23109"/>
    <w:rsid w:val="00F23350"/>
    <w:rsid w:val="00F23E89"/>
    <w:rsid w:val="00F24370"/>
    <w:rsid w:val="00F24436"/>
    <w:rsid w:val="00F24546"/>
    <w:rsid w:val="00F24837"/>
    <w:rsid w:val="00F24D84"/>
    <w:rsid w:val="00F2575F"/>
    <w:rsid w:val="00F25BCC"/>
    <w:rsid w:val="00F25FF7"/>
    <w:rsid w:val="00F27565"/>
    <w:rsid w:val="00F27577"/>
    <w:rsid w:val="00F27D84"/>
    <w:rsid w:val="00F30223"/>
    <w:rsid w:val="00F30AE1"/>
    <w:rsid w:val="00F310D4"/>
    <w:rsid w:val="00F31BF8"/>
    <w:rsid w:val="00F31D5A"/>
    <w:rsid w:val="00F32086"/>
    <w:rsid w:val="00F32232"/>
    <w:rsid w:val="00F337FA"/>
    <w:rsid w:val="00F33B41"/>
    <w:rsid w:val="00F33DE9"/>
    <w:rsid w:val="00F340A7"/>
    <w:rsid w:val="00F3448A"/>
    <w:rsid w:val="00F34766"/>
    <w:rsid w:val="00F34E86"/>
    <w:rsid w:val="00F3619A"/>
    <w:rsid w:val="00F364C0"/>
    <w:rsid w:val="00F37190"/>
    <w:rsid w:val="00F37AA6"/>
    <w:rsid w:val="00F4006A"/>
    <w:rsid w:val="00F40341"/>
    <w:rsid w:val="00F40AAA"/>
    <w:rsid w:val="00F40BA7"/>
    <w:rsid w:val="00F4160D"/>
    <w:rsid w:val="00F4257D"/>
    <w:rsid w:val="00F430F3"/>
    <w:rsid w:val="00F44E4C"/>
    <w:rsid w:val="00F45173"/>
    <w:rsid w:val="00F46CB6"/>
    <w:rsid w:val="00F4779E"/>
    <w:rsid w:val="00F47DE8"/>
    <w:rsid w:val="00F503D1"/>
    <w:rsid w:val="00F5062A"/>
    <w:rsid w:val="00F50BDA"/>
    <w:rsid w:val="00F512E8"/>
    <w:rsid w:val="00F519D9"/>
    <w:rsid w:val="00F51B84"/>
    <w:rsid w:val="00F52D93"/>
    <w:rsid w:val="00F532CD"/>
    <w:rsid w:val="00F53627"/>
    <w:rsid w:val="00F542C1"/>
    <w:rsid w:val="00F55601"/>
    <w:rsid w:val="00F558A6"/>
    <w:rsid w:val="00F55E73"/>
    <w:rsid w:val="00F55EDA"/>
    <w:rsid w:val="00F5629E"/>
    <w:rsid w:val="00F56DD7"/>
    <w:rsid w:val="00F60092"/>
    <w:rsid w:val="00F626F7"/>
    <w:rsid w:val="00F6297B"/>
    <w:rsid w:val="00F63A0D"/>
    <w:rsid w:val="00F63C60"/>
    <w:rsid w:val="00F64424"/>
    <w:rsid w:val="00F6486E"/>
    <w:rsid w:val="00F65F4B"/>
    <w:rsid w:val="00F661D2"/>
    <w:rsid w:val="00F6625F"/>
    <w:rsid w:val="00F67E56"/>
    <w:rsid w:val="00F7073C"/>
    <w:rsid w:val="00F70C9D"/>
    <w:rsid w:val="00F71195"/>
    <w:rsid w:val="00F729FA"/>
    <w:rsid w:val="00F7337F"/>
    <w:rsid w:val="00F74CD9"/>
    <w:rsid w:val="00F75503"/>
    <w:rsid w:val="00F768CD"/>
    <w:rsid w:val="00F76B36"/>
    <w:rsid w:val="00F7703C"/>
    <w:rsid w:val="00F77306"/>
    <w:rsid w:val="00F7756E"/>
    <w:rsid w:val="00F8004B"/>
    <w:rsid w:val="00F80A7B"/>
    <w:rsid w:val="00F80E5D"/>
    <w:rsid w:val="00F80F25"/>
    <w:rsid w:val="00F821B3"/>
    <w:rsid w:val="00F82B85"/>
    <w:rsid w:val="00F82C51"/>
    <w:rsid w:val="00F8304C"/>
    <w:rsid w:val="00F83057"/>
    <w:rsid w:val="00F8351E"/>
    <w:rsid w:val="00F83D2A"/>
    <w:rsid w:val="00F8402F"/>
    <w:rsid w:val="00F848F5"/>
    <w:rsid w:val="00F84A42"/>
    <w:rsid w:val="00F851CE"/>
    <w:rsid w:val="00F852D3"/>
    <w:rsid w:val="00F85A6C"/>
    <w:rsid w:val="00F85E57"/>
    <w:rsid w:val="00F85FFA"/>
    <w:rsid w:val="00F8628D"/>
    <w:rsid w:val="00F878D7"/>
    <w:rsid w:val="00F91219"/>
    <w:rsid w:val="00F91276"/>
    <w:rsid w:val="00F91327"/>
    <w:rsid w:val="00F91F6A"/>
    <w:rsid w:val="00F9258A"/>
    <w:rsid w:val="00F92B2F"/>
    <w:rsid w:val="00F92BB7"/>
    <w:rsid w:val="00F9399B"/>
    <w:rsid w:val="00F94063"/>
    <w:rsid w:val="00F941B2"/>
    <w:rsid w:val="00F94CD4"/>
    <w:rsid w:val="00F9579C"/>
    <w:rsid w:val="00F95F75"/>
    <w:rsid w:val="00F96C97"/>
    <w:rsid w:val="00F97A78"/>
    <w:rsid w:val="00FA020A"/>
    <w:rsid w:val="00FA06BA"/>
    <w:rsid w:val="00FA084A"/>
    <w:rsid w:val="00FA0B20"/>
    <w:rsid w:val="00FA0D85"/>
    <w:rsid w:val="00FA1F2D"/>
    <w:rsid w:val="00FA21DE"/>
    <w:rsid w:val="00FA22B8"/>
    <w:rsid w:val="00FA24E7"/>
    <w:rsid w:val="00FA4577"/>
    <w:rsid w:val="00FA59A2"/>
    <w:rsid w:val="00FB0016"/>
    <w:rsid w:val="00FB01AC"/>
    <w:rsid w:val="00FB1F2E"/>
    <w:rsid w:val="00FB2260"/>
    <w:rsid w:val="00FB26E0"/>
    <w:rsid w:val="00FB2AEF"/>
    <w:rsid w:val="00FB2FCB"/>
    <w:rsid w:val="00FB40FA"/>
    <w:rsid w:val="00FB5A80"/>
    <w:rsid w:val="00FB7F18"/>
    <w:rsid w:val="00FC02A3"/>
    <w:rsid w:val="00FC0FE1"/>
    <w:rsid w:val="00FC1074"/>
    <w:rsid w:val="00FC15D8"/>
    <w:rsid w:val="00FC184A"/>
    <w:rsid w:val="00FC1884"/>
    <w:rsid w:val="00FC235D"/>
    <w:rsid w:val="00FC251F"/>
    <w:rsid w:val="00FC371D"/>
    <w:rsid w:val="00FC4646"/>
    <w:rsid w:val="00FC4855"/>
    <w:rsid w:val="00FC5317"/>
    <w:rsid w:val="00FC5F0B"/>
    <w:rsid w:val="00FC60AD"/>
    <w:rsid w:val="00FC6B70"/>
    <w:rsid w:val="00FC7DAD"/>
    <w:rsid w:val="00FD006D"/>
    <w:rsid w:val="00FD06D3"/>
    <w:rsid w:val="00FD1DF5"/>
    <w:rsid w:val="00FD2100"/>
    <w:rsid w:val="00FD28FB"/>
    <w:rsid w:val="00FD34F7"/>
    <w:rsid w:val="00FD361E"/>
    <w:rsid w:val="00FD436C"/>
    <w:rsid w:val="00FD446D"/>
    <w:rsid w:val="00FD4561"/>
    <w:rsid w:val="00FD4637"/>
    <w:rsid w:val="00FD4891"/>
    <w:rsid w:val="00FD5B69"/>
    <w:rsid w:val="00FD6394"/>
    <w:rsid w:val="00FD69D1"/>
    <w:rsid w:val="00FD735F"/>
    <w:rsid w:val="00FE0821"/>
    <w:rsid w:val="00FE0967"/>
    <w:rsid w:val="00FE0E6C"/>
    <w:rsid w:val="00FE0F23"/>
    <w:rsid w:val="00FE28D2"/>
    <w:rsid w:val="00FE395B"/>
    <w:rsid w:val="00FE3F50"/>
    <w:rsid w:val="00FE50F6"/>
    <w:rsid w:val="00FE5913"/>
    <w:rsid w:val="00FE68FB"/>
    <w:rsid w:val="00FE6C89"/>
    <w:rsid w:val="00FE70C3"/>
    <w:rsid w:val="00FF05E7"/>
    <w:rsid w:val="00FF1408"/>
    <w:rsid w:val="00FF2B04"/>
    <w:rsid w:val="00FF3640"/>
    <w:rsid w:val="00FF3DCF"/>
    <w:rsid w:val="00FF4699"/>
    <w:rsid w:val="00FF492C"/>
    <w:rsid w:val="00FF4A21"/>
    <w:rsid w:val="00FF5338"/>
    <w:rsid w:val="00FF5AA3"/>
    <w:rsid w:val="00FF5AD8"/>
    <w:rsid w:val="00FF5DDA"/>
    <w:rsid w:val="00FF7318"/>
    <w:rsid w:val="00FF75FB"/>
    <w:rsid w:val="00FF7B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s Points,Styl moj,Akapit z listą1,Akapit z listą11,Footnote,Bullet point,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s Points Char,Styl moj Char,Akapit z listą1 Char,Akapit z listą11 Char,Footnote Char,Bullet point Char,List Paragraph11 Char,Recommendation Char,ES Paragraph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C9525E"/>
    <w:rPr>
      <w:rFonts w:ascii="Times New Roman" w:hAnsi="Times New Roman" w:cs="Times New Roman"/>
    </w:rPr>
  </w:style>
  <w:style w:type="character" w:customStyle="1" w:styleId="CommentTextChar">
    <w:name w:val="Comment Text Char"/>
    <w:basedOn w:val="DefaultParagraphFont"/>
    <w:link w:val="CommentText"/>
    <w:uiPriority w:val="99"/>
    <w:rsid w:val="00C9525E"/>
    <w:rPr>
      <w:snapToGrid w:val="0"/>
      <w:sz w:val="24"/>
      <w:szCs w:val="22"/>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sz w:val="24"/>
      <w:szCs w:val="22"/>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01325E"/>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BulletedList">
    <w:name w:val="Bulleted List"/>
    <w:basedOn w:val="Normal"/>
    <w:uiPriority w:val="3"/>
    <w:qFormat/>
    <w:rsid w:val="00E815B0"/>
    <w:pPr>
      <w:widowControl/>
      <w:numPr>
        <w:numId w:val="3"/>
      </w:numPr>
      <w:spacing w:after="240"/>
      <w:ind w:left="357" w:hanging="357"/>
      <w:contextualSpacing/>
    </w:pPr>
    <w:rPr>
      <w:rFonts w:ascii="Candara" w:eastAsiaTheme="majorEastAsia" w:hAnsi="Candara" w:cstheme="majorBidi"/>
      <w:snapToGrid/>
    </w:rPr>
  </w:style>
  <w:style w:type="paragraph" w:styleId="FootnoteText">
    <w:name w:val="footnote text"/>
    <w:basedOn w:val="Normal"/>
    <w:link w:val="FootnoteTextChar"/>
    <w:unhideWhenUsed/>
    <w:rsid w:val="00714289"/>
    <w:rPr>
      <w:sz w:val="20"/>
      <w:szCs w:val="20"/>
    </w:rPr>
  </w:style>
  <w:style w:type="character" w:customStyle="1" w:styleId="FootnoteTextChar">
    <w:name w:val="Footnote Text Char"/>
    <w:basedOn w:val="DefaultParagraphFont"/>
    <w:link w:val="FootnoteText"/>
    <w:rsid w:val="00714289"/>
    <w:rPr>
      <w:rFonts w:ascii="Calibri" w:hAnsi="Calibri" w:cs="Arial"/>
      <w:snapToGrid w:val="0"/>
      <w:lang w:eastAsia="en-US"/>
    </w:rPr>
  </w:style>
  <w:style w:type="character" w:styleId="FootnoteReference">
    <w:name w:val="footnote reference"/>
    <w:basedOn w:val="DefaultParagraphFont"/>
    <w:semiHidden/>
    <w:unhideWhenUsed/>
    <w:rsid w:val="00714289"/>
    <w:rPr>
      <w:vertAlign w:val="superscript"/>
    </w:rPr>
  </w:style>
  <w:style w:type="paragraph" w:customStyle="1" w:styleId="NumberedList">
    <w:name w:val="Numbered List"/>
    <w:basedOn w:val="Normal"/>
    <w:uiPriority w:val="3"/>
    <w:qFormat/>
    <w:rsid w:val="008318F6"/>
    <w:pPr>
      <w:widowControl/>
      <w:numPr>
        <w:numId w:val="4"/>
      </w:numPr>
      <w:spacing w:after="240"/>
      <w:ind w:left="357" w:hanging="357"/>
      <w:contextualSpacing/>
    </w:pPr>
    <w:rPr>
      <w:rFonts w:ascii="Candara" w:eastAsiaTheme="majorEastAsia" w:hAnsi="Candara" w:cstheme="majorBidi"/>
      <w:snapToGrid/>
    </w:rPr>
  </w:style>
  <w:style w:type="paragraph" w:customStyle="1" w:styleId="TableNotes">
    <w:name w:val="Table Notes"/>
    <w:basedOn w:val="Normal"/>
    <w:link w:val="TableNotesChar"/>
    <w:qFormat/>
    <w:rsid w:val="008318F6"/>
    <w:pPr>
      <w:widowControl/>
      <w:spacing w:after="40"/>
    </w:pPr>
    <w:rPr>
      <w:rFonts w:ascii="Arial Narrow" w:eastAsiaTheme="majorEastAsia" w:hAnsi="Arial Narrow" w:cstheme="majorBidi"/>
      <w:snapToGrid/>
      <w:sz w:val="16"/>
    </w:rPr>
  </w:style>
  <w:style w:type="character" w:customStyle="1" w:styleId="TableNotesChar">
    <w:name w:val="Table Notes Char"/>
    <w:basedOn w:val="DefaultParagraphFont"/>
    <w:link w:val="TableNotes"/>
    <w:locked/>
    <w:rsid w:val="008318F6"/>
    <w:rPr>
      <w:rFonts w:ascii="Arial Narrow" w:eastAsiaTheme="majorEastAsia" w:hAnsi="Arial Narrow" w:cstheme="majorBidi"/>
      <w:sz w:val="16"/>
      <w:szCs w:val="22"/>
      <w:lang w:eastAsia="en-US"/>
    </w:rPr>
  </w:style>
  <w:style w:type="paragraph" w:customStyle="1" w:styleId="Default">
    <w:name w:val="Default"/>
    <w:rsid w:val="00A52296"/>
    <w:pPr>
      <w:autoSpaceDE w:val="0"/>
      <w:autoSpaceDN w:val="0"/>
      <w:adjustRightInd w:val="0"/>
    </w:pPr>
    <w:rPr>
      <w:rFonts w:ascii="Cambria" w:hAnsi="Cambria" w:cs="Cambria"/>
      <w:color w:val="000000"/>
      <w:sz w:val="24"/>
      <w:szCs w:val="24"/>
    </w:rPr>
  </w:style>
  <w:style w:type="character" w:customStyle="1" w:styleId="TableText0">
    <w:name w:val="Table Text"/>
    <w:basedOn w:val="DefaultParagraphFont"/>
    <w:uiPriority w:val="4"/>
    <w:qFormat/>
    <w:rsid w:val="000E7DAA"/>
    <w:rPr>
      <w:rFonts w:ascii="Arial Narrow" w:hAnsi="Arial Narrow" w:cs="Times New Roman"/>
      <w:sz w:val="18"/>
    </w:rPr>
  </w:style>
  <w:style w:type="paragraph" w:customStyle="1" w:styleId="TableTextCA">
    <w:name w:val="Table Text CA"/>
    <w:basedOn w:val="Normal"/>
    <w:qFormat/>
    <w:rsid w:val="00694A70"/>
    <w:pPr>
      <w:widowControl/>
      <w:spacing w:before="40" w:after="40"/>
      <w:jc w:val="center"/>
    </w:pPr>
    <w:rPr>
      <w:rFonts w:ascii="Arial Narrow" w:eastAsiaTheme="minorHAnsi" w:hAnsi="Arial Narrow" w:cstheme="minorBidi"/>
      <w:snapToGrid/>
      <w:sz w:val="20"/>
    </w:rPr>
  </w:style>
  <w:style w:type="table" w:customStyle="1" w:styleId="Summarybox2">
    <w:name w:val="Summary box2"/>
    <w:basedOn w:val="TableNormal"/>
    <w:next w:val="TableGrid"/>
    <w:uiPriority w:val="59"/>
    <w:rsid w:val="009D3727"/>
    <w:rPr>
      <w:rFonts w:ascii="Arial Narrow" w:eastAsiaTheme="majorEastAsia" w:hAnsi="Arial Narrow" w:cstheme="majorBidi"/>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TextChar0">
    <w:name w:val="Table Text Char"/>
    <w:rsid w:val="00172AD3"/>
    <w:rPr>
      <w:rFonts w:ascii="Arial Narrow" w:hAnsi="Arial Narrow"/>
      <w:sz w:val="20"/>
    </w:rPr>
  </w:style>
  <w:style w:type="character" w:customStyle="1" w:styleId="Heading1Char">
    <w:name w:val="Heading 1 Char"/>
    <w:basedOn w:val="DefaultParagraphFont"/>
    <w:link w:val="Heading1"/>
    <w:uiPriority w:val="1"/>
    <w:rsid w:val="00DD26A0"/>
    <w:rPr>
      <w:rFonts w:ascii="Calibri" w:hAnsi="Calibri" w:cs="Arial"/>
      <w:b/>
      <w:caps/>
      <w:snapToGrid w:val="0"/>
      <w:sz w:val="32"/>
      <w:szCs w:val="22"/>
      <w:lang w:eastAsia="en-US"/>
    </w:rPr>
  </w:style>
  <w:style w:type="paragraph" w:customStyle="1" w:styleId="2-SectionHeading">
    <w:name w:val="2-Section Heading"/>
    <w:qFormat/>
    <w:rsid w:val="00040584"/>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040584"/>
    <w:pPr>
      <w:widowControl/>
      <w:spacing w:after="120"/>
      <w:ind w:hanging="720"/>
    </w:pPr>
    <w:rPr>
      <w:rFonts w:asciiTheme="minorHAnsi" w:hAnsiTheme="minorHAnsi"/>
      <w:szCs w:val="24"/>
      <w:lang w:eastAsia="en-AU"/>
    </w:rPr>
  </w:style>
  <w:style w:type="character" w:customStyle="1" w:styleId="3-BodyTextChar">
    <w:name w:val="3-Body Text Char"/>
    <w:basedOn w:val="DefaultParagraphFont"/>
    <w:link w:val="3-BodyText"/>
    <w:rsid w:val="00CC3999"/>
    <w:rPr>
      <w:rFonts w:asciiTheme="minorHAnsi" w:hAnsiTheme="minorHAnsi" w:cs="Arial"/>
      <w:snapToGrid w:val="0"/>
      <w:sz w:val="24"/>
      <w:szCs w:val="24"/>
    </w:rPr>
  </w:style>
  <w:style w:type="paragraph" w:customStyle="1" w:styleId="4-SubsectionHeading">
    <w:name w:val="4-Subsection Heading"/>
    <w:basedOn w:val="Heading2"/>
    <w:next w:val="3-BodyText"/>
    <w:link w:val="4-SubsectionHeadingChar"/>
    <w:qFormat/>
    <w:rsid w:val="00CC3999"/>
    <w:pPr>
      <w:keepNext/>
      <w:widowControl/>
      <w:spacing w:before="120" w:after="120"/>
    </w:pPr>
    <w:rPr>
      <w:rFonts w:asciiTheme="minorHAnsi" w:eastAsiaTheme="majorEastAsia" w:hAnsiTheme="minorHAnsi" w:cstheme="majorBidi"/>
      <w:snapToGrid/>
      <w:spacing w:val="5"/>
      <w:kern w:val="28"/>
      <w:szCs w:val="36"/>
    </w:rPr>
  </w:style>
  <w:style w:type="character" w:customStyle="1" w:styleId="4-SubsectionHeadingChar">
    <w:name w:val="4-Subsection Heading Char"/>
    <w:basedOn w:val="Heading2Char"/>
    <w:link w:val="4-SubsectionHeading"/>
    <w:rsid w:val="00CC3999"/>
    <w:rPr>
      <w:rFonts w:asciiTheme="minorHAnsi" w:eastAsiaTheme="majorEastAsia" w:hAnsiTheme="minorHAnsi" w:cstheme="majorBidi"/>
      <w:b/>
      <w:i/>
      <w:snapToGrid/>
      <w:spacing w:val="5"/>
      <w:kern w:val="28"/>
      <w:sz w:val="28"/>
      <w:szCs w:val="36"/>
      <w:lang w:eastAsia="en-US"/>
    </w:rPr>
  </w:style>
  <w:style w:type="paragraph" w:customStyle="1" w:styleId="TableFigureFooter">
    <w:name w:val="Table/Figure Footer"/>
    <w:basedOn w:val="Normal"/>
    <w:link w:val="TableFigureFooterChar"/>
    <w:qFormat/>
    <w:rsid w:val="00DA711E"/>
    <w:pPr>
      <w:widowControl/>
      <w:spacing w:after="120"/>
      <w:contextualSpacing/>
    </w:pPr>
    <w:rPr>
      <w:rFonts w:ascii="Arial Narrow" w:hAnsi="Arial Narrow"/>
      <w:sz w:val="18"/>
      <w:lang w:eastAsia="en-AU"/>
    </w:rPr>
  </w:style>
  <w:style w:type="character" w:customStyle="1" w:styleId="TableFigureFooterChar">
    <w:name w:val="Table/Figure Footer Char"/>
    <w:link w:val="TableFigureFooter"/>
    <w:rsid w:val="00DA711E"/>
    <w:rPr>
      <w:rFonts w:ascii="Arial Narrow" w:hAnsi="Arial Narrow" w:cs="Arial"/>
      <w:snapToGrid w:val="0"/>
      <w:sz w:val="18"/>
      <w:szCs w:val="22"/>
    </w:rPr>
  </w:style>
  <w:style w:type="character" w:styleId="PlaceholderText">
    <w:name w:val="Placeholder Text"/>
    <w:basedOn w:val="DefaultParagraphFont"/>
    <w:uiPriority w:val="99"/>
    <w:semiHidden/>
    <w:rsid w:val="00DA711E"/>
    <w:rPr>
      <w:color w:val="808080"/>
    </w:rPr>
  </w:style>
  <w:style w:type="table" w:customStyle="1" w:styleId="ASDTable1">
    <w:name w:val="ASD Table1"/>
    <w:basedOn w:val="TableNormal"/>
    <w:next w:val="TableGrid"/>
    <w:uiPriority w:val="39"/>
    <w:rsid w:val="00D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140BD"/>
    <w:rPr>
      <w:i/>
      <w:iCs/>
    </w:rPr>
  </w:style>
  <w:style w:type="paragraph" w:styleId="PlainText">
    <w:name w:val="Plain Text"/>
    <w:basedOn w:val="Normal"/>
    <w:link w:val="PlainTextChar"/>
    <w:uiPriority w:val="99"/>
    <w:rsid w:val="001B7E6B"/>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1B7E6B"/>
    <w:rPr>
      <w:rFonts w:ascii="Courier New" w:hAnsi="Courier New"/>
    </w:rPr>
  </w:style>
  <w:style w:type="paragraph" w:customStyle="1" w:styleId="MinorOVRHeader">
    <w:name w:val="Minor OVR Header"/>
    <w:basedOn w:val="Header"/>
    <w:link w:val="MinorOVRHeaderChar"/>
    <w:rsid w:val="001871A5"/>
    <w:pPr>
      <w:keepNext/>
      <w:widowControl/>
      <w:jc w:val="right"/>
    </w:pPr>
    <w:rPr>
      <w:rFonts w:asciiTheme="minorHAnsi" w:hAnsiTheme="minorHAnsi"/>
      <w:snapToGrid/>
      <w:szCs w:val="24"/>
    </w:rPr>
  </w:style>
  <w:style w:type="character" w:customStyle="1" w:styleId="MinorOVRHeaderChar">
    <w:name w:val="Minor OVR Header Char"/>
    <w:basedOn w:val="HeaderChar"/>
    <w:link w:val="MinorOVRHeader"/>
    <w:rsid w:val="001871A5"/>
    <w:rPr>
      <w:rFonts w:asciiTheme="minorHAnsi" w:hAnsiTheme="minorHAnsi" w:cs="Arial"/>
      <w:snapToGrid/>
      <w:sz w:val="24"/>
      <w:szCs w:val="24"/>
      <w:lang w:eastAsia="en-US"/>
    </w:rPr>
  </w:style>
  <w:style w:type="paragraph" w:customStyle="1" w:styleId="2Sections">
    <w:name w:val="2. Sections"/>
    <w:qFormat/>
    <w:rsid w:val="001871A5"/>
    <w:pPr>
      <w:spacing w:before="240" w:after="120"/>
      <w:outlineLvl w:val="0"/>
    </w:pPr>
    <w:rPr>
      <w:rFonts w:asciiTheme="minorHAnsi" w:hAnsiTheme="minorHAnsi" w:cs="Arial"/>
      <w:b/>
      <w:snapToGrid w:val="0"/>
      <w:sz w:val="32"/>
      <w:szCs w:val="32"/>
      <w:lang w:eastAsia="en-US"/>
    </w:rPr>
  </w:style>
  <w:style w:type="paragraph" w:customStyle="1" w:styleId="3Bodytext">
    <w:name w:val="3. Body text"/>
    <w:basedOn w:val="ListParagraph"/>
    <w:qFormat/>
    <w:rsid w:val="001871A5"/>
    <w:pPr>
      <w:widowControl/>
      <w:spacing w:after="120"/>
      <w:ind w:hanging="720"/>
      <w:jc w:val="left"/>
    </w:pPr>
    <w:rPr>
      <w:rFonts w:asciiTheme="minorHAnsi" w:eastAsiaTheme="minorHAnsi" w:hAnsiTheme="minorHAnsi" w:cstheme="minorBid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33">
      <w:bodyDiv w:val="1"/>
      <w:marLeft w:val="0"/>
      <w:marRight w:val="0"/>
      <w:marTop w:val="0"/>
      <w:marBottom w:val="0"/>
      <w:divBdr>
        <w:top w:val="none" w:sz="0" w:space="0" w:color="auto"/>
        <w:left w:val="none" w:sz="0" w:space="0" w:color="auto"/>
        <w:bottom w:val="none" w:sz="0" w:space="0" w:color="auto"/>
        <w:right w:val="none" w:sz="0" w:space="0" w:color="auto"/>
      </w:divBdr>
    </w:div>
    <w:div w:id="76753515">
      <w:bodyDiv w:val="1"/>
      <w:marLeft w:val="0"/>
      <w:marRight w:val="0"/>
      <w:marTop w:val="0"/>
      <w:marBottom w:val="0"/>
      <w:divBdr>
        <w:top w:val="none" w:sz="0" w:space="0" w:color="auto"/>
        <w:left w:val="none" w:sz="0" w:space="0" w:color="auto"/>
        <w:bottom w:val="none" w:sz="0" w:space="0" w:color="auto"/>
        <w:right w:val="none" w:sz="0" w:space="0" w:color="auto"/>
      </w:divBdr>
    </w:div>
    <w:div w:id="111748601">
      <w:bodyDiv w:val="1"/>
      <w:marLeft w:val="0"/>
      <w:marRight w:val="0"/>
      <w:marTop w:val="0"/>
      <w:marBottom w:val="0"/>
      <w:divBdr>
        <w:top w:val="none" w:sz="0" w:space="0" w:color="auto"/>
        <w:left w:val="none" w:sz="0" w:space="0" w:color="auto"/>
        <w:bottom w:val="none" w:sz="0" w:space="0" w:color="auto"/>
        <w:right w:val="none" w:sz="0" w:space="0" w:color="auto"/>
      </w:divBdr>
    </w:div>
    <w:div w:id="146283888">
      <w:bodyDiv w:val="1"/>
      <w:marLeft w:val="0"/>
      <w:marRight w:val="0"/>
      <w:marTop w:val="0"/>
      <w:marBottom w:val="0"/>
      <w:divBdr>
        <w:top w:val="none" w:sz="0" w:space="0" w:color="auto"/>
        <w:left w:val="none" w:sz="0" w:space="0" w:color="auto"/>
        <w:bottom w:val="none" w:sz="0" w:space="0" w:color="auto"/>
        <w:right w:val="none" w:sz="0" w:space="0" w:color="auto"/>
      </w:divBdr>
    </w:div>
    <w:div w:id="249239375">
      <w:bodyDiv w:val="1"/>
      <w:marLeft w:val="0"/>
      <w:marRight w:val="0"/>
      <w:marTop w:val="0"/>
      <w:marBottom w:val="0"/>
      <w:divBdr>
        <w:top w:val="none" w:sz="0" w:space="0" w:color="auto"/>
        <w:left w:val="none" w:sz="0" w:space="0" w:color="auto"/>
        <w:bottom w:val="none" w:sz="0" w:space="0" w:color="auto"/>
        <w:right w:val="none" w:sz="0" w:space="0" w:color="auto"/>
      </w:divBdr>
      <w:divsChild>
        <w:div w:id="1563524057">
          <w:marLeft w:val="0"/>
          <w:marRight w:val="0"/>
          <w:marTop w:val="0"/>
          <w:marBottom w:val="0"/>
          <w:divBdr>
            <w:top w:val="none" w:sz="0" w:space="0" w:color="auto"/>
            <w:left w:val="none" w:sz="0" w:space="0" w:color="auto"/>
            <w:bottom w:val="none" w:sz="0" w:space="0" w:color="auto"/>
            <w:right w:val="none" w:sz="0" w:space="0" w:color="auto"/>
          </w:divBdr>
        </w:div>
        <w:div w:id="1727295564">
          <w:marLeft w:val="0"/>
          <w:marRight w:val="0"/>
          <w:marTop w:val="0"/>
          <w:marBottom w:val="0"/>
          <w:divBdr>
            <w:top w:val="none" w:sz="0" w:space="0" w:color="auto"/>
            <w:left w:val="none" w:sz="0" w:space="0" w:color="auto"/>
            <w:bottom w:val="none" w:sz="0" w:space="0" w:color="auto"/>
            <w:right w:val="none" w:sz="0" w:space="0" w:color="auto"/>
          </w:divBdr>
        </w:div>
        <w:div w:id="1151680523">
          <w:marLeft w:val="0"/>
          <w:marRight w:val="0"/>
          <w:marTop w:val="0"/>
          <w:marBottom w:val="0"/>
          <w:divBdr>
            <w:top w:val="none" w:sz="0" w:space="0" w:color="auto"/>
            <w:left w:val="none" w:sz="0" w:space="0" w:color="auto"/>
            <w:bottom w:val="none" w:sz="0" w:space="0" w:color="auto"/>
            <w:right w:val="none" w:sz="0" w:space="0" w:color="auto"/>
          </w:divBdr>
        </w:div>
      </w:divsChild>
    </w:div>
    <w:div w:id="343479737">
      <w:bodyDiv w:val="1"/>
      <w:marLeft w:val="0"/>
      <w:marRight w:val="0"/>
      <w:marTop w:val="0"/>
      <w:marBottom w:val="0"/>
      <w:divBdr>
        <w:top w:val="none" w:sz="0" w:space="0" w:color="auto"/>
        <w:left w:val="none" w:sz="0" w:space="0" w:color="auto"/>
        <w:bottom w:val="none" w:sz="0" w:space="0" w:color="auto"/>
        <w:right w:val="none" w:sz="0" w:space="0" w:color="auto"/>
      </w:divBdr>
    </w:div>
    <w:div w:id="359934365">
      <w:bodyDiv w:val="1"/>
      <w:marLeft w:val="0"/>
      <w:marRight w:val="0"/>
      <w:marTop w:val="0"/>
      <w:marBottom w:val="0"/>
      <w:divBdr>
        <w:top w:val="none" w:sz="0" w:space="0" w:color="auto"/>
        <w:left w:val="none" w:sz="0" w:space="0" w:color="auto"/>
        <w:bottom w:val="none" w:sz="0" w:space="0" w:color="auto"/>
        <w:right w:val="none" w:sz="0" w:space="0" w:color="auto"/>
      </w:divBdr>
    </w:div>
    <w:div w:id="386681338">
      <w:bodyDiv w:val="1"/>
      <w:marLeft w:val="0"/>
      <w:marRight w:val="0"/>
      <w:marTop w:val="0"/>
      <w:marBottom w:val="0"/>
      <w:divBdr>
        <w:top w:val="none" w:sz="0" w:space="0" w:color="auto"/>
        <w:left w:val="none" w:sz="0" w:space="0" w:color="auto"/>
        <w:bottom w:val="none" w:sz="0" w:space="0" w:color="auto"/>
        <w:right w:val="none" w:sz="0" w:space="0" w:color="auto"/>
      </w:divBdr>
      <w:divsChild>
        <w:div w:id="7604816">
          <w:marLeft w:val="1166"/>
          <w:marRight w:val="0"/>
          <w:marTop w:val="86"/>
          <w:marBottom w:val="0"/>
          <w:divBdr>
            <w:top w:val="none" w:sz="0" w:space="0" w:color="auto"/>
            <w:left w:val="none" w:sz="0" w:space="0" w:color="auto"/>
            <w:bottom w:val="none" w:sz="0" w:space="0" w:color="auto"/>
            <w:right w:val="none" w:sz="0" w:space="0" w:color="auto"/>
          </w:divBdr>
        </w:div>
      </w:divsChild>
    </w:div>
    <w:div w:id="444347460">
      <w:bodyDiv w:val="1"/>
      <w:marLeft w:val="0"/>
      <w:marRight w:val="0"/>
      <w:marTop w:val="0"/>
      <w:marBottom w:val="0"/>
      <w:divBdr>
        <w:top w:val="none" w:sz="0" w:space="0" w:color="auto"/>
        <w:left w:val="none" w:sz="0" w:space="0" w:color="auto"/>
        <w:bottom w:val="none" w:sz="0" w:space="0" w:color="auto"/>
        <w:right w:val="none" w:sz="0" w:space="0" w:color="auto"/>
      </w:divBdr>
    </w:div>
    <w:div w:id="454569685">
      <w:bodyDiv w:val="1"/>
      <w:marLeft w:val="0"/>
      <w:marRight w:val="0"/>
      <w:marTop w:val="0"/>
      <w:marBottom w:val="0"/>
      <w:divBdr>
        <w:top w:val="none" w:sz="0" w:space="0" w:color="auto"/>
        <w:left w:val="none" w:sz="0" w:space="0" w:color="auto"/>
        <w:bottom w:val="none" w:sz="0" w:space="0" w:color="auto"/>
        <w:right w:val="none" w:sz="0" w:space="0" w:color="auto"/>
      </w:divBdr>
    </w:div>
    <w:div w:id="502474589">
      <w:bodyDiv w:val="1"/>
      <w:marLeft w:val="0"/>
      <w:marRight w:val="0"/>
      <w:marTop w:val="0"/>
      <w:marBottom w:val="0"/>
      <w:divBdr>
        <w:top w:val="none" w:sz="0" w:space="0" w:color="auto"/>
        <w:left w:val="none" w:sz="0" w:space="0" w:color="auto"/>
        <w:bottom w:val="none" w:sz="0" w:space="0" w:color="auto"/>
        <w:right w:val="none" w:sz="0" w:space="0" w:color="auto"/>
      </w:divBdr>
    </w:div>
    <w:div w:id="542209125">
      <w:bodyDiv w:val="1"/>
      <w:marLeft w:val="0"/>
      <w:marRight w:val="0"/>
      <w:marTop w:val="0"/>
      <w:marBottom w:val="0"/>
      <w:divBdr>
        <w:top w:val="none" w:sz="0" w:space="0" w:color="auto"/>
        <w:left w:val="none" w:sz="0" w:space="0" w:color="auto"/>
        <w:bottom w:val="none" w:sz="0" w:space="0" w:color="auto"/>
        <w:right w:val="none" w:sz="0" w:space="0" w:color="auto"/>
      </w:divBdr>
    </w:div>
    <w:div w:id="559244742">
      <w:bodyDiv w:val="1"/>
      <w:marLeft w:val="0"/>
      <w:marRight w:val="0"/>
      <w:marTop w:val="0"/>
      <w:marBottom w:val="0"/>
      <w:divBdr>
        <w:top w:val="none" w:sz="0" w:space="0" w:color="auto"/>
        <w:left w:val="none" w:sz="0" w:space="0" w:color="auto"/>
        <w:bottom w:val="none" w:sz="0" w:space="0" w:color="auto"/>
        <w:right w:val="none" w:sz="0" w:space="0" w:color="auto"/>
      </w:divBdr>
    </w:div>
    <w:div w:id="614144453">
      <w:bodyDiv w:val="1"/>
      <w:marLeft w:val="0"/>
      <w:marRight w:val="0"/>
      <w:marTop w:val="0"/>
      <w:marBottom w:val="0"/>
      <w:divBdr>
        <w:top w:val="none" w:sz="0" w:space="0" w:color="auto"/>
        <w:left w:val="none" w:sz="0" w:space="0" w:color="auto"/>
        <w:bottom w:val="none" w:sz="0" w:space="0" w:color="auto"/>
        <w:right w:val="none" w:sz="0" w:space="0" w:color="auto"/>
      </w:divBdr>
    </w:div>
    <w:div w:id="621889218">
      <w:bodyDiv w:val="1"/>
      <w:marLeft w:val="0"/>
      <w:marRight w:val="0"/>
      <w:marTop w:val="0"/>
      <w:marBottom w:val="0"/>
      <w:divBdr>
        <w:top w:val="none" w:sz="0" w:space="0" w:color="auto"/>
        <w:left w:val="none" w:sz="0" w:space="0" w:color="auto"/>
        <w:bottom w:val="none" w:sz="0" w:space="0" w:color="auto"/>
        <w:right w:val="none" w:sz="0" w:space="0" w:color="auto"/>
      </w:divBdr>
    </w:div>
    <w:div w:id="655649007">
      <w:bodyDiv w:val="1"/>
      <w:marLeft w:val="0"/>
      <w:marRight w:val="0"/>
      <w:marTop w:val="0"/>
      <w:marBottom w:val="0"/>
      <w:divBdr>
        <w:top w:val="none" w:sz="0" w:space="0" w:color="auto"/>
        <w:left w:val="none" w:sz="0" w:space="0" w:color="auto"/>
        <w:bottom w:val="none" w:sz="0" w:space="0" w:color="auto"/>
        <w:right w:val="none" w:sz="0" w:space="0" w:color="auto"/>
      </w:divBdr>
    </w:div>
    <w:div w:id="695547680">
      <w:bodyDiv w:val="1"/>
      <w:marLeft w:val="0"/>
      <w:marRight w:val="0"/>
      <w:marTop w:val="0"/>
      <w:marBottom w:val="0"/>
      <w:divBdr>
        <w:top w:val="none" w:sz="0" w:space="0" w:color="auto"/>
        <w:left w:val="none" w:sz="0" w:space="0" w:color="auto"/>
        <w:bottom w:val="none" w:sz="0" w:space="0" w:color="auto"/>
        <w:right w:val="none" w:sz="0" w:space="0" w:color="auto"/>
      </w:divBdr>
    </w:div>
    <w:div w:id="785612539">
      <w:bodyDiv w:val="1"/>
      <w:marLeft w:val="0"/>
      <w:marRight w:val="0"/>
      <w:marTop w:val="0"/>
      <w:marBottom w:val="0"/>
      <w:divBdr>
        <w:top w:val="none" w:sz="0" w:space="0" w:color="auto"/>
        <w:left w:val="none" w:sz="0" w:space="0" w:color="auto"/>
        <w:bottom w:val="none" w:sz="0" w:space="0" w:color="auto"/>
        <w:right w:val="none" w:sz="0" w:space="0" w:color="auto"/>
      </w:divBdr>
    </w:div>
    <w:div w:id="863440495">
      <w:bodyDiv w:val="1"/>
      <w:marLeft w:val="0"/>
      <w:marRight w:val="0"/>
      <w:marTop w:val="0"/>
      <w:marBottom w:val="0"/>
      <w:divBdr>
        <w:top w:val="none" w:sz="0" w:space="0" w:color="auto"/>
        <w:left w:val="none" w:sz="0" w:space="0" w:color="auto"/>
        <w:bottom w:val="none" w:sz="0" w:space="0" w:color="auto"/>
        <w:right w:val="none" w:sz="0" w:space="0" w:color="auto"/>
      </w:divBdr>
    </w:div>
    <w:div w:id="945426848">
      <w:bodyDiv w:val="1"/>
      <w:marLeft w:val="0"/>
      <w:marRight w:val="0"/>
      <w:marTop w:val="0"/>
      <w:marBottom w:val="0"/>
      <w:divBdr>
        <w:top w:val="none" w:sz="0" w:space="0" w:color="auto"/>
        <w:left w:val="none" w:sz="0" w:space="0" w:color="auto"/>
        <w:bottom w:val="none" w:sz="0" w:space="0" w:color="auto"/>
        <w:right w:val="none" w:sz="0" w:space="0" w:color="auto"/>
      </w:divBdr>
    </w:div>
    <w:div w:id="978997327">
      <w:bodyDiv w:val="1"/>
      <w:marLeft w:val="0"/>
      <w:marRight w:val="0"/>
      <w:marTop w:val="0"/>
      <w:marBottom w:val="0"/>
      <w:divBdr>
        <w:top w:val="none" w:sz="0" w:space="0" w:color="auto"/>
        <w:left w:val="none" w:sz="0" w:space="0" w:color="auto"/>
        <w:bottom w:val="none" w:sz="0" w:space="0" w:color="auto"/>
        <w:right w:val="none" w:sz="0" w:space="0" w:color="auto"/>
      </w:divBdr>
      <w:divsChild>
        <w:div w:id="189878579">
          <w:marLeft w:val="547"/>
          <w:marRight w:val="0"/>
          <w:marTop w:val="120"/>
          <w:marBottom w:val="0"/>
          <w:divBdr>
            <w:top w:val="none" w:sz="0" w:space="0" w:color="auto"/>
            <w:left w:val="none" w:sz="0" w:space="0" w:color="auto"/>
            <w:bottom w:val="none" w:sz="0" w:space="0" w:color="auto"/>
            <w:right w:val="none" w:sz="0" w:space="0" w:color="auto"/>
          </w:divBdr>
        </w:div>
      </w:divsChild>
    </w:div>
    <w:div w:id="1114642383">
      <w:bodyDiv w:val="1"/>
      <w:marLeft w:val="0"/>
      <w:marRight w:val="0"/>
      <w:marTop w:val="0"/>
      <w:marBottom w:val="0"/>
      <w:divBdr>
        <w:top w:val="none" w:sz="0" w:space="0" w:color="auto"/>
        <w:left w:val="none" w:sz="0" w:space="0" w:color="auto"/>
        <w:bottom w:val="none" w:sz="0" w:space="0" w:color="auto"/>
        <w:right w:val="none" w:sz="0" w:space="0" w:color="auto"/>
      </w:divBdr>
    </w:div>
    <w:div w:id="1141074256">
      <w:bodyDiv w:val="1"/>
      <w:marLeft w:val="0"/>
      <w:marRight w:val="0"/>
      <w:marTop w:val="0"/>
      <w:marBottom w:val="0"/>
      <w:divBdr>
        <w:top w:val="none" w:sz="0" w:space="0" w:color="auto"/>
        <w:left w:val="none" w:sz="0" w:space="0" w:color="auto"/>
        <w:bottom w:val="none" w:sz="0" w:space="0" w:color="auto"/>
        <w:right w:val="none" w:sz="0" w:space="0" w:color="auto"/>
      </w:divBdr>
    </w:div>
    <w:div w:id="1169249645">
      <w:bodyDiv w:val="1"/>
      <w:marLeft w:val="0"/>
      <w:marRight w:val="0"/>
      <w:marTop w:val="0"/>
      <w:marBottom w:val="0"/>
      <w:divBdr>
        <w:top w:val="none" w:sz="0" w:space="0" w:color="auto"/>
        <w:left w:val="none" w:sz="0" w:space="0" w:color="auto"/>
        <w:bottom w:val="none" w:sz="0" w:space="0" w:color="auto"/>
        <w:right w:val="none" w:sz="0" w:space="0" w:color="auto"/>
      </w:divBdr>
    </w:div>
    <w:div w:id="1183936794">
      <w:bodyDiv w:val="1"/>
      <w:marLeft w:val="0"/>
      <w:marRight w:val="0"/>
      <w:marTop w:val="0"/>
      <w:marBottom w:val="0"/>
      <w:divBdr>
        <w:top w:val="none" w:sz="0" w:space="0" w:color="auto"/>
        <w:left w:val="none" w:sz="0" w:space="0" w:color="auto"/>
        <w:bottom w:val="none" w:sz="0" w:space="0" w:color="auto"/>
        <w:right w:val="none" w:sz="0" w:space="0" w:color="auto"/>
      </w:divBdr>
    </w:div>
    <w:div w:id="1253586003">
      <w:bodyDiv w:val="1"/>
      <w:marLeft w:val="0"/>
      <w:marRight w:val="0"/>
      <w:marTop w:val="0"/>
      <w:marBottom w:val="0"/>
      <w:divBdr>
        <w:top w:val="none" w:sz="0" w:space="0" w:color="auto"/>
        <w:left w:val="none" w:sz="0" w:space="0" w:color="auto"/>
        <w:bottom w:val="none" w:sz="0" w:space="0" w:color="auto"/>
        <w:right w:val="none" w:sz="0" w:space="0" w:color="auto"/>
      </w:divBdr>
    </w:div>
    <w:div w:id="1286890149">
      <w:bodyDiv w:val="1"/>
      <w:marLeft w:val="0"/>
      <w:marRight w:val="0"/>
      <w:marTop w:val="0"/>
      <w:marBottom w:val="0"/>
      <w:divBdr>
        <w:top w:val="none" w:sz="0" w:space="0" w:color="auto"/>
        <w:left w:val="none" w:sz="0" w:space="0" w:color="auto"/>
        <w:bottom w:val="none" w:sz="0" w:space="0" w:color="auto"/>
        <w:right w:val="none" w:sz="0" w:space="0" w:color="auto"/>
      </w:divBdr>
    </w:div>
    <w:div w:id="1302466366">
      <w:bodyDiv w:val="1"/>
      <w:marLeft w:val="0"/>
      <w:marRight w:val="0"/>
      <w:marTop w:val="0"/>
      <w:marBottom w:val="0"/>
      <w:divBdr>
        <w:top w:val="none" w:sz="0" w:space="0" w:color="auto"/>
        <w:left w:val="none" w:sz="0" w:space="0" w:color="auto"/>
        <w:bottom w:val="none" w:sz="0" w:space="0" w:color="auto"/>
        <w:right w:val="none" w:sz="0" w:space="0" w:color="auto"/>
      </w:divBdr>
    </w:div>
    <w:div w:id="1309556985">
      <w:bodyDiv w:val="1"/>
      <w:marLeft w:val="0"/>
      <w:marRight w:val="0"/>
      <w:marTop w:val="0"/>
      <w:marBottom w:val="0"/>
      <w:divBdr>
        <w:top w:val="none" w:sz="0" w:space="0" w:color="auto"/>
        <w:left w:val="none" w:sz="0" w:space="0" w:color="auto"/>
        <w:bottom w:val="none" w:sz="0" w:space="0" w:color="auto"/>
        <w:right w:val="none" w:sz="0" w:space="0" w:color="auto"/>
      </w:divBdr>
    </w:div>
    <w:div w:id="1319504669">
      <w:bodyDiv w:val="1"/>
      <w:marLeft w:val="0"/>
      <w:marRight w:val="0"/>
      <w:marTop w:val="0"/>
      <w:marBottom w:val="0"/>
      <w:divBdr>
        <w:top w:val="none" w:sz="0" w:space="0" w:color="auto"/>
        <w:left w:val="none" w:sz="0" w:space="0" w:color="auto"/>
        <w:bottom w:val="none" w:sz="0" w:space="0" w:color="auto"/>
        <w:right w:val="none" w:sz="0" w:space="0" w:color="auto"/>
      </w:divBdr>
    </w:div>
    <w:div w:id="1321351832">
      <w:bodyDiv w:val="1"/>
      <w:marLeft w:val="0"/>
      <w:marRight w:val="0"/>
      <w:marTop w:val="0"/>
      <w:marBottom w:val="0"/>
      <w:divBdr>
        <w:top w:val="none" w:sz="0" w:space="0" w:color="auto"/>
        <w:left w:val="none" w:sz="0" w:space="0" w:color="auto"/>
        <w:bottom w:val="none" w:sz="0" w:space="0" w:color="auto"/>
        <w:right w:val="none" w:sz="0" w:space="0" w:color="auto"/>
      </w:divBdr>
    </w:div>
    <w:div w:id="1382485612">
      <w:bodyDiv w:val="1"/>
      <w:marLeft w:val="0"/>
      <w:marRight w:val="0"/>
      <w:marTop w:val="0"/>
      <w:marBottom w:val="0"/>
      <w:divBdr>
        <w:top w:val="none" w:sz="0" w:space="0" w:color="auto"/>
        <w:left w:val="none" w:sz="0" w:space="0" w:color="auto"/>
        <w:bottom w:val="none" w:sz="0" w:space="0" w:color="auto"/>
        <w:right w:val="none" w:sz="0" w:space="0" w:color="auto"/>
      </w:divBdr>
    </w:div>
    <w:div w:id="1439519556">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61921315">
      <w:bodyDiv w:val="1"/>
      <w:marLeft w:val="0"/>
      <w:marRight w:val="0"/>
      <w:marTop w:val="0"/>
      <w:marBottom w:val="0"/>
      <w:divBdr>
        <w:top w:val="none" w:sz="0" w:space="0" w:color="auto"/>
        <w:left w:val="none" w:sz="0" w:space="0" w:color="auto"/>
        <w:bottom w:val="none" w:sz="0" w:space="0" w:color="auto"/>
        <w:right w:val="none" w:sz="0" w:space="0" w:color="auto"/>
      </w:divBdr>
    </w:div>
    <w:div w:id="1650938551">
      <w:bodyDiv w:val="1"/>
      <w:marLeft w:val="0"/>
      <w:marRight w:val="0"/>
      <w:marTop w:val="0"/>
      <w:marBottom w:val="0"/>
      <w:divBdr>
        <w:top w:val="none" w:sz="0" w:space="0" w:color="auto"/>
        <w:left w:val="none" w:sz="0" w:space="0" w:color="auto"/>
        <w:bottom w:val="none" w:sz="0" w:space="0" w:color="auto"/>
        <w:right w:val="none" w:sz="0" w:space="0" w:color="auto"/>
      </w:divBdr>
    </w:div>
    <w:div w:id="1681852006">
      <w:bodyDiv w:val="1"/>
      <w:marLeft w:val="0"/>
      <w:marRight w:val="0"/>
      <w:marTop w:val="0"/>
      <w:marBottom w:val="0"/>
      <w:divBdr>
        <w:top w:val="none" w:sz="0" w:space="0" w:color="auto"/>
        <w:left w:val="none" w:sz="0" w:space="0" w:color="auto"/>
        <w:bottom w:val="none" w:sz="0" w:space="0" w:color="auto"/>
        <w:right w:val="none" w:sz="0" w:space="0" w:color="auto"/>
      </w:divBdr>
    </w:div>
    <w:div w:id="1709453620">
      <w:bodyDiv w:val="1"/>
      <w:marLeft w:val="0"/>
      <w:marRight w:val="0"/>
      <w:marTop w:val="0"/>
      <w:marBottom w:val="0"/>
      <w:divBdr>
        <w:top w:val="none" w:sz="0" w:space="0" w:color="auto"/>
        <w:left w:val="none" w:sz="0" w:space="0" w:color="auto"/>
        <w:bottom w:val="none" w:sz="0" w:space="0" w:color="auto"/>
        <w:right w:val="none" w:sz="0" w:space="0" w:color="auto"/>
      </w:divBdr>
    </w:div>
    <w:div w:id="1710690952">
      <w:bodyDiv w:val="1"/>
      <w:marLeft w:val="0"/>
      <w:marRight w:val="0"/>
      <w:marTop w:val="0"/>
      <w:marBottom w:val="0"/>
      <w:divBdr>
        <w:top w:val="none" w:sz="0" w:space="0" w:color="auto"/>
        <w:left w:val="none" w:sz="0" w:space="0" w:color="auto"/>
        <w:bottom w:val="none" w:sz="0" w:space="0" w:color="auto"/>
        <w:right w:val="none" w:sz="0" w:space="0" w:color="auto"/>
      </w:divBdr>
    </w:div>
    <w:div w:id="1792433388">
      <w:bodyDiv w:val="1"/>
      <w:marLeft w:val="0"/>
      <w:marRight w:val="0"/>
      <w:marTop w:val="0"/>
      <w:marBottom w:val="0"/>
      <w:divBdr>
        <w:top w:val="none" w:sz="0" w:space="0" w:color="auto"/>
        <w:left w:val="none" w:sz="0" w:space="0" w:color="auto"/>
        <w:bottom w:val="none" w:sz="0" w:space="0" w:color="auto"/>
        <w:right w:val="none" w:sz="0" w:space="0" w:color="auto"/>
      </w:divBdr>
    </w:div>
    <w:div w:id="1800799275">
      <w:bodyDiv w:val="1"/>
      <w:marLeft w:val="0"/>
      <w:marRight w:val="0"/>
      <w:marTop w:val="0"/>
      <w:marBottom w:val="0"/>
      <w:divBdr>
        <w:top w:val="none" w:sz="0" w:space="0" w:color="auto"/>
        <w:left w:val="none" w:sz="0" w:space="0" w:color="auto"/>
        <w:bottom w:val="none" w:sz="0" w:space="0" w:color="auto"/>
        <w:right w:val="none" w:sz="0" w:space="0" w:color="auto"/>
      </w:divBdr>
      <w:divsChild>
        <w:div w:id="1087926437">
          <w:marLeft w:val="360"/>
          <w:marRight w:val="0"/>
          <w:marTop w:val="200"/>
          <w:marBottom w:val="0"/>
          <w:divBdr>
            <w:top w:val="none" w:sz="0" w:space="0" w:color="auto"/>
            <w:left w:val="none" w:sz="0" w:space="0" w:color="auto"/>
            <w:bottom w:val="none" w:sz="0" w:space="0" w:color="auto"/>
            <w:right w:val="none" w:sz="0" w:space="0" w:color="auto"/>
          </w:divBdr>
        </w:div>
        <w:div w:id="284235996">
          <w:marLeft w:val="360"/>
          <w:marRight w:val="0"/>
          <w:marTop w:val="200"/>
          <w:marBottom w:val="0"/>
          <w:divBdr>
            <w:top w:val="none" w:sz="0" w:space="0" w:color="auto"/>
            <w:left w:val="none" w:sz="0" w:space="0" w:color="auto"/>
            <w:bottom w:val="none" w:sz="0" w:space="0" w:color="auto"/>
            <w:right w:val="none" w:sz="0" w:space="0" w:color="auto"/>
          </w:divBdr>
        </w:div>
        <w:div w:id="1734427286">
          <w:marLeft w:val="1080"/>
          <w:marRight w:val="0"/>
          <w:marTop w:val="100"/>
          <w:marBottom w:val="0"/>
          <w:divBdr>
            <w:top w:val="none" w:sz="0" w:space="0" w:color="auto"/>
            <w:left w:val="none" w:sz="0" w:space="0" w:color="auto"/>
            <w:bottom w:val="none" w:sz="0" w:space="0" w:color="auto"/>
            <w:right w:val="none" w:sz="0" w:space="0" w:color="auto"/>
          </w:divBdr>
        </w:div>
        <w:div w:id="1802575544">
          <w:marLeft w:val="1080"/>
          <w:marRight w:val="0"/>
          <w:marTop w:val="100"/>
          <w:marBottom w:val="0"/>
          <w:divBdr>
            <w:top w:val="none" w:sz="0" w:space="0" w:color="auto"/>
            <w:left w:val="none" w:sz="0" w:space="0" w:color="auto"/>
            <w:bottom w:val="none" w:sz="0" w:space="0" w:color="auto"/>
            <w:right w:val="none" w:sz="0" w:space="0" w:color="auto"/>
          </w:divBdr>
        </w:div>
        <w:div w:id="1123420747">
          <w:marLeft w:val="1080"/>
          <w:marRight w:val="0"/>
          <w:marTop w:val="100"/>
          <w:marBottom w:val="0"/>
          <w:divBdr>
            <w:top w:val="none" w:sz="0" w:space="0" w:color="auto"/>
            <w:left w:val="none" w:sz="0" w:space="0" w:color="auto"/>
            <w:bottom w:val="none" w:sz="0" w:space="0" w:color="auto"/>
            <w:right w:val="none" w:sz="0" w:space="0" w:color="auto"/>
          </w:divBdr>
        </w:div>
        <w:div w:id="1234586076">
          <w:marLeft w:val="1080"/>
          <w:marRight w:val="0"/>
          <w:marTop w:val="100"/>
          <w:marBottom w:val="0"/>
          <w:divBdr>
            <w:top w:val="none" w:sz="0" w:space="0" w:color="auto"/>
            <w:left w:val="none" w:sz="0" w:space="0" w:color="auto"/>
            <w:bottom w:val="none" w:sz="0" w:space="0" w:color="auto"/>
            <w:right w:val="none" w:sz="0" w:space="0" w:color="auto"/>
          </w:divBdr>
        </w:div>
        <w:div w:id="100030887">
          <w:marLeft w:val="360"/>
          <w:marRight w:val="0"/>
          <w:marTop w:val="200"/>
          <w:marBottom w:val="0"/>
          <w:divBdr>
            <w:top w:val="none" w:sz="0" w:space="0" w:color="auto"/>
            <w:left w:val="none" w:sz="0" w:space="0" w:color="auto"/>
            <w:bottom w:val="none" w:sz="0" w:space="0" w:color="auto"/>
            <w:right w:val="none" w:sz="0" w:space="0" w:color="auto"/>
          </w:divBdr>
        </w:div>
      </w:divsChild>
    </w:div>
    <w:div w:id="1807628302">
      <w:bodyDiv w:val="1"/>
      <w:marLeft w:val="0"/>
      <w:marRight w:val="0"/>
      <w:marTop w:val="0"/>
      <w:marBottom w:val="0"/>
      <w:divBdr>
        <w:top w:val="none" w:sz="0" w:space="0" w:color="auto"/>
        <w:left w:val="none" w:sz="0" w:space="0" w:color="auto"/>
        <w:bottom w:val="none" w:sz="0" w:space="0" w:color="auto"/>
        <w:right w:val="none" w:sz="0" w:space="0" w:color="auto"/>
      </w:divBdr>
      <w:divsChild>
        <w:div w:id="1781681527">
          <w:marLeft w:val="1080"/>
          <w:marRight w:val="0"/>
          <w:marTop w:val="100"/>
          <w:marBottom w:val="0"/>
          <w:divBdr>
            <w:top w:val="none" w:sz="0" w:space="0" w:color="auto"/>
            <w:left w:val="none" w:sz="0" w:space="0" w:color="auto"/>
            <w:bottom w:val="none" w:sz="0" w:space="0" w:color="auto"/>
            <w:right w:val="none" w:sz="0" w:space="0" w:color="auto"/>
          </w:divBdr>
        </w:div>
      </w:divsChild>
    </w:div>
    <w:div w:id="1816330752">
      <w:bodyDiv w:val="1"/>
      <w:marLeft w:val="0"/>
      <w:marRight w:val="0"/>
      <w:marTop w:val="0"/>
      <w:marBottom w:val="0"/>
      <w:divBdr>
        <w:top w:val="none" w:sz="0" w:space="0" w:color="auto"/>
        <w:left w:val="none" w:sz="0" w:space="0" w:color="auto"/>
        <w:bottom w:val="none" w:sz="0" w:space="0" w:color="auto"/>
        <w:right w:val="none" w:sz="0" w:space="0" w:color="auto"/>
      </w:divBdr>
    </w:div>
    <w:div w:id="1817184094">
      <w:bodyDiv w:val="1"/>
      <w:marLeft w:val="0"/>
      <w:marRight w:val="0"/>
      <w:marTop w:val="0"/>
      <w:marBottom w:val="0"/>
      <w:divBdr>
        <w:top w:val="none" w:sz="0" w:space="0" w:color="auto"/>
        <w:left w:val="none" w:sz="0" w:space="0" w:color="auto"/>
        <w:bottom w:val="none" w:sz="0" w:space="0" w:color="auto"/>
        <w:right w:val="none" w:sz="0" w:space="0" w:color="auto"/>
      </w:divBdr>
    </w:div>
    <w:div w:id="1819959982">
      <w:bodyDiv w:val="1"/>
      <w:marLeft w:val="0"/>
      <w:marRight w:val="0"/>
      <w:marTop w:val="0"/>
      <w:marBottom w:val="0"/>
      <w:divBdr>
        <w:top w:val="none" w:sz="0" w:space="0" w:color="auto"/>
        <w:left w:val="none" w:sz="0" w:space="0" w:color="auto"/>
        <w:bottom w:val="none" w:sz="0" w:space="0" w:color="auto"/>
        <w:right w:val="none" w:sz="0" w:space="0" w:color="auto"/>
      </w:divBdr>
    </w:div>
    <w:div w:id="1861896265">
      <w:bodyDiv w:val="1"/>
      <w:marLeft w:val="0"/>
      <w:marRight w:val="0"/>
      <w:marTop w:val="0"/>
      <w:marBottom w:val="0"/>
      <w:divBdr>
        <w:top w:val="none" w:sz="0" w:space="0" w:color="auto"/>
        <w:left w:val="none" w:sz="0" w:space="0" w:color="auto"/>
        <w:bottom w:val="none" w:sz="0" w:space="0" w:color="auto"/>
        <w:right w:val="none" w:sz="0" w:space="0" w:color="auto"/>
      </w:divBdr>
      <w:divsChild>
        <w:div w:id="1599560676">
          <w:marLeft w:val="547"/>
          <w:marRight w:val="0"/>
          <w:marTop w:val="120"/>
          <w:marBottom w:val="0"/>
          <w:divBdr>
            <w:top w:val="none" w:sz="0" w:space="0" w:color="auto"/>
            <w:left w:val="none" w:sz="0" w:space="0" w:color="auto"/>
            <w:bottom w:val="none" w:sz="0" w:space="0" w:color="auto"/>
            <w:right w:val="none" w:sz="0" w:space="0" w:color="auto"/>
          </w:divBdr>
        </w:div>
      </w:divsChild>
    </w:div>
    <w:div w:id="1895114267">
      <w:bodyDiv w:val="1"/>
      <w:marLeft w:val="0"/>
      <w:marRight w:val="0"/>
      <w:marTop w:val="0"/>
      <w:marBottom w:val="0"/>
      <w:divBdr>
        <w:top w:val="none" w:sz="0" w:space="0" w:color="auto"/>
        <w:left w:val="none" w:sz="0" w:space="0" w:color="auto"/>
        <w:bottom w:val="none" w:sz="0" w:space="0" w:color="auto"/>
        <w:right w:val="none" w:sz="0" w:space="0" w:color="auto"/>
      </w:divBdr>
    </w:div>
    <w:div w:id="2030641565">
      <w:bodyDiv w:val="1"/>
      <w:marLeft w:val="0"/>
      <w:marRight w:val="0"/>
      <w:marTop w:val="0"/>
      <w:marBottom w:val="0"/>
      <w:divBdr>
        <w:top w:val="none" w:sz="0" w:space="0" w:color="auto"/>
        <w:left w:val="none" w:sz="0" w:space="0" w:color="auto"/>
        <w:bottom w:val="none" w:sz="0" w:space="0" w:color="auto"/>
        <w:right w:val="none" w:sz="0" w:space="0" w:color="auto"/>
      </w:divBdr>
    </w:div>
    <w:div w:id="2051880385">
      <w:bodyDiv w:val="1"/>
      <w:marLeft w:val="0"/>
      <w:marRight w:val="0"/>
      <w:marTop w:val="0"/>
      <w:marBottom w:val="0"/>
      <w:divBdr>
        <w:top w:val="none" w:sz="0" w:space="0" w:color="auto"/>
        <w:left w:val="none" w:sz="0" w:space="0" w:color="auto"/>
        <w:bottom w:val="none" w:sz="0" w:space="0" w:color="auto"/>
        <w:right w:val="none" w:sz="0" w:space="0" w:color="auto"/>
      </w:divBdr>
    </w:div>
    <w:div w:id="2058623840">
      <w:bodyDiv w:val="1"/>
      <w:marLeft w:val="0"/>
      <w:marRight w:val="0"/>
      <w:marTop w:val="0"/>
      <w:marBottom w:val="0"/>
      <w:divBdr>
        <w:top w:val="none" w:sz="0" w:space="0" w:color="auto"/>
        <w:left w:val="none" w:sz="0" w:space="0" w:color="auto"/>
        <w:bottom w:val="none" w:sz="0" w:space="0" w:color="auto"/>
        <w:right w:val="none" w:sz="0" w:space="0" w:color="auto"/>
      </w:divBdr>
    </w:div>
    <w:div w:id="20703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6FEB-B92D-4D15-9D31-401C9D65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17674</Words>
  <Characters>98355</Characters>
  <Application>Microsoft Office Word</Application>
  <DocSecurity>0</DocSecurity>
  <Lines>819</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2020-10-27T08:32:00Z</dcterms:created>
  <dcterms:modified xsi:type="dcterms:W3CDTF">2020-10-27T08:32:00Z</dcterms:modified>
</cp:coreProperties>
</file>