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9B4C2" w14:textId="79EB9365" w:rsidR="00BF27A0" w:rsidRPr="00C9316D" w:rsidRDefault="006E092F" w:rsidP="00B95707">
      <w:pPr>
        <w:pStyle w:val="1MainTitle"/>
        <w:jc w:val="left"/>
        <w:rPr>
          <w:rFonts w:eastAsia="Calibri"/>
          <w:lang w:eastAsia="en-US"/>
        </w:rPr>
      </w:pPr>
      <w:r w:rsidRPr="00C9316D">
        <w:rPr>
          <w:rFonts w:eastAsia="Calibri"/>
          <w:lang w:eastAsia="en-US"/>
        </w:rPr>
        <w:t>5.15</w:t>
      </w:r>
      <w:r w:rsidR="00BF27A0" w:rsidRPr="00C9316D">
        <w:rPr>
          <w:rFonts w:eastAsia="Calibri"/>
          <w:lang w:eastAsia="en-US"/>
        </w:rPr>
        <w:tab/>
      </w:r>
      <w:r w:rsidR="00762A00" w:rsidRPr="00C9316D">
        <w:rPr>
          <w:rFonts w:eastAsia="Calibri"/>
          <w:lang w:eastAsia="en-US"/>
        </w:rPr>
        <w:t>BEVACIZUMAB</w:t>
      </w:r>
      <w:r w:rsidR="00F82E5C" w:rsidRPr="00C9316D">
        <w:rPr>
          <w:rFonts w:eastAsia="Calibri"/>
          <w:lang w:eastAsia="en-US"/>
        </w:rPr>
        <w:t xml:space="preserve"> </w:t>
      </w:r>
      <w:r w:rsidR="005E0D82" w:rsidRPr="00C9316D">
        <w:rPr>
          <w:rFonts w:eastAsia="Calibri"/>
          <w:lang w:eastAsia="en-US"/>
        </w:rPr>
        <w:br/>
      </w:r>
      <w:r w:rsidR="003846A5" w:rsidRPr="00C9316D">
        <w:t>S</w:t>
      </w:r>
      <w:r w:rsidR="00762A00" w:rsidRPr="00C9316D">
        <w:t xml:space="preserve">olution for </w:t>
      </w:r>
      <w:r w:rsidR="003846A5" w:rsidRPr="00C9316D">
        <w:t xml:space="preserve">I.V. </w:t>
      </w:r>
      <w:r w:rsidR="00762A00" w:rsidRPr="00C9316D">
        <w:t>infusion, 100 mg in 4 mL and 400 mg in 16 mL</w:t>
      </w:r>
      <w:r w:rsidR="005E0D82" w:rsidRPr="00C9316D">
        <w:rPr>
          <w:rFonts w:eastAsia="Calibri"/>
          <w:lang w:eastAsia="en-US"/>
        </w:rPr>
        <w:br/>
      </w:r>
      <w:r w:rsidR="003846A5" w:rsidRPr="00C9316D">
        <w:t>Zirabev</w:t>
      </w:r>
      <w:r w:rsidR="00762A00" w:rsidRPr="00C9316D">
        <w:rPr>
          <w:vertAlign w:val="superscript"/>
        </w:rPr>
        <w:t>®</w:t>
      </w:r>
      <w:r w:rsidR="00762A00" w:rsidRPr="00C9316D">
        <w:t>,</w:t>
      </w:r>
      <w:r w:rsidR="00762A00" w:rsidRPr="00C9316D">
        <w:rPr>
          <w:rFonts w:eastAsia="Calibri"/>
          <w:lang w:eastAsia="en-US"/>
        </w:rPr>
        <w:t xml:space="preserve"> </w:t>
      </w:r>
      <w:r w:rsidR="00711A26" w:rsidRPr="00C9316D">
        <w:rPr>
          <w:rFonts w:eastAsia="Calibri"/>
          <w:lang w:eastAsia="en-US"/>
        </w:rPr>
        <w:br/>
      </w:r>
      <w:r w:rsidR="00762A00" w:rsidRPr="00C9316D">
        <w:rPr>
          <w:rFonts w:eastAsia="Calibri"/>
          <w:lang w:eastAsia="en-US"/>
        </w:rPr>
        <w:t>Pfizer Australia Pty Ltd</w:t>
      </w:r>
    </w:p>
    <w:p w14:paraId="0596616F" w14:textId="77777777" w:rsidR="008A50F1" w:rsidRPr="00C9316D" w:rsidRDefault="00CE10C4" w:rsidP="00B95707">
      <w:pPr>
        <w:pStyle w:val="2-SectionHeading"/>
      </w:pPr>
      <w:r w:rsidRPr="00C9316D">
        <w:t xml:space="preserve">Purpose of </w:t>
      </w:r>
      <w:r w:rsidR="0004240E" w:rsidRPr="00C9316D">
        <w:t>Application</w:t>
      </w:r>
      <w:r w:rsidR="00034905" w:rsidRPr="00C9316D">
        <w:t xml:space="preserve"> </w:t>
      </w:r>
    </w:p>
    <w:p w14:paraId="3BC77C8B" w14:textId="29AD53F8" w:rsidR="00D10C0F" w:rsidRPr="00C9316D" w:rsidRDefault="00EF44A0" w:rsidP="00B95707">
      <w:pPr>
        <w:pStyle w:val="3Bodytext"/>
        <w:jc w:val="both"/>
      </w:pPr>
      <w:r w:rsidRPr="00C9316D">
        <w:t>The mi</w:t>
      </w:r>
      <w:r w:rsidR="00FF2801" w:rsidRPr="00C9316D">
        <w:t xml:space="preserve">nor submission </w:t>
      </w:r>
      <w:r w:rsidR="00076640" w:rsidRPr="00C9316D">
        <w:t xml:space="preserve">requested </w:t>
      </w:r>
      <w:r w:rsidR="00076640" w:rsidRPr="00C9316D">
        <w:rPr>
          <w:rFonts w:cs="Arial"/>
          <w:snapToGrid w:val="0"/>
        </w:rPr>
        <w:t>a</w:t>
      </w:r>
      <w:r w:rsidR="00A65F01" w:rsidRPr="00C9316D">
        <w:rPr>
          <w:rFonts w:cs="Arial"/>
          <w:snapToGrid w:val="0"/>
        </w:rPr>
        <w:t xml:space="preserve"> Section 100 (Efficient Funding of Chemotherapy)</w:t>
      </w:r>
      <w:r w:rsidR="00076640" w:rsidRPr="00C9316D">
        <w:rPr>
          <w:rFonts w:cs="Arial"/>
          <w:snapToGrid w:val="0"/>
        </w:rPr>
        <w:t xml:space="preserve"> Authority Required (STREAMLINED) listing </w:t>
      </w:r>
      <w:r w:rsidR="00750E56" w:rsidRPr="00C9316D">
        <w:rPr>
          <w:rFonts w:cs="Arial"/>
          <w:snapToGrid w:val="0"/>
        </w:rPr>
        <w:t>for a</w:t>
      </w:r>
      <w:r w:rsidR="00076640" w:rsidRPr="00C9316D">
        <w:rPr>
          <w:rFonts w:cs="Arial"/>
          <w:snapToGrid w:val="0"/>
        </w:rPr>
        <w:t xml:space="preserve"> new biosimilar </w:t>
      </w:r>
      <w:r w:rsidR="00750E56" w:rsidRPr="00C9316D">
        <w:rPr>
          <w:rFonts w:cs="Arial"/>
          <w:snapToGrid w:val="0"/>
        </w:rPr>
        <w:t xml:space="preserve">brand of </w:t>
      </w:r>
      <w:r w:rsidR="00076640" w:rsidRPr="00C9316D">
        <w:rPr>
          <w:rFonts w:cs="Arial"/>
          <w:snapToGrid w:val="0"/>
        </w:rPr>
        <w:t xml:space="preserve">bevacizumab </w:t>
      </w:r>
      <w:r w:rsidR="00750E56" w:rsidRPr="00C9316D">
        <w:rPr>
          <w:rFonts w:cs="Arial"/>
          <w:snapToGrid w:val="0"/>
        </w:rPr>
        <w:t>(</w:t>
      </w:r>
      <w:r w:rsidR="00D10C0F" w:rsidRPr="00C9316D">
        <w:t>Z</w:t>
      </w:r>
      <w:r w:rsidR="00C4291D" w:rsidRPr="00C9316D">
        <w:t>irabev</w:t>
      </w:r>
      <w:r w:rsidR="00165277" w:rsidRPr="00C9316D">
        <w:t>®</w:t>
      </w:r>
      <w:r w:rsidR="00750E56" w:rsidRPr="00C9316D">
        <w:t>)</w:t>
      </w:r>
      <w:r w:rsidR="00165277" w:rsidRPr="00C9316D">
        <w:t>, hereafter referred to as Zirabev</w:t>
      </w:r>
      <w:r w:rsidR="001946DB" w:rsidRPr="00C9316D">
        <w:t>.</w:t>
      </w:r>
    </w:p>
    <w:p w14:paraId="34CA006F" w14:textId="77777777" w:rsidR="00A01432" w:rsidRPr="00C9316D" w:rsidRDefault="00A01432" w:rsidP="00B95707">
      <w:pPr>
        <w:pStyle w:val="2-SectionHeading"/>
      </w:pPr>
      <w:r w:rsidRPr="00C9316D">
        <w:t xml:space="preserve">Background </w:t>
      </w:r>
    </w:p>
    <w:p w14:paraId="4C4AFCF8" w14:textId="77777777" w:rsidR="00A01432" w:rsidRPr="00C9316D" w:rsidRDefault="00A01432" w:rsidP="00B95707">
      <w:pPr>
        <w:pStyle w:val="4-SubsectionHeading"/>
      </w:pPr>
      <w:r w:rsidRPr="00C9316D">
        <w:t>Registration status</w:t>
      </w:r>
    </w:p>
    <w:p w14:paraId="5E4E12E3" w14:textId="62F38569" w:rsidR="00A01432" w:rsidRPr="00C9316D" w:rsidRDefault="007D0CAB" w:rsidP="00B95707">
      <w:pPr>
        <w:pStyle w:val="3Bodytext"/>
        <w:jc w:val="both"/>
      </w:pPr>
      <w:r w:rsidRPr="00C9316D">
        <w:rPr>
          <w:lang w:eastAsia="en-US"/>
        </w:rPr>
        <w:t>Zirabev</w:t>
      </w:r>
      <w:r w:rsidR="00E104BD" w:rsidRPr="00C9316D">
        <w:t xml:space="preserve"> was TGA approved on </w:t>
      </w:r>
      <w:r w:rsidR="00397272" w:rsidRPr="00C9316D">
        <w:t>21 November 2019</w:t>
      </w:r>
      <w:r w:rsidR="00E104BD" w:rsidRPr="00C9316D">
        <w:t xml:space="preserve"> and was determined to be a biosimilar to the reference brand Avastin</w:t>
      </w:r>
      <w:r w:rsidR="00B86CCB" w:rsidRPr="00C9316D">
        <w:t>® (hereafter referred to as Avastin)</w:t>
      </w:r>
      <w:r w:rsidR="00E104BD" w:rsidRPr="00C9316D">
        <w:t>.</w:t>
      </w:r>
    </w:p>
    <w:p w14:paraId="701B0024" w14:textId="1391493D" w:rsidR="00F85434" w:rsidRPr="00C9316D" w:rsidRDefault="00F85434" w:rsidP="00B95707">
      <w:pPr>
        <w:pStyle w:val="3Bodytext"/>
        <w:jc w:val="both"/>
      </w:pPr>
      <w:r w:rsidRPr="00C9316D">
        <w:rPr>
          <w:lang w:eastAsia="en-US"/>
        </w:rPr>
        <w:t>Zirabev</w:t>
      </w:r>
      <w:r w:rsidRPr="00C9316D">
        <w:t xml:space="preserve"> was TGA approved </w:t>
      </w:r>
      <w:r w:rsidR="00052A00" w:rsidRPr="00C9316D">
        <w:t xml:space="preserve">for </w:t>
      </w:r>
      <w:r w:rsidRPr="00C9316D">
        <w:t>the same indications as the reference brand, Avastin</w:t>
      </w:r>
      <w:r w:rsidR="002F378C" w:rsidRPr="00C9316D">
        <w:t>.</w:t>
      </w:r>
      <w:r w:rsidR="00C73697" w:rsidRPr="00C9316D">
        <w:t xml:space="preserve"> The TGA considered the extrapolation of indications for Zirabev to all the indications</w:t>
      </w:r>
      <w:r w:rsidR="00AA59FE" w:rsidRPr="00C9316D">
        <w:t xml:space="preserve"> of Avastin in Australia</w:t>
      </w:r>
      <w:r w:rsidR="00C73697" w:rsidRPr="00C9316D">
        <w:t xml:space="preserve"> appropriate (TGA Delegate’s Overview, p18).</w:t>
      </w:r>
    </w:p>
    <w:p w14:paraId="48DE1961" w14:textId="10D4F4D7" w:rsidR="00F512D6" w:rsidRPr="00C9316D" w:rsidRDefault="00052A00" w:rsidP="00B95707">
      <w:pPr>
        <w:pStyle w:val="3Bodytext"/>
        <w:jc w:val="both"/>
        <w:rPr>
          <w:color w:val="000000" w:themeColor="text1"/>
        </w:rPr>
      </w:pPr>
      <w:r w:rsidRPr="00C9316D">
        <w:t>Zirabev</w:t>
      </w:r>
      <w:r w:rsidR="00C73697" w:rsidRPr="00C9316D">
        <w:t xml:space="preserve"> </w:t>
      </w:r>
      <w:r w:rsidRPr="00C9316D">
        <w:t xml:space="preserve">has </w:t>
      </w:r>
      <w:r w:rsidR="00457841" w:rsidRPr="00C9316D">
        <w:t xml:space="preserve">not previously </w:t>
      </w:r>
      <w:r w:rsidRPr="00C9316D">
        <w:t xml:space="preserve">been </w:t>
      </w:r>
      <w:r w:rsidR="00457841" w:rsidRPr="00C9316D">
        <w:t xml:space="preserve">considered </w:t>
      </w:r>
      <w:r w:rsidRPr="00C9316D">
        <w:t>by the PBAC</w:t>
      </w:r>
      <w:r w:rsidR="00457841" w:rsidRPr="00C9316D">
        <w:t>.</w:t>
      </w:r>
      <w:r w:rsidR="00245C75" w:rsidRPr="00C9316D">
        <w:rPr>
          <w:color w:val="000000" w:themeColor="text1"/>
        </w:rPr>
        <w:t xml:space="preserve"> Avastin is the only brand of bevacizumab </w:t>
      </w:r>
      <w:r w:rsidR="00BD20BD" w:rsidRPr="00C9316D">
        <w:rPr>
          <w:color w:val="000000" w:themeColor="text1"/>
        </w:rPr>
        <w:t>currently listed on the PBS</w:t>
      </w:r>
      <w:r w:rsidR="00245C75" w:rsidRPr="00C9316D">
        <w:rPr>
          <w:color w:val="000000" w:themeColor="text1"/>
        </w:rPr>
        <w:t>.</w:t>
      </w:r>
    </w:p>
    <w:p w14:paraId="54C18D2F" w14:textId="61728976" w:rsidR="005C00ED" w:rsidRPr="00C9316D" w:rsidRDefault="005C00ED" w:rsidP="005C00ED">
      <w:pPr>
        <w:pStyle w:val="3Bodytext"/>
        <w:numPr>
          <w:ilvl w:val="0"/>
          <w:numId w:val="0"/>
        </w:numPr>
        <w:ind w:left="720"/>
        <w:rPr>
          <w:i/>
          <w:color w:val="000000" w:themeColor="text1"/>
        </w:rPr>
      </w:pPr>
      <w:r w:rsidRPr="00C9316D">
        <w:rPr>
          <w:i/>
          <w:color w:val="000000" w:themeColor="text1"/>
        </w:rPr>
        <w:t>For more deta</w:t>
      </w:r>
      <w:r w:rsidR="00D16309" w:rsidRPr="00C9316D">
        <w:rPr>
          <w:i/>
          <w:color w:val="000000" w:themeColor="text1"/>
        </w:rPr>
        <w:t>il on PBAC’s view, see section 5</w:t>
      </w:r>
      <w:r w:rsidRPr="00C9316D">
        <w:rPr>
          <w:i/>
          <w:color w:val="000000" w:themeColor="text1"/>
        </w:rPr>
        <w:t xml:space="preserve"> PBAC outcome.</w:t>
      </w:r>
    </w:p>
    <w:p w14:paraId="4C732A79" w14:textId="77777777" w:rsidR="00B17EE5" w:rsidRPr="00C9316D" w:rsidRDefault="00B17EE5" w:rsidP="00B95707">
      <w:pPr>
        <w:pStyle w:val="2-SectionHeading"/>
      </w:pPr>
      <w:r w:rsidRPr="00C9316D">
        <w:t>Requested listing</w:t>
      </w:r>
    </w:p>
    <w:p w14:paraId="3FB51E30" w14:textId="29AF6655" w:rsidR="00395614" w:rsidRPr="00C9316D" w:rsidRDefault="001946DB" w:rsidP="00B95707">
      <w:pPr>
        <w:pStyle w:val="3Bodytext"/>
        <w:jc w:val="both"/>
      </w:pPr>
      <w:r w:rsidRPr="00C9316D">
        <w:t>The submission requested</w:t>
      </w:r>
      <w:r w:rsidR="002618F6" w:rsidRPr="00C9316D">
        <w:t xml:space="preserve"> the same</w:t>
      </w:r>
      <w:r w:rsidRPr="00C9316D">
        <w:t xml:space="preserve"> listing</w:t>
      </w:r>
      <w:r w:rsidR="002618F6" w:rsidRPr="00C9316D">
        <w:t>s</w:t>
      </w:r>
      <w:r w:rsidRPr="00C9316D">
        <w:t xml:space="preserve"> for all indications for which the reference brand </w:t>
      </w:r>
      <w:r w:rsidR="00FF0AB4" w:rsidRPr="00C9316D">
        <w:t>Avastin</w:t>
      </w:r>
      <w:r w:rsidRPr="00C9316D">
        <w:t xml:space="preserve"> is currently PBS listed</w:t>
      </w:r>
      <w:r w:rsidR="00D2776B" w:rsidRPr="00C9316D">
        <w:t>. The proposed dosage, form, strength, maximum quantity and number of repeats for Zirabev are the same as for Avastin</w:t>
      </w:r>
      <w:r w:rsidRPr="00C9316D">
        <w:t xml:space="preserve">: </w:t>
      </w:r>
    </w:p>
    <w:p w14:paraId="00308D26" w14:textId="267C033F" w:rsidR="00FF0AB4" w:rsidRPr="00C9316D" w:rsidRDefault="00FF0AB4" w:rsidP="0005548A">
      <w:pPr>
        <w:pStyle w:val="3Bodytext"/>
        <w:numPr>
          <w:ilvl w:val="0"/>
          <w:numId w:val="11"/>
        </w:numPr>
        <w:spacing w:after="0"/>
        <w:jc w:val="both"/>
      </w:pPr>
      <w:r w:rsidRPr="00C9316D">
        <w:t xml:space="preserve">Metastatic </w:t>
      </w:r>
      <w:r w:rsidR="00F3543F" w:rsidRPr="00C9316D">
        <w:t>c</w:t>
      </w:r>
      <w:r w:rsidRPr="00C9316D">
        <w:t xml:space="preserve">olorectal </w:t>
      </w:r>
      <w:r w:rsidR="00F3543F" w:rsidRPr="00C9316D">
        <w:t>c</w:t>
      </w:r>
      <w:r w:rsidRPr="00C9316D">
        <w:t>ancer</w:t>
      </w:r>
    </w:p>
    <w:p w14:paraId="0313E2FB" w14:textId="48982E51" w:rsidR="00FF0AB4" w:rsidRPr="00C9316D" w:rsidRDefault="00FF0AB4" w:rsidP="0005548A">
      <w:pPr>
        <w:pStyle w:val="3Bodytext"/>
        <w:numPr>
          <w:ilvl w:val="0"/>
          <w:numId w:val="11"/>
        </w:numPr>
        <w:spacing w:after="0"/>
        <w:jc w:val="both"/>
      </w:pPr>
      <w:r w:rsidRPr="00C9316D">
        <w:t xml:space="preserve">Advanced, metastatic or recurrent non-squamous </w:t>
      </w:r>
      <w:r w:rsidR="00F3543F" w:rsidRPr="00C9316D">
        <w:t>n</w:t>
      </w:r>
      <w:r w:rsidRPr="00C9316D">
        <w:t>on-</w:t>
      </w:r>
      <w:r w:rsidR="00F3543F" w:rsidRPr="00C9316D">
        <w:t>s</w:t>
      </w:r>
      <w:r w:rsidRPr="00C9316D">
        <w:t xml:space="preserve">mall </w:t>
      </w:r>
      <w:r w:rsidR="00F3543F" w:rsidRPr="00C9316D">
        <w:t>c</w:t>
      </w:r>
      <w:r w:rsidRPr="00C9316D">
        <w:t xml:space="preserve">ell </w:t>
      </w:r>
      <w:r w:rsidR="00F3543F" w:rsidRPr="00C9316D">
        <w:t>l</w:t>
      </w:r>
      <w:r w:rsidRPr="00C9316D">
        <w:t xml:space="preserve">ung </w:t>
      </w:r>
      <w:r w:rsidR="00F3543F" w:rsidRPr="00C9316D">
        <w:t>c</w:t>
      </w:r>
      <w:r w:rsidRPr="00C9316D">
        <w:t>ancer (NSCLC)</w:t>
      </w:r>
    </w:p>
    <w:p w14:paraId="03F468D5" w14:textId="77777777" w:rsidR="00FF0AB4" w:rsidRPr="00C9316D" w:rsidRDefault="00FF0AB4" w:rsidP="0005548A">
      <w:pPr>
        <w:pStyle w:val="3Bodytext"/>
        <w:numPr>
          <w:ilvl w:val="0"/>
          <w:numId w:val="11"/>
        </w:numPr>
        <w:spacing w:after="0"/>
        <w:jc w:val="both"/>
      </w:pPr>
      <w:r w:rsidRPr="00C9316D">
        <w:t xml:space="preserve">Relapsed or recurrent glioblastoma </w:t>
      </w:r>
    </w:p>
    <w:p w14:paraId="60003DC7" w14:textId="04665E29" w:rsidR="00FF0AB4" w:rsidRPr="00C9316D" w:rsidRDefault="00FF0AB4" w:rsidP="0005548A">
      <w:pPr>
        <w:pStyle w:val="3Bodytext"/>
        <w:numPr>
          <w:ilvl w:val="0"/>
          <w:numId w:val="11"/>
        </w:numPr>
        <w:spacing w:after="0"/>
        <w:jc w:val="both"/>
      </w:pPr>
      <w:r w:rsidRPr="00C9316D">
        <w:t xml:space="preserve">Epithelial </w:t>
      </w:r>
      <w:r w:rsidR="00F3543F" w:rsidRPr="00C9316D">
        <w:t>o</w:t>
      </w:r>
      <w:r w:rsidRPr="00C9316D">
        <w:t xml:space="preserve">varian, </w:t>
      </w:r>
      <w:r w:rsidR="00F3543F" w:rsidRPr="00C9316D">
        <w:t>f</w:t>
      </w:r>
      <w:r w:rsidRPr="00C9316D">
        <w:t xml:space="preserve">allopian </w:t>
      </w:r>
      <w:r w:rsidR="00F3543F" w:rsidRPr="00C9316D">
        <w:t>t</w:t>
      </w:r>
      <w:r w:rsidRPr="00C9316D">
        <w:t xml:space="preserve">ube or </w:t>
      </w:r>
      <w:r w:rsidR="00F3543F" w:rsidRPr="00C9316D">
        <w:t>p</w:t>
      </w:r>
      <w:r w:rsidRPr="00C9316D">
        <w:t xml:space="preserve">rimary </w:t>
      </w:r>
      <w:r w:rsidR="00F3543F" w:rsidRPr="00C9316D">
        <w:t>p</w:t>
      </w:r>
      <w:r w:rsidRPr="00C9316D">
        <w:t xml:space="preserve">eritoneal </w:t>
      </w:r>
      <w:r w:rsidR="00F3543F" w:rsidRPr="00C9316D">
        <w:t>c</w:t>
      </w:r>
      <w:r w:rsidRPr="00C9316D">
        <w:t>ancer</w:t>
      </w:r>
    </w:p>
    <w:p w14:paraId="6876F3F1" w14:textId="6636F90C" w:rsidR="00FF0AB4" w:rsidRPr="00C9316D" w:rsidRDefault="00FF0AB4" w:rsidP="00B86CCB">
      <w:pPr>
        <w:pStyle w:val="3Bodytext"/>
        <w:numPr>
          <w:ilvl w:val="0"/>
          <w:numId w:val="11"/>
        </w:numPr>
        <w:jc w:val="both"/>
      </w:pPr>
      <w:r w:rsidRPr="00C9316D">
        <w:t xml:space="preserve">Cervical </w:t>
      </w:r>
      <w:r w:rsidR="00F3543F" w:rsidRPr="00C9316D">
        <w:t>c</w:t>
      </w:r>
      <w:r w:rsidRPr="00C9316D">
        <w:t xml:space="preserve">ancer </w:t>
      </w:r>
    </w:p>
    <w:p w14:paraId="2BF0F2CA" w14:textId="24E99416" w:rsidR="00387E15" w:rsidRPr="00C9316D" w:rsidRDefault="00387E15" w:rsidP="00387E15">
      <w:pPr>
        <w:pStyle w:val="3Bodytext"/>
        <w:jc w:val="both"/>
      </w:pPr>
      <w:r w:rsidRPr="00C9316D">
        <w:t xml:space="preserve">The submission requested Authority Required (STREAMLINED) listings for all indications for Zirabev to encourage biosimilar uptake. This is the same </w:t>
      </w:r>
      <w:r w:rsidR="006C5AA8" w:rsidRPr="00C9316D">
        <w:t xml:space="preserve">type </w:t>
      </w:r>
      <w:r w:rsidRPr="00C9316D">
        <w:t xml:space="preserve">of authority as Avastin for all indications except for relapsed or recurrent glioblastoma, </w:t>
      </w:r>
      <w:r w:rsidRPr="00C9316D">
        <w:lastRenderedPageBreak/>
        <w:t>which is currently a written authority for initial treatment and telephone authority for continuing treatment.</w:t>
      </w:r>
    </w:p>
    <w:p w14:paraId="0D7668C7" w14:textId="15455382" w:rsidR="00EB1C87" w:rsidRPr="00C9316D" w:rsidRDefault="00EB1C87" w:rsidP="00EB1C87">
      <w:pPr>
        <w:pStyle w:val="Bodytextitalics"/>
        <w:ind w:left="720"/>
      </w:pPr>
      <w:r w:rsidRPr="00C9316D">
        <w:t>For more deta</w:t>
      </w:r>
      <w:r w:rsidR="00D16309" w:rsidRPr="00C9316D">
        <w:t>il on PBAC’s view, see section 5</w:t>
      </w:r>
      <w:r w:rsidRPr="00C9316D">
        <w:t xml:space="preserve"> PBAC outcome.</w:t>
      </w:r>
    </w:p>
    <w:p w14:paraId="31572404" w14:textId="29C53FF0" w:rsidR="00356E5B" w:rsidRPr="00C9316D" w:rsidRDefault="008D7A41" w:rsidP="00B95707">
      <w:pPr>
        <w:pStyle w:val="2-SectionHeading"/>
      </w:pPr>
      <w:r w:rsidRPr="00C9316D">
        <w:t>C</w:t>
      </w:r>
      <w:r w:rsidR="00D84934" w:rsidRPr="00C9316D">
        <w:t>onsideration of the evidence</w:t>
      </w:r>
    </w:p>
    <w:p w14:paraId="6314A686" w14:textId="2F400C59" w:rsidR="00EB1C87" w:rsidRPr="00C9316D" w:rsidRDefault="00EB1C87" w:rsidP="00B95707">
      <w:pPr>
        <w:pStyle w:val="4-SubsectionHeading"/>
        <w:keepNext w:val="0"/>
        <w:rPr>
          <w:lang w:eastAsia="en-US"/>
        </w:rPr>
      </w:pPr>
      <w:r w:rsidRPr="00C9316D">
        <w:rPr>
          <w:lang w:eastAsia="en-US"/>
        </w:rPr>
        <w:t>Sponsor hearing</w:t>
      </w:r>
    </w:p>
    <w:p w14:paraId="4726795D" w14:textId="3609B9AE" w:rsidR="0000124F" w:rsidRPr="00C9316D" w:rsidRDefault="0000124F" w:rsidP="0000124F">
      <w:pPr>
        <w:pStyle w:val="3Bodytext"/>
        <w:jc w:val="both"/>
        <w:rPr>
          <w:lang w:eastAsia="en-US"/>
        </w:rPr>
      </w:pPr>
      <w:r w:rsidRPr="00C9316D">
        <w:rPr>
          <w:rFonts w:cs="Arial"/>
          <w:bCs/>
          <w:snapToGrid w:val="0"/>
        </w:rPr>
        <w:t>There was no hearing for this item as it was a minor submission</w:t>
      </w:r>
      <w:r w:rsidR="00EE55BB" w:rsidRPr="00C9316D">
        <w:rPr>
          <w:rFonts w:cs="Arial"/>
          <w:bCs/>
          <w:snapToGrid w:val="0"/>
        </w:rPr>
        <w:t>.</w:t>
      </w:r>
    </w:p>
    <w:p w14:paraId="139A858F" w14:textId="1A23658C" w:rsidR="00EB1C87" w:rsidRPr="00C9316D" w:rsidRDefault="00EB1C87" w:rsidP="00EB1C87">
      <w:pPr>
        <w:pStyle w:val="4-SubsectionHeading"/>
        <w:keepNext w:val="0"/>
        <w:rPr>
          <w:lang w:eastAsia="en-US"/>
        </w:rPr>
      </w:pPr>
      <w:r w:rsidRPr="00C9316D">
        <w:rPr>
          <w:lang w:eastAsia="en-US"/>
        </w:rPr>
        <w:t>Consumer comments</w:t>
      </w:r>
    </w:p>
    <w:p w14:paraId="5AFB79B5" w14:textId="2E251936" w:rsidR="0000124F" w:rsidRPr="00C9316D" w:rsidRDefault="0000124F" w:rsidP="0000124F">
      <w:pPr>
        <w:pStyle w:val="3Bodytext"/>
        <w:jc w:val="both"/>
        <w:rPr>
          <w:lang w:eastAsia="en-US"/>
        </w:rPr>
      </w:pPr>
      <w:r w:rsidRPr="00C9316D">
        <w:rPr>
          <w:rFonts w:cs="Arial"/>
          <w:bCs/>
          <w:snapToGrid w:val="0"/>
        </w:rPr>
        <w:t>The PBAC noted that no consumer comments were received for this item</w:t>
      </w:r>
      <w:r w:rsidR="00EE55BB" w:rsidRPr="00C9316D">
        <w:rPr>
          <w:rFonts w:cs="Arial"/>
          <w:bCs/>
          <w:snapToGrid w:val="0"/>
        </w:rPr>
        <w:t>.</w:t>
      </w:r>
    </w:p>
    <w:p w14:paraId="2D719663" w14:textId="24A82EB5" w:rsidR="00D84934" w:rsidRPr="00C9316D" w:rsidRDefault="00D84934" w:rsidP="00B95707">
      <w:pPr>
        <w:pStyle w:val="4-SubsectionHeading"/>
        <w:keepNext w:val="0"/>
        <w:rPr>
          <w:lang w:eastAsia="en-US"/>
        </w:rPr>
      </w:pPr>
      <w:r w:rsidRPr="00C9316D">
        <w:rPr>
          <w:lang w:eastAsia="en-US"/>
        </w:rPr>
        <w:t>Clinical trials</w:t>
      </w:r>
      <w:r w:rsidR="0099465B" w:rsidRPr="00C9316D">
        <w:rPr>
          <w:lang w:eastAsia="en-US"/>
        </w:rPr>
        <w:t xml:space="preserve"> </w:t>
      </w:r>
    </w:p>
    <w:p w14:paraId="48C40C2F" w14:textId="4EDB28E1" w:rsidR="0076420C" w:rsidRPr="00C9316D" w:rsidRDefault="00D77F55" w:rsidP="00B95707">
      <w:pPr>
        <w:pStyle w:val="3Bodytext"/>
        <w:jc w:val="both"/>
      </w:pPr>
      <w:r w:rsidRPr="00C9316D">
        <w:t xml:space="preserve">The minor submission presented the following clinical trials to support the </w:t>
      </w:r>
      <w:r w:rsidR="00281361" w:rsidRPr="00C9316D">
        <w:t xml:space="preserve">claim of </w:t>
      </w:r>
      <w:r w:rsidRPr="00C9316D">
        <w:t xml:space="preserve">biosimilarity of </w:t>
      </w:r>
      <w:r w:rsidRPr="00C9316D">
        <w:rPr>
          <w:lang w:eastAsia="en-US"/>
        </w:rPr>
        <w:t>Zirabev</w:t>
      </w:r>
      <w:r w:rsidRPr="00C9316D">
        <w:t xml:space="preserve"> to </w:t>
      </w:r>
      <w:r w:rsidR="00281361" w:rsidRPr="00C9316D">
        <w:t xml:space="preserve">the reference brand </w:t>
      </w:r>
      <w:r w:rsidRPr="00C9316D">
        <w:t xml:space="preserve">Avastin. As a minor submission, no evaluation of the clinical evidence was undertaken. </w:t>
      </w:r>
    </w:p>
    <w:p w14:paraId="2A5C8935" w14:textId="77777777" w:rsidR="0031643F" w:rsidRPr="00C9316D" w:rsidRDefault="0031643F">
      <w:pPr>
        <w:jc w:val="left"/>
        <w:rPr>
          <w:rFonts w:ascii="Arial Narrow" w:hAnsi="Arial Narrow"/>
          <w:b/>
          <w:sz w:val="20"/>
          <w:szCs w:val="22"/>
        </w:rPr>
      </w:pPr>
      <w:r w:rsidRPr="00C9316D">
        <w:br w:type="page"/>
      </w:r>
    </w:p>
    <w:p w14:paraId="2414397F" w14:textId="0D8B0C1E" w:rsidR="00BF092C" w:rsidRPr="00C9316D" w:rsidRDefault="00BF092C" w:rsidP="00B95707">
      <w:pPr>
        <w:pStyle w:val="Tabletitles"/>
      </w:pPr>
      <w:r w:rsidRPr="00C9316D">
        <w:lastRenderedPageBreak/>
        <w:t>Table</w:t>
      </w:r>
      <w:r w:rsidR="007E6FF8" w:rsidRPr="00C9316D">
        <w:rPr>
          <w:rFonts w:eastAsiaTheme="majorEastAsia"/>
        </w:rPr>
        <w:t xml:space="preserve"> 1</w:t>
      </w:r>
      <w:r w:rsidR="00EE31A2" w:rsidRPr="00C9316D">
        <w:rPr>
          <w:rFonts w:eastAsiaTheme="majorEastAsia"/>
        </w:rPr>
        <w:t xml:space="preserve">: </w:t>
      </w:r>
      <w:r w:rsidRPr="00C9316D">
        <w:t>Trials and associa</w:t>
      </w:r>
      <w:r w:rsidR="007E6FF8" w:rsidRPr="00C9316D">
        <w:t xml:space="preserve">ted reports presented in the </w:t>
      </w:r>
      <w:r w:rsidRPr="00C9316D">
        <w:t>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6"/>
        <w:gridCol w:w="5458"/>
        <w:gridCol w:w="2122"/>
      </w:tblGrid>
      <w:tr w:rsidR="0076420C" w:rsidRPr="00C9316D" w14:paraId="2D082A48" w14:textId="77777777" w:rsidTr="00B95707">
        <w:trPr>
          <w:cantSplit/>
          <w:trHeight w:val="539"/>
          <w:tblHeader/>
        </w:trPr>
        <w:tc>
          <w:tcPr>
            <w:tcW w:w="796" w:type="pct"/>
          </w:tcPr>
          <w:p w14:paraId="36EE8F7C" w14:textId="77777777" w:rsidR="0076420C" w:rsidRPr="00C9316D" w:rsidRDefault="0076420C" w:rsidP="00B95707">
            <w:pPr>
              <w:pStyle w:val="TableText0"/>
              <w:rPr>
                <w:b/>
              </w:rPr>
            </w:pPr>
            <w:r w:rsidRPr="00C9316D">
              <w:rPr>
                <w:b/>
              </w:rPr>
              <w:t>Trial ID</w:t>
            </w:r>
            <w:r w:rsidR="006670BE" w:rsidRPr="00C9316D">
              <w:rPr>
                <w:b/>
              </w:rPr>
              <w:t>/First Author</w:t>
            </w:r>
          </w:p>
        </w:tc>
        <w:tc>
          <w:tcPr>
            <w:tcW w:w="3027" w:type="pct"/>
          </w:tcPr>
          <w:p w14:paraId="7903536C" w14:textId="77777777" w:rsidR="0076420C" w:rsidRPr="00C9316D" w:rsidRDefault="0076420C" w:rsidP="00B95707">
            <w:pPr>
              <w:pStyle w:val="TableText0"/>
              <w:rPr>
                <w:b/>
              </w:rPr>
            </w:pPr>
            <w:r w:rsidRPr="00C9316D">
              <w:rPr>
                <w:b/>
              </w:rPr>
              <w:t>Protocol title/ Publication title</w:t>
            </w:r>
          </w:p>
        </w:tc>
        <w:tc>
          <w:tcPr>
            <w:tcW w:w="1177" w:type="pct"/>
          </w:tcPr>
          <w:p w14:paraId="0FA44C1A" w14:textId="77777777" w:rsidR="0076420C" w:rsidRPr="00C9316D" w:rsidRDefault="0076420C" w:rsidP="00B95707">
            <w:pPr>
              <w:pStyle w:val="TableText0"/>
              <w:rPr>
                <w:b/>
              </w:rPr>
            </w:pPr>
            <w:r w:rsidRPr="00C9316D">
              <w:rPr>
                <w:b/>
              </w:rPr>
              <w:t>Publication citation</w:t>
            </w:r>
          </w:p>
        </w:tc>
      </w:tr>
      <w:tr w:rsidR="0076420C" w:rsidRPr="00C9316D" w14:paraId="05BC3D3C" w14:textId="77777777" w:rsidTr="00B95707">
        <w:trPr>
          <w:cantSplit/>
          <w:trHeight w:val="317"/>
        </w:trPr>
        <w:tc>
          <w:tcPr>
            <w:tcW w:w="796" w:type="pct"/>
          </w:tcPr>
          <w:p w14:paraId="7ADE276A" w14:textId="48BC1B27" w:rsidR="0076420C" w:rsidRPr="00C9316D" w:rsidRDefault="00DB1533" w:rsidP="00B95707">
            <w:pPr>
              <w:pStyle w:val="TableText0"/>
            </w:pPr>
            <w:r w:rsidRPr="00C9316D">
              <w:rPr>
                <w:b/>
                <w:bCs w:val="0"/>
                <w:color w:val="000000"/>
                <w:szCs w:val="20"/>
              </w:rPr>
              <w:t xml:space="preserve">B7391002 </w:t>
            </w:r>
          </w:p>
        </w:tc>
        <w:tc>
          <w:tcPr>
            <w:tcW w:w="3027" w:type="pct"/>
          </w:tcPr>
          <w:p w14:paraId="379B00F9" w14:textId="0C086D5F" w:rsidR="0076420C" w:rsidRPr="00A96186" w:rsidRDefault="00DB1533" w:rsidP="00A96186">
            <w:pPr>
              <w:pStyle w:val="EndNoteBibliography"/>
              <w:spacing w:after="0"/>
              <w:rPr>
                <w:rFonts w:ascii="Arial Narrow" w:hAnsi="Arial Narrow" w:cs="Arial"/>
                <w:noProof w:val="0"/>
                <w:sz w:val="20"/>
                <w:szCs w:val="20"/>
                <w:lang w:val="en-AU"/>
              </w:rPr>
            </w:pPr>
            <w:r w:rsidRPr="008E4C51">
              <w:rPr>
                <w:rFonts w:ascii="Arial Narrow" w:hAnsi="Arial Narrow" w:cs="Arial"/>
                <w:noProof w:val="0"/>
                <w:sz w:val="20"/>
                <w:szCs w:val="20"/>
                <w:lang w:val="en-AU"/>
              </w:rPr>
              <w:t>A Phase 1, Single-Dose, Single-Arm, Open-Label, Pilot, Pharmacokinetic Variability Study of Bevacizumab Administered Intravenously to Healthy Subjects.</w:t>
            </w:r>
          </w:p>
        </w:tc>
        <w:tc>
          <w:tcPr>
            <w:tcW w:w="1177" w:type="pct"/>
          </w:tcPr>
          <w:p w14:paraId="508126D9" w14:textId="080FFCEC" w:rsidR="0076420C" w:rsidRPr="00C9316D" w:rsidRDefault="00DB1533" w:rsidP="00B95707">
            <w:pPr>
              <w:pStyle w:val="TableText0"/>
            </w:pPr>
            <w:r w:rsidRPr="00C9316D">
              <w:rPr>
                <w:rFonts w:cs="Arial"/>
                <w:szCs w:val="20"/>
              </w:rPr>
              <w:t>Clinical Study Report Synopsis: Protocol B7391002</w:t>
            </w:r>
          </w:p>
        </w:tc>
      </w:tr>
      <w:tr w:rsidR="0076420C" w:rsidRPr="00C9316D" w14:paraId="4947E7AB" w14:textId="77777777" w:rsidTr="00B95707">
        <w:trPr>
          <w:cantSplit/>
          <w:trHeight w:val="317"/>
        </w:trPr>
        <w:tc>
          <w:tcPr>
            <w:tcW w:w="796" w:type="pct"/>
          </w:tcPr>
          <w:p w14:paraId="2185D794" w14:textId="736A71B8" w:rsidR="0076420C" w:rsidRPr="00C9316D" w:rsidRDefault="00DB1533" w:rsidP="00B95707">
            <w:pPr>
              <w:pStyle w:val="TableText0"/>
            </w:pPr>
            <w:r w:rsidRPr="00C9316D">
              <w:rPr>
                <w:b/>
                <w:bCs w:val="0"/>
                <w:color w:val="000000"/>
                <w:szCs w:val="20"/>
              </w:rPr>
              <w:t xml:space="preserve">B7391001 </w:t>
            </w:r>
          </w:p>
        </w:tc>
        <w:tc>
          <w:tcPr>
            <w:tcW w:w="3027" w:type="pct"/>
          </w:tcPr>
          <w:p w14:paraId="26AC05C2" w14:textId="3E552459" w:rsidR="0076420C" w:rsidRPr="00C9316D" w:rsidRDefault="00DB1533" w:rsidP="00B95707">
            <w:pPr>
              <w:pStyle w:val="TableText0"/>
            </w:pPr>
            <w:r w:rsidRPr="00C9316D">
              <w:rPr>
                <w:rFonts w:cs="Arial"/>
                <w:szCs w:val="20"/>
              </w:rPr>
              <w:t>Phase 1, Double Blind, Randomized, Parallel-Group, Single-Dose, 3-Arm, Comparative Pharmacokinetic Study of PF-06439535 and Bevacizumab Sourced From US and EU Administered to Healthy Male Volunteers.</w:t>
            </w:r>
          </w:p>
        </w:tc>
        <w:tc>
          <w:tcPr>
            <w:tcW w:w="1177" w:type="pct"/>
          </w:tcPr>
          <w:p w14:paraId="3065B7C6" w14:textId="7DC463D8" w:rsidR="0076420C" w:rsidRPr="00C9316D" w:rsidRDefault="00DB1533" w:rsidP="00B95707">
            <w:pPr>
              <w:pStyle w:val="TableText0"/>
            </w:pPr>
            <w:r w:rsidRPr="00C9316D">
              <w:rPr>
                <w:rFonts w:cs="Arial"/>
                <w:szCs w:val="20"/>
              </w:rPr>
              <w:t>Clinical Study Report Synopsis: Protocol B7391001.</w:t>
            </w:r>
          </w:p>
        </w:tc>
      </w:tr>
      <w:tr w:rsidR="0076420C" w:rsidRPr="00C9316D" w14:paraId="26ACB7BE" w14:textId="77777777" w:rsidTr="00B95707">
        <w:trPr>
          <w:cantSplit/>
        </w:trPr>
        <w:tc>
          <w:tcPr>
            <w:tcW w:w="796" w:type="pct"/>
          </w:tcPr>
          <w:p w14:paraId="12B13386" w14:textId="559995C8" w:rsidR="0076420C" w:rsidRPr="00C9316D" w:rsidRDefault="00DB1533" w:rsidP="00B95707">
            <w:pPr>
              <w:pStyle w:val="TableText0"/>
            </w:pPr>
            <w:r w:rsidRPr="00C9316D">
              <w:rPr>
                <w:b/>
                <w:bCs w:val="0"/>
                <w:color w:val="000000"/>
                <w:szCs w:val="20"/>
              </w:rPr>
              <w:t xml:space="preserve">B7391003 </w:t>
            </w:r>
          </w:p>
        </w:tc>
        <w:tc>
          <w:tcPr>
            <w:tcW w:w="3027" w:type="pct"/>
          </w:tcPr>
          <w:p w14:paraId="33125DEB" w14:textId="1969410C" w:rsidR="0076420C" w:rsidRPr="00A96186" w:rsidRDefault="00DB1533" w:rsidP="00A96186">
            <w:pPr>
              <w:pStyle w:val="EndNoteBibliography"/>
              <w:spacing w:after="0"/>
              <w:rPr>
                <w:rFonts w:ascii="Arial Narrow" w:hAnsi="Arial Narrow" w:cs="Arial"/>
                <w:noProof w:val="0"/>
                <w:sz w:val="20"/>
                <w:szCs w:val="20"/>
                <w:lang w:val="en-AU"/>
              </w:rPr>
            </w:pPr>
            <w:r w:rsidRPr="008E4C51">
              <w:rPr>
                <w:rFonts w:ascii="Arial Narrow" w:hAnsi="Arial Narrow" w:cs="Arial"/>
                <w:noProof w:val="0"/>
                <w:sz w:val="20"/>
                <w:szCs w:val="20"/>
                <w:lang w:val="en-AU"/>
              </w:rPr>
              <w:t>A Phase 3 Randomized, Double-Blind Study of PF-06439535 Plus Paclitaxel-Carboplatin and Bevacizumab Plus Paclitaxel-Carboplatin for the First-Line Treatment of Patients With Advanced Non-Squamous Non-Small Cell Lung Cancer.</w:t>
            </w:r>
          </w:p>
        </w:tc>
        <w:tc>
          <w:tcPr>
            <w:tcW w:w="1177" w:type="pct"/>
          </w:tcPr>
          <w:p w14:paraId="62A9C9B9" w14:textId="551C262A" w:rsidR="0076420C" w:rsidRPr="00C9316D" w:rsidRDefault="00DB1533" w:rsidP="00B95707">
            <w:pPr>
              <w:pStyle w:val="TableText0"/>
            </w:pPr>
            <w:r w:rsidRPr="00C9316D">
              <w:rPr>
                <w:rFonts w:cs="Arial"/>
                <w:szCs w:val="20"/>
              </w:rPr>
              <w:t>Clinical Study Report Synopsis: Protocol B7391003</w:t>
            </w:r>
          </w:p>
        </w:tc>
      </w:tr>
    </w:tbl>
    <w:p w14:paraId="3FA1B385" w14:textId="186F986B" w:rsidR="001B2BBC" w:rsidRPr="00C9316D" w:rsidRDefault="00334F03" w:rsidP="007071B8">
      <w:pPr>
        <w:pStyle w:val="3Bodytext"/>
        <w:spacing w:before="120"/>
        <w:jc w:val="both"/>
      </w:pPr>
      <w:r w:rsidRPr="00C9316D">
        <w:t xml:space="preserve">The clinical trials presented in the submission formed part of the TGA </w:t>
      </w:r>
      <w:r w:rsidR="00DA6486" w:rsidRPr="00C9316D">
        <w:t xml:space="preserve">submission </w:t>
      </w:r>
      <w:r w:rsidR="00B47931" w:rsidRPr="00C9316D">
        <w:t xml:space="preserve">to extrapolate </w:t>
      </w:r>
      <w:r w:rsidR="00441653" w:rsidRPr="00C9316D">
        <w:rPr>
          <w:rFonts w:cstheme="minorHAnsi"/>
          <w:szCs w:val="24"/>
        </w:rPr>
        <w:t>Avastin’s indications</w:t>
      </w:r>
      <w:r w:rsidR="00B47931" w:rsidRPr="00C9316D">
        <w:rPr>
          <w:rFonts w:cstheme="minorHAnsi"/>
          <w:szCs w:val="24"/>
        </w:rPr>
        <w:t xml:space="preserve"> to Zirabev</w:t>
      </w:r>
      <w:r w:rsidR="00441653" w:rsidRPr="00C9316D">
        <w:rPr>
          <w:rFonts w:cstheme="minorHAnsi"/>
          <w:szCs w:val="24"/>
        </w:rPr>
        <w:t>.</w:t>
      </w:r>
      <w:r w:rsidR="00DA6486" w:rsidRPr="00C9316D">
        <w:t xml:space="preserve"> </w:t>
      </w:r>
      <w:r w:rsidR="00DA6486" w:rsidRPr="00C9316D">
        <w:rPr>
          <w:rFonts w:cstheme="minorHAnsi"/>
          <w:szCs w:val="24"/>
        </w:rPr>
        <w:t xml:space="preserve">The TGA considered the results of the 2 </w:t>
      </w:r>
      <w:r w:rsidR="00B47931" w:rsidRPr="00C9316D">
        <w:rPr>
          <w:rFonts w:cstheme="minorHAnsi"/>
          <w:szCs w:val="24"/>
        </w:rPr>
        <w:t>pharmacokinetic</w:t>
      </w:r>
      <w:r w:rsidR="00DA6486" w:rsidRPr="00C9316D">
        <w:rPr>
          <w:rFonts w:cstheme="minorHAnsi"/>
          <w:szCs w:val="24"/>
        </w:rPr>
        <w:t xml:space="preserve"> studies</w:t>
      </w:r>
      <w:r w:rsidR="00B47931" w:rsidRPr="00C9316D">
        <w:rPr>
          <w:rFonts w:cstheme="minorHAnsi"/>
          <w:szCs w:val="24"/>
        </w:rPr>
        <w:t xml:space="preserve"> </w:t>
      </w:r>
      <w:r w:rsidR="00B47931" w:rsidRPr="00C9316D">
        <w:t>(B7391002 and B7391001)</w:t>
      </w:r>
      <w:r w:rsidR="00DA6486" w:rsidRPr="00C9316D">
        <w:rPr>
          <w:rFonts w:cstheme="minorHAnsi"/>
          <w:szCs w:val="24"/>
        </w:rPr>
        <w:t>,</w:t>
      </w:r>
      <w:r w:rsidR="00B803C3" w:rsidRPr="00C9316D">
        <w:rPr>
          <w:rFonts w:cstheme="minorHAnsi"/>
          <w:szCs w:val="24"/>
        </w:rPr>
        <w:t xml:space="preserve"> </w:t>
      </w:r>
      <w:r w:rsidR="00DA6486" w:rsidRPr="00C9316D">
        <w:rPr>
          <w:rFonts w:cstheme="minorHAnsi"/>
          <w:szCs w:val="24"/>
        </w:rPr>
        <w:t xml:space="preserve">the </w:t>
      </w:r>
      <w:r w:rsidR="00B47931" w:rsidRPr="00C9316D">
        <w:t xml:space="preserve">randomised trial </w:t>
      </w:r>
      <w:r w:rsidR="00B47931" w:rsidRPr="00C9316D">
        <w:rPr>
          <w:rFonts w:cstheme="minorHAnsi"/>
          <w:szCs w:val="24"/>
        </w:rPr>
        <w:t xml:space="preserve">phase 3 clinical comparability study </w:t>
      </w:r>
      <w:r w:rsidR="00B47931" w:rsidRPr="00C9316D">
        <w:t xml:space="preserve">in the advanced NSCLC </w:t>
      </w:r>
      <w:r w:rsidR="00B47931" w:rsidRPr="00C9316D">
        <w:rPr>
          <w:szCs w:val="24"/>
        </w:rPr>
        <w:t xml:space="preserve">population </w:t>
      </w:r>
      <w:r w:rsidR="00B47931" w:rsidRPr="00C9316D">
        <w:rPr>
          <w:rFonts w:cstheme="minorHAnsi"/>
          <w:szCs w:val="24"/>
        </w:rPr>
        <w:t xml:space="preserve">(B7391003) </w:t>
      </w:r>
      <w:r w:rsidR="00DA6486" w:rsidRPr="00C9316D">
        <w:rPr>
          <w:rFonts w:cstheme="minorHAnsi"/>
          <w:szCs w:val="24"/>
        </w:rPr>
        <w:t>and the submitted safety data supported biosimilarity between Zirabev and Avastin (TGA Delegate’s Overview, pp 14 and 18).</w:t>
      </w:r>
    </w:p>
    <w:p w14:paraId="787E5C32" w14:textId="77777777" w:rsidR="003C2FB5" w:rsidRPr="00C9316D" w:rsidRDefault="005A3173" w:rsidP="00B95707">
      <w:pPr>
        <w:pStyle w:val="4-SubsectionHeading"/>
        <w:rPr>
          <w:lang w:eastAsia="en-US"/>
        </w:rPr>
      </w:pPr>
      <w:r w:rsidRPr="00C9316D">
        <w:rPr>
          <w:lang w:eastAsia="en-US"/>
        </w:rPr>
        <w:t>Clinical claim</w:t>
      </w:r>
    </w:p>
    <w:p w14:paraId="7F8BE3B8" w14:textId="2FD70920" w:rsidR="00213D9A" w:rsidRPr="00C9316D" w:rsidRDefault="00213D9A" w:rsidP="00B95707">
      <w:pPr>
        <w:pStyle w:val="3Bodytext"/>
        <w:jc w:val="both"/>
      </w:pPr>
      <w:r w:rsidRPr="00C9316D">
        <w:t>The submission claimed that Zirabev is non-inferior in terms of comparative effectiveness, and non-inferior in terms of comparative safety, to Avastin.</w:t>
      </w:r>
      <w:r w:rsidR="004E7A50" w:rsidRPr="00C9316D">
        <w:t xml:space="preserve"> The PBAC considered this appropriate.</w:t>
      </w:r>
    </w:p>
    <w:p w14:paraId="5C51A096" w14:textId="5C7E5557" w:rsidR="005A3173" w:rsidRPr="00C9316D" w:rsidRDefault="005A3173" w:rsidP="00B95707">
      <w:pPr>
        <w:pStyle w:val="4-SubsectionHeading"/>
        <w:rPr>
          <w:lang w:eastAsia="en-US"/>
        </w:rPr>
      </w:pPr>
      <w:r w:rsidRPr="00C9316D">
        <w:rPr>
          <w:lang w:eastAsia="en-US"/>
        </w:rPr>
        <w:t>Economic analysis</w:t>
      </w:r>
      <w:r w:rsidR="009803E4" w:rsidRPr="00C9316D">
        <w:rPr>
          <w:lang w:eastAsia="en-US"/>
        </w:rPr>
        <w:t xml:space="preserve"> </w:t>
      </w:r>
    </w:p>
    <w:p w14:paraId="4C5D078E" w14:textId="15F66A6D" w:rsidR="00334857" w:rsidRPr="00C9316D" w:rsidRDefault="00334857" w:rsidP="00B95707">
      <w:pPr>
        <w:pStyle w:val="3Bodytext"/>
        <w:jc w:val="both"/>
      </w:pPr>
      <w:r w:rsidRPr="00C9316D">
        <w:rPr>
          <w:snapToGrid w:val="0"/>
          <w:lang w:eastAsia="en-US"/>
        </w:rPr>
        <w:t xml:space="preserve">The minor submission proposed listing on the basis of cost-minimisation of Zirabev compared with Avastin. The equi-effective doses were estimated to be identical based on product information documents for both Zirabev and Avastin. </w:t>
      </w:r>
      <w:r w:rsidRPr="00C9316D">
        <w:rPr>
          <w:rFonts w:eastAsia="Times New Roman" w:cstheme="minorHAnsi"/>
          <w:snapToGrid w:val="0"/>
          <w:szCs w:val="24"/>
          <w:lang w:eastAsia="en-US"/>
        </w:rPr>
        <w:t>Therefore the equi-effective doses of Zirabev and Avastin are: 100 mg of Zirabev = 100 mg of Avastin and 400 mg of Zirabev = 400 mg of Avastin.</w:t>
      </w:r>
    </w:p>
    <w:p w14:paraId="62BB8D7C" w14:textId="420F0655" w:rsidR="00334857" w:rsidRPr="00C9316D" w:rsidRDefault="00334857" w:rsidP="00B95707">
      <w:pPr>
        <w:pStyle w:val="Tabletitles"/>
        <w:rPr>
          <w:i/>
        </w:rPr>
      </w:pPr>
      <w:bookmarkStart w:id="0" w:name="_Ref16693526"/>
      <w:bookmarkStart w:id="1" w:name="_Toc415234326"/>
      <w:bookmarkStart w:id="2" w:name="_Toc16691871"/>
      <w:bookmarkStart w:id="3" w:name="_Toc16850102"/>
      <w:r w:rsidRPr="00C9316D">
        <w:t xml:space="preserve">Table </w:t>
      </w:r>
      <w:bookmarkEnd w:id="0"/>
      <w:r w:rsidR="000E6466" w:rsidRPr="00C9316D">
        <w:t>2</w:t>
      </w:r>
      <w:r w:rsidRPr="00C9316D">
        <w:t xml:space="preserve">. Requested price for </w:t>
      </w:r>
      <w:r w:rsidR="00917949" w:rsidRPr="00C9316D">
        <w:t xml:space="preserve">Zirabev </w:t>
      </w:r>
      <w:r w:rsidRPr="00C9316D">
        <w:t>(</w:t>
      </w:r>
      <w:r w:rsidR="00917949" w:rsidRPr="00C9316D">
        <w:t>bevacizumab</w:t>
      </w:r>
      <w:r w:rsidRPr="00C9316D">
        <w:t>)</w:t>
      </w:r>
      <w:bookmarkEnd w:id="1"/>
      <w:bookmarkEnd w:id="2"/>
      <w:bookmarkEnd w:id="3"/>
    </w:p>
    <w:tbl>
      <w:tblPr>
        <w:tblStyle w:val="TableGrid"/>
        <w:tblW w:w="5000" w:type="pct"/>
        <w:tblLook w:val="04A0" w:firstRow="1" w:lastRow="0" w:firstColumn="1" w:lastColumn="0" w:noHBand="0" w:noVBand="1"/>
        <w:tblCaption w:val="Table 2. Requested price for Zirabev (bevacizumab)"/>
      </w:tblPr>
      <w:tblGrid>
        <w:gridCol w:w="1686"/>
        <w:gridCol w:w="3807"/>
        <w:gridCol w:w="3523"/>
      </w:tblGrid>
      <w:tr w:rsidR="00334857" w:rsidRPr="00C9316D" w14:paraId="445522B0" w14:textId="77777777" w:rsidTr="007252E8">
        <w:trPr>
          <w:tblHeader/>
        </w:trPr>
        <w:tc>
          <w:tcPr>
            <w:tcW w:w="935" w:type="pct"/>
            <w:vMerge w:val="restart"/>
            <w:shd w:val="clear" w:color="auto" w:fill="auto"/>
          </w:tcPr>
          <w:p w14:paraId="502FBA18" w14:textId="6266A6DE" w:rsidR="00334857" w:rsidRPr="00C9316D" w:rsidRDefault="00917949" w:rsidP="00B95707">
            <w:pPr>
              <w:pStyle w:val="TableText0"/>
              <w:keepLines/>
              <w:rPr>
                <w:b/>
              </w:rPr>
            </w:pPr>
            <w:r w:rsidRPr="00C9316D">
              <w:rPr>
                <w:b/>
              </w:rPr>
              <w:t>Zirabev</w:t>
            </w:r>
          </w:p>
          <w:p w14:paraId="520301B6" w14:textId="77777777" w:rsidR="00334857" w:rsidRPr="00C9316D" w:rsidRDefault="00334857" w:rsidP="00B95707">
            <w:pPr>
              <w:pStyle w:val="TableText0"/>
              <w:keepLines/>
              <w:rPr>
                <w:rStyle w:val="SmallBold"/>
                <w:rFonts w:ascii="Arial Narrow" w:hAnsi="Arial Narrow"/>
                <w:b w:val="0"/>
                <w:sz w:val="24"/>
              </w:rPr>
            </w:pPr>
          </w:p>
        </w:tc>
        <w:tc>
          <w:tcPr>
            <w:tcW w:w="2111" w:type="pct"/>
            <w:vAlign w:val="center"/>
          </w:tcPr>
          <w:p w14:paraId="58657889" w14:textId="77777777" w:rsidR="00334857" w:rsidRPr="00C9316D" w:rsidRDefault="00334857" w:rsidP="00B95707">
            <w:pPr>
              <w:pStyle w:val="TableText0"/>
              <w:keepLines/>
              <w:jc w:val="center"/>
              <w:rPr>
                <w:rStyle w:val="SmallBold"/>
                <w:rFonts w:ascii="Arial Narrow" w:hAnsi="Arial Narrow"/>
              </w:rPr>
            </w:pPr>
            <w:r w:rsidRPr="00C9316D">
              <w:rPr>
                <w:rStyle w:val="SmallBold"/>
                <w:rFonts w:ascii="Arial Narrow" w:hAnsi="Arial Narrow"/>
              </w:rPr>
              <w:t>Presentation</w:t>
            </w:r>
          </w:p>
        </w:tc>
        <w:tc>
          <w:tcPr>
            <w:tcW w:w="1954" w:type="pct"/>
            <w:vAlign w:val="center"/>
          </w:tcPr>
          <w:p w14:paraId="47CDFC4E" w14:textId="67E93315" w:rsidR="00334857" w:rsidRPr="00C9316D" w:rsidRDefault="00334857" w:rsidP="00B95707">
            <w:pPr>
              <w:pStyle w:val="TableText0"/>
              <w:keepLines/>
              <w:jc w:val="center"/>
              <w:rPr>
                <w:rStyle w:val="SmallBold"/>
                <w:rFonts w:ascii="Arial Narrow" w:hAnsi="Arial Narrow"/>
              </w:rPr>
            </w:pPr>
            <w:r w:rsidRPr="00C9316D">
              <w:rPr>
                <w:rStyle w:val="SmallBold"/>
                <w:rFonts w:ascii="Arial Narrow" w:hAnsi="Arial Narrow"/>
              </w:rPr>
              <w:t>AEMP</w:t>
            </w:r>
            <w:r w:rsidR="00660A7D" w:rsidRPr="00C9316D">
              <w:rPr>
                <w:rStyle w:val="SmallBold"/>
                <w:rFonts w:ascii="Arial Narrow" w:hAnsi="Arial Narrow"/>
              </w:rPr>
              <w:t xml:space="preserve"> (published)</w:t>
            </w:r>
          </w:p>
        </w:tc>
      </w:tr>
      <w:tr w:rsidR="00334857" w:rsidRPr="00C9316D" w14:paraId="0CC40310" w14:textId="77777777" w:rsidTr="007252E8">
        <w:trPr>
          <w:tblHeader/>
        </w:trPr>
        <w:tc>
          <w:tcPr>
            <w:tcW w:w="935" w:type="pct"/>
            <w:vMerge/>
            <w:shd w:val="clear" w:color="auto" w:fill="auto"/>
          </w:tcPr>
          <w:p w14:paraId="1120986D" w14:textId="77777777" w:rsidR="00334857" w:rsidRPr="00C9316D" w:rsidRDefault="00334857" w:rsidP="00B95707">
            <w:pPr>
              <w:pStyle w:val="TableText0"/>
              <w:keepLines/>
              <w:rPr>
                <w:sz w:val="24"/>
              </w:rPr>
            </w:pPr>
          </w:p>
        </w:tc>
        <w:tc>
          <w:tcPr>
            <w:tcW w:w="2111" w:type="pct"/>
            <w:vAlign w:val="center"/>
          </w:tcPr>
          <w:p w14:paraId="2A8442F3" w14:textId="4CA8D2B3" w:rsidR="00334857" w:rsidRPr="00C9316D" w:rsidRDefault="00917949" w:rsidP="00B95707">
            <w:pPr>
              <w:pStyle w:val="TableText0"/>
              <w:keepLines/>
              <w:jc w:val="center"/>
            </w:pPr>
            <w:r w:rsidRPr="00C9316D">
              <w:t>10</w:t>
            </w:r>
            <w:r w:rsidR="00334857" w:rsidRPr="00C9316D">
              <w:t>0 mg vial x 1</w:t>
            </w:r>
          </w:p>
        </w:tc>
        <w:tc>
          <w:tcPr>
            <w:tcW w:w="1954" w:type="pct"/>
            <w:vAlign w:val="center"/>
          </w:tcPr>
          <w:p w14:paraId="2F092458" w14:textId="19BF3DB7" w:rsidR="00334857" w:rsidRPr="00C9316D" w:rsidRDefault="00334857" w:rsidP="00B95707">
            <w:pPr>
              <w:pStyle w:val="TableText0"/>
              <w:keepLines/>
              <w:jc w:val="center"/>
            </w:pPr>
            <w:r w:rsidRPr="00C9316D">
              <w:t>$</w:t>
            </w:r>
            <w:r w:rsidR="00917949" w:rsidRPr="00C9316D">
              <w:t>303.94</w:t>
            </w:r>
          </w:p>
        </w:tc>
      </w:tr>
      <w:tr w:rsidR="00334857" w:rsidRPr="00C9316D" w14:paraId="3F8296F6" w14:textId="77777777" w:rsidTr="007252E8">
        <w:trPr>
          <w:tblHeader/>
        </w:trPr>
        <w:tc>
          <w:tcPr>
            <w:tcW w:w="935" w:type="pct"/>
            <w:vMerge/>
            <w:shd w:val="clear" w:color="auto" w:fill="auto"/>
          </w:tcPr>
          <w:p w14:paraId="56B62E0A" w14:textId="77777777" w:rsidR="00334857" w:rsidRPr="00C9316D" w:rsidRDefault="00334857" w:rsidP="00B95707">
            <w:pPr>
              <w:pStyle w:val="TableText0"/>
              <w:keepLines/>
              <w:rPr>
                <w:sz w:val="24"/>
              </w:rPr>
            </w:pPr>
          </w:p>
        </w:tc>
        <w:tc>
          <w:tcPr>
            <w:tcW w:w="2111" w:type="pct"/>
            <w:vAlign w:val="center"/>
          </w:tcPr>
          <w:p w14:paraId="26111C70" w14:textId="1A634849" w:rsidR="00334857" w:rsidRPr="00C9316D" w:rsidRDefault="00917949" w:rsidP="00B95707">
            <w:pPr>
              <w:pStyle w:val="TableText0"/>
              <w:keepLines/>
              <w:jc w:val="center"/>
            </w:pPr>
            <w:r w:rsidRPr="00C9316D">
              <w:t>400</w:t>
            </w:r>
            <w:r w:rsidR="00334857" w:rsidRPr="00C9316D">
              <w:t xml:space="preserve"> mg vial x 1</w:t>
            </w:r>
          </w:p>
        </w:tc>
        <w:tc>
          <w:tcPr>
            <w:tcW w:w="1954" w:type="pct"/>
            <w:vAlign w:val="center"/>
          </w:tcPr>
          <w:p w14:paraId="797CB041" w14:textId="40126512" w:rsidR="00334857" w:rsidRPr="00C9316D" w:rsidRDefault="00334857" w:rsidP="00B95707">
            <w:pPr>
              <w:pStyle w:val="TableText0"/>
              <w:keepLines/>
              <w:jc w:val="center"/>
            </w:pPr>
            <w:r w:rsidRPr="00C9316D">
              <w:t>$</w:t>
            </w:r>
            <w:r w:rsidR="00917949" w:rsidRPr="00C9316D">
              <w:t>1215.75</w:t>
            </w:r>
          </w:p>
        </w:tc>
      </w:tr>
    </w:tbl>
    <w:p w14:paraId="0FE64432" w14:textId="2D5DB9EE" w:rsidR="00334857" w:rsidRPr="00C9316D" w:rsidRDefault="00334857" w:rsidP="00B95707">
      <w:pPr>
        <w:spacing w:after="120"/>
        <w:rPr>
          <w:rFonts w:ascii="Arial Narrow" w:eastAsiaTheme="majorEastAsia" w:hAnsi="Arial Narrow" w:cstheme="majorBidi"/>
          <w:sz w:val="18"/>
          <w:szCs w:val="28"/>
          <w:lang w:eastAsia="en-US"/>
        </w:rPr>
      </w:pPr>
      <w:r w:rsidRPr="00C9316D">
        <w:rPr>
          <w:rFonts w:ascii="Arial Narrow" w:eastAsiaTheme="majorEastAsia" w:hAnsi="Arial Narrow" w:cstheme="majorBidi"/>
          <w:sz w:val="18"/>
          <w:szCs w:val="28"/>
          <w:lang w:eastAsia="en-US"/>
        </w:rPr>
        <w:t>Source: Mino</w:t>
      </w:r>
      <w:r w:rsidR="005F5D9C" w:rsidRPr="00C9316D">
        <w:rPr>
          <w:rFonts w:ascii="Arial Narrow" w:eastAsiaTheme="majorEastAsia" w:hAnsi="Arial Narrow" w:cstheme="majorBidi"/>
          <w:sz w:val="18"/>
          <w:szCs w:val="28"/>
          <w:lang w:eastAsia="en-US"/>
        </w:rPr>
        <w:t>r Submission, table 1.3.1 page 9</w:t>
      </w:r>
      <w:r w:rsidRPr="00C9316D">
        <w:rPr>
          <w:rFonts w:ascii="Arial Narrow" w:eastAsiaTheme="majorEastAsia" w:hAnsi="Arial Narrow" w:cstheme="majorBidi"/>
          <w:sz w:val="18"/>
          <w:szCs w:val="28"/>
          <w:lang w:eastAsia="en-US"/>
        </w:rPr>
        <w:t xml:space="preserve"> </w:t>
      </w:r>
    </w:p>
    <w:p w14:paraId="5064842A" w14:textId="77777777" w:rsidR="005A3173" w:rsidRPr="00C9316D" w:rsidRDefault="005A3173" w:rsidP="00B95707">
      <w:pPr>
        <w:pStyle w:val="4-SubsectionHeading"/>
        <w:rPr>
          <w:lang w:eastAsia="en-US"/>
        </w:rPr>
      </w:pPr>
      <w:r w:rsidRPr="00C9316D">
        <w:rPr>
          <w:lang w:eastAsia="en-US"/>
        </w:rPr>
        <w:t>Estimated PBS usage &amp; financial implications</w:t>
      </w:r>
    </w:p>
    <w:p w14:paraId="7C054D52" w14:textId="45A27A26" w:rsidR="00C00DA7" w:rsidRPr="00C9316D" w:rsidRDefault="00FF2801" w:rsidP="00B95707">
      <w:pPr>
        <w:pStyle w:val="3Bodytext"/>
        <w:jc w:val="both"/>
        <w:rPr>
          <w:b/>
          <w:color w:val="FF00FF"/>
        </w:rPr>
      </w:pPr>
      <w:r w:rsidRPr="00C9316D">
        <w:t xml:space="preserve">The submission </w:t>
      </w:r>
      <w:r w:rsidR="00F21E31" w:rsidRPr="00C9316D">
        <w:t xml:space="preserve">considered </w:t>
      </w:r>
      <w:r w:rsidR="004901F0" w:rsidRPr="00C9316D">
        <w:t xml:space="preserve">Zirabev </w:t>
      </w:r>
      <w:r w:rsidR="00F21E31" w:rsidRPr="00C9316D">
        <w:t xml:space="preserve">would </w:t>
      </w:r>
      <w:r w:rsidR="004901F0" w:rsidRPr="00C9316D">
        <w:t>directly replace Avastin and not change the overall</w:t>
      </w:r>
      <w:r w:rsidR="003B4DC4" w:rsidRPr="00C9316D">
        <w:t xml:space="preserve"> use of bevacizumab on the PBS</w:t>
      </w:r>
      <w:r w:rsidR="00F21E31" w:rsidRPr="00C9316D">
        <w:t xml:space="preserve">. Additionally, </w:t>
      </w:r>
      <w:r w:rsidR="00FD0D24" w:rsidRPr="00C9316D">
        <w:t xml:space="preserve">the submission noted that </w:t>
      </w:r>
      <w:r w:rsidR="00F21E31" w:rsidRPr="00C9316D">
        <w:t xml:space="preserve">the </w:t>
      </w:r>
      <w:r w:rsidR="004901F0" w:rsidRPr="00C9316D">
        <w:t>listing of Zirabev on the PBS at lower than the current price of Avastin, due to the application of the first new brand statutory price reduction</w:t>
      </w:r>
      <w:r w:rsidR="00B86CCB" w:rsidRPr="00C9316D">
        <w:t>, would</w:t>
      </w:r>
      <w:r w:rsidR="004901F0" w:rsidRPr="00C9316D">
        <w:t xml:space="preserve"> deliver savings to Commonwealth.</w:t>
      </w:r>
    </w:p>
    <w:p w14:paraId="12C1516D" w14:textId="1FA1539B" w:rsidR="00BA347C" w:rsidRPr="00C9316D" w:rsidRDefault="00BA347C" w:rsidP="00B95707">
      <w:pPr>
        <w:pStyle w:val="3Bodytext"/>
        <w:jc w:val="both"/>
      </w:pPr>
      <w:r w:rsidRPr="00C9316D">
        <w:lastRenderedPageBreak/>
        <w:t>As a minor submission, the financial estimates have not been independently evaluated.</w:t>
      </w:r>
    </w:p>
    <w:p w14:paraId="0B112FB0" w14:textId="6EEBFD3B" w:rsidR="00D16309" w:rsidRPr="00C9316D" w:rsidRDefault="00D16309" w:rsidP="00D16309">
      <w:pPr>
        <w:pStyle w:val="3Bodytext"/>
        <w:numPr>
          <w:ilvl w:val="0"/>
          <w:numId w:val="0"/>
        </w:numPr>
        <w:ind w:left="720"/>
        <w:jc w:val="both"/>
        <w:rPr>
          <w:i/>
        </w:rPr>
      </w:pPr>
      <w:r w:rsidRPr="00C9316D">
        <w:rPr>
          <w:i/>
        </w:rPr>
        <w:t>For more detail on PBAC’s view, see section 5 PBAC outcome.</w:t>
      </w:r>
    </w:p>
    <w:p w14:paraId="2EB2353A" w14:textId="77777777" w:rsidR="0005548A" w:rsidRPr="00C9316D" w:rsidRDefault="0005548A" w:rsidP="00151F53">
      <w:pPr>
        <w:pStyle w:val="2Sections"/>
        <w:numPr>
          <w:ilvl w:val="0"/>
          <w:numId w:val="1"/>
        </w:numPr>
        <w:rPr>
          <w:bCs/>
        </w:rPr>
      </w:pPr>
      <w:r w:rsidRPr="00C9316D">
        <w:rPr>
          <w:bCs/>
        </w:rPr>
        <w:t>PBAC Outcome</w:t>
      </w:r>
    </w:p>
    <w:p w14:paraId="69F0424C" w14:textId="617F67BE" w:rsidR="0005548A" w:rsidRPr="008E4C51" w:rsidRDefault="00252A4D" w:rsidP="0005548A">
      <w:pPr>
        <w:widowControl w:val="0"/>
        <w:numPr>
          <w:ilvl w:val="1"/>
          <w:numId w:val="1"/>
        </w:numPr>
        <w:spacing w:after="120"/>
        <w:rPr>
          <w:rFonts w:asciiTheme="minorHAnsi" w:hAnsiTheme="minorHAnsi" w:cs="Arial"/>
          <w:bCs/>
          <w:snapToGrid w:val="0"/>
        </w:rPr>
      </w:pPr>
      <w:r w:rsidRPr="00C9316D">
        <w:t xml:space="preserve">The PBAC recommended the listing of </w:t>
      </w:r>
      <w:r w:rsidR="009626E1" w:rsidRPr="00C9316D">
        <w:t xml:space="preserve">the biosimilar brand of </w:t>
      </w:r>
      <w:r w:rsidRPr="00C9316D">
        <w:t>bevacizumab</w:t>
      </w:r>
      <w:r w:rsidR="009626E1" w:rsidRPr="00C9316D">
        <w:t>,</w:t>
      </w:r>
      <w:r w:rsidRPr="00C9316D">
        <w:t xml:space="preserve"> Zirabev</w:t>
      </w:r>
      <w:r w:rsidR="009626E1" w:rsidRPr="00C9316D">
        <w:t>,</w:t>
      </w:r>
      <w:r w:rsidRPr="00C9316D">
        <w:t xml:space="preserve"> on the basis that it should only be available under </w:t>
      </w:r>
      <w:r w:rsidR="009626E1" w:rsidRPr="00C9316D">
        <w:t xml:space="preserve">special arrangements under </w:t>
      </w:r>
      <w:r w:rsidRPr="00C9316D">
        <w:t xml:space="preserve">Section 100 (Efficient Funding of Chemotherapy) for all of the indications for which </w:t>
      </w:r>
      <w:r w:rsidR="009626E1" w:rsidRPr="00C9316D">
        <w:t xml:space="preserve">the reference brand, </w:t>
      </w:r>
      <w:r w:rsidR="00444F5D" w:rsidRPr="00C9316D">
        <w:t>Avastin</w:t>
      </w:r>
      <w:r w:rsidR="009626E1" w:rsidRPr="00C9316D">
        <w:t>,</w:t>
      </w:r>
      <w:r w:rsidRPr="00C9316D">
        <w:t xml:space="preserve"> is </w:t>
      </w:r>
      <w:r w:rsidR="009626E1" w:rsidRPr="00C9316D">
        <w:t xml:space="preserve">currently </w:t>
      </w:r>
      <w:r w:rsidRPr="00C9316D">
        <w:t>PBS-listed</w:t>
      </w:r>
      <w:r w:rsidR="0005548A" w:rsidRPr="008E4C51">
        <w:rPr>
          <w:rFonts w:asciiTheme="minorHAnsi" w:hAnsiTheme="minorHAnsi" w:cs="Arial"/>
          <w:bCs/>
          <w:snapToGrid w:val="0"/>
        </w:rPr>
        <w:t>.</w:t>
      </w:r>
    </w:p>
    <w:p w14:paraId="03633ED6" w14:textId="69674E39" w:rsidR="001B7310" w:rsidRPr="00C9316D" w:rsidRDefault="001B7310" w:rsidP="00C766F8">
      <w:pPr>
        <w:pStyle w:val="Bodytextitalics"/>
        <w:numPr>
          <w:ilvl w:val="1"/>
          <w:numId w:val="1"/>
        </w:numPr>
        <w:rPr>
          <w:i w:val="0"/>
        </w:rPr>
      </w:pPr>
      <w:r w:rsidRPr="00C9316D">
        <w:rPr>
          <w:i w:val="0"/>
        </w:rPr>
        <w:t>The PBAC recommended listing Zirabev on a cost-minimisation basis to the Avastin brand of bevacizu</w:t>
      </w:r>
      <w:r w:rsidR="00D801C2" w:rsidRPr="00C9316D">
        <w:rPr>
          <w:i w:val="0"/>
        </w:rPr>
        <w:t>m</w:t>
      </w:r>
      <w:r w:rsidRPr="00C9316D">
        <w:rPr>
          <w:i w:val="0"/>
        </w:rPr>
        <w:t xml:space="preserve">ab, and noted that this would result in no net cost to the Government because the listing of Zirabev is not expected to grow the market. </w:t>
      </w:r>
    </w:p>
    <w:p w14:paraId="3A214EA8" w14:textId="37016691" w:rsidR="00774E97" w:rsidRPr="008E4C51" w:rsidRDefault="00151F53" w:rsidP="00151F53">
      <w:pPr>
        <w:widowControl w:val="0"/>
        <w:numPr>
          <w:ilvl w:val="1"/>
          <w:numId w:val="1"/>
        </w:numPr>
        <w:spacing w:after="120"/>
        <w:rPr>
          <w:rFonts w:asciiTheme="minorHAnsi" w:hAnsiTheme="minorHAnsi" w:cs="Arial"/>
          <w:bCs/>
          <w:snapToGrid w:val="0"/>
        </w:rPr>
      </w:pPr>
      <w:r w:rsidRPr="008E4C51">
        <w:rPr>
          <w:rFonts w:asciiTheme="minorHAnsi" w:hAnsiTheme="minorHAnsi" w:cs="Arial"/>
          <w:bCs/>
          <w:snapToGrid w:val="0"/>
        </w:rPr>
        <w:t xml:space="preserve">The PBAC </w:t>
      </w:r>
      <w:r w:rsidR="00EF0761" w:rsidRPr="008E4C51">
        <w:rPr>
          <w:rFonts w:asciiTheme="minorHAnsi" w:hAnsiTheme="minorHAnsi" w:cs="Arial"/>
          <w:bCs/>
          <w:snapToGrid w:val="0"/>
        </w:rPr>
        <w:t xml:space="preserve">noted that the TGA determined Zirabev to be a biosimilar to the reference brand Avastin </w:t>
      </w:r>
      <w:r w:rsidR="00374B22" w:rsidRPr="008E4C51">
        <w:rPr>
          <w:rFonts w:asciiTheme="minorHAnsi" w:hAnsiTheme="minorHAnsi" w:cs="Arial"/>
          <w:bCs/>
          <w:snapToGrid w:val="0"/>
        </w:rPr>
        <w:t xml:space="preserve">based on the clinical evidence presented in the submission </w:t>
      </w:r>
      <w:r w:rsidR="00EF0761" w:rsidRPr="008E4C51">
        <w:rPr>
          <w:rFonts w:asciiTheme="minorHAnsi" w:hAnsiTheme="minorHAnsi" w:cs="Arial"/>
          <w:bCs/>
          <w:snapToGrid w:val="0"/>
        </w:rPr>
        <w:t xml:space="preserve">and that </w:t>
      </w:r>
      <w:r w:rsidRPr="00C9316D">
        <w:t xml:space="preserve">the extrapolation of indications for Zirabev to all the indications of Avastin in Australia </w:t>
      </w:r>
      <w:r w:rsidR="00444F5D" w:rsidRPr="00C9316D">
        <w:t xml:space="preserve">was </w:t>
      </w:r>
      <w:r w:rsidRPr="00C9316D">
        <w:t>appropriate</w:t>
      </w:r>
      <w:r w:rsidRPr="008E4C51">
        <w:rPr>
          <w:rFonts w:asciiTheme="minorHAnsi" w:hAnsiTheme="minorHAnsi" w:cs="Arial"/>
          <w:bCs/>
          <w:snapToGrid w:val="0"/>
        </w:rPr>
        <w:t>.</w:t>
      </w:r>
      <w:r w:rsidR="00EF0761" w:rsidRPr="008E4C51">
        <w:rPr>
          <w:rFonts w:asciiTheme="minorHAnsi" w:hAnsiTheme="minorHAnsi" w:cs="Arial"/>
          <w:bCs/>
          <w:snapToGrid w:val="0"/>
        </w:rPr>
        <w:t xml:space="preserve"> </w:t>
      </w:r>
    </w:p>
    <w:p w14:paraId="39216CC5" w14:textId="6BA937E5" w:rsidR="00151F53" w:rsidRPr="008E4C51" w:rsidRDefault="00B9195D" w:rsidP="00C766F8">
      <w:pPr>
        <w:pStyle w:val="3Bodytext"/>
        <w:jc w:val="both"/>
        <w:rPr>
          <w:rFonts w:cs="Arial"/>
          <w:bCs/>
          <w:snapToGrid w:val="0"/>
        </w:rPr>
      </w:pPr>
      <w:r w:rsidRPr="00C9316D">
        <w:t xml:space="preserve">The </w:t>
      </w:r>
      <w:r w:rsidR="00151F53" w:rsidRPr="008E4C51">
        <w:rPr>
          <w:rFonts w:cs="Arial"/>
          <w:bCs/>
          <w:snapToGrid w:val="0"/>
        </w:rPr>
        <w:t xml:space="preserve">PBAC noted that the biosimilar uptake driver of applying a </w:t>
      </w:r>
      <w:r w:rsidR="00D9667F" w:rsidRPr="008E4C51">
        <w:rPr>
          <w:rFonts w:cs="Arial"/>
          <w:bCs/>
          <w:snapToGrid w:val="0"/>
        </w:rPr>
        <w:t xml:space="preserve">different authority type </w:t>
      </w:r>
      <w:r w:rsidR="00151F53" w:rsidRPr="008E4C51">
        <w:rPr>
          <w:rFonts w:cs="Arial"/>
          <w:bCs/>
          <w:snapToGrid w:val="0"/>
        </w:rPr>
        <w:t xml:space="preserve">to the biosimilar brand cannot be given effect for EFC medicines. </w:t>
      </w:r>
      <w:r w:rsidR="00BB7190" w:rsidRPr="008E4C51">
        <w:rPr>
          <w:rFonts w:cs="Arial"/>
          <w:bCs/>
          <w:snapToGrid w:val="0"/>
        </w:rPr>
        <w:t xml:space="preserve">The PBAC </w:t>
      </w:r>
      <w:r w:rsidR="00387E15" w:rsidRPr="00C9316D">
        <w:t xml:space="preserve">noted that the Authority Required (STREAMLINED) listing for all indications, except for relapsed or recurrent glioblastoma, is appropriate given it is the </w:t>
      </w:r>
      <w:r w:rsidR="00D9667F" w:rsidRPr="00C9316D">
        <w:t xml:space="preserve">least stringent authority type </w:t>
      </w:r>
      <w:r w:rsidR="00387E15" w:rsidRPr="00C9316D">
        <w:t>that can be applied to EFC drugs. However, the PBAC recommended the current authority</w:t>
      </w:r>
      <w:r w:rsidR="00D9667F" w:rsidRPr="00C9316D">
        <w:t xml:space="preserve"> type</w:t>
      </w:r>
      <w:r w:rsidR="00387E15" w:rsidRPr="00C9316D">
        <w:t xml:space="preserve"> for the relapsed or recurrent glioblastoma indication should apply for Zirabev,</w:t>
      </w:r>
      <w:r w:rsidR="00387E15" w:rsidRPr="00C9316D">
        <w:rPr>
          <w:i/>
        </w:rPr>
        <w:t xml:space="preserve"> </w:t>
      </w:r>
      <w:r w:rsidRPr="00C9316D">
        <w:t>which is a written authority for initial treatment and telephone authority for continuing treatment.</w:t>
      </w:r>
    </w:p>
    <w:p w14:paraId="70D93FC4" w14:textId="77777777" w:rsidR="00BB7190" w:rsidRPr="008E4C51" w:rsidRDefault="00BB7190" w:rsidP="00BB7190">
      <w:pPr>
        <w:widowControl w:val="0"/>
        <w:numPr>
          <w:ilvl w:val="1"/>
          <w:numId w:val="1"/>
        </w:numPr>
        <w:spacing w:after="120"/>
        <w:rPr>
          <w:rFonts w:asciiTheme="minorHAnsi" w:hAnsiTheme="minorHAnsi" w:cs="Arial"/>
          <w:bCs/>
          <w:snapToGrid w:val="0"/>
        </w:rPr>
      </w:pPr>
      <w:r w:rsidRPr="008E4C51">
        <w:rPr>
          <w:rFonts w:asciiTheme="minorHAnsi" w:hAnsiTheme="minorHAnsi" w:cs="Arial"/>
          <w:bCs/>
          <w:snapToGrid w:val="0"/>
        </w:rPr>
        <w:t>The PBAC recalled its advice from the July 2019 meeting that the Department develop a set of biosimilar uptake drivers suitable for EFC medicines as the current biosimilar uptake drivers cannot be applied to EFC medicines.</w:t>
      </w:r>
    </w:p>
    <w:p w14:paraId="5C029F94" w14:textId="74843ABA" w:rsidR="00151F53" w:rsidRPr="008E4C51" w:rsidRDefault="00151F53" w:rsidP="00151F53">
      <w:pPr>
        <w:widowControl w:val="0"/>
        <w:numPr>
          <w:ilvl w:val="1"/>
          <w:numId w:val="1"/>
        </w:numPr>
        <w:spacing w:after="120"/>
        <w:rPr>
          <w:rFonts w:asciiTheme="minorHAnsi" w:hAnsiTheme="minorHAnsi" w:cs="Arial"/>
          <w:bCs/>
          <w:snapToGrid w:val="0"/>
        </w:rPr>
      </w:pPr>
      <w:r w:rsidRPr="008E4C51">
        <w:rPr>
          <w:rFonts w:asciiTheme="minorHAnsi" w:hAnsiTheme="minorHAnsi" w:cs="Arial"/>
          <w:bCs/>
          <w:snapToGrid w:val="0"/>
        </w:rPr>
        <w:t xml:space="preserve">The PBAC noted that EFC medicines are governed by the </w:t>
      </w:r>
      <w:r w:rsidRPr="008E4C51">
        <w:rPr>
          <w:rFonts w:asciiTheme="minorHAnsi" w:hAnsiTheme="minorHAnsi" w:cs="Arial"/>
          <w:bCs/>
          <w:i/>
          <w:snapToGrid w:val="0"/>
        </w:rPr>
        <w:t>National Health (Efficient Funding of Chemotherapy) Special Arrangement 2011</w:t>
      </w:r>
      <w:r w:rsidRPr="008E4C51">
        <w:rPr>
          <w:rFonts w:asciiTheme="minorHAnsi" w:hAnsiTheme="minorHAnsi" w:cs="Arial"/>
          <w:bCs/>
          <w:snapToGrid w:val="0"/>
        </w:rPr>
        <w:t xml:space="preserve">, and that Section 33(2) allows substitution of brands under the same item code. </w:t>
      </w:r>
      <w:r w:rsidR="009626E1" w:rsidRPr="008E4C51">
        <w:rPr>
          <w:rFonts w:asciiTheme="minorHAnsi" w:hAnsiTheme="minorHAnsi" w:cs="Arial"/>
          <w:bCs/>
          <w:snapToGrid w:val="0"/>
        </w:rPr>
        <w:t xml:space="preserve">Therefore, </w:t>
      </w:r>
      <w:r w:rsidR="009626E1" w:rsidRPr="00C9316D">
        <w:rPr>
          <w:rFonts w:cs="Calibri"/>
        </w:rPr>
        <w:t>the Avastin and Zirabev brands of bevacizumab should be treated as equivalent to each other.</w:t>
      </w:r>
    </w:p>
    <w:p w14:paraId="6BB0D04C" w14:textId="064232A0" w:rsidR="00151F53" w:rsidRPr="008E4C51" w:rsidRDefault="00151F53" w:rsidP="00151F53">
      <w:pPr>
        <w:widowControl w:val="0"/>
        <w:numPr>
          <w:ilvl w:val="1"/>
          <w:numId w:val="1"/>
        </w:numPr>
        <w:spacing w:after="120"/>
        <w:rPr>
          <w:rFonts w:asciiTheme="minorHAnsi" w:hAnsiTheme="minorHAnsi" w:cs="Arial"/>
          <w:bCs/>
          <w:snapToGrid w:val="0"/>
        </w:rPr>
      </w:pPr>
      <w:r w:rsidRPr="008E4C51">
        <w:rPr>
          <w:rFonts w:asciiTheme="minorHAnsi" w:hAnsiTheme="minorHAnsi" w:cs="Arial"/>
          <w:bCs/>
          <w:snapToGrid w:val="0"/>
        </w:rPr>
        <w:t xml:space="preserve">The PBAC </w:t>
      </w:r>
      <w:r w:rsidR="00F66FFC" w:rsidRPr="008E4C51">
        <w:rPr>
          <w:rFonts w:asciiTheme="minorHAnsi" w:hAnsiTheme="minorHAnsi" w:cs="Arial"/>
          <w:bCs/>
          <w:snapToGrid w:val="0"/>
        </w:rPr>
        <w:t xml:space="preserve">noted </w:t>
      </w:r>
      <w:r w:rsidR="007E1127" w:rsidRPr="008E4C51">
        <w:rPr>
          <w:rFonts w:asciiTheme="minorHAnsi" w:hAnsiTheme="minorHAnsi" w:cs="Arial"/>
          <w:bCs/>
          <w:snapToGrid w:val="0"/>
        </w:rPr>
        <w:t xml:space="preserve">that </w:t>
      </w:r>
      <w:r w:rsidR="005A7CB0" w:rsidRPr="008E4C51">
        <w:rPr>
          <w:rFonts w:asciiTheme="minorHAnsi" w:hAnsiTheme="minorHAnsi" w:cs="Arial"/>
          <w:bCs/>
          <w:snapToGrid w:val="0"/>
        </w:rPr>
        <w:t>bevacizumab</w:t>
      </w:r>
      <w:r w:rsidRPr="008E4C51">
        <w:rPr>
          <w:rFonts w:asciiTheme="minorHAnsi" w:hAnsiTheme="minorHAnsi" w:cs="Arial"/>
          <w:bCs/>
          <w:snapToGrid w:val="0"/>
        </w:rPr>
        <w:t xml:space="preserve"> is not included on the list of PBS-listed drugs suitable for prescribing by nurse practitioners. </w:t>
      </w:r>
    </w:p>
    <w:p w14:paraId="7933E426" w14:textId="6C272860" w:rsidR="00151F53" w:rsidRPr="008E4C51" w:rsidRDefault="00E1538A" w:rsidP="00151F53">
      <w:pPr>
        <w:widowControl w:val="0"/>
        <w:numPr>
          <w:ilvl w:val="1"/>
          <w:numId w:val="1"/>
        </w:numPr>
        <w:spacing w:after="120"/>
        <w:rPr>
          <w:rFonts w:asciiTheme="minorHAnsi" w:hAnsiTheme="minorHAnsi" w:cs="Arial"/>
          <w:bCs/>
          <w:snapToGrid w:val="0"/>
        </w:rPr>
      </w:pPr>
      <w:r w:rsidRPr="00C9316D">
        <w:t>The PBAC noted that the Early Supply Rule does not currently apply to Section 100 (Efficient Funding of Chemotherapy) listings</w:t>
      </w:r>
      <w:r w:rsidR="00D16309" w:rsidRPr="00C9316D">
        <w:t>.</w:t>
      </w:r>
    </w:p>
    <w:p w14:paraId="2AEACA44" w14:textId="3FE8C390" w:rsidR="00F66FFC" w:rsidRPr="00C9316D" w:rsidRDefault="00F66FFC" w:rsidP="00C766F8">
      <w:pPr>
        <w:pStyle w:val="Bodytextitalics"/>
        <w:numPr>
          <w:ilvl w:val="1"/>
          <w:numId w:val="1"/>
        </w:numPr>
        <w:rPr>
          <w:rFonts w:cs="Arial"/>
          <w:bCs/>
          <w:i w:val="0"/>
        </w:rPr>
      </w:pPr>
      <w:r w:rsidRPr="00C9316D">
        <w:rPr>
          <w:i w:val="0"/>
        </w:rPr>
        <w:t>The PBAC noted that its recommendation was on a cost-minimisation basis and advised that, because Zirabev</w:t>
      </w:r>
      <w:r w:rsidRPr="00C9316D">
        <w:rPr>
          <w:rFonts w:cs="Arial"/>
          <w:bCs/>
          <w:i w:val="0"/>
        </w:rPr>
        <w:t xml:space="preserve"> </w:t>
      </w:r>
      <w:r w:rsidRPr="00C9316D">
        <w:rPr>
          <w:i w:val="0"/>
        </w:rPr>
        <w:t xml:space="preserve">is not expected to provide a substantial and clinically relevant improvement in efficacy, or reduction of toxicity over Avastin, or not </w:t>
      </w:r>
      <w:r w:rsidRPr="00C9316D">
        <w:rPr>
          <w:i w:val="0"/>
        </w:rPr>
        <w:lastRenderedPageBreak/>
        <w:t>expected to address a high and urgent unmet clinical need given the presence of an alternative therapy, the criteria prescribed by the National Health (Pharmaceuticals and Vaccines – Cost Recovery) Regulations 2009 for Pricing Pathway A were not met.</w:t>
      </w:r>
    </w:p>
    <w:p w14:paraId="56C47F6A" w14:textId="77777777" w:rsidR="00151F53" w:rsidRPr="008E4C51" w:rsidRDefault="00151F53" w:rsidP="00151F53">
      <w:pPr>
        <w:widowControl w:val="0"/>
        <w:numPr>
          <w:ilvl w:val="1"/>
          <w:numId w:val="1"/>
        </w:numPr>
        <w:spacing w:after="120"/>
        <w:rPr>
          <w:rFonts w:asciiTheme="minorHAnsi" w:hAnsiTheme="minorHAnsi" w:cs="Arial"/>
          <w:b/>
          <w:bCs/>
          <w:snapToGrid w:val="0"/>
        </w:rPr>
      </w:pPr>
      <w:r w:rsidRPr="008E4C51">
        <w:rPr>
          <w:rFonts w:asciiTheme="minorHAnsi" w:hAnsiTheme="minorHAnsi" w:cs="Arial"/>
          <w:bCs/>
          <w:snapToGrid w:val="0"/>
        </w:rPr>
        <w:t xml:space="preserve">The PBAC noted that this submission is not eligible for an Independent Review as it received a positive recommendation. </w:t>
      </w:r>
    </w:p>
    <w:p w14:paraId="4B58D7DB" w14:textId="77777777" w:rsidR="00151F53" w:rsidRPr="008E4C51" w:rsidRDefault="00151F53" w:rsidP="00151F53">
      <w:pPr>
        <w:widowControl w:val="0"/>
        <w:spacing w:after="120"/>
        <w:rPr>
          <w:rFonts w:asciiTheme="minorHAnsi" w:hAnsiTheme="minorHAnsi" w:cs="Arial"/>
          <w:b/>
          <w:bCs/>
          <w:snapToGrid w:val="0"/>
        </w:rPr>
      </w:pPr>
      <w:r w:rsidRPr="008E4C51">
        <w:rPr>
          <w:rFonts w:asciiTheme="minorHAnsi" w:hAnsiTheme="minorHAnsi" w:cs="Arial"/>
          <w:b/>
          <w:bCs/>
          <w:snapToGrid w:val="0"/>
        </w:rPr>
        <w:t>Outcome:</w:t>
      </w:r>
    </w:p>
    <w:p w14:paraId="7345E3B1" w14:textId="133134B5" w:rsidR="00B86CCB" w:rsidRPr="008E4C51" w:rsidRDefault="00151F53" w:rsidP="00B86CCB">
      <w:pPr>
        <w:widowControl w:val="0"/>
        <w:rPr>
          <w:rFonts w:asciiTheme="minorHAnsi" w:hAnsiTheme="minorHAnsi" w:cs="Arial"/>
          <w:bCs/>
          <w:snapToGrid w:val="0"/>
        </w:rPr>
      </w:pPr>
      <w:r w:rsidRPr="008E4C51">
        <w:rPr>
          <w:rFonts w:asciiTheme="minorHAnsi" w:hAnsiTheme="minorHAnsi" w:cs="Arial"/>
          <w:bCs/>
          <w:snapToGrid w:val="0"/>
        </w:rPr>
        <w:t xml:space="preserve">Recommended </w:t>
      </w:r>
    </w:p>
    <w:p w14:paraId="686641AF" w14:textId="77777777" w:rsidR="00151F53" w:rsidRPr="00C9316D" w:rsidRDefault="00151F53" w:rsidP="00151F53">
      <w:pPr>
        <w:pStyle w:val="2Sections"/>
        <w:numPr>
          <w:ilvl w:val="0"/>
          <w:numId w:val="1"/>
        </w:numPr>
      </w:pPr>
      <w:r w:rsidRPr="00C9316D">
        <w:t xml:space="preserve">Recommended listing </w:t>
      </w:r>
    </w:p>
    <w:p w14:paraId="35F2CC10" w14:textId="3550EBBC" w:rsidR="00151F53" w:rsidRPr="00C9316D" w:rsidRDefault="0040272A" w:rsidP="00C766F8">
      <w:pPr>
        <w:pStyle w:val="Bodytextitalics"/>
        <w:numPr>
          <w:ilvl w:val="1"/>
          <w:numId w:val="1"/>
        </w:numPr>
        <w:rPr>
          <w:b/>
          <w:i w:val="0"/>
          <w:snapToGrid w:val="0"/>
        </w:rPr>
      </w:pPr>
      <w:r w:rsidRPr="00C9316D">
        <w:rPr>
          <w:i w:val="0"/>
        </w:rPr>
        <w:t>Add new medicinal product pack (MPP)/trade product pack (TPP) to the existing listings for bevacizumab</w:t>
      </w:r>
      <w:r w:rsidR="00151F53" w:rsidRPr="00C9316D">
        <w:rPr>
          <w:rFonts w:cs="Arial"/>
          <w:bCs/>
          <w:i w:val="0"/>
          <w:snapToGrid w:val="0"/>
        </w:rPr>
        <w:t xml:space="preserve">: </w:t>
      </w:r>
      <w:r w:rsidR="008D7D51" w:rsidRPr="00C9316D">
        <w:rPr>
          <w:i w:val="0"/>
          <w:szCs w:val="20"/>
        </w:rPr>
        <w:t>11727F 11731K 11791N 11811P 10120P 10114H 7243F 10885X 11749J 11745E</w:t>
      </w:r>
    </w:p>
    <w:tbl>
      <w:tblPr>
        <w:tblStyle w:val="TableGrid"/>
        <w:tblW w:w="5000" w:type="pct"/>
        <w:tblLook w:val="04A0" w:firstRow="1" w:lastRow="0" w:firstColumn="1" w:lastColumn="0" w:noHBand="0" w:noVBand="1"/>
        <w:tblCaption w:val="6 Recommended listing"/>
      </w:tblPr>
      <w:tblGrid>
        <w:gridCol w:w="5669"/>
        <w:gridCol w:w="3347"/>
      </w:tblGrid>
      <w:tr w:rsidR="0040272A" w:rsidRPr="00C9316D" w14:paraId="4AD7B7B5" w14:textId="77777777" w:rsidTr="007252E8">
        <w:trPr>
          <w:trHeight w:val="459"/>
          <w:tblHeader/>
        </w:trPr>
        <w:tc>
          <w:tcPr>
            <w:tcW w:w="3144" w:type="pct"/>
          </w:tcPr>
          <w:p w14:paraId="574627D3" w14:textId="0D36C62A" w:rsidR="0040272A" w:rsidRPr="008E4C51" w:rsidRDefault="0040272A" w:rsidP="007071B8">
            <w:pPr>
              <w:pStyle w:val="TableText0"/>
              <w:rPr>
                <w:rStyle w:val="SmallBold"/>
                <w:rFonts w:ascii="Arial Narrow" w:hAnsi="Arial Narrow"/>
                <w:szCs w:val="20"/>
              </w:rPr>
            </w:pPr>
            <w:r w:rsidRPr="00C9316D">
              <w:rPr>
                <w:rStyle w:val="SmallBold"/>
                <w:rFonts w:ascii="Arial Narrow" w:hAnsi="Arial Narrow"/>
                <w:szCs w:val="20"/>
              </w:rPr>
              <w:t>Name, r</w:t>
            </w:r>
            <w:bookmarkStart w:id="4" w:name="_GoBack"/>
            <w:bookmarkEnd w:id="4"/>
            <w:r w:rsidRPr="00C9316D">
              <w:rPr>
                <w:rStyle w:val="SmallBold"/>
                <w:rFonts w:ascii="Arial Narrow" w:hAnsi="Arial Narrow"/>
                <w:szCs w:val="20"/>
              </w:rPr>
              <w:t>estriction, manner of administration, and form</w:t>
            </w:r>
          </w:p>
        </w:tc>
        <w:tc>
          <w:tcPr>
            <w:tcW w:w="1856" w:type="pct"/>
            <w:shd w:val="clear" w:color="auto" w:fill="auto"/>
          </w:tcPr>
          <w:p w14:paraId="0191A0F0" w14:textId="77777777" w:rsidR="0040272A" w:rsidRPr="00C9316D" w:rsidRDefault="0040272A" w:rsidP="007071B8">
            <w:pPr>
              <w:pStyle w:val="TableText0"/>
              <w:rPr>
                <w:rStyle w:val="SmallBold"/>
                <w:rFonts w:ascii="Arial Narrow" w:hAnsi="Arial Narrow"/>
                <w:szCs w:val="20"/>
              </w:rPr>
            </w:pPr>
            <w:r w:rsidRPr="00C9316D">
              <w:rPr>
                <w:rStyle w:val="SmallBold"/>
                <w:rFonts w:ascii="Arial Narrow" w:hAnsi="Arial Narrow"/>
                <w:szCs w:val="20"/>
              </w:rPr>
              <w:t>Proprietary Name, Manufacturer</w:t>
            </w:r>
          </w:p>
        </w:tc>
      </w:tr>
      <w:tr w:rsidR="0040272A" w:rsidRPr="00C9316D" w14:paraId="13357B14" w14:textId="77777777" w:rsidTr="0040272A">
        <w:trPr>
          <w:trHeight w:val="689"/>
        </w:trPr>
        <w:tc>
          <w:tcPr>
            <w:tcW w:w="3144" w:type="pct"/>
          </w:tcPr>
          <w:p w14:paraId="316D6EBF" w14:textId="77777777" w:rsidR="0040272A" w:rsidRPr="00C9316D" w:rsidRDefault="0040272A" w:rsidP="007071B8">
            <w:pPr>
              <w:pStyle w:val="TableText0"/>
              <w:rPr>
                <w:szCs w:val="20"/>
              </w:rPr>
            </w:pPr>
            <w:r w:rsidRPr="00C9316D">
              <w:rPr>
                <w:szCs w:val="20"/>
              </w:rPr>
              <w:t>BEVACIZUMAB</w:t>
            </w:r>
          </w:p>
          <w:p w14:paraId="3BED6462" w14:textId="77777777" w:rsidR="005B33D9" w:rsidRPr="00C9316D" w:rsidRDefault="005B33D9" w:rsidP="005B33D9">
            <w:pPr>
              <w:pStyle w:val="TableText0"/>
              <w:rPr>
                <w:szCs w:val="20"/>
              </w:rPr>
            </w:pPr>
            <w:r w:rsidRPr="00C9316D">
              <w:rPr>
                <w:szCs w:val="20"/>
              </w:rPr>
              <w:t>bevacizumab 100 mg/4 mL injection, 4 mL vial</w:t>
            </w:r>
          </w:p>
          <w:p w14:paraId="750F3C14" w14:textId="1D30E1DD" w:rsidR="0040272A" w:rsidRPr="00C9316D" w:rsidRDefault="005B33D9" w:rsidP="005B33D9">
            <w:pPr>
              <w:pStyle w:val="TableText0"/>
              <w:rPr>
                <w:rStyle w:val="SmallBold"/>
                <w:rFonts w:ascii="Arial Narrow" w:hAnsi="Arial Narrow"/>
                <w:szCs w:val="20"/>
              </w:rPr>
            </w:pPr>
            <w:r w:rsidRPr="008E4C51">
              <w:rPr>
                <w:szCs w:val="20"/>
              </w:rPr>
              <w:t>bevacizumab 400 mg/16 mL injection, 16 mL vial</w:t>
            </w:r>
          </w:p>
        </w:tc>
        <w:tc>
          <w:tcPr>
            <w:tcW w:w="1856" w:type="pct"/>
            <w:shd w:val="clear" w:color="auto" w:fill="auto"/>
          </w:tcPr>
          <w:p w14:paraId="3ACE717F" w14:textId="77777777" w:rsidR="0040272A" w:rsidRPr="00C9316D" w:rsidRDefault="0040272A" w:rsidP="007071B8">
            <w:pPr>
              <w:pStyle w:val="TableText0"/>
              <w:rPr>
                <w:szCs w:val="20"/>
              </w:rPr>
            </w:pPr>
            <w:r w:rsidRPr="00C9316D">
              <w:rPr>
                <w:szCs w:val="20"/>
              </w:rPr>
              <w:t>Zirabev</w:t>
            </w:r>
          </w:p>
          <w:p w14:paraId="1CE4DE6B" w14:textId="3EDDA84C" w:rsidR="0040272A" w:rsidRPr="00C9316D" w:rsidRDefault="0040272A" w:rsidP="007071B8">
            <w:pPr>
              <w:pStyle w:val="TableText0"/>
              <w:rPr>
                <w:rStyle w:val="SmallBold"/>
                <w:rFonts w:ascii="Arial Narrow" w:hAnsi="Arial Narrow"/>
                <w:szCs w:val="20"/>
              </w:rPr>
            </w:pPr>
            <w:r w:rsidRPr="008E4C51">
              <w:rPr>
                <w:szCs w:val="20"/>
              </w:rPr>
              <w:t>Pfizer</w:t>
            </w:r>
            <w:r w:rsidR="00677007" w:rsidRPr="00C9316D">
              <w:rPr>
                <w:szCs w:val="20"/>
              </w:rPr>
              <w:t xml:space="preserve"> Australia Pty Ltd</w:t>
            </w:r>
          </w:p>
        </w:tc>
      </w:tr>
    </w:tbl>
    <w:p w14:paraId="466C12E1" w14:textId="77777777" w:rsidR="0040272A" w:rsidRPr="00C9316D" w:rsidRDefault="0040272A" w:rsidP="00151F53">
      <w:pPr>
        <w:pStyle w:val="Bodytextitalics"/>
        <w:rPr>
          <w:b/>
        </w:rPr>
      </w:pPr>
    </w:p>
    <w:p w14:paraId="660AC63D" w14:textId="5F13B7A6" w:rsidR="0005548A" w:rsidRPr="00A96186" w:rsidRDefault="00151F53" w:rsidP="00A96186">
      <w:pPr>
        <w:pStyle w:val="Bodytextitalics"/>
        <w:rPr>
          <w:b/>
          <w:color w:val="1F497D"/>
          <w:sz w:val="22"/>
        </w:rPr>
      </w:pPr>
      <w:r w:rsidRPr="00C9316D">
        <w:rPr>
          <w:b/>
        </w:rPr>
        <w:t>This restriction may be subject to further review. Should there be any changes made to the restriction the Sponsor will be informed.</w:t>
      </w:r>
    </w:p>
    <w:p w14:paraId="44BB35F5" w14:textId="5D2AE78C" w:rsidR="00C53B2B" w:rsidRDefault="00C53B2B" w:rsidP="00B95707">
      <w:pPr>
        <w:rPr>
          <w:rFonts w:asciiTheme="minorHAnsi" w:hAnsiTheme="minorHAnsi"/>
          <w:sz w:val="22"/>
          <w:szCs w:val="22"/>
        </w:rPr>
      </w:pPr>
    </w:p>
    <w:p w14:paraId="211168A2" w14:textId="77777777" w:rsidR="00743CD4" w:rsidRDefault="00743CD4" w:rsidP="00743CD4">
      <w:pPr>
        <w:pStyle w:val="2Sections"/>
        <w:numPr>
          <w:ilvl w:val="0"/>
          <w:numId w:val="1"/>
        </w:numPr>
        <w:rPr>
          <w:color w:val="1F497D"/>
        </w:rPr>
      </w:pPr>
      <w:r w:rsidRPr="00C07617">
        <w:t>Context for Decision</w:t>
      </w:r>
    </w:p>
    <w:p w14:paraId="33E7CD31" w14:textId="77777777" w:rsidR="00743CD4" w:rsidRDefault="00743CD4" w:rsidP="00743CD4">
      <w:pPr>
        <w:rPr>
          <w:rFonts w:asciiTheme="minorHAnsi" w:hAnsiTheme="minorHAnsi" w:cs="Arial"/>
          <w:bCs/>
          <w:lang w:val="en-GB"/>
        </w:rPr>
      </w:pPr>
      <w:r w:rsidRPr="007129F2">
        <w:rPr>
          <w:rFonts w:asciiTheme="minorHAnsi" w:hAnsiTheme="minorHAnsi" w:cs="Arial"/>
          <w:bCs/>
          <w:lang w:val="en-GB"/>
        </w:rPr>
        <w:t xml:space="preserve">The PBAC helps decide whether and, if so, how medicines should be subsidised through the Pharmaceutical Benefits Scheme (PBS) in Australia. It considers applications regarding the listing of </w:t>
      </w:r>
      <w:r w:rsidRPr="003F5AE0">
        <w:rPr>
          <w:rFonts w:asciiTheme="minorHAnsi" w:hAnsiTheme="minorHAnsi" w:cs="Arial"/>
          <w:bCs/>
          <w:lang w:val="en-GB"/>
        </w:rPr>
        <w:t>medicines</w:t>
      </w:r>
      <w:r w:rsidRPr="007129F2">
        <w:rPr>
          <w:rFonts w:asciiTheme="minorHAnsi" w:hAnsiTheme="minorHAnsi" w:cs="Arial"/>
          <w:bCs/>
          <w:lang w:val="en-GB"/>
        </w:rPr>
        <w:t xml:space="preserve">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5EB7AF6F" w14:textId="77777777" w:rsidR="00743CD4" w:rsidRPr="007129F2" w:rsidRDefault="00743CD4" w:rsidP="00743CD4">
      <w:pPr>
        <w:rPr>
          <w:rFonts w:asciiTheme="minorHAnsi" w:hAnsiTheme="minorHAnsi" w:cs="Arial"/>
          <w:bCs/>
          <w:lang w:val="en-GB"/>
        </w:rPr>
      </w:pPr>
    </w:p>
    <w:p w14:paraId="47D21EF9" w14:textId="77777777" w:rsidR="00743CD4" w:rsidRPr="00C07617" w:rsidRDefault="00743CD4" w:rsidP="00743CD4">
      <w:pPr>
        <w:pStyle w:val="2Sections"/>
        <w:numPr>
          <w:ilvl w:val="0"/>
          <w:numId w:val="1"/>
        </w:numPr>
        <w:rPr>
          <w:b w:val="0"/>
        </w:rPr>
      </w:pPr>
      <w:r>
        <w:t>Sponsor’s Comment</w:t>
      </w:r>
    </w:p>
    <w:p w14:paraId="5553BDC8" w14:textId="77777777" w:rsidR="00743CD4" w:rsidRPr="001179AC" w:rsidRDefault="00743CD4" w:rsidP="00743CD4">
      <w:pPr>
        <w:spacing w:after="120"/>
        <w:rPr>
          <w:rFonts w:asciiTheme="minorHAnsi" w:hAnsiTheme="minorHAnsi" w:cs="Arial"/>
          <w:bCs/>
        </w:rPr>
      </w:pPr>
      <w:r w:rsidRPr="00C07617">
        <w:rPr>
          <w:rFonts w:asciiTheme="minorHAnsi" w:hAnsiTheme="minorHAnsi" w:cs="Arial"/>
          <w:bCs/>
        </w:rPr>
        <w:t>The sponsor had no comment.</w:t>
      </w:r>
    </w:p>
    <w:p w14:paraId="5201BD3A" w14:textId="77777777" w:rsidR="00743CD4" w:rsidRPr="00C9316D" w:rsidRDefault="00743CD4" w:rsidP="00B95707">
      <w:pPr>
        <w:rPr>
          <w:rFonts w:asciiTheme="minorHAnsi" w:hAnsiTheme="minorHAnsi"/>
          <w:sz w:val="22"/>
          <w:szCs w:val="22"/>
        </w:rPr>
      </w:pPr>
    </w:p>
    <w:sectPr w:rsidR="00743CD4" w:rsidRPr="00C9316D"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B0C92" w14:textId="77777777" w:rsidR="007071B8" w:rsidRDefault="007071B8">
      <w:r>
        <w:separator/>
      </w:r>
    </w:p>
    <w:p w14:paraId="038E238C" w14:textId="77777777" w:rsidR="007071B8" w:rsidRDefault="007071B8"/>
  </w:endnote>
  <w:endnote w:type="continuationSeparator" w:id="0">
    <w:p w14:paraId="4AA3880E" w14:textId="77777777" w:rsidR="007071B8" w:rsidRDefault="007071B8">
      <w:r>
        <w:continuationSeparator/>
      </w:r>
    </w:p>
    <w:p w14:paraId="7EA76869" w14:textId="77777777" w:rsidR="007071B8" w:rsidRDefault="007071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7071B8" w14:paraId="7AE7B59D" w14:textId="77777777" w:rsidTr="005A3173">
      <w:trPr>
        <w:trHeight w:val="151"/>
      </w:trPr>
      <w:tc>
        <w:tcPr>
          <w:tcW w:w="2250" w:type="pct"/>
          <w:tcBorders>
            <w:top w:val="nil"/>
            <w:left w:val="nil"/>
            <w:bottom w:val="single" w:sz="4" w:space="0" w:color="4F81BD"/>
            <w:right w:val="nil"/>
          </w:tcBorders>
        </w:tcPr>
        <w:p w14:paraId="67C1D142" w14:textId="77777777" w:rsidR="007071B8" w:rsidRPr="005A3173" w:rsidRDefault="007071B8" w:rsidP="005A3173">
          <w:pPr>
            <w:pStyle w:val="Header"/>
            <w:spacing w:line="276" w:lineRule="auto"/>
            <w:rPr>
              <w:rFonts w:eastAsia="MS Gothic"/>
              <w:b/>
              <w:bCs/>
              <w:color w:val="4F81BD"/>
            </w:rPr>
          </w:pPr>
        </w:p>
      </w:tc>
      <w:tc>
        <w:tcPr>
          <w:tcW w:w="500" w:type="pct"/>
          <w:vMerge w:val="restart"/>
          <w:noWrap/>
          <w:vAlign w:val="center"/>
          <w:hideMark/>
        </w:tcPr>
        <w:p w14:paraId="1185B349" w14:textId="77777777" w:rsidR="007071B8" w:rsidRPr="005A3173" w:rsidRDefault="007071B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513BB6FC" w14:textId="77777777" w:rsidR="007071B8" w:rsidRPr="005A3173" w:rsidRDefault="007071B8" w:rsidP="005A3173">
          <w:pPr>
            <w:pStyle w:val="Header"/>
            <w:spacing w:line="276" w:lineRule="auto"/>
            <w:rPr>
              <w:rFonts w:eastAsia="MS Gothic"/>
              <w:b/>
              <w:bCs/>
              <w:color w:val="4F81BD"/>
            </w:rPr>
          </w:pPr>
        </w:p>
      </w:tc>
    </w:tr>
    <w:tr w:rsidR="007071B8" w14:paraId="09AEC201" w14:textId="77777777" w:rsidTr="005A3173">
      <w:trPr>
        <w:trHeight w:val="150"/>
      </w:trPr>
      <w:tc>
        <w:tcPr>
          <w:tcW w:w="2250" w:type="pct"/>
          <w:tcBorders>
            <w:top w:val="single" w:sz="4" w:space="0" w:color="4F81BD"/>
            <w:left w:val="nil"/>
            <w:bottom w:val="nil"/>
            <w:right w:val="nil"/>
          </w:tcBorders>
        </w:tcPr>
        <w:p w14:paraId="262F4099" w14:textId="77777777" w:rsidR="007071B8" w:rsidRPr="005A3173" w:rsidRDefault="007071B8" w:rsidP="005A3173">
          <w:pPr>
            <w:pStyle w:val="Header"/>
            <w:spacing w:line="276" w:lineRule="auto"/>
            <w:rPr>
              <w:rFonts w:eastAsia="MS Gothic"/>
              <w:b/>
              <w:bCs/>
              <w:color w:val="4F81BD"/>
            </w:rPr>
          </w:pPr>
        </w:p>
      </w:tc>
      <w:tc>
        <w:tcPr>
          <w:tcW w:w="0" w:type="auto"/>
          <w:vMerge/>
          <w:vAlign w:val="center"/>
          <w:hideMark/>
        </w:tcPr>
        <w:p w14:paraId="7DCDEB18" w14:textId="77777777" w:rsidR="007071B8" w:rsidRPr="005A3173" w:rsidRDefault="007071B8" w:rsidP="005A3173">
          <w:pPr>
            <w:rPr>
              <w:color w:val="365F91"/>
              <w:sz w:val="22"/>
              <w:szCs w:val="22"/>
            </w:rPr>
          </w:pPr>
        </w:p>
      </w:tc>
      <w:tc>
        <w:tcPr>
          <w:tcW w:w="2250" w:type="pct"/>
          <w:tcBorders>
            <w:top w:val="single" w:sz="4" w:space="0" w:color="4F81BD"/>
            <w:left w:val="nil"/>
            <w:bottom w:val="nil"/>
            <w:right w:val="nil"/>
          </w:tcBorders>
        </w:tcPr>
        <w:p w14:paraId="5FC0FCCA" w14:textId="77777777" w:rsidR="007071B8" w:rsidRPr="005A3173" w:rsidRDefault="007071B8" w:rsidP="005A3173">
          <w:pPr>
            <w:pStyle w:val="Header"/>
            <w:spacing w:line="276" w:lineRule="auto"/>
            <w:rPr>
              <w:rFonts w:eastAsia="MS Gothic"/>
              <w:b/>
              <w:bCs/>
              <w:color w:val="4F81BD"/>
            </w:rPr>
          </w:pPr>
        </w:p>
      </w:tc>
    </w:tr>
  </w:tbl>
  <w:p w14:paraId="10555411" w14:textId="77777777" w:rsidR="007071B8" w:rsidRDefault="007071B8"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86D064" w14:textId="77777777" w:rsidR="007071B8" w:rsidRDefault="007071B8">
    <w:pPr>
      <w:pStyle w:val="Footer"/>
    </w:pPr>
  </w:p>
  <w:p w14:paraId="32F5595B" w14:textId="77777777" w:rsidR="007071B8" w:rsidRDefault="007071B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EBC3D" w14:textId="77777777" w:rsidR="00A96186" w:rsidRDefault="00A96186">
    <w:pPr>
      <w:pStyle w:val="Footer"/>
      <w:jc w:val="center"/>
    </w:pPr>
  </w:p>
  <w:p w14:paraId="100A1C8F" w14:textId="41183AB7" w:rsidR="00A96186" w:rsidRDefault="007252E8">
    <w:pPr>
      <w:pStyle w:val="Footer"/>
      <w:jc w:val="center"/>
    </w:pPr>
    <w:sdt>
      <w:sdtPr>
        <w:id w:val="1180549427"/>
        <w:docPartObj>
          <w:docPartGallery w:val="Page Numbers (Bottom of Page)"/>
          <w:docPartUnique/>
        </w:docPartObj>
      </w:sdtPr>
      <w:sdtEndPr>
        <w:rPr>
          <w:noProof/>
        </w:rPr>
      </w:sdtEndPr>
      <w:sdtContent>
        <w:r w:rsidR="00A96186" w:rsidRPr="00A96186">
          <w:rPr>
            <w:b/>
          </w:rPr>
          <w:fldChar w:fldCharType="begin"/>
        </w:r>
        <w:r w:rsidR="00A96186" w:rsidRPr="00A96186">
          <w:rPr>
            <w:b/>
          </w:rPr>
          <w:instrText xml:space="preserve"> PAGE   \* MERGEFORMAT </w:instrText>
        </w:r>
        <w:r w:rsidR="00A96186" w:rsidRPr="00A96186">
          <w:rPr>
            <w:b/>
          </w:rPr>
          <w:fldChar w:fldCharType="separate"/>
        </w:r>
        <w:r>
          <w:rPr>
            <w:b/>
            <w:noProof/>
          </w:rPr>
          <w:t>5</w:t>
        </w:r>
        <w:r w:rsidR="00A96186" w:rsidRPr="00A96186">
          <w:rPr>
            <w:b/>
            <w:noProof/>
          </w:rPr>
          <w:fldChar w:fldCharType="end"/>
        </w:r>
      </w:sdtContent>
    </w:sdt>
  </w:p>
  <w:p w14:paraId="61B49999" w14:textId="77777777" w:rsidR="007071B8" w:rsidRPr="00B121E3" w:rsidRDefault="007071B8" w:rsidP="00E27234">
    <w:pPr>
      <w:pStyle w:val="PBACFooter"/>
      <w:rPr>
        <w:rFonts w:asciiTheme="minorHAnsi" w:hAnsiTheme="minorHAnsi" w:cstheme="minorHAnsi"/>
        <w:b w:val="0"/>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7071B8" w14:paraId="031AA569" w14:textId="77777777" w:rsidTr="005A3173">
      <w:trPr>
        <w:trHeight w:val="151"/>
      </w:trPr>
      <w:tc>
        <w:tcPr>
          <w:tcW w:w="2250" w:type="pct"/>
          <w:tcBorders>
            <w:top w:val="nil"/>
            <w:left w:val="nil"/>
            <w:bottom w:val="single" w:sz="4" w:space="0" w:color="4F81BD"/>
            <w:right w:val="nil"/>
          </w:tcBorders>
        </w:tcPr>
        <w:p w14:paraId="41814DAF" w14:textId="77777777" w:rsidR="007071B8" w:rsidRPr="005A3173" w:rsidRDefault="007071B8" w:rsidP="005A3173">
          <w:pPr>
            <w:pStyle w:val="Header"/>
            <w:spacing w:line="276" w:lineRule="auto"/>
            <w:rPr>
              <w:rFonts w:eastAsia="MS Gothic"/>
              <w:b/>
              <w:bCs/>
              <w:color w:val="4F81BD"/>
            </w:rPr>
          </w:pPr>
        </w:p>
      </w:tc>
      <w:tc>
        <w:tcPr>
          <w:tcW w:w="500" w:type="pct"/>
          <w:vMerge w:val="restart"/>
          <w:noWrap/>
          <w:vAlign w:val="center"/>
          <w:hideMark/>
        </w:tcPr>
        <w:p w14:paraId="188E01ED" w14:textId="77777777" w:rsidR="007071B8" w:rsidRPr="005A3173" w:rsidRDefault="007071B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AECA24A" w14:textId="77777777" w:rsidR="007071B8" w:rsidRPr="005A3173" w:rsidRDefault="007071B8" w:rsidP="005A3173">
          <w:pPr>
            <w:pStyle w:val="Header"/>
            <w:spacing w:line="276" w:lineRule="auto"/>
            <w:rPr>
              <w:rFonts w:eastAsia="MS Gothic"/>
              <w:b/>
              <w:bCs/>
              <w:color w:val="4F81BD"/>
            </w:rPr>
          </w:pPr>
        </w:p>
      </w:tc>
    </w:tr>
    <w:tr w:rsidR="007071B8" w14:paraId="1AF3C146" w14:textId="77777777" w:rsidTr="005A3173">
      <w:trPr>
        <w:trHeight w:val="150"/>
      </w:trPr>
      <w:tc>
        <w:tcPr>
          <w:tcW w:w="2250" w:type="pct"/>
          <w:tcBorders>
            <w:top w:val="single" w:sz="4" w:space="0" w:color="4F81BD"/>
            <w:left w:val="nil"/>
            <w:bottom w:val="nil"/>
            <w:right w:val="nil"/>
          </w:tcBorders>
        </w:tcPr>
        <w:p w14:paraId="30486D49" w14:textId="77777777" w:rsidR="007071B8" w:rsidRPr="005A3173" w:rsidRDefault="007071B8" w:rsidP="005A3173">
          <w:pPr>
            <w:pStyle w:val="Header"/>
            <w:spacing w:line="276" w:lineRule="auto"/>
            <w:rPr>
              <w:rFonts w:eastAsia="MS Gothic"/>
              <w:b/>
              <w:bCs/>
              <w:color w:val="4F81BD"/>
            </w:rPr>
          </w:pPr>
        </w:p>
      </w:tc>
      <w:tc>
        <w:tcPr>
          <w:tcW w:w="0" w:type="auto"/>
          <w:vMerge/>
          <w:vAlign w:val="center"/>
          <w:hideMark/>
        </w:tcPr>
        <w:p w14:paraId="65954F94" w14:textId="77777777" w:rsidR="007071B8" w:rsidRPr="005A3173" w:rsidRDefault="007071B8" w:rsidP="005A3173">
          <w:pPr>
            <w:rPr>
              <w:color w:val="365F91"/>
              <w:sz w:val="22"/>
              <w:szCs w:val="22"/>
            </w:rPr>
          </w:pPr>
        </w:p>
      </w:tc>
      <w:tc>
        <w:tcPr>
          <w:tcW w:w="2250" w:type="pct"/>
          <w:tcBorders>
            <w:top w:val="single" w:sz="4" w:space="0" w:color="4F81BD"/>
            <w:left w:val="nil"/>
            <w:bottom w:val="nil"/>
            <w:right w:val="nil"/>
          </w:tcBorders>
        </w:tcPr>
        <w:p w14:paraId="2C1ACB3E" w14:textId="77777777" w:rsidR="007071B8" w:rsidRPr="005A3173" w:rsidRDefault="007071B8"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7071B8" w14:paraId="4C2C8FBC" w14:textId="77777777" w:rsidTr="005A3173">
      <w:trPr>
        <w:trHeight w:val="151"/>
      </w:trPr>
      <w:tc>
        <w:tcPr>
          <w:tcW w:w="2250" w:type="pct"/>
          <w:tcBorders>
            <w:top w:val="nil"/>
            <w:left w:val="nil"/>
            <w:bottom w:val="single" w:sz="4" w:space="0" w:color="4F81BD"/>
            <w:right w:val="nil"/>
          </w:tcBorders>
        </w:tcPr>
        <w:p w14:paraId="144A534E" w14:textId="77777777" w:rsidR="007071B8" w:rsidRPr="005A3173" w:rsidRDefault="007071B8" w:rsidP="005A3173">
          <w:pPr>
            <w:pStyle w:val="Header"/>
            <w:spacing w:line="276" w:lineRule="auto"/>
            <w:rPr>
              <w:rFonts w:eastAsia="MS Gothic"/>
              <w:b/>
              <w:bCs/>
              <w:color w:val="4F81BD"/>
            </w:rPr>
          </w:pPr>
        </w:p>
      </w:tc>
      <w:tc>
        <w:tcPr>
          <w:tcW w:w="500" w:type="pct"/>
          <w:vMerge w:val="restart"/>
          <w:noWrap/>
          <w:vAlign w:val="center"/>
          <w:hideMark/>
        </w:tcPr>
        <w:p w14:paraId="026A85A5" w14:textId="77777777" w:rsidR="007071B8" w:rsidRPr="005A3173" w:rsidRDefault="007071B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4B95C828" w14:textId="77777777" w:rsidR="007071B8" w:rsidRPr="005A3173" w:rsidRDefault="007071B8" w:rsidP="005A3173">
          <w:pPr>
            <w:pStyle w:val="Header"/>
            <w:spacing w:line="276" w:lineRule="auto"/>
            <w:rPr>
              <w:rFonts w:eastAsia="MS Gothic"/>
              <w:b/>
              <w:bCs/>
              <w:color w:val="4F81BD"/>
            </w:rPr>
          </w:pPr>
        </w:p>
      </w:tc>
    </w:tr>
    <w:tr w:rsidR="007071B8" w14:paraId="1EFFFA27" w14:textId="77777777" w:rsidTr="005A3173">
      <w:trPr>
        <w:trHeight w:val="150"/>
      </w:trPr>
      <w:tc>
        <w:tcPr>
          <w:tcW w:w="2250" w:type="pct"/>
          <w:tcBorders>
            <w:top w:val="single" w:sz="4" w:space="0" w:color="4F81BD"/>
            <w:left w:val="nil"/>
            <w:bottom w:val="nil"/>
            <w:right w:val="nil"/>
          </w:tcBorders>
        </w:tcPr>
        <w:p w14:paraId="6492EAAC" w14:textId="77777777" w:rsidR="007071B8" w:rsidRPr="005A3173" w:rsidRDefault="007071B8" w:rsidP="005A3173">
          <w:pPr>
            <w:pStyle w:val="Header"/>
            <w:spacing w:line="276" w:lineRule="auto"/>
            <w:rPr>
              <w:rFonts w:eastAsia="MS Gothic"/>
              <w:b/>
              <w:bCs/>
              <w:color w:val="4F81BD"/>
            </w:rPr>
          </w:pPr>
        </w:p>
      </w:tc>
      <w:tc>
        <w:tcPr>
          <w:tcW w:w="0" w:type="auto"/>
          <w:vMerge/>
          <w:vAlign w:val="center"/>
          <w:hideMark/>
        </w:tcPr>
        <w:p w14:paraId="7341BE58" w14:textId="77777777" w:rsidR="007071B8" w:rsidRPr="005A3173" w:rsidRDefault="007071B8" w:rsidP="005A3173">
          <w:pPr>
            <w:rPr>
              <w:color w:val="365F91"/>
              <w:sz w:val="22"/>
              <w:szCs w:val="22"/>
            </w:rPr>
          </w:pPr>
        </w:p>
      </w:tc>
      <w:tc>
        <w:tcPr>
          <w:tcW w:w="2250" w:type="pct"/>
          <w:tcBorders>
            <w:top w:val="single" w:sz="4" w:space="0" w:color="4F81BD"/>
            <w:left w:val="nil"/>
            <w:bottom w:val="nil"/>
            <w:right w:val="nil"/>
          </w:tcBorders>
        </w:tcPr>
        <w:p w14:paraId="3C302B75" w14:textId="77777777" w:rsidR="007071B8" w:rsidRPr="005A3173" w:rsidRDefault="007071B8" w:rsidP="005A3173">
          <w:pPr>
            <w:pStyle w:val="Header"/>
            <w:spacing w:line="276" w:lineRule="auto"/>
            <w:rPr>
              <w:rFonts w:eastAsia="MS Gothic"/>
              <w:b/>
              <w:bCs/>
              <w:color w:val="4F81BD"/>
            </w:rPr>
          </w:pPr>
        </w:p>
      </w:tc>
    </w:tr>
  </w:tbl>
  <w:p w14:paraId="5D2C6B0E" w14:textId="77777777" w:rsidR="007071B8" w:rsidRPr="007C0F57" w:rsidRDefault="007071B8"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14:paraId="0C13DD78" w14:textId="77777777" w:rsidR="007071B8" w:rsidRPr="007C0F57" w:rsidRDefault="007071B8" w:rsidP="007C0F57">
    <w:pPr>
      <w:pStyle w:val="Footer"/>
      <w:jc w:val="center"/>
      <w:rPr>
        <w:b/>
        <w:i/>
        <w:sz w:val="20"/>
        <w:szCs w:val="20"/>
      </w:rPr>
    </w:pPr>
    <w:r w:rsidRPr="007C0F57">
      <w:rPr>
        <w:b/>
        <w:i/>
        <w:sz w:val="20"/>
        <w:szCs w:val="20"/>
      </w:rPr>
      <w:t>Commercial-in-Confidence</w:t>
    </w:r>
  </w:p>
  <w:p w14:paraId="7123EEDA" w14:textId="77777777" w:rsidR="007071B8" w:rsidRDefault="007071B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B161B" w14:textId="77777777" w:rsidR="007071B8" w:rsidRDefault="007071B8">
      <w:r>
        <w:separator/>
      </w:r>
    </w:p>
    <w:p w14:paraId="1F7BFAE1" w14:textId="77777777" w:rsidR="007071B8" w:rsidRDefault="007071B8"/>
  </w:footnote>
  <w:footnote w:type="continuationSeparator" w:id="0">
    <w:p w14:paraId="254A1251" w14:textId="77777777" w:rsidR="007071B8" w:rsidRDefault="007071B8">
      <w:r>
        <w:continuationSeparator/>
      </w:r>
    </w:p>
    <w:p w14:paraId="25AD7CC7" w14:textId="77777777" w:rsidR="007071B8" w:rsidRDefault="007071B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7071B8" w:rsidRPr="008E0D90" w14:paraId="5BED4405" w14:textId="77777777" w:rsidTr="00A06225">
      <w:trPr>
        <w:trHeight w:val="151"/>
      </w:trPr>
      <w:tc>
        <w:tcPr>
          <w:tcW w:w="2389" w:type="pct"/>
          <w:tcBorders>
            <w:top w:val="nil"/>
            <w:left w:val="nil"/>
            <w:bottom w:val="single" w:sz="4" w:space="0" w:color="4F81BD"/>
            <w:right w:val="nil"/>
          </w:tcBorders>
        </w:tcPr>
        <w:p w14:paraId="56B15E6D" w14:textId="77777777" w:rsidR="007071B8" w:rsidRPr="00A06225" w:rsidRDefault="007071B8">
          <w:pPr>
            <w:pStyle w:val="Header"/>
            <w:spacing w:line="276" w:lineRule="auto"/>
            <w:rPr>
              <w:rFonts w:ascii="Cambria" w:eastAsia="MS Gothic" w:hAnsi="Cambria"/>
              <w:b/>
              <w:bCs/>
              <w:color w:val="4F81BD"/>
            </w:rPr>
          </w:pPr>
        </w:p>
      </w:tc>
      <w:tc>
        <w:tcPr>
          <w:tcW w:w="333" w:type="pct"/>
          <w:vMerge w:val="restart"/>
          <w:noWrap/>
          <w:vAlign w:val="center"/>
          <w:hideMark/>
        </w:tcPr>
        <w:p w14:paraId="6D804E8A" w14:textId="77777777" w:rsidR="007071B8" w:rsidRPr="00A06225" w:rsidRDefault="007071B8"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6E520741" w14:textId="77777777" w:rsidR="007071B8" w:rsidRPr="00A06225" w:rsidRDefault="007071B8">
          <w:pPr>
            <w:pStyle w:val="Header"/>
            <w:spacing w:line="276" w:lineRule="auto"/>
            <w:rPr>
              <w:rFonts w:ascii="Cambria" w:eastAsia="MS Gothic" w:hAnsi="Cambria"/>
              <w:b/>
              <w:bCs/>
              <w:color w:val="4F81BD"/>
            </w:rPr>
          </w:pPr>
        </w:p>
      </w:tc>
    </w:tr>
    <w:tr w:rsidR="007071B8" w:rsidRPr="008E0D90" w14:paraId="1B0F50EB" w14:textId="77777777" w:rsidTr="00A06225">
      <w:trPr>
        <w:trHeight w:val="150"/>
      </w:trPr>
      <w:tc>
        <w:tcPr>
          <w:tcW w:w="2389" w:type="pct"/>
          <w:tcBorders>
            <w:top w:val="single" w:sz="4" w:space="0" w:color="4F81BD"/>
            <w:left w:val="nil"/>
            <w:bottom w:val="nil"/>
            <w:right w:val="nil"/>
          </w:tcBorders>
        </w:tcPr>
        <w:p w14:paraId="385753F3" w14:textId="77777777" w:rsidR="007071B8" w:rsidRPr="00A06225" w:rsidRDefault="007071B8">
          <w:pPr>
            <w:pStyle w:val="Header"/>
            <w:spacing w:line="276" w:lineRule="auto"/>
            <w:rPr>
              <w:rFonts w:ascii="Cambria" w:eastAsia="MS Gothic" w:hAnsi="Cambria"/>
              <w:b/>
              <w:bCs/>
              <w:color w:val="4F81BD"/>
            </w:rPr>
          </w:pPr>
        </w:p>
      </w:tc>
      <w:tc>
        <w:tcPr>
          <w:tcW w:w="0" w:type="auto"/>
          <w:vMerge/>
          <w:vAlign w:val="center"/>
          <w:hideMark/>
        </w:tcPr>
        <w:p w14:paraId="093C6CD8" w14:textId="77777777" w:rsidR="007071B8" w:rsidRPr="00A06225" w:rsidRDefault="007071B8">
          <w:pPr>
            <w:rPr>
              <w:rFonts w:ascii="Cambria" w:hAnsi="Cambria"/>
              <w:color w:val="4F81BD"/>
              <w:sz w:val="22"/>
              <w:szCs w:val="22"/>
            </w:rPr>
          </w:pPr>
        </w:p>
      </w:tc>
      <w:tc>
        <w:tcPr>
          <w:tcW w:w="2278" w:type="pct"/>
          <w:tcBorders>
            <w:top w:val="single" w:sz="4" w:space="0" w:color="4F81BD"/>
            <w:left w:val="nil"/>
            <w:bottom w:val="nil"/>
            <w:right w:val="nil"/>
          </w:tcBorders>
        </w:tcPr>
        <w:p w14:paraId="6E284C98" w14:textId="77777777" w:rsidR="007071B8" w:rsidRPr="00A06225" w:rsidRDefault="007071B8">
          <w:pPr>
            <w:pStyle w:val="Header"/>
            <w:spacing w:line="276" w:lineRule="auto"/>
            <w:rPr>
              <w:rFonts w:ascii="Cambria" w:eastAsia="MS Gothic" w:hAnsi="Cambria"/>
              <w:b/>
              <w:bCs/>
              <w:color w:val="4F81BD"/>
            </w:rPr>
          </w:pPr>
        </w:p>
      </w:tc>
    </w:tr>
  </w:tbl>
  <w:p w14:paraId="359FF7DA" w14:textId="77777777" w:rsidR="007071B8" w:rsidRDefault="007071B8">
    <w:pPr>
      <w:pStyle w:val="Header"/>
    </w:pPr>
  </w:p>
  <w:p w14:paraId="54F42DAD" w14:textId="77777777" w:rsidR="007071B8" w:rsidRDefault="007071B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F97E2" w14:textId="77777777" w:rsidR="00743CD4" w:rsidRPr="00966288" w:rsidRDefault="00743CD4" w:rsidP="00743CD4">
    <w:pPr>
      <w:pStyle w:val="MinorOVRHeader"/>
      <w:jc w:val="center"/>
      <w:rPr>
        <w:i/>
      </w:rPr>
    </w:pPr>
    <w:r>
      <w:rPr>
        <w:i/>
      </w:rPr>
      <w:t>Public Summary Document</w:t>
    </w:r>
    <w:r w:rsidRPr="00966288">
      <w:rPr>
        <w:i/>
      </w:rPr>
      <w:t xml:space="preserve"> – </w:t>
    </w:r>
    <w:r>
      <w:rPr>
        <w:i/>
      </w:rPr>
      <w:t xml:space="preserve">July </w:t>
    </w:r>
    <w:r w:rsidRPr="00966288">
      <w:rPr>
        <w:i/>
      </w:rPr>
      <w:t>2020 PBAC Meeting</w:t>
    </w:r>
  </w:p>
  <w:p w14:paraId="5C5BC219" w14:textId="77777777" w:rsidR="007071B8" w:rsidRDefault="007071B8"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B7F96" w14:textId="77777777" w:rsidR="007252E8" w:rsidRDefault="007252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singleLevel"/>
    <w:tmpl w:val="98E4CF8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B219F8"/>
    <w:multiLevelType w:val="hybridMultilevel"/>
    <w:tmpl w:val="83523F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9"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1"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7468785B"/>
    <w:multiLevelType w:val="hybridMultilevel"/>
    <w:tmpl w:val="086C973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782619FB"/>
    <w:multiLevelType w:val="hybridMultilevel"/>
    <w:tmpl w:val="E2E28086"/>
    <w:lvl w:ilvl="0" w:tplc="184C5FAC">
      <w:start w:val="1"/>
      <w:numFmt w:val="bullet"/>
      <w:lvlText w:val="•"/>
      <w:lvlJc w:val="left"/>
      <w:pPr>
        <w:tabs>
          <w:tab w:val="num" w:pos="720"/>
        </w:tabs>
        <w:ind w:left="720" w:hanging="360"/>
      </w:pPr>
      <w:rPr>
        <w:rFonts w:ascii="Arial" w:hAnsi="Arial" w:hint="default"/>
      </w:rPr>
    </w:lvl>
    <w:lvl w:ilvl="1" w:tplc="CA3E3F0C" w:tentative="1">
      <w:start w:val="1"/>
      <w:numFmt w:val="bullet"/>
      <w:lvlText w:val="•"/>
      <w:lvlJc w:val="left"/>
      <w:pPr>
        <w:tabs>
          <w:tab w:val="num" w:pos="1440"/>
        </w:tabs>
        <w:ind w:left="1440" w:hanging="360"/>
      </w:pPr>
      <w:rPr>
        <w:rFonts w:ascii="Arial" w:hAnsi="Arial" w:hint="default"/>
      </w:rPr>
    </w:lvl>
    <w:lvl w:ilvl="2" w:tplc="190E7B66" w:tentative="1">
      <w:start w:val="1"/>
      <w:numFmt w:val="bullet"/>
      <w:lvlText w:val="•"/>
      <w:lvlJc w:val="left"/>
      <w:pPr>
        <w:tabs>
          <w:tab w:val="num" w:pos="2160"/>
        </w:tabs>
        <w:ind w:left="2160" w:hanging="360"/>
      </w:pPr>
      <w:rPr>
        <w:rFonts w:ascii="Arial" w:hAnsi="Arial" w:hint="default"/>
      </w:rPr>
    </w:lvl>
    <w:lvl w:ilvl="3" w:tplc="83E43B38" w:tentative="1">
      <w:start w:val="1"/>
      <w:numFmt w:val="bullet"/>
      <w:lvlText w:val="•"/>
      <w:lvlJc w:val="left"/>
      <w:pPr>
        <w:tabs>
          <w:tab w:val="num" w:pos="2880"/>
        </w:tabs>
        <w:ind w:left="2880" w:hanging="360"/>
      </w:pPr>
      <w:rPr>
        <w:rFonts w:ascii="Arial" w:hAnsi="Arial" w:hint="default"/>
      </w:rPr>
    </w:lvl>
    <w:lvl w:ilvl="4" w:tplc="1EA896D8" w:tentative="1">
      <w:start w:val="1"/>
      <w:numFmt w:val="bullet"/>
      <w:lvlText w:val="•"/>
      <w:lvlJc w:val="left"/>
      <w:pPr>
        <w:tabs>
          <w:tab w:val="num" w:pos="3600"/>
        </w:tabs>
        <w:ind w:left="3600" w:hanging="360"/>
      </w:pPr>
      <w:rPr>
        <w:rFonts w:ascii="Arial" w:hAnsi="Arial" w:hint="default"/>
      </w:rPr>
    </w:lvl>
    <w:lvl w:ilvl="5" w:tplc="4EFA21E2" w:tentative="1">
      <w:start w:val="1"/>
      <w:numFmt w:val="bullet"/>
      <w:lvlText w:val="•"/>
      <w:lvlJc w:val="left"/>
      <w:pPr>
        <w:tabs>
          <w:tab w:val="num" w:pos="4320"/>
        </w:tabs>
        <w:ind w:left="4320" w:hanging="360"/>
      </w:pPr>
      <w:rPr>
        <w:rFonts w:ascii="Arial" w:hAnsi="Arial" w:hint="default"/>
      </w:rPr>
    </w:lvl>
    <w:lvl w:ilvl="6" w:tplc="25F6A342" w:tentative="1">
      <w:start w:val="1"/>
      <w:numFmt w:val="bullet"/>
      <w:lvlText w:val="•"/>
      <w:lvlJc w:val="left"/>
      <w:pPr>
        <w:tabs>
          <w:tab w:val="num" w:pos="5040"/>
        </w:tabs>
        <w:ind w:left="5040" w:hanging="360"/>
      </w:pPr>
      <w:rPr>
        <w:rFonts w:ascii="Arial" w:hAnsi="Arial" w:hint="default"/>
      </w:rPr>
    </w:lvl>
    <w:lvl w:ilvl="7" w:tplc="C05C12E8" w:tentative="1">
      <w:start w:val="1"/>
      <w:numFmt w:val="bullet"/>
      <w:lvlText w:val="•"/>
      <w:lvlJc w:val="left"/>
      <w:pPr>
        <w:tabs>
          <w:tab w:val="num" w:pos="5760"/>
        </w:tabs>
        <w:ind w:left="5760" w:hanging="360"/>
      </w:pPr>
      <w:rPr>
        <w:rFonts w:ascii="Arial" w:hAnsi="Arial" w:hint="default"/>
      </w:rPr>
    </w:lvl>
    <w:lvl w:ilvl="8" w:tplc="CA2C992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84D033C"/>
    <w:multiLevelType w:val="multilevel"/>
    <w:tmpl w:val="E850E6E4"/>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6"/>
  </w:num>
  <w:num w:numId="2">
    <w:abstractNumId w:val="0"/>
  </w:num>
  <w:num w:numId="3">
    <w:abstractNumId w:val="12"/>
  </w:num>
  <w:num w:numId="4">
    <w:abstractNumId w:val="17"/>
  </w:num>
  <w:num w:numId="5">
    <w:abstractNumId w:val="13"/>
  </w:num>
  <w:num w:numId="6">
    <w:abstractNumId w:val="9"/>
  </w:num>
  <w:num w:numId="7">
    <w:abstractNumId w:val="8"/>
  </w:num>
  <w:num w:numId="8">
    <w:abstractNumId w:val="1"/>
  </w:num>
  <w:num w:numId="9">
    <w:abstractNumId w:val="4"/>
  </w:num>
  <w:num w:numId="10">
    <w:abstractNumId w:val="16"/>
  </w:num>
  <w:num w:numId="11">
    <w:abstractNumId w:val="14"/>
  </w:num>
  <w:num w:numId="12">
    <w:abstractNumId w:val="10"/>
  </w:num>
  <w:num w:numId="13">
    <w:abstractNumId w:val="11"/>
  </w:num>
  <w:num w:numId="14">
    <w:abstractNumId w:val="3"/>
  </w:num>
  <w:num w:numId="15">
    <w:abstractNumId w:val="2"/>
  </w:num>
  <w:num w:numId="16">
    <w:abstractNumId w:val="6"/>
  </w:num>
  <w:num w:numId="17">
    <w:abstractNumId w:val="7"/>
  </w:num>
  <w:num w:numId="18">
    <w:abstractNumId w:val="5"/>
  </w:num>
  <w:num w:numId="19">
    <w:abstractNumId w:val="15"/>
  </w:num>
  <w:num w:numId="20">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24F"/>
    <w:rsid w:val="00001663"/>
    <w:rsid w:val="000025AD"/>
    <w:rsid w:val="0000335D"/>
    <w:rsid w:val="00003D46"/>
    <w:rsid w:val="000109C3"/>
    <w:rsid w:val="00011A59"/>
    <w:rsid w:val="00016A41"/>
    <w:rsid w:val="000214D1"/>
    <w:rsid w:val="0002464A"/>
    <w:rsid w:val="0002768A"/>
    <w:rsid w:val="0003106B"/>
    <w:rsid w:val="000324FC"/>
    <w:rsid w:val="00034905"/>
    <w:rsid w:val="000421A1"/>
    <w:rsid w:val="0004240E"/>
    <w:rsid w:val="00045E26"/>
    <w:rsid w:val="000514B5"/>
    <w:rsid w:val="00052A00"/>
    <w:rsid w:val="0005548A"/>
    <w:rsid w:val="00060E64"/>
    <w:rsid w:val="00061A83"/>
    <w:rsid w:val="00066755"/>
    <w:rsid w:val="0007128F"/>
    <w:rsid w:val="00072ABD"/>
    <w:rsid w:val="000763D5"/>
    <w:rsid w:val="00076640"/>
    <w:rsid w:val="00077143"/>
    <w:rsid w:val="00082169"/>
    <w:rsid w:val="00083BAC"/>
    <w:rsid w:val="000918CB"/>
    <w:rsid w:val="00091B06"/>
    <w:rsid w:val="00091D46"/>
    <w:rsid w:val="000951C4"/>
    <w:rsid w:val="00095ADA"/>
    <w:rsid w:val="000969AD"/>
    <w:rsid w:val="000A3557"/>
    <w:rsid w:val="000A3AA2"/>
    <w:rsid w:val="000A44B2"/>
    <w:rsid w:val="000A52F6"/>
    <w:rsid w:val="000B44C3"/>
    <w:rsid w:val="000B558D"/>
    <w:rsid w:val="000C5F95"/>
    <w:rsid w:val="000C6996"/>
    <w:rsid w:val="000D09E9"/>
    <w:rsid w:val="000D0F27"/>
    <w:rsid w:val="000D0FD4"/>
    <w:rsid w:val="000D113F"/>
    <w:rsid w:val="000D23BA"/>
    <w:rsid w:val="000D632C"/>
    <w:rsid w:val="000E2EFA"/>
    <w:rsid w:val="000E5EA1"/>
    <w:rsid w:val="000E6466"/>
    <w:rsid w:val="000E681E"/>
    <w:rsid w:val="000E7BD6"/>
    <w:rsid w:val="000F0003"/>
    <w:rsid w:val="000F2171"/>
    <w:rsid w:val="000F2361"/>
    <w:rsid w:val="000F3384"/>
    <w:rsid w:val="000F3D29"/>
    <w:rsid w:val="000F4E6A"/>
    <w:rsid w:val="000F7354"/>
    <w:rsid w:val="00101ABE"/>
    <w:rsid w:val="00102202"/>
    <w:rsid w:val="00104227"/>
    <w:rsid w:val="00105F90"/>
    <w:rsid w:val="001107BF"/>
    <w:rsid w:val="00111E02"/>
    <w:rsid w:val="00113649"/>
    <w:rsid w:val="00114971"/>
    <w:rsid w:val="0012417C"/>
    <w:rsid w:val="0012749D"/>
    <w:rsid w:val="00131C9B"/>
    <w:rsid w:val="00142395"/>
    <w:rsid w:val="00142714"/>
    <w:rsid w:val="001452ED"/>
    <w:rsid w:val="00147D84"/>
    <w:rsid w:val="00151F53"/>
    <w:rsid w:val="001535A4"/>
    <w:rsid w:val="001549C1"/>
    <w:rsid w:val="00156502"/>
    <w:rsid w:val="00162BDD"/>
    <w:rsid w:val="00162D4E"/>
    <w:rsid w:val="00163329"/>
    <w:rsid w:val="00164623"/>
    <w:rsid w:val="00165277"/>
    <w:rsid w:val="001652DE"/>
    <w:rsid w:val="001655A7"/>
    <w:rsid w:val="00165B64"/>
    <w:rsid w:val="0017227F"/>
    <w:rsid w:val="00180713"/>
    <w:rsid w:val="00180720"/>
    <w:rsid w:val="001830CE"/>
    <w:rsid w:val="00185B25"/>
    <w:rsid w:val="0018643B"/>
    <w:rsid w:val="001946DB"/>
    <w:rsid w:val="00196307"/>
    <w:rsid w:val="00197897"/>
    <w:rsid w:val="001A33EA"/>
    <w:rsid w:val="001A4C4F"/>
    <w:rsid w:val="001A76FB"/>
    <w:rsid w:val="001B017F"/>
    <w:rsid w:val="001B2BBC"/>
    <w:rsid w:val="001B3A40"/>
    <w:rsid w:val="001B3FFE"/>
    <w:rsid w:val="001B4496"/>
    <w:rsid w:val="001B5129"/>
    <w:rsid w:val="001B561A"/>
    <w:rsid w:val="001B7310"/>
    <w:rsid w:val="001C0B4C"/>
    <w:rsid w:val="001C1195"/>
    <w:rsid w:val="001C2E42"/>
    <w:rsid w:val="001D1F5F"/>
    <w:rsid w:val="001E06D2"/>
    <w:rsid w:val="001F005B"/>
    <w:rsid w:val="001F1850"/>
    <w:rsid w:val="001F3189"/>
    <w:rsid w:val="002001A4"/>
    <w:rsid w:val="00203B16"/>
    <w:rsid w:val="00203FAC"/>
    <w:rsid w:val="002134FD"/>
    <w:rsid w:val="00213CFB"/>
    <w:rsid w:val="00213D9A"/>
    <w:rsid w:val="0021553C"/>
    <w:rsid w:val="0021557B"/>
    <w:rsid w:val="002174FD"/>
    <w:rsid w:val="00217BE1"/>
    <w:rsid w:val="00234252"/>
    <w:rsid w:val="00234536"/>
    <w:rsid w:val="00234F1D"/>
    <w:rsid w:val="00237AC6"/>
    <w:rsid w:val="00243E50"/>
    <w:rsid w:val="00244490"/>
    <w:rsid w:val="00245B9C"/>
    <w:rsid w:val="00245C75"/>
    <w:rsid w:val="00252A4D"/>
    <w:rsid w:val="00253499"/>
    <w:rsid w:val="002551A4"/>
    <w:rsid w:val="00257664"/>
    <w:rsid w:val="002618F6"/>
    <w:rsid w:val="00265151"/>
    <w:rsid w:val="00266509"/>
    <w:rsid w:val="00270092"/>
    <w:rsid w:val="00271BA1"/>
    <w:rsid w:val="00274364"/>
    <w:rsid w:val="0027517B"/>
    <w:rsid w:val="0027552D"/>
    <w:rsid w:val="002762FA"/>
    <w:rsid w:val="00277505"/>
    <w:rsid w:val="00281361"/>
    <w:rsid w:val="002823B6"/>
    <w:rsid w:val="0029279A"/>
    <w:rsid w:val="00294274"/>
    <w:rsid w:val="0029458F"/>
    <w:rsid w:val="002A0E04"/>
    <w:rsid w:val="002A104C"/>
    <w:rsid w:val="002A1EF7"/>
    <w:rsid w:val="002A34DF"/>
    <w:rsid w:val="002A494D"/>
    <w:rsid w:val="002A4960"/>
    <w:rsid w:val="002B0AE0"/>
    <w:rsid w:val="002B1AE6"/>
    <w:rsid w:val="002B1D51"/>
    <w:rsid w:val="002B2DE8"/>
    <w:rsid w:val="002B30F8"/>
    <w:rsid w:val="002B388A"/>
    <w:rsid w:val="002B4599"/>
    <w:rsid w:val="002B5596"/>
    <w:rsid w:val="002B785F"/>
    <w:rsid w:val="002C212F"/>
    <w:rsid w:val="002C7485"/>
    <w:rsid w:val="002D283A"/>
    <w:rsid w:val="002D4543"/>
    <w:rsid w:val="002E3153"/>
    <w:rsid w:val="002E5292"/>
    <w:rsid w:val="002E72CA"/>
    <w:rsid w:val="002F378C"/>
    <w:rsid w:val="002F600D"/>
    <w:rsid w:val="00300148"/>
    <w:rsid w:val="00300AD6"/>
    <w:rsid w:val="00300B1B"/>
    <w:rsid w:val="003019D0"/>
    <w:rsid w:val="003064AF"/>
    <w:rsid w:val="00310B68"/>
    <w:rsid w:val="0031330D"/>
    <w:rsid w:val="00315975"/>
    <w:rsid w:val="0031643F"/>
    <w:rsid w:val="003168D8"/>
    <w:rsid w:val="00317C6C"/>
    <w:rsid w:val="00320CD3"/>
    <w:rsid w:val="00322356"/>
    <w:rsid w:val="00326E79"/>
    <w:rsid w:val="003301B1"/>
    <w:rsid w:val="00331189"/>
    <w:rsid w:val="0033263D"/>
    <w:rsid w:val="00334857"/>
    <w:rsid w:val="00334F03"/>
    <w:rsid w:val="0033518A"/>
    <w:rsid w:val="003367EF"/>
    <w:rsid w:val="00341AE4"/>
    <w:rsid w:val="00343460"/>
    <w:rsid w:val="00346B3C"/>
    <w:rsid w:val="00346FF8"/>
    <w:rsid w:val="003476EE"/>
    <w:rsid w:val="003541DD"/>
    <w:rsid w:val="00356B90"/>
    <w:rsid w:val="00356E5B"/>
    <w:rsid w:val="003736C9"/>
    <w:rsid w:val="00374B22"/>
    <w:rsid w:val="003846A5"/>
    <w:rsid w:val="00384988"/>
    <w:rsid w:val="003872CF"/>
    <w:rsid w:val="00387E15"/>
    <w:rsid w:val="00395614"/>
    <w:rsid w:val="00397272"/>
    <w:rsid w:val="0039782C"/>
    <w:rsid w:val="003A5B4A"/>
    <w:rsid w:val="003A5D95"/>
    <w:rsid w:val="003A64A5"/>
    <w:rsid w:val="003B23C5"/>
    <w:rsid w:val="003B2A75"/>
    <w:rsid w:val="003B4DC4"/>
    <w:rsid w:val="003B6124"/>
    <w:rsid w:val="003C093A"/>
    <w:rsid w:val="003C1ECF"/>
    <w:rsid w:val="003C2FB5"/>
    <w:rsid w:val="003D24C5"/>
    <w:rsid w:val="003D4AC4"/>
    <w:rsid w:val="003D63B7"/>
    <w:rsid w:val="003D74C5"/>
    <w:rsid w:val="003E1F77"/>
    <w:rsid w:val="003E468B"/>
    <w:rsid w:val="003E4ED3"/>
    <w:rsid w:val="003E62BD"/>
    <w:rsid w:val="003F0C3A"/>
    <w:rsid w:val="003F3228"/>
    <w:rsid w:val="003F3FF0"/>
    <w:rsid w:val="003F5C8C"/>
    <w:rsid w:val="003F63CE"/>
    <w:rsid w:val="003F775A"/>
    <w:rsid w:val="00400E55"/>
    <w:rsid w:val="0040128E"/>
    <w:rsid w:val="0040216B"/>
    <w:rsid w:val="0040272A"/>
    <w:rsid w:val="00415A22"/>
    <w:rsid w:val="004252EC"/>
    <w:rsid w:val="00430D39"/>
    <w:rsid w:val="00435809"/>
    <w:rsid w:val="00441653"/>
    <w:rsid w:val="00444F5D"/>
    <w:rsid w:val="004465BD"/>
    <w:rsid w:val="00446938"/>
    <w:rsid w:val="00457841"/>
    <w:rsid w:val="00457D22"/>
    <w:rsid w:val="00461A44"/>
    <w:rsid w:val="00465800"/>
    <w:rsid w:val="00466ADA"/>
    <w:rsid w:val="004702BB"/>
    <w:rsid w:val="0047494B"/>
    <w:rsid w:val="004756FC"/>
    <w:rsid w:val="00476245"/>
    <w:rsid w:val="00477A9B"/>
    <w:rsid w:val="00483035"/>
    <w:rsid w:val="00485940"/>
    <w:rsid w:val="004901F0"/>
    <w:rsid w:val="004904B9"/>
    <w:rsid w:val="004A2484"/>
    <w:rsid w:val="004A2877"/>
    <w:rsid w:val="004A5A85"/>
    <w:rsid w:val="004A71D1"/>
    <w:rsid w:val="004A7C5B"/>
    <w:rsid w:val="004B1845"/>
    <w:rsid w:val="004B2E98"/>
    <w:rsid w:val="004B5640"/>
    <w:rsid w:val="004C03D0"/>
    <w:rsid w:val="004C1BD7"/>
    <w:rsid w:val="004C31FE"/>
    <w:rsid w:val="004C524C"/>
    <w:rsid w:val="004C5FFA"/>
    <w:rsid w:val="004C691D"/>
    <w:rsid w:val="004C6C07"/>
    <w:rsid w:val="004D0337"/>
    <w:rsid w:val="004D4FF6"/>
    <w:rsid w:val="004E3575"/>
    <w:rsid w:val="004E50AA"/>
    <w:rsid w:val="004E692D"/>
    <w:rsid w:val="004E7A50"/>
    <w:rsid w:val="004E7D87"/>
    <w:rsid w:val="004F1241"/>
    <w:rsid w:val="004F2553"/>
    <w:rsid w:val="004F62E6"/>
    <w:rsid w:val="00501554"/>
    <w:rsid w:val="00502AFE"/>
    <w:rsid w:val="00503AD7"/>
    <w:rsid w:val="00504E0C"/>
    <w:rsid w:val="005109D4"/>
    <w:rsid w:val="00514CD7"/>
    <w:rsid w:val="00520D6A"/>
    <w:rsid w:val="0052249B"/>
    <w:rsid w:val="00522DB6"/>
    <w:rsid w:val="005245B1"/>
    <w:rsid w:val="0052534E"/>
    <w:rsid w:val="0052792D"/>
    <w:rsid w:val="005319B2"/>
    <w:rsid w:val="00532402"/>
    <w:rsid w:val="00532C74"/>
    <w:rsid w:val="00534E2E"/>
    <w:rsid w:val="00544552"/>
    <w:rsid w:val="00545130"/>
    <w:rsid w:val="0055286A"/>
    <w:rsid w:val="00555745"/>
    <w:rsid w:val="0055721F"/>
    <w:rsid w:val="00557D4F"/>
    <w:rsid w:val="0056484E"/>
    <w:rsid w:val="005764CD"/>
    <w:rsid w:val="00577C4D"/>
    <w:rsid w:val="00580532"/>
    <w:rsid w:val="00581932"/>
    <w:rsid w:val="00581C4E"/>
    <w:rsid w:val="00584ED9"/>
    <w:rsid w:val="00591816"/>
    <w:rsid w:val="005963BB"/>
    <w:rsid w:val="005A3173"/>
    <w:rsid w:val="005A3223"/>
    <w:rsid w:val="005A3DA3"/>
    <w:rsid w:val="005A52C4"/>
    <w:rsid w:val="005A7CB0"/>
    <w:rsid w:val="005B1F61"/>
    <w:rsid w:val="005B33D9"/>
    <w:rsid w:val="005C00ED"/>
    <w:rsid w:val="005C4F73"/>
    <w:rsid w:val="005D03AB"/>
    <w:rsid w:val="005D5017"/>
    <w:rsid w:val="005D63FA"/>
    <w:rsid w:val="005E0D82"/>
    <w:rsid w:val="005E1333"/>
    <w:rsid w:val="005E3136"/>
    <w:rsid w:val="005E507D"/>
    <w:rsid w:val="005F5D9C"/>
    <w:rsid w:val="00601A91"/>
    <w:rsid w:val="00602BA3"/>
    <w:rsid w:val="0060493B"/>
    <w:rsid w:val="00605B63"/>
    <w:rsid w:val="00605F9A"/>
    <w:rsid w:val="00606EED"/>
    <w:rsid w:val="00612E34"/>
    <w:rsid w:val="00614159"/>
    <w:rsid w:val="00616C5F"/>
    <w:rsid w:val="00616DAC"/>
    <w:rsid w:val="00617C00"/>
    <w:rsid w:val="006263BF"/>
    <w:rsid w:val="0062748A"/>
    <w:rsid w:val="00630A2C"/>
    <w:rsid w:val="0063682E"/>
    <w:rsid w:val="00642DA8"/>
    <w:rsid w:val="006436CD"/>
    <w:rsid w:val="00643ACA"/>
    <w:rsid w:val="00651169"/>
    <w:rsid w:val="00653D69"/>
    <w:rsid w:val="006552E6"/>
    <w:rsid w:val="00655794"/>
    <w:rsid w:val="0065720C"/>
    <w:rsid w:val="00657C63"/>
    <w:rsid w:val="00660A7D"/>
    <w:rsid w:val="00662751"/>
    <w:rsid w:val="006670BE"/>
    <w:rsid w:val="00670A76"/>
    <w:rsid w:val="006711AA"/>
    <w:rsid w:val="00672B57"/>
    <w:rsid w:val="00673F1F"/>
    <w:rsid w:val="00675622"/>
    <w:rsid w:val="00677007"/>
    <w:rsid w:val="0067747D"/>
    <w:rsid w:val="0067771A"/>
    <w:rsid w:val="006818D5"/>
    <w:rsid w:val="00681CA4"/>
    <w:rsid w:val="0069039D"/>
    <w:rsid w:val="006906DB"/>
    <w:rsid w:val="00691E6C"/>
    <w:rsid w:val="00693DFB"/>
    <w:rsid w:val="0069501D"/>
    <w:rsid w:val="00696129"/>
    <w:rsid w:val="00697CF2"/>
    <w:rsid w:val="006A12A5"/>
    <w:rsid w:val="006A5E20"/>
    <w:rsid w:val="006B0D94"/>
    <w:rsid w:val="006B485D"/>
    <w:rsid w:val="006B6466"/>
    <w:rsid w:val="006C334C"/>
    <w:rsid w:val="006C5158"/>
    <w:rsid w:val="006C5AA8"/>
    <w:rsid w:val="006C708E"/>
    <w:rsid w:val="006D14E7"/>
    <w:rsid w:val="006D4444"/>
    <w:rsid w:val="006D6493"/>
    <w:rsid w:val="006D6EC7"/>
    <w:rsid w:val="006E05DC"/>
    <w:rsid w:val="006E092F"/>
    <w:rsid w:val="006E1BCD"/>
    <w:rsid w:val="006E7B8B"/>
    <w:rsid w:val="006F0A71"/>
    <w:rsid w:val="006F40C2"/>
    <w:rsid w:val="006F5125"/>
    <w:rsid w:val="006F733D"/>
    <w:rsid w:val="00702B6F"/>
    <w:rsid w:val="00706A2F"/>
    <w:rsid w:val="0070718E"/>
    <w:rsid w:val="007071B8"/>
    <w:rsid w:val="00710259"/>
    <w:rsid w:val="0071031F"/>
    <w:rsid w:val="00710A28"/>
    <w:rsid w:val="00711A26"/>
    <w:rsid w:val="0071340B"/>
    <w:rsid w:val="00715BBB"/>
    <w:rsid w:val="007174BB"/>
    <w:rsid w:val="0072025D"/>
    <w:rsid w:val="007252E8"/>
    <w:rsid w:val="0073137C"/>
    <w:rsid w:val="00732780"/>
    <w:rsid w:val="007353D3"/>
    <w:rsid w:val="0074156B"/>
    <w:rsid w:val="00743CD4"/>
    <w:rsid w:val="00747092"/>
    <w:rsid w:val="00750E56"/>
    <w:rsid w:val="00752475"/>
    <w:rsid w:val="007555E8"/>
    <w:rsid w:val="00755C71"/>
    <w:rsid w:val="0075787E"/>
    <w:rsid w:val="00762A00"/>
    <w:rsid w:val="0076420C"/>
    <w:rsid w:val="00771D07"/>
    <w:rsid w:val="00773BE3"/>
    <w:rsid w:val="00774E2C"/>
    <w:rsid w:val="00774E97"/>
    <w:rsid w:val="007753C2"/>
    <w:rsid w:val="007838B8"/>
    <w:rsid w:val="00786FDD"/>
    <w:rsid w:val="007915BA"/>
    <w:rsid w:val="007A5E0F"/>
    <w:rsid w:val="007B350D"/>
    <w:rsid w:val="007B3DDC"/>
    <w:rsid w:val="007B72A6"/>
    <w:rsid w:val="007C0F57"/>
    <w:rsid w:val="007C40B6"/>
    <w:rsid w:val="007C729F"/>
    <w:rsid w:val="007D0CAB"/>
    <w:rsid w:val="007D503D"/>
    <w:rsid w:val="007E1127"/>
    <w:rsid w:val="007E11CE"/>
    <w:rsid w:val="007E1D28"/>
    <w:rsid w:val="007E6FF8"/>
    <w:rsid w:val="007E7093"/>
    <w:rsid w:val="007F0021"/>
    <w:rsid w:val="007F2641"/>
    <w:rsid w:val="007F7C36"/>
    <w:rsid w:val="00806796"/>
    <w:rsid w:val="00811CC0"/>
    <w:rsid w:val="008151D6"/>
    <w:rsid w:val="00821527"/>
    <w:rsid w:val="0082620C"/>
    <w:rsid w:val="008268BB"/>
    <w:rsid w:val="00826F6D"/>
    <w:rsid w:val="008306F3"/>
    <w:rsid w:val="00830E40"/>
    <w:rsid w:val="00835C62"/>
    <w:rsid w:val="00841F95"/>
    <w:rsid w:val="008469EC"/>
    <w:rsid w:val="00846DFC"/>
    <w:rsid w:val="00847EC0"/>
    <w:rsid w:val="00855FD6"/>
    <w:rsid w:val="00856DDD"/>
    <w:rsid w:val="00863E68"/>
    <w:rsid w:val="00864704"/>
    <w:rsid w:val="008647B5"/>
    <w:rsid w:val="00864F6B"/>
    <w:rsid w:val="00865F55"/>
    <w:rsid w:val="00875DCB"/>
    <w:rsid w:val="00875F8C"/>
    <w:rsid w:val="00882085"/>
    <w:rsid w:val="00883188"/>
    <w:rsid w:val="008933FD"/>
    <w:rsid w:val="008935EB"/>
    <w:rsid w:val="00897D58"/>
    <w:rsid w:val="00897F22"/>
    <w:rsid w:val="008A0B39"/>
    <w:rsid w:val="008A1956"/>
    <w:rsid w:val="008A4937"/>
    <w:rsid w:val="008A50F1"/>
    <w:rsid w:val="008A59D9"/>
    <w:rsid w:val="008A6819"/>
    <w:rsid w:val="008B2EC0"/>
    <w:rsid w:val="008C0DDD"/>
    <w:rsid w:val="008C58A7"/>
    <w:rsid w:val="008C7341"/>
    <w:rsid w:val="008D1B5C"/>
    <w:rsid w:val="008D3301"/>
    <w:rsid w:val="008D3C82"/>
    <w:rsid w:val="008D447E"/>
    <w:rsid w:val="008D5D0E"/>
    <w:rsid w:val="008D7A41"/>
    <w:rsid w:val="008D7D51"/>
    <w:rsid w:val="008E2C72"/>
    <w:rsid w:val="008E3680"/>
    <w:rsid w:val="008E4C51"/>
    <w:rsid w:val="008E5870"/>
    <w:rsid w:val="008F0213"/>
    <w:rsid w:val="008F1434"/>
    <w:rsid w:val="008F54C3"/>
    <w:rsid w:val="008F7355"/>
    <w:rsid w:val="009023DC"/>
    <w:rsid w:val="009027C5"/>
    <w:rsid w:val="00903EA8"/>
    <w:rsid w:val="009067B7"/>
    <w:rsid w:val="00917949"/>
    <w:rsid w:val="00917D69"/>
    <w:rsid w:val="009256F5"/>
    <w:rsid w:val="00926560"/>
    <w:rsid w:val="00930937"/>
    <w:rsid w:val="009324A6"/>
    <w:rsid w:val="00933E6C"/>
    <w:rsid w:val="00937958"/>
    <w:rsid w:val="00941602"/>
    <w:rsid w:val="00942160"/>
    <w:rsid w:val="0095146F"/>
    <w:rsid w:val="0095594B"/>
    <w:rsid w:val="00957944"/>
    <w:rsid w:val="009602C5"/>
    <w:rsid w:val="00961759"/>
    <w:rsid w:val="00962223"/>
    <w:rsid w:val="009626E1"/>
    <w:rsid w:val="00966D0D"/>
    <w:rsid w:val="0096783C"/>
    <w:rsid w:val="009722B3"/>
    <w:rsid w:val="00974C21"/>
    <w:rsid w:val="00975948"/>
    <w:rsid w:val="00977BF3"/>
    <w:rsid w:val="009803E4"/>
    <w:rsid w:val="00980B0E"/>
    <w:rsid w:val="00980F4A"/>
    <w:rsid w:val="009836A3"/>
    <w:rsid w:val="009855A8"/>
    <w:rsid w:val="009913F4"/>
    <w:rsid w:val="0099465B"/>
    <w:rsid w:val="009A0CDD"/>
    <w:rsid w:val="009A3168"/>
    <w:rsid w:val="009A61CA"/>
    <w:rsid w:val="009A69F2"/>
    <w:rsid w:val="009A7AFE"/>
    <w:rsid w:val="009B0C64"/>
    <w:rsid w:val="009B0F67"/>
    <w:rsid w:val="009B24FA"/>
    <w:rsid w:val="009C703C"/>
    <w:rsid w:val="009D206E"/>
    <w:rsid w:val="009D3CAA"/>
    <w:rsid w:val="009D6532"/>
    <w:rsid w:val="009E0EB2"/>
    <w:rsid w:val="009E2E8E"/>
    <w:rsid w:val="009E40E1"/>
    <w:rsid w:val="009F00D4"/>
    <w:rsid w:val="009F0EFA"/>
    <w:rsid w:val="009F4E46"/>
    <w:rsid w:val="009F52B8"/>
    <w:rsid w:val="009F5B65"/>
    <w:rsid w:val="009F5F2E"/>
    <w:rsid w:val="00A003C3"/>
    <w:rsid w:val="00A01432"/>
    <w:rsid w:val="00A06225"/>
    <w:rsid w:val="00A068A3"/>
    <w:rsid w:val="00A128E6"/>
    <w:rsid w:val="00A143B1"/>
    <w:rsid w:val="00A144D3"/>
    <w:rsid w:val="00A22AC3"/>
    <w:rsid w:val="00A23F3F"/>
    <w:rsid w:val="00A24067"/>
    <w:rsid w:val="00A2744D"/>
    <w:rsid w:val="00A34E6C"/>
    <w:rsid w:val="00A36398"/>
    <w:rsid w:val="00A37C8D"/>
    <w:rsid w:val="00A4020E"/>
    <w:rsid w:val="00A40FB5"/>
    <w:rsid w:val="00A42826"/>
    <w:rsid w:val="00A429B3"/>
    <w:rsid w:val="00A44D11"/>
    <w:rsid w:val="00A44FBA"/>
    <w:rsid w:val="00A5273B"/>
    <w:rsid w:val="00A53A9D"/>
    <w:rsid w:val="00A55FEE"/>
    <w:rsid w:val="00A567AD"/>
    <w:rsid w:val="00A57422"/>
    <w:rsid w:val="00A62C1A"/>
    <w:rsid w:val="00A6426D"/>
    <w:rsid w:val="00A65F01"/>
    <w:rsid w:val="00A665C1"/>
    <w:rsid w:val="00A673A4"/>
    <w:rsid w:val="00A70622"/>
    <w:rsid w:val="00A70977"/>
    <w:rsid w:val="00A70D58"/>
    <w:rsid w:val="00A7107C"/>
    <w:rsid w:val="00A71188"/>
    <w:rsid w:val="00A72975"/>
    <w:rsid w:val="00A734D0"/>
    <w:rsid w:val="00A744F9"/>
    <w:rsid w:val="00A77613"/>
    <w:rsid w:val="00A81851"/>
    <w:rsid w:val="00A8390C"/>
    <w:rsid w:val="00A84891"/>
    <w:rsid w:val="00A86AE0"/>
    <w:rsid w:val="00A916FF"/>
    <w:rsid w:val="00A928BD"/>
    <w:rsid w:val="00A96186"/>
    <w:rsid w:val="00A97DE9"/>
    <w:rsid w:val="00AA12CD"/>
    <w:rsid w:val="00AA4D1C"/>
    <w:rsid w:val="00AA52FD"/>
    <w:rsid w:val="00AA59FE"/>
    <w:rsid w:val="00AA779D"/>
    <w:rsid w:val="00AB5856"/>
    <w:rsid w:val="00AC193C"/>
    <w:rsid w:val="00AC4DE5"/>
    <w:rsid w:val="00AC5206"/>
    <w:rsid w:val="00AC7D43"/>
    <w:rsid w:val="00AC7EE5"/>
    <w:rsid w:val="00AD4322"/>
    <w:rsid w:val="00AE11A5"/>
    <w:rsid w:val="00AE13E2"/>
    <w:rsid w:val="00AE22D3"/>
    <w:rsid w:val="00AE5A49"/>
    <w:rsid w:val="00AF496C"/>
    <w:rsid w:val="00AF62DF"/>
    <w:rsid w:val="00AF68CC"/>
    <w:rsid w:val="00AF70D7"/>
    <w:rsid w:val="00B06478"/>
    <w:rsid w:val="00B07B50"/>
    <w:rsid w:val="00B07CFB"/>
    <w:rsid w:val="00B1059E"/>
    <w:rsid w:val="00B121E3"/>
    <w:rsid w:val="00B16273"/>
    <w:rsid w:val="00B170A5"/>
    <w:rsid w:val="00B176C8"/>
    <w:rsid w:val="00B17EE5"/>
    <w:rsid w:val="00B205AA"/>
    <w:rsid w:val="00B22E84"/>
    <w:rsid w:val="00B233AD"/>
    <w:rsid w:val="00B2343B"/>
    <w:rsid w:val="00B23E25"/>
    <w:rsid w:val="00B25F75"/>
    <w:rsid w:val="00B26B3F"/>
    <w:rsid w:val="00B2778F"/>
    <w:rsid w:val="00B33635"/>
    <w:rsid w:val="00B42AF4"/>
    <w:rsid w:val="00B43E90"/>
    <w:rsid w:val="00B467DC"/>
    <w:rsid w:val="00B47931"/>
    <w:rsid w:val="00B47946"/>
    <w:rsid w:val="00B56118"/>
    <w:rsid w:val="00B63CE1"/>
    <w:rsid w:val="00B6773F"/>
    <w:rsid w:val="00B70EB3"/>
    <w:rsid w:val="00B7525E"/>
    <w:rsid w:val="00B760FB"/>
    <w:rsid w:val="00B767AB"/>
    <w:rsid w:val="00B801BA"/>
    <w:rsid w:val="00B80232"/>
    <w:rsid w:val="00B803C3"/>
    <w:rsid w:val="00B84D5C"/>
    <w:rsid w:val="00B84ED3"/>
    <w:rsid w:val="00B86CCB"/>
    <w:rsid w:val="00B9195D"/>
    <w:rsid w:val="00B95707"/>
    <w:rsid w:val="00BA0711"/>
    <w:rsid w:val="00BA2DA8"/>
    <w:rsid w:val="00BA347C"/>
    <w:rsid w:val="00BB4CE1"/>
    <w:rsid w:val="00BB5C49"/>
    <w:rsid w:val="00BB69F5"/>
    <w:rsid w:val="00BB7190"/>
    <w:rsid w:val="00BB7EC3"/>
    <w:rsid w:val="00BC47CA"/>
    <w:rsid w:val="00BC4B9A"/>
    <w:rsid w:val="00BD02C3"/>
    <w:rsid w:val="00BD20BD"/>
    <w:rsid w:val="00BD7483"/>
    <w:rsid w:val="00BD784C"/>
    <w:rsid w:val="00BE020A"/>
    <w:rsid w:val="00BE13DF"/>
    <w:rsid w:val="00BF092C"/>
    <w:rsid w:val="00BF27A0"/>
    <w:rsid w:val="00BF2E37"/>
    <w:rsid w:val="00BF4CB6"/>
    <w:rsid w:val="00C00DA7"/>
    <w:rsid w:val="00C024D3"/>
    <w:rsid w:val="00C04CDE"/>
    <w:rsid w:val="00C12768"/>
    <w:rsid w:val="00C12D70"/>
    <w:rsid w:val="00C20AF5"/>
    <w:rsid w:val="00C21B09"/>
    <w:rsid w:val="00C23CEA"/>
    <w:rsid w:val="00C24030"/>
    <w:rsid w:val="00C2673A"/>
    <w:rsid w:val="00C27B58"/>
    <w:rsid w:val="00C35996"/>
    <w:rsid w:val="00C36979"/>
    <w:rsid w:val="00C37234"/>
    <w:rsid w:val="00C40594"/>
    <w:rsid w:val="00C4192E"/>
    <w:rsid w:val="00C4291D"/>
    <w:rsid w:val="00C4747E"/>
    <w:rsid w:val="00C5151E"/>
    <w:rsid w:val="00C5342C"/>
    <w:rsid w:val="00C53B2B"/>
    <w:rsid w:val="00C57B9E"/>
    <w:rsid w:val="00C60272"/>
    <w:rsid w:val="00C603D4"/>
    <w:rsid w:val="00C6256A"/>
    <w:rsid w:val="00C710E2"/>
    <w:rsid w:val="00C71C3F"/>
    <w:rsid w:val="00C73697"/>
    <w:rsid w:val="00C7409E"/>
    <w:rsid w:val="00C75081"/>
    <w:rsid w:val="00C763F2"/>
    <w:rsid w:val="00C766F8"/>
    <w:rsid w:val="00C76E76"/>
    <w:rsid w:val="00C77891"/>
    <w:rsid w:val="00C800EE"/>
    <w:rsid w:val="00C91449"/>
    <w:rsid w:val="00C92D10"/>
    <w:rsid w:val="00C9316D"/>
    <w:rsid w:val="00C94BEE"/>
    <w:rsid w:val="00C968B7"/>
    <w:rsid w:val="00CA3847"/>
    <w:rsid w:val="00CA48D9"/>
    <w:rsid w:val="00CB1193"/>
    <w:rsid w:val="00CB11CE"/>
    <w:rsid w:val="00CB4767"/>
    <w:rsid w:val="00CB493D"/>
    <w:rsid w:val="00CC3B97"/>
    <w:rsid w:val="00CE10C4"/>
    <w:rsid w:val="00CE27B5"/>
    <w:rsid w:val="00CE6DAF"/>
    <w:rsid w:val="00CF410A"/>
    <w:rsid w:val="00D0057E"/>
    <w:rsid w:val="00D0321E"/>
    <w:rsid w:val="00D05573"/>
    <w:rsid w:val="00D057D4"/>
    <w:rsid w:val="00D07A8A"/>
    <w:rsid w:val="00D10C0F"/>
    <w:rsid w:val="00D1455A"/>
    <w:rsid w:val="00D16309"/>
    <w:rsid w:val="00D22093"/>
    <w:rsid w:val="00D22BFF"/>
    <w:rsid w:val="00D2776B"/>
    <w:rsid w:val="00D31150"/>
    <w:rsid w:val="00D3138B"/>
    <w:rsid w:val="00D3280C"/>
    <w:rsid w:val="00D3406A"/>
    <w:rsid w:val="00D40B11"/>
    <w:rsid w:val="00D42513"/>
    <w:rsid w:val="00D441F1"/>
    <w:rsid w:val="00D4572C"/>
    <w:rsid w:val="00D4574F"/>
    <w:rsid w:val="00D469B2"/>
    <w:rsid w:val="00D54B09"/>
    <w:rsid w:val="00D55652"/>
    <w:rsid w:val="00D65658"/>
    <w:rsid w:val="00D72B6F"/>
    <w:rsid w:val="00D731F0"/>
    <w:rsid w:val="00D741EB"/>
    <w:rsid w:val="00D7679C"/>
    <w:rsid w:val="00D77F55"/>
    <w:rsid w:val="00D801C2"/>
    <w:rsid w:val="00D820F3"/>
    <w:rsid w:val="00D83605"/>
    <w:rsid w:val="00D84934"/>
    <w:rsid w:val="00D91271"/>
    <w:rsid w:val="00D919F5"/>
    <w:rsid w:val="00D94F03"/>
    <w:rsid w:val="00D9667F"/>
    <w:rsid w:val="00DA0D14"/>
    <w:rsid w:val="00DA1FC9"/>
    <w:rsid w:val="00DA2CB5"/>
    <w:rsid w:val="00DA4BAC"/>
    <w:rsid w:val="00DA643A"/>
    <w:rsid w:val="00DA6486"/>
    <w:rsid w:val="00DB0151"/>
    <w:rsid w:val="00DB1533"/>
    <w:rsid w:val="00DB4511"/>
    <w:rsid w:val="00DC2C3E"/>
    <w:rsid w:val="00DC4880"/>
    <w:rsid w:val="00DE6D27"/>
    <w:rsid w:val="00DF01F8"/>
    <w:rsid w:val="00DF217D"/>
    <w:rsid w:val="00DF26A7"/>
    <w:rsid w:val="00DF3277"/>
    <w:rsid w:val="00DF5F3E"/>
    <w:rsid w:val="00DF7919"/>
    <w:rsid w:val="00E0207E"/>
    <w:rsid w:val="00E03912"/>
    <w:rsid w:val="00E078D9"/>
    <w:rsid w:val="00E104BD"/>
    <w:rsid w:val="00E1538A"/>
    <w:rsid w:val="00E15627"/>
    <w:rsid w:val="00E164B3"/>
    <w:rsid w:val="00E16910"/>
    <w:rsid w:val="00E206DE"/>
    <w:rsid w:val="00E24E09"/>
    <w:rsid w:val="00E27234"/>
    <w:rsid w:val="00E33971"/>
    <w:rsid w:val="00E36046"/>
    <w:rsid w:val="00E42BDB"/>
    <w:rsid w:val="00E43A87"/>
    <w:rsid w:val="00E57EEB"/>
    <w:rsid w:val="00E62D94"/>
    <w:rsid w:val="00E64D64"/>
    <w:rsid w:val="00E64F37"/>
    <w:rsid w:val="00E65E54"/>
    <w:rsid w:val="00E661C7"/>
    <w:rsid w:val="00E66E66"/>
    <w:rsid w:val="00E75F1E"/>
    <w:rsid w:val="00E80155"/>
    <w:rsid w:val="00E8134B"/>
    <w:rsid w:val="00E81E0D"/>
    <w:rsid w:val="00E81F28"/>
    <w:rsid w:val="00E848C0"/>
    <w:rsid w:val="00E869C7"/>
    <w:rsid w:val="00E914CD"/>
    <w:rsid w:val="00E91B96"/>
    <w:rsid w:val="00E93D1E"/>
    <w:rsid w:val="00E941A1"/>
    <w:rsid w:val="00E95CE3"/>
    <w:rsid w:val="00EA252F"/>
    <w:rsid w:val="00EA2825"/>
    <w:rsid w:val="00EA6518"/>
    <w:rsid w:val="00EA7466"/>
    <w:rsid w:val="00EA7EDE"/>
    <w:rsid w:val="00EB0B63"/>
    <w:rsid w:val="00EB1936"/>
    <w:rsid w:val="00EB1C87"/>
    <w:rsid w:val="00EB37BE"/>
    <w:rsid w:val="00EB5088"/>
    <w:rsid w:val="00EC079C"/>
    <w:rsid w:val="00EC6ECD"/>
    <w:rsid w:val="00EC7359"/>
    <w:rsid w:val="00ED1644"/>
    <w:rsid w:val="00ED2593"/>
    <w:rsid w:val="00ED556E"/>
    <w:rsid w:val="00ED569A"/>
    <w:rsid w:val="00ED7D55"/>
    <w:rsid w:val="00ED7D9C"/>
    <w:rsid w:val="00EE31A2"/>
    <w:rsid w:val="00EE55BB"/>
    <w:rsid w:val="00EF0069"/>
    <w:rsid w:val="00EF0315"/>
    <w:rsid w:val="00EF0761"/>
    <w:rsid w:val="00EF0967"/>
    <w:rsid w:val="00EF2061"/>
    <w:rsid w:val="00EF44A0"/>
    <w:rsid w:val="00EF4FED"/>
    <w:rsid w:val="00EF65E9"/>
    <w:rsid w:val="00EF6FB3"/>
    <w:rsid w:val="00F007C6"/>
    <w:rsid w:val="00F0172E"/>
    <w:rsid w:val="00F050BD"/>
    <w:rsid w:val="00F05657"/>
    <w:rsid w:val="00F114A7"/>
    <w:rsid w:val="00F17ED6"/>
    <w:rsid w:val="00F209E2"/>
    <w:rsid w:val="00F21E31"/>
    <w:rsid w:val="00F25578"/>
    <w:rsid w:val="00F258E5"/>
    <w:rsid w:val="00F25B9C"/>
    <w:rsid w:val="00F26CC6"/>
    <w:rsid w:val="00F300BC"/>
    <w:rsid w:val="00F3263C"/>
    <w:rsid w:val="00F3334E"/>
    <w:rsid w:val="00F3543F"/>
    <w:rsid w:val="00F36CCB"/>
    <w:rsid w:val="00F36E8E"/>
    <w:rsid w:val="00F374E5"/>
    <w:rsid w:val="00F37B93"/>
    <w:rsid w:val="00F37BAD"/>
    <w:rsid w:val="00F37ECA"/>
    <w:rsid w:val="00F4267E"/>
    <w:rsid w:val="00F43AF2"/>
    <w:rsid w:val="00F5007E"/>
    <w:rsid w:val="00F50EC4"/>
    <w:rsid w:val="00F512D6"/>
    <w:rsid w:val="00F52232"/>
    <w:rsid w:val="00F550CF"/>
    <w:rsid w:val="00F57A6D"/>
    <w:rsid w:val="00F638CC"/>
    <w:rsid w:val="00F64C9E"/>
    <w:rsid w:val="00F64CC1"/>
    <w:rsid w:val="00F66FFC"/>
    <w:rsid w:val="00F72317"/>
    <w:rsid w:val="00F80475"/>
    <w:rsid w:val="00F8247A"/>
    <w:rsid w:val="00F82E5C"/>
    <w:rsid w:val="00F85434"/>
    <w:rsid w:val="00F87688"/>
    <w:rsid w:val="00F9629A"/>
    <w:rsid w:val="00F97EFC"/>
    <w:rsid w:val="00FA1BDD"/>
    <w:rsid w:val="00FA305C"/>
    <w:rsid w:val="00FA4DD5"/>
    <w:rsid w:val="00FA5883"/>
    <w:rsid w:val="00FA6055"/>
    <w:rsid w:val="00FB0B39"/>
    <w:rsid w:val="00FB322F"/>
    <w:rsid w:val="00FB442F"/>
    <w:rsid w:val="00FB689F"/>
    <w:rsid w:val="00FC1929"/>
    <w:rsid w:val="00FC5B46"/>
    <w:rsid w:val="00FD0D24"/>
    <w:rsid w:val="00FD47D4"/>
    <w:rsid w:val="00FD6D8E"/>
    <w:rsid w:val="00FE01E7"/>
    <w:rsid w:val="00FE0663"/>
    <w:rsid w:val="00FE0E94"/>
    <w:rsid w:val="00FE3CD9"/>
    <w:rsid w:val="00FF00BD"/>
    <w:rsid w:val="00FF0AB4"/>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9745"/>
    <o:shapelayout v:ext="edit">
      <o:idmap v:ext="edit" data="1"/>
    </o:shapelayout>
  </w:shapeDefaults>
  <w:decimalSymbol w:val="."/>
  <w:listSeparator w:val=","/>
  <w14:docId w14:val="71C0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938"/>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Dossier tab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uiPriority w:val="99"/>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Bullet1,Bullet 1,Bulleted - 2,1. Bullet Blank,Table Legend,Styl moj,Akapit z listą11,L,Bullet Point"/>
    <w:next w:val="ListBullet"/>
    <w:link w:val="ListParagraphChar"/>
    <w:uiPriority w:val="72"/>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Bullet1 Char,Bullet 1 Char,Bulleted - 2 Char,L Char"/>
    <w:basedOn w:val="DefaultParagraphFont"/>
    <w:link w:val="ListParagraph"/>
    <w:uiPriority w:val="72"/>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1"/>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3"/>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7"/>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0"/>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tabs>
        <w:tab w:val="clear" w:pos="360"/>
      </w:tabs>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8"/>
      </w:numPr>
      <w:contextualSpacing/>
    </w:pPr>
  </w:style>
  <w:style w:type="paragraph" w:customStyle="1" w:styleId="MainBodyText">
    <w:name w:val="Main Body Text"/>
    <w:basedOn w:val="Normal"/>
    <w:link w:val="MainBodyTextChar"/>
    <w:rsid w:val="00D77F55"/>
    <w:pPr>
      <w:spacing w:after="240" w:line="276" w:lineRule="auto"/>
    </w:pPr>
    <w:rPr>
      <w:rFonts w:ascii="Arial" w:hAnsi="Arial"/>
      <w:sz w:val="22"/>
      <w:szCs w:val="22"/>
    </w:rPr>
  </w:style>
  <w:style w:type="character" w:customStyle="1" w:styleId="MainBodyTextChar">
    <w:name w:val="Main Body Text Char"/>
    <w:link w:val="MainBodyText"/>
    <w:rsid w:val="00D77F55"/>
    <w:rPr>
      <w:rFonts w:ascii="Arial" w:hAnsi="Arial"/>
      <w:sz w:val="22"/>
      <w:szCs w:val="22"/>
    </w:rPr>
  </w:style>
  <w:style w:type="paragraph" w:customStyle="1" w:styleId="EndNoteBibliography">
    <w:name w:val="EndNote Bibliography"/>
    <w:basedOn w:val="Normal"/>
    <w:link w:val="EndNoteBibliographyChar"/>
    <w:qFormat/>
    <w:rsid w:val="00DB1533"/>
    <w:pPr>
      <w:spacing w:after="240"/>
      <w:jc w:val="left"/>
    </w:pPr>
    <w:rPr>
      <w:rFonts w:eastAsiaTheme="minorHAnsi" w:cstheme="minorBidi"/>
      <w:noProof/>
      <w:szCs w:val="22"/>
      <w:lang w:val="en-US" w:eastAsia="en-US"/>
    </w:rPr>
  </w:style>
  <w:style w:type="character" w:customStyle="1" w:styleId="EndNoteBibliographyChar">
    <w:name w:val="EndNote Bibliography Char"/>
    <w:basedOn w:val="DefaultParagraphFont"/>
    <w:link w:val="EndNoteBibliography"/>
    <w:rsid w:val="00DB1533"/>
    <w:rPr>
      <w:rFonts w:ascii="Calibri" w:eastAsiaTheme="minorHAnsi" w:hAnsi="Calibri" w:cstheme="minorBidi"/>
      <w:noProof/>
      <w:sz w:val="24"/>
      <w:szCs w:val="22"/>
      <w:lang w:val="en-US" w:eastAsia="en-US"/>
    </w:rPr>
  </w:style>
  <w:style w:type="paragraph" w:customStyle="1" w:styleId="PBACheading10">
    <w:name w:val="PBAC heading 1"/>
    <w:qFormat/>
    <w:rsid w:val="002001A4"/>
    <w:pPr>
      <w:spacing w:before="240" w:after="120"/>
      <w:ind w:left="720" w:hanging="720"/>
      <w:outlineLvl w:val="0"/>
    </w:pPr>
    <w:rPr>
      <w:rFonts w:asciiTheme="minorHAnsi" w:hAnsiTheme="minorHAnsi" w:cs="Arial"/>
      <w:b/>
      <w:snapToGrid w:val="0"/>
      <w:sz w:val="32"/>
      <w:szCs w:val="22"/>
      <w:lang w:eastAsia="en-US"/>
    </w:rPr>
  </w:style>
  <w:style w:type="paragraph" w:styleId="Revision">
    <w:name w:val="Revision"/>
    <w:hidden/>
    <w:uiPriority w:val="71"/>
    <w:semiHidden/>
    <w:rsid w:val="00465800"/>
    <w:rPr>
      <w:rFonts w:ascii="Calibri" w:hAnsi="Calibri"/>
      <w:sz w:val="24"/>
      <w:szCs w:val="24"/>
    </w:rPr>
  </w:style>
  <w:style w:type="character" w:customStyle="1" w:styleId="SmallBold">
    <w:name w:val="Small Bold"/>
    <w:basedOn w:val="DefaultParagraphFont"/>
    <w:uiPriority w:val="4"/>
    <w:qFormat/>
    <w:rsid w:val="00334857"/>
    <w:rPr>
      <w:rFonts w:ascii="Candara" w:hAnsi="Candara"/>
      <w:b/>
      <w:sz w:val="20"/>
      <w:lang w:val="en-AU"/>
    </w:rPr>
  </w:style>
  <w:style w:type="character" w:customStyle="1" w:styleId="text-widget3">
    <w:name w:val="text-widget3"/>
    <w:basedOn w:val="DefaultParagraphFont"/>
    <w:rsid w:val="00A143B1"/>
  </w:style>
  <w:style w:type="paragraph" w:customStyle="1" w:styleId="Default">
    <w:name w:val="Default"/>
    <w:rsid w:val="0031643F"/>
    <w:pPr>
      <w:autoSpaceDE w:val="0"/>
      <w:autoSpaceDN w:val="0"/>
      <w:adjustRightInd w:val="0"/>
    </w:pPr>
    <w:rPr>
      <w:rFonts w:ascii="Arial" w:hAnsi="Arial" w:cs="Arial"/>
      <w:color w:val="000000"/>
      <w:sz w:val="24"/>
      <w:szCs w:val="24"/>
    </w:rPr>
  </w:style>
  <w:style w:type="table" w:customStyle="1" w:styleId="TableGrid0">
    <w:name w:val="TableGrid"/>
    <w:rsid w:val="004E50AA"/>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235748211">
      <w:bodyDiv w:val="1"/>
      <w:marLeft w:val="0"/>
      <w:marRight w:val="0"/>
      <w:marTop w:val="0"/>
      <w:marBottom w:val="0"/>
      <w:divBdr>
        <w:top w:val="none" w:sz="0" w:space="0" w:color="auto"/>
        <w:left w:val="none" w:sz="0" w:space="0" w:color="auto"/>
        <w:bottom w:val="none" w:sz="0" w:space="0" w:color="auto"/>
        <w:right w:val="none" w:sz="0" w:space="0" w:color="auto"/>
      </w:divBdr>
      <w:divsChild>
        <w:div w:id="2001958319">
          <w:marLeft w:val="360"/>
          <w:marRight w:val="0"/>
          <w:marTop w:val="200"/>
          <w:marBottom w:val="0"/>
          <w:divBdr>
            <w:top w:val="none" w:sz="0" w:space="0" w:color="auto"/>
            <w:left w:val="none" w:sz="0" w:space="0" w:color="auto"/>
            <w:bottom w:val="none" w:sz="0" w:space="0" w:color="auto"/>
            <w:right w:val="none" w:sz="0" w:space="0" w:color="auto"/>
          </w:divBdr>
        </w:div>
        <w:div w:id="1698192017">
          <w:marLeft w:val="360"/>
          <w:marRight w:val="0"/>
          <w:marTop w:val="200"/>
          <w:marBottom w:val="0"/>
          <w:divBdr>
            <w:top w:val="none" w:sz="0" w:space="0" w:color="auto"/>
            <w:left w:val="none" w:sz="0" w:space="0" w:color="auto"/>
            <w:bottom w:val="none" w:sz="0" w:space="0" w:color="auto"/>
            <w:right w:val="none" w:sz="0" w:space="0" w:color="auto"/>
          </w:divBdr>
        </w:div>
        <w:div w:id="1287664317">
          <w:marLeft w:val="360"/>
          <w:marRight w:val="0"/>
          <w:marTop w:val="200"/>
          <w:marBottom w:val="0"/>
          <w:divBdr>
            <w:top w:val="none" w:sz="0" w:space="0" w:color="auto"/>
            <w:left w:val="none" w:sz="0" w:space="0" w:color="auto"/>
            <w:bottom w:val="none" w:sz="0" w:space="0" w:color="auto"/>
            <w:right w:val="none" w:sz="0" w:space="0" w:color="auto"/>
          </w:divBdr>
        </w:div>
        <w:div w:id="461776725">
          <w:marLeft w:val="360"/>
          <w:marRight w:val="0"/>
          <w:marTop w:val="200"/>
          <w:marBottom w:val="0"/>
          <w:divBdr>
            <w:top w:val="none" w:sz="0" w:space="0" w:color="auto"/>
            <w:left w:val="none" w:sz="0" w:space="0" w:color="auto"/>
            <w:bottom w:val="none" w:sz="0" w:space="0" w:color="auto"/>
            <w:right w:val="none" w:sz="0" w:space="0" w:color="auto"/>
          </w:divBdr>
        </w:div>
      </w:divsChild>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370229591">
      <w:bodyDiv w:val="1"/>
      <w:marLeft w:val="0"/>
      <w:marRight w:val="0"/>
      <w:marTop w:val="0"/>
      <w:marBottom w:val="0"/>
      <w:divBdr>
        <w:top w:val="none" w:sz="0" w:space="0" w:color="auto"/>
        <w:left w:val="none" w:sz="0" w:space="0" w:color="auto"/>
        <w:bottom w:val="none" w:sz="0" w:space="0" w:color="auto"/>
        <w:right w:val="none" w:sz="0" w:space="0" w:color="auto"/>
      </w:divBdr>
      <w:divsChild>
        <w:div w:id="1430274004">
          <w:marLeft w:val="0"/>
          <w:marRight w:val="0"/>
          <w:marTop w:val="0"/>
          <w:marBottom w:val="0"/>
          <w:divBdr>
            <w:top w:val="none" w:sz="0" w:space="0" w:color="auto"/>
            <w:left w:val="none" w:sz="0" w:space="0" w:color="auto"/>
            <w:bottom w:val="none" w:sz="0" w:space="0" w:color="auto"/>
            <w:right w:val="none" w:sz="0" w:space="0" w:color="auto"/>
          </w:divBdr>
          <w:divsChild>
            <w:div w:id="691759033">
              <w:marLeft w:val="0"/>
              <w:marRight w:val="0"/>
              <w:marTop w:val="0"/>
              <w:marBottom w:val="0"/>
              <w:divBdr>
                <w:top w:val="none" w:sz="0" w:space="0" w:color="auto"/>
                <w:left w:val="none" w:sz="0" w:space="0" w:color="auto"/>
                <w:bottom w:val="none" w:sz="0" w:space="0" w:color="auto"/>
                <w:right w:val="none" w:sz="0" w:space="0" w:color="auto"/>
              </w:divBdr>
              <w:divsChild>
                <w:div w:id="796752902">
                  <w:marLeft w:val="0"/>
                  <w:marRight w:val="0"/>
                  <w:marTop w:val="0"/>
                  <w:marBottom w:val="0"/>
                  <w:divBdr>
                    <w:top w:val="none" w:sz="0" w:space="0" w:color="auto"/>
                    <w:left w:val="none" w:sz="0" w:space="0" w:color="auto"/>
                    <w:bottom w:val="none" w:sz="0" w:space="0" w:color="auto"/>
                    <w:right w:val="none" w:sz="0" w:space="0" w:color="auto"/>
                  </w:divBdr>
                  <w:divsChild>
                    <w:div w:id="1355838857">
                      <w:marLeft w:val="0"/>
                      <w:marRight w:val="0"/>
                      <w:marTop w:val="0"/>
                      <w:marBottom w:val="0"/>
                      <w:divBdr>
                        <w:top w:val="none" w:sz="0" w:space="0" w:color="auto"/>
                        <w:left w:val="none" w:sz="0" w:space="0" w:color="auto"/>
                        <w:bottom w:val="none" w:sz="0" w:space="0" w:color="auto"/>
                        <w:right w:val="none" w:sz="0" w:space="0" w:color="auto"/>
                      </w:divBdr>
                      <w:divsChild>
                        <w:div w:id="1397626757">
                          <w:marLeft w:val="0"/>
                          <w:marRight w:val="0"/>
                          <w:marTop w:val="0"/>
                          <w:marBottom w:val="0"/>
                          <w:divBdr>
                            <w:top w:val="none" w:sz="0" w:space="0" w:color="auto"/>
                            <w:left w:val="none" w:sz="0" w:space="0" w:color="auto"/>
                            <w:bottom w:val="none" w:sz="0" w:space="0" w:color="auto"/>
                            <w:right w:val="none" w:sz="0" w:space="0" w:color="auto"/>
                          </w:divBdr>
                          <w:divsChild>
                            <w:div w:id="14498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28285949">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18E11-FF32-40F0-9851-CC651767C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1383</Words>
  <Characters>7681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2020-07-30T01:08:00Z</dcterms:created>
  <dcterms:modified xsi:type="dcterms:W3CDTF">2020-10-27T01:24:00Z</dcterms:modified>
</cp:coreProperties>
</file>