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53" w:rsidRPr="007C1200" w:rsidRDefault="008C0014" w:rsidP="007C1200">
      <w:pPr>
        <w:spacing w:after="0" w:line="240" w:lineRule="auto"/>
        <w:jc w:val="both"/>
        <w:rPr>
          <w:rFonts w:asciiTheme="minorHAnsi" w:hAnsiTheme="minorHAnsi" w:cstheme="minorBidi"/>
          <w:b/>
          <w:bCs/>
          <w:color w:val="000000" w:themeColor="text1"/>
          <w:spacing w:val="5"/>
          <w:sz w:val="36"/>
          <w:szCs w:val="36"/>
          <w:lang w:eastAsia="en-AU"/>
        </w:rPr>
      </w:pPr>
      <w:r w:rsidRPr="00A52774">
        <w:rPr>
          <w:rFonts w:asciiTheme="minorHAnsi" w:hAnsiTheme="minorHAnsi" w:cstheme="minorHAnsi"/>
          <w:b/>
          <w:sz w:val="36"/>
          <w:szCs w:val="36"/>
        </w:rPr>
        <w:t>9.01</w:t>
      </w:r>
      <w:r w:rsidR="00FD7253">
        <w:rPr>
          <w:rFonts w:asciiTheme="minorHAnsi" w:hAnsiTheme="minorHAnsi" w:cstheme="minorHAnsi"/>
          <w:b/>
          <w:sz w:val="36"/>
          <w:szCs w:val="36"/>
        </w:rPr>
        <w:t xml:space="preserve"> </w:t>
      </w:r>
      <w:r w:rsidRPr="007C1200">
        <w:rPr>
          <w:rFonts w:asciiTheme="minorHAnsi" w:hAnsiTheme="minorHAnsi" w:cstheme="minorBidi"/>
          <w:b/>
          <w:bCs/>
          <w:color w:val="000000" w:themeColor="text1"/>
          <w:spacing w:val="5"/>
          <w:sz w:val="36"/>
          <w:szCs w:val="36"/>
          <w:lang w:eastAsia="en-AU"/>
        </w:rPr>
        <w:t xml:space="preserve">Biologics for the </w:t>
      </w:r>
      <w:r w:rsidR="00575F96" w:rsidRPr="007C1200">
        <w:rPr>
          <w:rFonts w:asciiTheme="minorHAnsi" w:hAnsiTheme="minorHAnsi" w:cstheme="minorBidi"/>
          <w:b/>
          <w:bCs/>
          <w:color w:val="000000" w:themeColor="text1"/>
          <w:spacing w:val="5"/>
          <w:sz w:val="36"/>
          <w:szCs w:val="36"/>
          <w:lang w:eastAsia="en-AU"/>
        </w:rPr>
        <w:t>t</w:t>
      </w:r>
      <w:r w:rsidRPr="007C1200">
        <w:rPr>
          <w:rFonts w:asciiTheme="minorHAnsi" w:hAnsiTheme="minorHAnsi" w:cstheme="minorBidi"/>
          <w:b/>
          <w:bCs/>
          <w:color w:val="000000" w:themeColor="text1"/>
          <w:spacing w:val="5"/>
          <w:sz w:val="36"/>
          <w:szCs w:val="36"/>
          <w:lang w:eastAsia="en-AU"/>
        </w:rPr>
        <w:t xml:space="preserve">reatment of </w:t>
      </w:r>
      <w:r w:rsidR="00575F96" w:rsidRPr="007C1200">
        <w:rPr>
          <w:rFonts w:asciiTheme="minorHAnsi" w:hAnsiTheme="minorHAnsi" w:cstheme="minorBidi"/>
          <w:b/>
          <w:bCs/>
          <w:color w:val="000000" w:themeColor="text1"/>
          <w:spacing w:val="5"/>
          <w:sz w:val="36"/>
          <w:szCs w:val="36"/>
          <w:lang w:eastAsia="en-AU"/>
        </w:rPr>
        <w:t>c</w:t>
      </w:r>
      <w:r w:rsidRPr="007C1200">
        <w:rPr>
          <w:rFonts w:asciiTheme="minorHAnsi" w:hAnsiTheme="minorHAnsi" w:cstheme="minorBidi"/>
          <w:b/>
          <w:bCs/>
          <w:color w:val="000000" w:themeColor="text1"/>
          <w:spacing w:val="5"/>
          <w:sz w:val="36"/>
          <w:szCs w:val="36"/>
          <w:lang w:eastAsia="en-AU"/>
        </w:rPr>
        <w:t xml:space="preserve">hronic </w:t>
      </w:r>
      <w:r w:rsidR="00575F96" w:rsidRPr="007C1200">
        <w:rPr>
          <w:rFonts w:asciiTheme="minorHAnsi" w:hAnsiTheme="minorHAnsi" w:cstheme="minorBidi"/>
          <w:b/>
          <w:bCs/>
          <w:color w:val="000000" w:themeColor="text1"/>
          <w:spacing w:val="5"/>
          <w:sz w:val="36"/>
          <w:szCs w:val="36"/>
          <w:lang w:eastAsia="en-AU"/>
        </w:rPr>
        <w:t>p</w:t>
      </w:r>
      <w:r w:rsidRPr="007C1200">
        <w:rPr>
          <w:rFonts w:asciiTheme="minorHAnsi" w:hAnsiTheme="minorHAnsi" w:cstheme="minorBidi"/>
          <w:b/>
          <w:bCs/>
          <w:color w:val="000000" w:themeColor="text1"/>
          <w:spacing w:val="5"/>
          <w:sz w:val="36"/>
          <w:szCs w:val="36"/>
          <w:lang w:eastAsia="en-AU"/>
        </w:rPr>
        <w:t xml:space="preserve">laque </w:t>
      </w:r>
      <w:r w:rsidR="00575F96" w:rsidRPr="007C1200">
        <w:rPr>
          <w:rFonts w:asciiTheme="minorHAnsi" w:hAnsiTheme="minorHAnsi" w:cstheme="minorBidi"/>
          <w:b/>
          <w:bCs/>
          <w:color w:val="000000" w:themeColor="text1"/>
          <w:spacing w:val="5"/>
          <w:sz w:val="36"/>
          <w:szCs w:val="36"/>
          <w:lang w:eastAsia="en-AU"/>
        </w:rPr>
        <w:t>p</w:t>
      </w:r>
      <w:r w:rsidRPr="007C1200">
        <w:rPr>
          <w:rFonts w:asciiTheme="minorHAnsi" w:hAnsiTheme="minorHAnsi" w:cstheme="minorBidi"/>
          <w:b/>
          <w:bCs/>
          <w:color w:val="000000" w:themeColor="text1"/>
          <w:spacing w:val="5"/>
          <w:sz w:val="36"/>
          <w:szCs w:val="36"/>
          <w:lang w:eastAsia="en-AU"/>
        </w:rPr>
        <w:t>soriasis</w:t>
      </w:r>
      <w:r w:rsidR="00947618" w:rsidRPr="007C1200">
        <w:rPr>
          <w:rFonts w:asciiTheme="minorHAnsi" w:hAnsiTheme="minorHAnsi" w:cstheme="minorBidi"/>
          <w:b/>
          <w:bCs/>
          <w:color w:val="000000" w:themeColor="text1"/>
          <w:spacing w:val="5"/>
          <w:sz w:val="36"/>
          <w:szCs w:val="36"/>
          <w:lang w:eastAsia="en-AU"/>
        </w:rPr>
        <w:t>:</w:t>
      </w:r>
    </w:p>
    <w:p w:rsidR="00A52774" w:rsidRPr="007C1200" w:rsidRDefault="00FD7253" w:rsidP="007C1200">
      <w:pPr>
        <w:spacing w:after="0" w:line="240" w:lineRule="auto"/>
        <w:jc w:val="both"/>
        <w:rPr>
          <w:rFonts w:asciiTheme="minorHAnsi" w:hAnsiTheme="minorHAnsi" w:cstheme="minorBidi"/>
          <w:b/>
          <w:bCs/>
          <w:color w:val="000000" w:themeColor="text1"/>
          <w:spacing w:val="5"/>
          <w:sz w:val="36"/>
          <w:szCs w:val="36"/>
          <w:lang w:eastAsia="en-AU"/>
        </w:rPr>
      </w:pPr>
      <w:r>
        <w:rPr>
          <w:rFonts w:asciiTheme="minorHAnsi" w:hAnsiTheme="minorHAnsi" w:cstheme="minorBidi"/>
          <w:b/>
          <w:bCs/>
          <w:color w:val="000000" w:themeColor="text1"/>
          <w:spacing w:val="5"/>
          <w:sz w:val="36"/>
          <w:szCs w:val="36"/>
          <w:lang w:eastAsia="en-AU"/>
        </w:rPr>
        <w:t xml:space="preserve">        Cost-effectiveness</w:t>
      </w:r>
      <w:r w:rsidRPr="007C1200">
        <w:rPr>
          <w:rFonts w:asciiTheme="minorHAnsi" w:hAnsiTheme="minorHAnsi" w:cstheme="minorBidi"/>
          <w:b/>
          <w:bCs/>
          <w:color w:val="000000" w:themeColor="text1"/>
          <w:spacing w:val="5"/>
          <w:sz w:val="36"/>
          <w:szCs w:val="36"/>
          <w:lang w:eastAsia="en-AU"/>
        </w:rPr>
        <w:t xml:space="preserve"> review</w:t>
      </w:r>
    </w:p>
    <w:p w:rsidR="008C0014" w:rsidRPr="00A52774" w:rsidRDefault="008C0014" w:rsidP="00053D4E">
      <w:pPr>
        <w:pStyle w:val="2Sections"/>
      </w:pPr>
      <w:r w:rsidRPr="00A52774">
        <w:t xml:space="preserve">Purpose of </w:t>
      </w:r>
      <w:r w:rsidR="00575F96">
        <w:t>i</w:t>
      </w:r>
      <w:r w:rsidRPr="00A52774">
        <w:t>tem</w:t>
      </w:r>
    </w:p>
    <w:p w:rsidR="00053D4E" w:rsidRPr="00A52774" w:rsidRDefault="005D35CE" w:rsidP="003D5104">
      <w:pPr>
        <w:pStyle w:val="3Bodytext"/>
      </w:pPr>
      <w:r>
        <w:t xml:space="preserve">In April 2018, the PBAC requested a </w:t>
      </w:r>
      <w:r w:rsidRPr="00A52774">
        <w:t>cost-effectiveness review</w:t>
      </w:r>
      <w:r>
        <w:t xml:space="preserve"> (CER)</w:t>
      </w:r>
      <w:r w:rsidRPr="00A52774">
        <w:t xml:space="preserve"> of biologics</w:t>
      </w:r>
      <w:r>
        <w:t xml:space="preserve"> for severe chronic plaque psoriasis</w:t>
      </w:r>
      <w:r w:rsidR="008937D1">
        <w:t xml:space="preserve"> (CPP)</w:t>
      </w:r>
      <w:r w:rsidRPr="00A52774">
        <w:t xml:space="preserve"> under the current PBS restriction</w:t>
      </w:r>
      <w:r>
        <w:t>s</w:t>
      </w:r>
      <w:r w:rsidRPr="00A52774">
        <w:t>, and to consider the additional PBS population that meet the criteria of a baseline</w:t>
      </w:r>
      <w:r w:rsidR="003D5104">
        <w:t xml:space="preserve"> </w:t>
      </w:r>
      <w:r w:rsidR="003D5104" w:rsidRPr="003D5104">
        <w:t>Psoriasis Area and Severity Index</w:t>
      </w:r>
      <w:r w:rsidRPr="00A52774">
        <w:t xml:space="preserve"> </w:t>
      </w:r>
      <w:r w:rsidR="003D5104">
        <w:t>(</w:t>
      </w:r>
      <w:r w:rsidRPr="00A52774">
        <w:t>PASI</w:t>
      </w:r>
      <w:r w:rsidR="003D5104">
        <w:t>)</w:t>
      </w:r>
      <w:r w:rsidRPr="00A52774">
        <w:t xml:space="preserve"> ≥</w:t>
      </w:r>
      <w:r>
        <w:t xml:space="preserve"> </w:t>
      </w:r>
      <w:r w:rsidRPr="00A52774">
        <w:t>12 to ≤</w:t>
      </w:r>
      <w:r>
        <w:t xml:space="preserve"> </w:t>
      </w:r>
      <w:r w:rsidRPr="00A52774">
        <w:t xml:space="preserve">15 </w:t>
      </w:r>
      <w:r>
        <w:t>AND/OR</w:t>
      </w:r>
      <w:r w:rsidRPr="00A52774">
        <w:t xml:space="preserve"> a Dermatology Life Quality Index (DLQI) &gt;</w:t>
      </w:r>
      <w:r>
        <w:t xml:space="preserve"> </w:t>
      </w:r>
      <w:r w:rsidRPr="00A52774">
        <w:t xml:space="preserve">10. </w:t>
      </w:r>
      <w:r w:rsidR="00053D4E">
        <w:t xml:space="preserve">The </w:t>
      </w:r>
      <w:r>
        <w:t>purpose of this item was for</w:t>
      </w:r>
      <w:r w:rsidR="00053D4E">
        <w:t xml:space="preserve"> </w:t>
      </w:r>
      <w:r w:rsidR="00053D4E" w:rsidRPr="00A52774">
        <w:t>the PBAC</w:t>
      </w:r>
      <w:r w:rsidR="00053D4E">
        <w:t xml:space="preserve"> </w:t>
      </w:r>
      <w:r>
        <w:t xml:space="preserve">to </w:t>
      </w:r>
      <w:r w:rsidR="00053D4E">
        <w:t>consider</w:t>
      </w:r>
      <w:r w:rsidR="00053D4E" w:rsidRPr="00A52774">
        <w:t xml:space="preserve"> the </w:t>
      </w:r>
      <w:r w:rsidR="00053D4E">
        <w:t>‘</w:t>
      </w:r>
      <w:r w:rsidR="00053D4E" w:rsidRPr="00776255">
        <w:t xml:space="preserve">Biologics for the </w:t>
      </w:r>
      <w:r w:rsidR="00575F96">
        <w:t>t</w:t>
      </w:r>
      <w:r w:rsidR="00053D4E" w:rsidRPr="00776255">
        <w:t xml:space="preserve">reatment of </w:t>
      </w:r>
      <w:r w:rsidR="00575F96">
        <w:t>c</w:t>
      </w:r>
      <w:r w:rsidR="00053D4E" w:rsidRPr="00776255">
        <w:t xml:space="preserve">hronic </w:t>
      </w:r>
      <w:r w:rsidR="00575F96">
        <w:t>p</w:t>
      </w:r>
      <w:r w:rsidR="00053D4E" w:rsidRPr="00776255">
        <w:t xml:space="preserve">laque </w:t>
      </w:r>
      <w:r w:rsidR="00575F96">
        <w:t>p</w:t>
      </w:r>
      <w:r w:rsidR="00053D4E" w:rsidRPr="00776255">
        <w:t xml:space="preserve">soriasis (CPP): </w:t>
      </w:r>
      <w:r w:rsidR="00575F96">
        <w:t>c</w:t>
      </w:r>
      <w:r w:rsidR="00053D4E" w:rsidRPr="00776255">
        <w:t>ost-</w:t>
      </w:r>
      <w:r w:rsidR="00575F96">
        <w:t>e</w:t>
      </w:r>
      <w:r w:rsidR="00053D4E" w:rsidRPr="00776255">
        <w:t xml:space="preserve">ffectiveness </w:t>
      </w:r>
      <w:r w:rsidR="00575F96">
        <w:t>r</w:t>
      </w:r>
      <w:r w:rsidR="00053D4E" w:rsidRPr="00776255">
        <w:t>eview</w:t>
      </w:r>
      <w:r w:rsidR="00053D4E">
        <w:t>’</w:t>
      </w:r>
      <w:r>
        <w:t xml:space="preserve"> report.</w:t>
      </w:r>
      <w:r w:rsidR="00053D4E">
        <w:t xml:space="preserve"> </w:t>
      </w:r>
      <w:r>
        <w:t>T</w:t>
      </w:r>
      <w:r w:rsidR="00053D4E">
        <w:t xml:space="preserve">he PBAC </w:t>
      </w:r>
      <w:r>
        <w:t xml:space="preserve">also </w:t>
      </w:r>
      <w:r w:rsidR="00053D4E">
        <w:t>consider</w:t>
      </w:r>
      <w:r>
        <w:t>ed</w:t>
      </w:r>
      <w:r w:rsidR="00053D4E" w:rsidRPr="00776255">
        <w:rPr>
          <w:b/>
        </w:rPr>
        <w:t xml:space="preserve"> </w:t>
      </w:r>
      <w:r w:rsidR="00053D4E" w:rsidRPr="00A52774">
        <w:t>the DUS</w:t>
      </w:r>
      <w:r w:rsidR="00053D4E">
        <w:t>C an</w:t>
      </w:r>
      <w:r w:rsidR="00DA333A">
        <w:t>d ESC advice from June 2020, Sponsor Pre-PBAC responses and one stakeholder response.</w:t>
      </w:r>
    </w:p>
    <w:p w:rsidR="008C0014" w:rsidRPr="00A52774" w:rsidRDefault="008C0014" w:rsidP="00F00503">
      <w:pPr>
        <w:pStyle w:val="2Sections"/>
      </w:pPr>
      <w:r w:rsidRPr="00A52774">
        <w:t>Background</w:t>
      </w:r>
    </w:p>
    <w:p w:rsidR="00C77F31" w:rsidRPr="00A52774" w:rsidRDefault="00C77F31" w:rsidP="00C77F31">
      <w:pPr>
        <w:pStyle w:val="3Bodytext"/>
      </w:pPr>
      <w:r w:rsidRPr="00A52774">
        <w:t>Biologics (also referred to as biologic disease modifying</w:t>
      </w:r>
      <w:r w:rsidR="00FB606D">
        <w:t xml:space="preserve"> </w:t>
      </w:r>
      <w:r w:rsidRPr="00A52774">
        <w:t xml:space="preserve">antirheumatic drugs </w:t>
      </w:r>
      <w:r w:rsidR="00FB606D">
        <w:t>(</w:t>
      </w:r>
      <w:r w:rsidRPr="00A52774">
        <w:t>bDMARDs</w:t>
      </w:r>
      <w:r w:rsidR="00FB606D">
        <w:t>)</w:t>
      </w:r>
      <w:r w:rsidRPr="00A52774">
        <w:t>) are a group of anti-inflammatory and immune-suppressing agents that are used to treat rheumatoid arthritis and other autoimmune diseases including Crohn’s disease, ankylosing spondylitis, psoriatic arthritis and severe CPP</w:t>
      </w:r>
      <w:r w:rsidR="00773C9C">
        <w:t>.</w:t>
      </w:r>
      <w:r w:rsidRPr="00A52774">
        <w:t xml:space="preserve"> PBS-listed biologics for CPP accounted for $161.9M (published) of PBS expenditure in financial year 2018-19.</w:t>
      </w:r>
      <w:r w:rsidRPr="00A52774">
        <w:rPr>
          <w:rStyle w:val="FootnoteReference"/>
        </w:rPr>
        <w:footnoteReference w:id="1"/>
      </w:r>
      <w:r w:rsidRPr="00A52774">
        <w:t xml:space="preserve">  There are currently nine PBS-listed biologics for severe CPP, the most recent being the listing of risankizumab in December 2019. </w:t>
      </w:r>
    </w:p>
    <w:p w:rsidR="00C77F31" w:rsidRPr="00A52774" w:rsidRDefault="00C77F31" w:rsidP="00C77F31">
      <w:pPr>
        <w:pStyle w:val="3Bodytext"/>
      </w:pPr>
      <w:r w:rsidRPr="00A52774">
        <w:t>A post-market review (PMR) of the use of biologics in the treatment of severe CPP (the ‘Review’) was recommended by the</w:t>
      </w:r>
      <w:r w:rsidR="00AA7AFA" w:rsidRPr="00A52774">
        <w:t xml:space="preserve"> </w:t>
      </w:r>
      <w:r w:rsidRPr="00A52774">
        <w:t xml:space="preserve">PBAC in December 2015 and approved by the Minister on 7 April 2016. </w:t>
      </w:r>
    </w:p>
    <w:p w:rsidR="00C77F31" w:rsidRPr="00A52774" w:rsidRDefault="00C77F31" w:rsidP="00C77F31">
      <w:pPr>
        <w:pStyle w:val="3Bodytext"/>
      </w:pPr>
      <w:r w:rsidRPr="00A52774">
        <w:t>The fi</w:t>
      </w:r>
      <w:r w:rsidR="00DA333A">
        <w:t>nal Terms of Reference for the R</w:t>
      </w:r>
      <w:r w:rsidRPr="00A52774">
        <w:t>eview were:</w:t>
      </w:r>
    </w:p>
    <w:p w:rsidR="00C77F31" w:rsidRPr="00A52774" w:rsidRDefault="00C77F31" w:rsidP="00C77F31">
      <w:pPr>
        <w:pStyle w:val="3Bodytext"/>
        <w:numPr>
          <w:ilvl w:val="0"/>
          <w:numId w:val="3"/>
        </w:numPr>
      </w:pPr>
      <w:r w:rsidRPr="00A52774">
        <w:t xml:space="preserve">Review current clinical guidelines for the treatment of severe chronic plaque psoriasis and compare to the Pharmaceutical Benefits Scheme (PBS) restrictions for use of biologics in this indication. </w:t>
      </w:r>
    </w:p>
    <w:p w:rsidR="00C77F31" w:rsidRPr="00A52774" w:rsidRDefault="00C77F31" w:rsidP="004F7628">
      <w:pPr>
        <w:pStyle w:val="3Bodytext"/>
        <w:numPr>
          <w:ilvl w:val="0"/>
          <w:numId w:val="3"/>
        </w:numPr>
      </w:pPr>
      <w:r w:rsidRPr="00A52774">
        <w:t xml:space="preserve">Review and evaluate recent clinical evidence on the efficacy and safety of biologics used in the treatment of severe chronic plaque psoriasis and compare to the evidence </w:t>
      </w:r>
      <w:r w:rsidR="00AA7AFA" w:rsidRPr="00A52774">
        <w:t xml:space="preserve">considered by the </w:t>
      </w:r>
      <w:r w:rsidR="004F7628" w:rsidRPr="004F7628">
        <w:t>Pharmaceutical Benefits Advisory Committee</w:t>
      </w:r>
      <w:r w:rsidR="004F7628">
        <w:t xml:space="preserve"> (</w:t>
      </w:r>
      <w:r w:rsidR="00AA7AFA" w:rsidRPr="00A52774">
        <w:t>PBAC</w:t>
      </w:r>
      <w:r w:rsidR="004F7628">
        <w:t>)</w:t>
      </w:r>
      <w:r w:rsidR="00AA7AFA" w:rsidRPr="00A52774">
        <w:t xml:space="preserve"> </w:t>
      </w:r>
      <w:r w:rsidR="00DA333A">
        <w:t>in previous S</w:t>
      </w:r>
      <w:r w:rsidRPr="00A52774">
        <w:t xml:space="preserve">ponsor submissions. </w:t>
      </w:r>
    </w:p>
    <w:p w:rsidR="00C77F31" w:rsidRPr="00A52774" w:rsidRDefault="00C77F31" w:rsidP="00C77F31">
      <w:pPr>
        <w:pStyle w:val="3Bodytext"/>
        <w:numPr>
          <w:ilvl w:val="0"/>
          <w:numId w:val="3"/>
        </w:numPr>
      </w:pPr>
      <w:r w:rsidRPr="00A52774">
        <w:t xml:space="preserve">Review the utilisation of PBS biologics for the treatment of chronic plaque psoriasis including time on treatment and discontinuation from treatment, and compare this with that observed in the clinical trial evidence considered by the PBAC. </w:t>
      </w:r>
    </w:p>
    <w:p w:rsidR="00C77F31" w:rsidRPr="00A52774" w:rsidRDefault="00C77F31" w:rsidP="00C77F31">
      <w:pPr>
        <w:pStyle w:val="3Bodytext"/>
        <w:numPr>
          <w:ilvl w:val="0"/>
          <w:numId w:val="3"/>
        </w:numPr>
      </w:pPr>
      <w:r w:rsidRPr="00A52774">
        <w:lastRenderedPageBreak/>
        <w:t>Subject to the findings from Terms of Reference 1, 2 and 3, review the cost-effectiveness of biologics for severe chronic plaque psoriasis.</w:t>
      </w:r>
    </w:p>
    <w:p w:rsidR="00C77F31" w:rsidRPr="00A52774" w:rsidRDefault="00C77F31" w:rsidP="00C77F31">
      <w:pPr>
        <w:pStyle w:val="3Bodytext"/>
      </w:pPr>
      <w:r w:rsidRPr="00A52774">
        <w:t>The dr</w:t>
      </w:r>
      <w:r w:rsidR="00F83C6D" w:rsidRPr="00A52774">
        <w:t>aft Review</w:t>
      </w:r>
      <w:r w:rsidR="005D35CE">
        <w:t xml:space="preserve"> report</w:t>
      </w:r>
      <w:r w:rsidR="00F83C6D" w:rsidRPr="00A52774">
        <w:t>, including</w:t>
      </w:r>
      <w:r w:rsidR="00AA7AFA" w:rsidRPr="00A52774">
        <w:t xml:space="preserve"> the</w:t>
      </w:r>
      <w:r w:rsidR="00F83C6D" w:rsidRPr="00A52774">
        <w:t xml:space="preserve"> PBAC Sub-C</w:t>
      </w:r>
      <w:r w:rsidRPr="00A52774">
        <w:t>ommittee advice and stakeholder comments, was provided to the PBAC for consideration in April 2018. Based on the findings from Terms of Reference 1, 2 and 3 the PBAC recommended a change to the PBS restrictions for all biologics listed for CPP. This change reduced the number of</w:t>
      </w:r>
      <w:r w:rsidR="00A4795D">
        <w:t xml:space="preserve"> </w:t>
      </w:r>
      <w:r w:rsidRPr="00A52774">
        <w:t>treatments a patient must trial (from three to two) before being eligible for PBS</w:t>
      </w:r>
      <w:r w:rsidR="004F7628">
        <w:t>-</w:t>
      </w:r>
      <w:r w:rsidRPr="00A52774">
        <w:t>subsidised biologic therapy. The recommended restriction change was implemented on 1 May 2019.</w:t>
      </w:r>
    </w:p>
    <w:p w:rsidR="00C77F31" w:rsidRPr="00A52774" w:rsidRDefault="00C77F31" w:rsidP="00C77F31">
      <w:pPr>
        <w:pStyle w:val="3Bodytext"/>
        <w:numPr>
          <w:ilvl w:val="0"/>
          <w:numId w:val="0"/>
        </w:numPr>
        <w:ind w:left="720" w:hanging="720"/>
      </w:pPr>
      <w:r w:rsidRPr="00A52774">
        <w:t>2.5</w:t>
      </w:r>
      <w:r w:rsidRPr="00A52774">
        <w:tab/>
        <w:t xml:space="preserve">The PBAC also requested a </w:t>
      </w:r>
      <w:r w:rsidR="004F7628">
        <w:t>CER</w:t>
      </w:r>
      <w:r w:rsidRPr="00A52774">
        <w:t xml:space="preserve"> of biologics under the current PBS restriction</w:t>
      </w:r>
      <w:r w:rsidR="00FE283A">
        <w:t>s</w:t>
      </w:r>
      <w:r w:rsidRPr="00A52774">
        <w:t>, and to consider the</w:t>
      </w:r>
      <w:r w:rsidR="003D7AF0">
        <w:t xml:space="preserve"> PMR proposed </w:t>
      </w:r>
      <w:r w:rsidRPr="00A52774">
        <w:t>additional PBS population that meet the criteria of a baseline PASI ≥</w:t>
      </w:r>
      <w:r w:rsidR="00DA333A">
        <w:t xml:space="preserve"> </w:t>
      </w:r>
      <w:r w:rsidRPr="00A52774">
        <w:t>12 to ≤</w:t>
      </w:r>
      <w:r w:rsidR="00DA333A">
        <w:t xml:space="preserve"> </w:t>
      </w:r>
      <w:r w:rsidRPr="00A52774">
        <w:t xml:space="preserve">15 </w:t>
      </w:r>
      <w:r w:rsidR="00CB7E4D">
        <w:t>AND/OR</w:t>
      </w:r>
      <w:r w:rsidRPr="00A52774">
        <w:t xml:space="preserve"> a DLQI &gt;</w:t>
      </w:r>
      <w:r w:rsidR="004F7628">
        <w:t xml:space="preserve"> </w:t>
      </w:r>
      <w:r w:rsidRPr="00A52774">
        <w:t xml:space="preserve">10. </w:t>
      </w:r>
    </w:p>
    <w:p w:rsidR="00C77F31" w:rsidRPr="00A52774" w:rsidRDefault="00C77F31" w:rsidP="00C77F31">
      <w:pPr>
        <w:pStyle w:val="3Bodytext"/>
        <w:numPr>
          <w:ilvl w:val="1"/>
          <w:numId w:val="4"/>
        </w:numPr>
      </w:pPr>
      <w:r w:rsidRPr="00A52774">
        <w:t xml:space="preserve">In October </w:t>
      </w:r>
      <w:r w:rsidR="004F7628" w:rsidRPr="00A52774">
        <w:t>2018,</w:t>
      </w:r>
      <w:r w:rsidRPr="00A52774">
        <w:t xml:space="preserve"> the Department contracted </w:t>
      </w:r>
      <w:r w:rsidR="009669DF">
        <w:rPr>
          <w:noProof/>
          <w:color w:val="000000"/>
          <w:highlight w:val="black"/>
        </w:rPr>
        <w:t>'''''''''''' '''''''''''''''''''''</w:t>
      </w:r>
      <w:r w:rsidRPr="00A52774">
        <w:t xml:space="preserve"> to undertake the CER of Biologics. The</w:t>
      </w:r>
      <w:r w:rsidR="003D7AF0">
        <w:t xml:space="preserve"> overall</w:t>
      </w:r>
      <w:r w:rsidRPr="00A52774">
        <w:t xml:space="preserve"> purpose of the CER was to establish the cost-effectiveness </w:t>
      </w:r>
      <w:r w:rsidR="00902299" w:rsidRPr="00A52774">
        <w:t>of all</w:t>
      </w:r>
      <w:r w:rsidR="003D7AF0">
        <w:t xml:space="preserve"> PBS</w:t>
      </w:r>
      <w:r w:rsidR="00F62231">
        <w:t>-</w:t>
      </w:r>
      <w:r w:rsidR="003D7AF0">
        <w:t xml:space="preserve">listed </w:t>
      </w:r>
      <w:r w:rsidRPr="00A52774">
        <w:t>biologics for the treatment of CPP</w:t>
      </w:r>
      <w:r w:rsidR="00902299">
        <w:t xml:space="preserve"> in patients</w:t>
      </w:r>
      <w:r w:rsidRPr="00A52774">
        <w:t xml:space="preserve"> who have failed to achieve an adequate response to at least two of the following therapies: phototherapy, methotrexate, ciclosporin and/or acitretin for at least 6 weeks. Currently, PBS</w:t>
      </w:r>
      <w:r w:rsidR="004F7628">
        <w:t xml:space="preserve">-subsidised </w:t>
      </w:r>
      <w:r w:rsidRPr="00A52774">
        <w:t>biologics for CPP are restricted to use in patients with a baseline PASI &gt;</w:t>
      </w:r>
      <w:r w:rsidR="004F7628">
        <w:t xml:space="preserve"> </w:t>
      </w:r>
      <w:r w:rsidRPr="00A52774">
        <w:t xml:space="preserve">15 who have failed at least two of these therapies. </w:t>
      </w:r>
    </w:p>
    <w:p w:rsidR="00C77F31" w:rsidRPr="00A52774" w:rsidRDefault="00C77F31" w:rsidP="00C77F31">
      <w:pPr>
        <w:pStyle w:val="3Bodytext"/>
      </w:pPr>
      <w:r w:rsidRPr="00A52774">
        <w:t xml:space="preserve">The following </w:t>
      </w:r>
      <w:r w:rsidR="00FB61C8">
        <w:t>medicines</w:t>
      </w:r>
      <w:r w:rsidRPr="00A52774">
        <w:t xml:space="preserve"> were considered in the CER of PBS-listed b</w:t>
      </w:r>
      <w:r w:rsidR="00FB61C8">
        <w:t>iologics</w:t>
      </w:r>
      <w:r w:rsidRPr="00A52774">
        <w:t xml:space="preserve"> used in the treatment of CPP:</w:t>
      </w:r>
    </w:p>
    <w:p w:rsidR="00C77F31" w:rsidRPr="00A52774" w:rsidRDefault="00C77F31" w:rsidP="00C77F31">
      <w:pPr>
        <w:pStyle w:val="TableText"/>
        <w:ind w:left="720"/>
        <w:rPr>
          <w:rFonts w:asciiTheme="minorHAnsi" w:hAnsiTheme="minorHAnsi" w:cstheme="minorHAnsi"/>
          <w:sz w:val="24"/>
        </w:rPr>
      </w:pPr>
      <w:r w:rsidRPr="00A52774">
        <w:rPr>
          <w:rFonts w:asciiTheme="minorHAnsi" w:hAnsiTheme="minorHAnsi" w:cstheme="minorHAnsi"/>
          <w:sz w:val="24"/>
        </w:rPr>
        <w:t>•</w:t>
      </w:r>
      <w:r w:rsidRPr="00A52774">
        <w:rPr>
          <w:rFonts w:asciiTheme="minorHAnsi" w:hAnsiTheme="minorHAnsi" w:cstheme="minorHAnsi"/>
          <w:sz w:val="24"/>
        </w:rPr>
        <w:tab/>
        <w:t>Etanercept;</w:t>
      </w:r>
    </w:p>
    <w:p w:rsidR="00C77F31" w:rsidRPr="00A52774" w:rsidRDefault="00C77F31" w:rsidP="00C77F31">
      <w:pPr>
        <w:pStyle w:val="TableText"/>
        <w:ind w:left="720"/>
        <w:rPr>
          <w:rFonts w:asciiTheme="minorHAnsi" w:hAnsiTheme="minorHAnsi" w:cstheme="minorHAnsi"/>
          <w:sz w:val="24"/>
        </w:rPr>
      </w:pPr>
      <w:r w:rsidRPr="00A52774">
        <w:rPr>
          <w:rFonts w:asciiTheme="minorHAnsi" w:hAnsiTheme="minorHAnsi" w:cstheme="minorHAnsi"/>
          <w:sz w:val="24"/>
        </w:rPr>
        <w:t>•</w:t>
      </w:r>
      <w:r w:rsidRPr="00A52774">
        <w:rPr>
          <w:rFonts w:asciiTheme="minorHAnsi" w:hAnsiTheme="minorHAnsi" w:cstheme="minorHAnsi"/>
          <w:sz w:val="24"/>
        </w:rPr>
        <w:tab/>
        <w:t>Infliximab;</w:t>
      </w:r>
    </w:p>
    <w:p w:rsidR="00C77F31" w:rsidRPr="00A52774" w:rsidRDefault="00C77F31" w:rsidP="00C77F31">
      <w:pPr>
        <w:pStyle w:val="TableText"/>
        <w:ind w:left="720"/>
        <w:rPr>
          <w:rFonts w:asciiTheme="minorHAnsi" w:hAnsiTheme="minorHAnsi" w:cstheme="minorHAnsi"/>
          <w:sz w:val="24"/>
        </w:rPr>
      </w:pPr>
      <w:r w:rsidRPr="00A52774">
        <w:rPr>
          <w:rFonts w:asciiTheme="minorHAnsi" w:hAnsiTheme="minorHAnsi" w:cstheme="minorHAnsi"/>
          <w:sz w:val="24"/>
        </w:rPr>
        <w:t>•</w:t>
      </w:r>
      <w:r w:rsidRPr="00A52774">
        <w:rPr>
          <w:rFonts w:asciiTheme="minorHAnsi" w:hAnsiTheme="minorHAnsi" w:cstheme="minorHAnsi"/>
          <w:sz w:val="24"/>
        </w:rPr>
        <w:tab/>
        <w:t>Adalimumab;</w:t>
      </w:r>
    </w:p>
    <w:p w:rsidR="00C77F31" w:rsidRPr="00A52774" w:rsidRDefault="00C77F31" w:rsidP="00C77F31">
      <w:pPr>
        <w:pStyle w:val="TableText"/>
        <w:ind w:left="720"/>
        <w:rPr>
          <w:rFonts w:asciiTheme="minorHAnsi" w:hAnsiTheme="minorHAnsi" w:cstheme="minorHAnsi"/>
          <w:sz w:val="24"/>
        </w:rPr>
      </w:pPr>
      <w:r w:rsidRPr="00A52774">
        <w:rPr>
          <w:rFonts w:asciiTheme="minorHAnsi" w:hAnsiTheme="minorHAnsi" w:cstheme="minorHAnsi"/>
          <w:sz w:val="24"/>
        </w:rPr>
        <w:t>•</w:t>
      </w:r>
      <w:r w:rsidRPr="00A52774">
        <w:rPr>
          <w:rFonts w:asciiTheme="minorHAnsi" w:hAnsiTheme="minorHAnsi" w:cstheme="minorHAnsi"/>
          <w:sz w:val="24"/>
        </w:rPr>
        <w:tab/>
        <w:t xml:space="preserve">Ustekinumab; </w:t>
      </w:r>
    </w:p>
    <w:p w:rsidR="00C77F31" w:rsidRPr="00A52774" w:rsidRDefault="00C77F31" w:rsidP="00C77F31">
      <w:pPr>
        <w:pStyle w:val="TableText"/>
        <w:ind w:left="720"/>
        <w:rPr>
          <w:rFonts w:asciiTheme="minorHAnsi" w:hAnsiTheme="minorHAnsi" w:cstheme="minorHAnsi"/>
          <w:sz w:val="24"/>
        </w:rPr>
      </w:pPr>
      <w:r w:rsidRPr="00A52774">
        <w:rPr>
          <w:rFonts w:asciiTheme="minorHAnsi" w:hAnsiTheme="minorHAnsi" w:cstheme="minorHAnsi"/>
          <w:sz w:val="24"/>
        </w:rPr>
        <w:t>•</w:t>
      </w:r>
      <w:r w:rsidRPr="00A52774">
        <w:rPr>
          <w:rFonts w:asciiTheme="minorHAnsi" w:hAnsiTheme="minorHAnsi" w:cstheme="minorHAnsi"/>
          <w:sz w:val="24"/>
        </w:rPr>
        <w:tab/>
        <w:t>Secukinumab;</w:t>
      </w:r>
    </w:p>
    <w:p w:rsidR="00C77F31" w:rsidRPr="00A52774" w:rsidRDefault="00C77F31" w:rsidP="00C77F31">
      <w:pPr>
        <w:pStyle w:val="TableText"/>
        <w:ind w:left="720"/>
        <w:rPr>
          <w:rFonts w:asciiTheme="minorHAnsi" w:hAnsiTheme="minorHAnsi" w:cstheme="minorHAnsi"/>
          <w:sz w:val="24"/>
        </w:rPr>
      </w:pPr>
      <w:r w:rsidRPr="00A52774">
        <w:rPr>
          <w:rFonts w:asciiTheme="minorHAnsi" w:hAnsiTheme="minorHAnsi" w:cstheme="minorHAnsi"/>
          <w:sz w:val="24"/>
        </w:rPr>
        <w:t>•</w:t>
      </w:r>
      <w:r w:rsidRPr="00A52774">
        <w:rPr>
          <w:rFonts w:asciiTheme="minorHAnsi" w:hAnsiTheme="minorHAnsi" w:cstheme="minorHAnsi"/>
          <w:sz w:val="24"/>
        </w:rPr>
        <w:tab/>
        <w:t>Ixekizumab;</w:t>
      </w:r>
    </w:p>
    <w:p w:rsidR="00C77F31" w:rsidRPr="00A52774" w:rsidRDefault="00C77F31" w:rsidP="00C77F31">
      <w:pPr>
        <w:pStyle w:val="TableText"/>
        <w:ind w:left="720"/>
        <w:rPr>
          <w:rFonts w:asciiTheme="minorHAnsi" w:hAnsiTheme="minorHAnsi" w:cstheme="minorHAnsi"/>
          <w:sz w:val="24"/>
        </w:rPr>
      </w:pPr>
      <w:r w:rsidRPr="00A52774">
        <w:rPr>
          <w:rFonts w:asciiTheme="minorHAnsi" w:hAnsiTheme="minorHAnsi" w:cstheme="minorHAnsi"/>
          <w:sz w:val="24"/>
        </w:rPr>
        <w:t>•</w:t>
      </w:r>
      <w:r w:rsidRPr="00A52774">
        <w:rPr>
          <w:rFonts w:asciiTheme="minorHAnsi" w:hAnsiTheme="minorHAnsi" w:cstheme="minorHAnsi"/>
          <w:sz w:val="24"/>
        </w:rPr>
        <w:tab/>
        <w:t>Guselkumab; and</w:t>
      </w:r>
    </w:p>
    <w:p w:rsidR="00C77F31" w:rsidRPr="00A52774" w:rsidRDefault="00C77F31" w:rsidP="00C77F31">
      <w:pPr>
        <w:pStyle w:val="TableText"/>
        <w:ind w:left="720"/>
        <w:rPr>
          <w:rFonts w:asciiTheme="minorHAnsi" w:hAnsiTheme="minorHAnsi" w:cstheme="minorHAnsi"/>
          <w:sz w:val="24"/>
        </w:rPr>
      </w:pPr>
      <w:r w:rsidRPr="00A52774">
        <w:rPr>
          <w:rFonts w:asciiTheme="minorHAnsi" w:hAnsiTheme="minorHAnsi" w:cstheme="minorHAnsi"/>
          <w:sz w:val="24"/>
        </w:rPr>
        <w:t>•</w:t>
      </w:r>
      <w:r w:rsidRPr="00A52774">
        <w:rPr>
          <w:rFonts w:asciiTheme="minorHAnsi" w:hAnsiTheme="minorHAnsi" w:cstheme="minorHAnsi"/>
          <w:sz w:val="24"/>
        </w:rPr>
        <w:tab/>
        <w:t xml:space="preserve">Tildrakizumab. </w:t>
      </w:r>
    </w:p>
    <w:p w:rsidR="00C77F31" w:rsidRPr="00A52774" w:rsidRDefault="00C77F31" w:rsidP="00C77F31">
      <w:pPr>
        <w:pStyle w:val="TableText"/>
        <w:ind w:left="720"/>
        <w:rPr>
          <w:rFonts w:asciiTheme="minorHAnsi" w:hAnsiTheme="minorHAnsi" w:cstheme="minorHAnsi"/>
          <w:sz w:val="24"/>
        </w:rPr>
      </w:pPr>
    </w:p>
    <w:p w:rsidR="00C77F31" w:rsidRPr="00A52774" w:rsidRDefault="00C77F31" w:rsidP="00C77F31">
      <w:pPr>
        <w:pStyle w:val="3Bodytext"/>
      </w:pPr>
      <w:r w:rsidRPr="00A52774">
        <w:t xml:space="preserve">The CER </w:t>
      </w:r>
      <w:r w:rsidR="00B10EDD">
        <w:t xml:space="preserve">Report </w:t>
      </w:r>
      <w:r w:rsidRPr="00A52774">
        <w:t xml:space="preserve">was provided to Sponsors for consultation </w:t>
      </w:r>
      <w:r w:rsidR="00B10EDD">
        <w:t xml:space="preserve">on two occasions for a minimum of two weeks </w:t>
      </w:r>
      <w:r w:rsidR="00F92C72">
        <w:t>and</w:t>
      </w:r>
      <w:r w:rsidR="00F92C72" w:rsidRPr="00A52774">
        <w:t xml:space="preserve"> </w:t>
      </w:r>
      <w:r w:rsidRPr="00A52774">
        <w:t>S</w:t>
      </w:r>
      <w:r w:rsidR="009A3DC9">
        <w:t>ponsors were invited to submit P</w:t>
      </w:r>
      <w:r w:rsidR="00ED0482" w:rsidRPr="00A52774">
        <w:t>re-</w:t>
      </w:r>
      <w:r w:rsidRPr="00A52774">
        <w:t>S</w:t>
      </w:r>
      <w:r w:rsidR="00ED0482" w:rsidRPr="00A52774">
        <w:t>ub-</w:t>
      </w:r>
      <w:r w:rsidRPr="00A52774">
        <w:t>C</w:t>
      </w:r>
      <w:r w:rsidR="00ED0482" w:rsidRPr="00A52774">
        <w:t xml:space="preserve">ommittee </w:t>
      </w:r>
      <w:r w:rsidRPr="00A52774">
        <w:t>R</w:t>
      </w:r>
      <w:r w:rsidR="00ED0482" w:rsidRPr="00A52774">
        <w:t>esponse</w:t>
      </w:r>
      <w:r w:rsidRPr="00A52774">
        <w:t>s</w:t>
      </w:r>
      <w:r w:rsidR="00FB61C8">
        <w:t xml:space="preserve"> (PSCRs)</w:t>
      </w:r>
      <w:r w:rsidR="00F92C72">
        <w:t xml:space="preserve"> and pre-PBAC responses</w:t>
      </w:r>
      <w:r w:rsidRPr="00A52774">
        <w:t>.</w:t>
      </w:r>
      <w:r w:rsidR="00F92C72">
        <w:t xml:space="preserve"> Members of the Reference Group for the PMR of the use of biologics for severe chronic plaque psoriasis were also given the opportunity to provide feedback</w:t>
      </w:r>
      <w:r w:rsidR="00B10EDD">
        <w:t xml:space="preserve"> on the CER Report prior to PBAC consideration</w:t>
      </w:r>
      <w:r w:rsidR="00F92C72">
        <w:t>.</w:t>
      </w:r>
    </w:p>
    <w:p w:rsidR="00A6513E" w:rsidRDefault="00A6513E" w:rsidP="00A6513E">
      <w:pPr>
        <w:pStyle w:val="2Sections"/>
      </w:pPr>
      <w:r>
        <w:t xml:space="preserve">Evidence </w:t>
      </w:r>
      <w:r w:rsidR="008937D1">
        <w:t>e</w:t>
      </w:r>
      <w:r>
        <w:t>valuation</w:t>
      </w:r>
    </w:p>
    <w:p w:rsidR="002A18DB" w:rsidRPr="005235FC" w:rsidRDefault="00BA721B" w:rsidP="005235FC">
      <w:pPr>
        <w:pStyle w:val="2Sections"/>
        <w:numPr>
          <w:ilvl w:val="0"/>
          <w:numId w:val="0"/>
        </w:numPr>
        <w:rPr>
          <w:rStyle w:val="Emphasis"/>
          <w:sz w:val="28"/>
          <w:szCs w:val="28"/>
        </w:rPr>
      </w:pPr>
      <w:r w:rsidRPr="005235FC">
        <w:rPr>
          <w:rStyle w:val="Emphasis"/>
          <w:sz w:val="28"/>
          <w:szCs w:val="28"/>
        </w:rPr>
        <w:t xml:space="preserve">Population and </w:t>
      </w:r>
      <w:r w:rsidR="00575F96" w:rsidRPr="005235FC">
        <w:rPr>
          <w:rStyle w:val="Emphasis"/>
          <w:sz w:val="28"/>
          <w:szCs w:val="28"/>
        </w:rPr>
        <w:t>s</w:t>
      </w:r>
      <w:r w:rsidRPr="005235FC">
        <w:rPr>
          <w:rStyle w:val="Emphasis"/>
          <w:sz w:val="28"/>
          <w:szCs w:val="28"/>
        </w:rPr>
        <w:t>etting</w:t>
      </w:r>
    </w:p>
    <w:p w:rsidR="00BA721B" w:rsidRPr="00A52774" w:rsidRDefault="00BA721B" w:rsidP="00BA721B">
      <w:pPr>
        <w:pStyle w:val="3Bodytext"/>
      </w:pPr>
      <w:r w:rsidRPr="00A52774">
        <w:t xml:space="preserve">For the purpose of the CER, a reference </w:t>
      </w:r>
      <w:r w:rsidR="00FB61C8">
        <w:t>biologic</w:t>
      </w:r>
      <w:r w:rsidRPr="00A52774">
        <w:t xml:space="preserve"> (secukinumab) was nominated as  </w:t>
      </w:r>
      <w:r w:rsidR="009669DF">
        <w:rPr>
          <w:noProof/>
          <w:color w:val="000000"/>
          <w:highlight w:val="black"/>
        </w:rPr>
        <w:t>''''' '''''''''''''''''''' ''' '''''''' ''''''''''''''''' ''''' '''''''''''' ''''''' ''''''' ''''''''' ''''''''''''''''''' '''''''''''''''''''''' ''''''''''' '''''''</w:t>
      </w:r>
      <w:r w:rsidRPr="00A52774">
        <w:t xml:space="preserve"> </w:t>
      </w:r>
      <w:r w:rsidRPr="00A52774">
        <w:lastRenderedPageBreak/>
        <w:t xml:space="preserve">most </w:t>
      </w:r>
      <w:r w:rsidR="00F92C72">
        <w:t xml:space="preserve">biologics </w:t>
      </w:r>
      <w:r w:rsidRPr="00A52774">
        <w:t>have been cost-minimised to each other (</w:t>
      </w:r>
      <w:r w:rsidRPr="009221DA">
        <w:t>over 104 weeks of treatment</w:t>
      </w:r>
      <w:r w:rsidRPr="00974850">
        <w:t>),</w:t>
      </w:r>
      <w:r w:rsidRPr="00A52774">
        <w:t xml:space="preserve"> such that non-inferiority has been accepted. Nonetheless, all other b</w:t>
      </w:r>
      <w:r w:rsidR="00FB61C8">
        <w:t>iologics</w:t>
      </w:r>
      <w:r w:rsidRPr="00A52774">
        <w:t xml:space="preserve"> were tested in separate sensitivity analyses.   </w:t>
      </w:r>
    </w:p>
    <w:p w:rsidR="00BA721B" w:rsidRPr="00A52774" w:rsidRDefault="00BA721B" w:rsidP="00BA721B">
      <w:pPr>
        <w:pStyle w:val="3Bodytext"/>
      </w:pPr>
      <w:r w:rsidRPr="00A52774">
        <w:t xml:space="preserve">Sponsors were </w:t>
      </w:r>
      <w:r w:rsidR="00043F98">
        <w:t>invited</w:t>
      </w:r>
      <w:r w:rsidR="00043F98" w:rsidRPr="00A52774">
        <w:t xml:space="preserve"> </w:t>
      </w:r>
      <w:r w:rsidRPr="00A52774">
        <w:t>to provide data to inform the effectiveness of the b</w:t>
      </w:r>
      <w:r w:rsidR="00FB61C8">
        <w:t>iologics</w:t>
      </w:r>
      <w:r w:rsidRPr="00A52774">
        <w:t xml:space="preserve"> in each of the following </w:t>
      </w:r>
      <w:r w:rsidR="00B10EDD">
        <w:t>subgroups</w:t>
      </w:r>
      <w:r w:rsidRPr="00A52774">
        <w:t>:</w:t>
      </w:r>
    </w:p>
    <w:p w:rsidR="00BA721B" w:rsidRPr="00A52774" w:rsidRDefault="00BA721B" w:rsidP="00BA721B">
      <w:pPr>
        <w:pStyle w:val="ListParagraph"/>
        <w:numPr>
          <w:ilvl w:val="0"/>
          <w:numId w:val="11"/>
        </w:numPr>
        <w:spacing w:after="0" w:line="240" w:lineRule="auto"/>
        <w:ind w:left="1004" w:hanging="284"/>
        <w:contextualSpacing w:val="0"/>
        <w:rPr>
          <w:rFonts w:asciiTheme="minorHAnsi" w:hAnsiTheme="minorHAnsi" w:cstheme="minorHAnsi"/>
        </w:rPr>
      </w:pPr>
      <w:r w:rsidRPr="00A52774">
        <w:rPr>
          <w:rFonts w:asciiTheme="minorHAnsi" w:hAnsiTheme="minorHAnsi" w:cstheme="minorHAnsi"/>
        </w:rPr>
        <w:t>Severe CPP with PASI &gt;</w:t>
      </w:r>
      <w:r w:rsidR="00142AC8">
        <w:rPr>
          <w:rFonts w:asciiTheme="minorHAnsi" w:hAnsiTheme="minorHAnsi" w:cstheme="minorHAnsi"/>
        </w:rPr>
        <w:t xml:space="preserve"> </w:t>
      </w:r>
      <w:r w:rsidRPr="00A52774">
        <w:rPr>
          <w:rFonts w:asciiTheme="minorHAnsi" w:hAnsiTheme="minorHAnsi" w:cstheme="minorHAnsi"/>
        </w:rPr>
        <w:t xml:space="preserve">15; </w:t>
      </w:r>
    </w:p>
    <w:p w:rsidR="00BA721B" w:rsidRPr="00A52774" w:rsidRDefault="00BA721B" w:rsidP="00BA721B">
      <w:pPr>
        <w:pStyle w:val="ListParagraph"/>
        <w:numPr>
          <w:ilvl w:val="0"/>
          <w:numId w:val="11"/>
        </w:numPr>
        <w:spacing w:after="0" w:line="240" w:lineRule="auto"/>
        <w:ind w:left="1004" w:hanging="284"/>
        <w:contextualSpacing w:val="0"/>
        <w:rPr>
          <w:rFonts w:asciiTheme="minorHAnsi" w:hAnsiTheme="minorHAnsi" w:cstheme="minorHAnsi"/>
        </w:rPr>
      </w:pPr>
      <w:r w:rsidRPr="00A52774">
        <w:rPr>
          <w:rFonts w:asciiTheme="minorHAnsi" w:hAnsiTheme="minorHAnsi" w:cstheme="minorHAnsi"/>
        </w:rPr>
        <w:t>Moderate-severe CPP with PASI ≥</w:t>
      </w:r>
      <w:r w:rsidR="00E33340">
        <w:rPr>
          <w:rFonts w:asciiTheme="minorHAnsi" w:hAnsiTheme="minorHAnsi" w:cstheme="minorHAnsi"/>
        </w:rPr>
        <w:t xml:space="preserve"> </w:t>
      </w:r>
      <w:r w:rsidRPr="00A52774">
        <w:rPr>
          <w:rFonts w:asciiTheme="minorHAnsi" w:hAnsiTheme="minorHAnsi" w:cstheme="minorHAnsi"/>
        </w:rPr>
        <w:t>12 to ≤</w:t>
      </w:r>
      <w:r w:rsidR="00E33340">
        <w:rPr>
          <w:rFonts w:asciiTheme="minorHAnsi" w:hAnsiTheme="minorHAnsi" w:cstheme="minorHAnsi"/>
        </w:rPr>
        <w:t xml:space="preserve"> </w:t>
      </w:r>
      <w:r w:rsidRPr="00A52774">
        <w:rPr>
          <w:rFonts w:asciiTheme="minorHAnsi" w:hAnsiTheme="minorHAnsi" w:cstheme="minorHAnsi"/>
        </w:rPr>
        <w:t xml:space="preserve">15; </w:t>
      </w:r>
    </w:p>
    <w:p w:rsidR="00BA721B" w:rsidRPr="00A52774" w:rsidRDefault="00BA721B" w:rsidP="00BA721B">
      <w:pPr>
        <w:pStyle w:val="ListBullet"/>
        <w:tabs>
          <w:tab w:val="clear" w:pos="360"/>
          <w:tab w:val="num" w:pos="1004"/>
        </w:tabs>
        <w:ind w:left="1080"/>
        <w:rPr>
          <w:rFonts w:asciiTheme="minorHAnsi" w:hAnsiTheme="minorHAnsi" w:cstheme="minorHAnsi"/>
        </w:rPr>
      </w:pPr>
      <w:r w:rsidRPr="00A52774">
        <w:rPr>
          <w:rFonts w:asciiTheme="minorHAnsi" w:hAnsiTheme="minorHAnsi" w:cstheme="minorHAnsi"/>
        </w:rPr>
        <w:t>Moderate-severe CPP with PASI ≥</w:t>
      </w:r>
      <w:r w:rsidR="00E33340">
        <w:rPr>
          <w:rFonts w:asciiTheme="minorHAnsi" w:hAnsiTheme="minorHAnsi" w:cstheme="minorHAnsi"/>
        </w:rPr>
        <w:t xml:space="preserve"> </w:t>
      </w:r>
      <w:r w:rsidRPr="00A52774">
        <w:rPr>
          <w:rFonts w:asciiTheme="minorHAnsi" w:hAnsiTheme="minorHAnsi" w:cstheme="minorHAnsi"/>
        </w:rPr>
        <w:t>12 to ≤</w:t>
      </w:r>
      <w:r w:rsidR="00E33340">
        <w:rPr>
          <w:rFonts w:asciiTheme="minorHAnsi" w:hAnsiTheme="minorHAnsi" w:cstheme="minorHAnsi"/>
        </w:rPr>
        <w:t xml:space="preserve"> </w:t>
      </w:r>
      <w:r w:rsidRPr="00A52774">
        <w:rPr>
          <w:rFonts w:asciiTheme="minorHAnsi" w:hAnsiTheme="minorHAnsi" w:cstheme="minorHAnsi"/>
        </w:rPr>
        <w:t xml:space="preserve">15 </w:t>
      </w:r>
      <w:r w:rsidRPr="00A52774">
        <w:rPr>
          <w:rFonts w:asciiTheme="minorHAnsi" w:hAnsiTheme="minorHAnsi" w:cstheme="minorHAnsi"/>
          <w:u w:val="single"/>
        </w:rPr>
        <w:t>AND</w:t>
      </w:r>
      <w:r w:rsidRPr="00A52774">
        <w:rPr>
          <w:rFonts w:asciiTheme="minorHAnsi" w:hAnsiTheme="minorHAnsi" w:cstheme="minorHAnsi"/>
        </w:rPr>
        <w:t xml:space="preserve"> DLQI &gt;</w:t>
      </w:r>
      <w:r w:rsidR="00E33340">
        <w:rPr>
          <w:rFonts w:asciiTheme="minorHAnsi" w:hAnsiTheme="minorHAnsi" w:cstheme="minorHAnsi"/>
        </w:rPr>
        <w:t xml:space="preserve"> </w:t>
      </w:r>
      <w:r w:rsidRPr="00A52774">
        <w:rPr>
          <w:rFonts w:asciiTheme="minorHAnsi" w:hAnsiTheme="minorHAnsi" w:cstheme="minorHAnsi"/>
        </w:rPr>
        <w:t xml:space="preserve">10; and </w:t>
      </w:r>
    </w:p>
    <w:p w:rsidR="00BA721B" w:rsidRPr="00A52774" w:rsidRDefault="00BA721B" w:rsidP="00BA721B">
      <w:pPr>
        <w:pStyle w:val="ListBullet"/>
        <w:tabs>
          <w:tab w:val="clear" w:pos="360"/>
          <w:tab w:val="num" w:pos="1004"/>
        </w:tabs>
        <w:ind w:left="1080"/>
        <w:rPr>
          <w:rFonts w:asciiTheme="minorHAnsi" w:hAnsiTheme="minorHAnsi" w:cstheme="minorHAnsi"/>
        </w:rPr>
      </w:pPr>
      <w:r w:rsidRPr="00A52774">
        <w:rPr>
          <w:rFonts w:asciiTheme="minorHAnsi" w:hAnsiTheme="minorHAnsi" w:cstheme="minorHAnsi"/>
        </w:rPr>
        <w:t>Moderate-severe CPP with PASI ≥</w:t>
      </w:r>
      <w:r w:rsidR="00E33340">
        <w:rPr>
          <w:rFonts w:asciiTheme="minorHAnsi" w:hAnsiTheme="minorHAnsi" w:cstheme="minorHAnsi"/>
        </w:rPr>
        <w:t xml:space="preserve"> </w:t>
      </w:r>
      <w:r w:rsidRPr="00A52774">
        <w:rPr>
          <w:rFonts w:asciiTheme="minorHAnsi" w:hAnsiTheme="minorHAnsi" w:cstheme="minorHAnsi"/>
        </w:rPr>
        <w:t>12 to ≤</w:t>
      </w:r>
      <w:r w:rsidR="00E33340">
        <w:rPr>
          <w:rFonts w:asciiTheme="minorHAnsi" w:hAnsiTheme="minorHAnsi" w:cstheme="minorHAnsi"/>
        </w:rPr>
        <w:t xml:space="preserve"> </w:t>
      </w:r>
      <w:r w:rsidRPr="00A52774">
        <w:rPr>
          <w:rFonts w:asciiTheme="minorHAnsi" w:hAnsiTheme="minorHAnsi" w:cstheme="minorHAnsi"/>
        </w:rPr>
        <w:t xml:space="preserve">15 </w:t>
      </w:r>
      <w:r w:rsidRPr="00A52774">
        <w:rPr>
          <w:rFonts w:asciiTheme="minorHAnsi" w:hAnsiTheme="minorHAnsi" w:cstheme="minorHAnsi"/>
          <w:u w:val="single"/>
        </w:rPr>
        <w:t>OR</w:t>
      </w:r>
      <w:r w:rsidRPr="00A52774">
        <w:rPr>
          <w:rFonts w:asciiTheme="minorHAnsi" w:hAnsiTheme="minorHAnsi" w:cstheme="minorHAnsi"/>
        </w:rPr>
        <w:t xml:space="preserve"> DLQI &gt;</w:t>
      </w:r>
      <w:r w:rsidR="00E33340">
        <w:rPr>
          <w:rFonts w:asciiTheme="minorHAnsi" w:hAnsiTheme="minorHAnsi" w:cstheme="minorHAnsi"/>
        </w:rPr>
        <w:t xml:space="preserve"> </w:t>
      </w:r>
      <w:r w:rsidRPr="00A52774">
        <w:rPr>
          <w:rFonts w:asciiTheme="minorHAnsi" w:hAnsiTheme="minorHAnsi" w:cstheme="minorHAnsi"/>
        </w:rPr>
        <w:t xml:space="preserve">10. </w:t>
      </w:r>
    </w:p>
    <w:p w:rsidR="00BA721B" w:rsidRPr="00A52774" w:rsidRDefault="00BA721B" w:rsidP="00BA721B">
      <w:pPr>
        <w:pStyle w:val="ListBullet"/>
        <w:numPr>
          <w:ilvl w:val="0"/>
          <w:numId w:val="0"/>
        </w:numPr>
        <w:ind w:left="1080"/>
        <w:rPr>
          <w:rFonts w:asciiTheme="minorHAnsi" w:hAnsiTheme="minorHAnsi" w:cstheme="minorHAnsi"/>
        </w:rPr>
      </w:pPr>
    </w:p>
    <w:p w:rsidR="00BA721B" w:rsidRPr="00A52774" w:rsidRDefault="00BA721B" w:rsidP="00BA721B">
      <w:pPr>
        <w:pStyle w:val="3Bodytext"/>
      </w:pPr>
      <w:r w:rsidRPr="00A52774">
        <w:t>Analyses of the trial data and tests for interaction were conducted to determine whether disease severity, however defined, was a treatment effect modifier.</w:t>
      </w:r>
      <w:r w:rsidR="003D5104">
        <w:t xml:space="preserve"> </w:t>
      </w:r>
      <w:r w:rsidRPr="00A52774">
        <w:t xml:space="preserve">The majority of analyses indicated no treatment effect modification based on disease severity and there was no consistent signal amongst subgroups where treatment effect modification was potentially indicated.  Therefore, whole trial data was used to inform efficacy in the initiation period for all subgroups. </w:t>
      </w:r>
    </w:p>
    <w:p w:rsidR="00E33340" w:rsidRPr="005D7BFA" w:rsidRDefault="00BA721B" w:rsidP="007D6691">
      <w:pPr>
        <w:pStyle w:val="3Bodytext"/>
        <w:rPr>
          <w:rFonts w:cstheme="minorHAnsi"/>
        </w:rPr>
      </w:pPr>
      <w:r w:rsidRPr="00A52774">
        <w:t>The derivation of the cost-effectiveness of b</w:t>
      </w:r>
      <w:r w:rsidR="00E33340">
        <w:t>iologics</w:t>
      </w:r>
      <w:r w:rsidRPr="00A52774">
        <w:t xml:space="preserve"> in the subgroups including </w:t>
      </w:r>
      <w:r w:rsidR="00BC07DC" w:rsidRPr="00A52774">
        <w:t xml:space="preserve">DLQI </w:t>
      </w:r>
      <w:r w:rsidR="00BC07DC" w:rsidRPr="007D6691">
        <w:rPr>
          <w:rFonts w:cstheme="minorHAnsi"/>
        </w:rPr>
        <w:t>were</w:t>
      </w:r>
      <w:r w:rsidRPr="007D6691">
        <w:rPr>
          <w:rFonts w:cstheme="minorHAnsi"/>
        </w:rPr>
        <w:t xml:space="preserve"> considered uninformative </w:t>
      </w:r>
      <w:r w:rsidR="00E33340" w:rsidRPr="005D7BFA">
        <w:rPr>
          <w:rFonts w:cstheme="minorHAnsi"/>
        </w:rPr>
        <w:t>because:</w:t>
      </w:r>
    </w:p>
    <w:p w:rsidR="00E33340" w:rsidRPr="008D63E3" w:rsidRDefault="00E33340" w:rsidP="005235FC">
      <w:pPr>
        <w:pStyle w:val="ListParagraph"/>
        <w:numPr>
          <w:ilvl w:val="0"/>
          <w:numId w:val="11"/>
        </w:numPr>
        <w:spacing w:after="0" w:line="240" w:lineRule="auto"/>
        <w:ind w:left="1004" w:hanging="284"/>
        <w:contextualSpacing w:val="0"/>
        <w:rPr>
          <w:rFonts w:cstheme="minorHAnsi"/>
        </w:rPr>
      </w:pPr>
      <w:r w:rsidRPr="005235FC">
        <w:rPr>
          <w:rFonts w:asciiTheme="minorHAnsi" w:hAnsiTheme="minorHAnsi" w:cstheme="minorHAnsi"/>
        </w:rPr>
        <w:t>T</w:t>
      </w:r>
      <w:r w:rsidR="00BA721B" w:rsidRPr="005235FC">
        <w:rPr>
          <w:rFonts w:asciiTheme="minorHAnsi" w:hAnsiTheme="minorHAnsi" w:cstheme="minorHAnsi"/>
        </w:rPr>
        <w:t>here were very few patients with DLQI &gt;</w:t>
      </w:r>
      <w:r w:rsidRPr="005235FC">
        <w:rPr>
          <w:rFonts w:asciiTheme="minorHAnsi" w:hAnsiTheme="minorHAnsi" w:cstheme="minorHAnsi"/>
        </w:rPr>
        <w:t xml:space="preserve"> </w:t>
      </w:r>
      <w:r w:rsidR="00BA721B" w:rsidRPr="005235FC">
        <w:rPr>
          <w:rFonts w:asciiTheme="minorHAnsi" w:hAnsiTheme="minorHAnsi" w:cstheme="minorHAnsi"/>
        </w:rPr>
        <w:t>10 AND PASI ≥</w:t>
      </w:r>
      <w:r>
        <w:rPr>
          <w:rFonts w:asciiTheme="minorHAnsi" w:hAnsiTheme="minorHAnsi" w:cstheme="minorHAnsi"/>
        </w:rPr>
        <w:t xml:space="preserve"> </w:t>
      </w:r>
      <w:r w:rsidR="00BA721B" w:rsidRPr="005235FC">
        <w:rPr>
          <w:rFonts w:asciiTheme="minorHAnsi" w:hAnsiTheme="minorHAnsi" w:cstheme="minorHAnsi"/>
        </w:rPr>
        <w:t>12 to ≤</w:t>
      </w:r>
      <w:r>
        <w:rPr>
          <w:rFonts w:asciiTheme="minorHAnsi" w:hAnsiTheme="minorHAnsi" w:cstheme="minorHAnsi"/>
        </w:rPr>
        <w:t xml:space="preserve"> </w:t>
      </w:r>
      <w:r w:rsidR="00BA721B" w:rsidRPr="005235FC">
        <w:rPr>
          <w:rFonts w:asciiTheme="minorHAnsi" w:hAnsiTheme="minorHAnsi" w:cstheme="minorHAnsi"/>
        </w:rPr>
        <w:t>15 in the study populations</w:t>
      </w:r>
      <w:r w:rsidRPr="005235FC">
        <w:rPr>
          <w:rFonts w:asciiTheme="minorHAnsi" w:hAnsiTheme="minorHAnsi" w:cstheme="minorHAnsi"/>
        </w:rPr>
        <w:t>;</w:t>
      </w:r>
      <w:r w:rsidR="00BA721B" w:rsidRPr="005235FC">
        <w:rPr>
          <w:rFonts w:asciiTheme="minorHAnsi" w:hAnsiTheme="minorHAnsi" w:cstheme="minorHAnsi"/>
        </w:rPr>
        <w:t xml:space="preserve"> and </w:t>
      </w:r>
    </w:p>
    <w:p w:rsidR="00C96FB2" w:rsidRPr="00A6513E" w:rsidRDefault="00E33340" w:rsidP="005235FC">
      <w:pPr>
        <w:pStyle w:val="ListParagraph"/>
        <w:numPr>
          <w:ilvl w:val="0"/>
          <w:numId w:val="11"/>
        </w:numPr>
        <w:spacing w:after="0" w:line="240" w:lineRule="auto"/>
        <w:ind w:left="1004" w:hanging="284"/>
        <w:contextualSpacing w:val="0"/>
        <w:rPr>
          <w:rFonts w:cstheme="minorHAnsi"/>
        </w:rPr>
      </w:pPr>
      <w:r w:rsidRPr="005235FC">
        <w:rPr>
          <w:rFonts w:asciiTheme="minorHAnsi" w:hAnsiTheme="minorHAnsi" w:cstheme="minorHAnsi"/>
        </w:rPr>
        <w:t>T</w:t>
      </w:r>
      <w:r w:rsidR="00BA721B" w:rsidRPr="005235FC">
        <w:rPr>
          <w:rFonts w:asciiTheme="minorHAnsi" w:hAnsiTheme="minorHAnsi" w:cstheme="minorHAnsi"/>
        </w:rPr>
        <w:t>he DLQI</w:t>
      </w:r>
      <w:r w:rsidRPr="005235FC">
        <w:rPr>
          <w:rFonts w:asciiTheme="minorHAnsi" w:hAnsiTheme="minorHAnsi" w:cstheme="minorHAnsi"/>
        </w:rPr>
        <w:t xml:space="preserve"> </w:t>
      </w:r>
      <w:r w:rsidR="00BA721B" w:rsidRPr="005235FC">
        <w:rPr>
          <w:rFonts w:asciiTheme="minorHAnsi" w:hAnsiTheme="minorHAnsi" w:cstheme="minorHAnsi"/>
        </w:rPr>
        <w:t>&gt;</w:t>
      </w:r>
      <w:r w:rsidRPr="005235FC">
        <w:rPr>
          <w:rFonts w:asciiTheme="minorHAnsi" w:hAnsiTheme="minorHAnsi" w:cstheme="minorHAnsi"/>
        </w:rPr>
        <w:t xml:space="preserve"> </w:t>
      </w:r>
      <w:r w:rsidR="00BA721B" w:rsidRPr="005235FC">
        <w:rPr>
          <w:rFonts w:asciiTheme="minorHAnsi" w:hAnsiTheme="minorHAnsi" w:cstheme="minorHAnsi"/>
        </w:rPr>
        <w:t>10 subgroup d</w:t>
      </w:r>
      <w:r w:rsidR="00420D74" w:rsidRPr="005235FC">
        <w:rPr>
          <w:rFonts w:asciiTheme="minorHAnsi" w:hAnsiTheme="minorHAnsi" w:cstheme="minorHAnsi"/>
        </w:rPr>
        <w:t>id</w:t>
      </w:r>
      <w:r w:rsidR="00BA721B" w:rsidRPr="005235FC">
        <w:rPr>
          <w:rFonts w:asciiTheme="minorHAnsi" w:hAnsiTheme="minorHAnsi" w:cstheme="minorHAnsi"/>
        </w:rPr>
        <w:t xml:space="preserve"> not represent a mutually exclusive group to those for whom b</w:t>
      </w:r>
      <w:r w:rsidRPr="005235FC">
        <w:rPr>
          <w:rFonts w:asciiTheme="minorHAnsi" w:hAnsiTheme="minorHAnsi" w:cstheme="minorHAnsi"/>
        </w:rPr>
        <w:t>iologics</w:t>
      </w:r>
      <w:r w:rsidR="00BA721B" w:rsidRPr="005235FC">
        <w:rPr>
          <w:rFonts w:asciiTheme="minorHAnsi" w:hAnsiTheme="minorHAnsi" w:cstheme="minorHAnsi"/>
        </w:rPr>
        <w:t xml:space="preserve"> are already PBS-listed (PASI &gt;</w:t>
      </w:r>
      <w:r>
        <w:rPr>
          <w:rFonts w:asciiTheme="minorHAnsi" w:hAnsiTheme="minorHAnsi" w:cstheme="minorHAnsi"/>
        </w:rPr>
        <w:t xml:space="preserve"> </w:t>
      </w:r>
      <w:r w:rsidR="00BA721B" w:rsidRPr="005235FC">
        <w:rPr>
          <w:rFonts w:asciiTheme="minorHAnsi" w:hAnsiTheme="minorHAnsi" w:cstheme="minorHAnsi"/>
        </w:rPr>
        <w:t xml:space="preserve">15).  </w:t>
      </w:r>
    </w:p>
    <w:p w:rsidR="00C96FB2" w:rsidRPr="005235FC" w:rsidRDefault="00A6513E" w:rsidP="005235FC">
      <w:pPr>
        <w:pStyle w:val="2Sections"/>
        <w:numPr>
          <w:ilvl w:val="0"/>
          <w:numId w:val="0"/>
        </w:numPr>
        <w:rPr>
          <w:rFonts w:eastAsiaTheme="minorHAnsi" w:cstheme="minorBidi"/>
          <w:b w:val="0"/>
          <w:snapToGrid/>
          <w:sz w:val="24"/>
          <w:szCs w:val="22"/>
        </w:rPr>
      </w:pPr>
      <w:r w:rsidRPr="005235FC">
        <w:rPr>
          <w:rStyle w:val="Emphasis"/>
          <w:sz w:val="28"/>
          <w:szCs w:val="28"/>
        </w:rPr>
        <w:t xml:space="preserve">Model </w:t>
      </w:r>
      <w:r w:rsidR="008937D1">
        <w:rPr>
          <w:rStyle w:val="Emphasis"/>
          <w:sz w:val="28"/>
          <w:szCs w:val="28"/>
        </w:rPr>
        <w:t>o</w:t>
      </w:r>
      <w:r w:rsidRPr="005235FC">
        <w:rPr>
          <w:rStyle w:val="Emphasis"/>
          <w:sz w:val="28"/>
          <w:szCs w:val="28"/>
        </w:rPr>
        <w:t xml:space="preserve">verview and </w:t>
      </w:r>
      <w:r w:rsidR="008937D1">
        <w:rPr>
          <w:rStyle w:val="Emphasis"/>
          <w:sz w:val="28"/>
          <w:szCs w:val="28"/>
        </w:rPr>
        <w:t>a</w:t>
      </w:r>
      <w:r w:rsidRPr="005235FC">
        <w:rPr>
          <w:rStyle w:val="Emphasis"/>
          <w:sz w:val="28"/>
          <w:szCs w:val="28"/>
        </w:rPr>
        <w:t>ssumption</w:t>
      </w:r>
      <w:r w:rsidR="008937D1">
        <w:rPr>
          <w:rStyle w:val="Emphasis"/>
          <w:sz w:val="28"/>
          <w:szCs w:val="28"/>
        </w:rPr>
        <w:t>s</w:t>
      </w:r>
    </w:p>
    <w:p w:rsidR="00BA721B" w:rsidRPr="00A52774" w:rsidRDefault="008609E8" w:rsidP="007D6691">
      <w:pPr>
        <w:pStyle w:val="3Bodytext"/>
      </w:pPr>
      <w:r w:rsidRPr="00A52774">
        <w:t>A ‘B</w:t>
      </w:r>
      <w:r w:rsidR="00BA721B" w:rsidRPr="00A52774">
        <w:t>ase case’ for the current review was established for patients with a baseline PASI of ≥</w:t>
      </w:r>
      <w:r w:rsidR="00E33340">
        <w:t xml:space="preserve"> </w:t>
      </w:r>
      <w:r w:rsidR="00BA721B" w:rsidRPr="00A52774">
        <w:t>12 to ≤</w:t>
      </w:r>
      <w:r w:rsidR="00E33340">
        <w:t xml:space="preserve"> </w:t>
      </w:r>
      <w:r w:rsidR="00BA721B" w:rsidRPr="00A52774">
        <w:t>15 with regards to utilities and health state costs using inputs from secukinumab with regards to drug costs and efficac</w:t>
      </w:r>
      <w:r w:rsidRPr="00A52774">
        <w:t>y. The</w:t>
      </w:r>
      <w:r w:rsidR="007D6691">
        <w:t xml:space="preserve"> </w:t>
      </w:r>
      <w:r w:rsidR="007D6691" w:rsidRPr="007D6691">
        <w:t>incremental cost effectiveness ratio</w:t>
      </w:r>
      <w:r w:rsidRPr="00A52774">
        <w:t xml:space="preserve"> </w:t>
      </w:r>
      <w:r w:rsidR="007D6691">
        <w:t>(</w:t>
      </w:r>
      <w:r w:rsidRPr="00A52774">
        <w:t>ICER</w:t>
      </w:r>
      <w:r w:rsidR="007D6691">
        <w:t>)</w:t>
      </w:r>
      <w:r w:rsidRPr="00A52774">
        <w:t xml:space="preserve"> from the B</w:t>
      </w:r>
      <w:r w:rsidR="00BA721B" w:rsidRPr="00A52774">
        <w:t>ase case model is ref</w:t>
      </w:r>
      <w:r w:rsidR="00AF7A06">
        <w:t>erred to as the ‘Base case ICER</w:t>
      </w:r>
      <w:r w:rsidR="00BA721B" w:rsidRPr="00A52774">
        <w:t>.</w:t>
      </w:r>
      <w:r w:rsidR="00AF7A06">
        <w:t>’</w:t>
      </w:r>
      <w:r w:rsidR="00BA721B" w:rsidRPr="00A52774">
        <w:t xml:space="preserve"> In comparison, the ICER for patients with a baseline PASI of &gt;</w:t>
      </w:r>
      <w:r w:rsidR="0089787D">
        <w:t xml:space="preserve"> </w:t>
      </w:r>
      <w:r w:rsidR="00BA721B" w:rsidRPr="00A52774">
        <w:t>15 was re</w:t>
      </w:r>
      <w:r w:rsidR="00AF7A06">
        <w:t>ferred to as the ‘Existing ICER</w:t>
      </w:r>
      <w:r w:rsidR="00BA721B" w:rsidRPr="00A52774">
        <w:t>.</w:t>
      </w:r>
      <w:r w:rsidR="00AF7A06">
        <w:t>’</w:t>
      </w:r>
      <w:r w:rsidR="00BA721B" w:rsidRPr="00A52774">
        <w:t xml:space="preserve"> </w:t>
      </w:r>
    </w:p>
    <w:p w:rsidR="00C77F31" w:rsidRDefault="00BA721B" w:rsidP="00BA721B">
      <w:pPr>
        <w:pStyle w:val="3Bodytext"/>
      </w:pPr>
      <w:r w:rsidRPr="00A52774">
        <w:t>A stepped economic evaluation using secukinumab as the reference b</w:t>
      </w:r>
      <w:r w:rsidR="007D6691">
        <w:t>iologic</w:t>
      </w:r>
      <w:r w:rsidRPr="00A52774">
        <w:t xml:space="preserve"> was conducted. This approach allowed the gradual introduction of differences (and uncertainty) between the baseline PASI ≥</w:t>
      </w:r>
      <w:r w:rsidR="007E56BD">
        <w:t xml:space="preserve"> </w:t>
      </w:r>
      <w:r w:rsidRPr="00A52774">
        <w:t>12 to ≤</w:t>
      </w:r>
      <w:r w:rsidR="007E56BD">
        <w:t xml:space="preserve"> </w:t>
      </w:r>
      <w:r w:rsidRPr="00A52774">
        <w:t>15 and the PASI &gt;</w:t>
      </w:r>
      <w:r w:rsidR="007E56BD">
        <w:t xml:space="preserve"> </w:t>
      </w:r>
      <w:r w:rsidRPr="00A52774">
        <w:t>15 subgroups</w:t>
      </w:r>
      <w:r w:rsidR="007E56BD">
        <w:t>,</w:t>
      </w:r>
      <w:r w:rsidRPr="00A52774">
        <w:t xml:space="preserve"> as part of the proposed expansion of the </w:t>
      </w:r>
      <w:r w:rsidR="007E56BD">
        <w:t xml:space="preserve">PBS </w:t>
      </w:r>
      <w:r w:rsidRPr="00A52774">
        <w:t>listing for CPP</w:t>
      </w:r>
      <w:r w:rsidR="00BC07DC">
        <w:t>,</w:t>
      </w:r>
      <w:r w:rsidRPr="00A52774">
        <w:t xml:space="preserve"> and illustrates the impact of each input incrementally.  The steps of the economic evaluation are described in </w:t>
      </w:r>
      <w:r w:rsidRPr="00A52774">
        <w:rPr>
          <w:b/>
        </w:rPr>
        <w:t>Table 1</w:t>
      </w:r>
      <w:r w:rsidRPr="00A52774">
        <w:t>.</w:t>
      </w:r>
    </w:p>
    <w:p w:rsidR="00BA721B" w:rsidRPr="00A52774" w:rsidRDefault="00BA721B" w:rsidP="00BA721B">
      <w:pPr>
        <w:pStyle w:val="Caption"/>
        <w:keepNext/>
        <w:widowControl w:val="0"/>
        <w:spacing w:after="0"/>
        <w:rPr>
          <w:szCs w:val="20"/>
        </w:rPr>
      </w:pPr>
      <w:bookmarkStart w:id="1" w:name="_Ref24454206"/>
      <w:r w:rsidRPr="00A52774">
        <w:rPr>
          <w:szCs w:val="20"/>
        </w:rPr>
        <w:lastRenderedPageBreak/>
        <w:t xml:space="preserve">Table </w:t>
      </w:r>
      <w:bookmarkEnd w:id="1"/>
      <w:r w:rsidRPr="00A52774">
        <w:rPr>
          <w:noProof/>
          <w:szCs w:val="20"/>
        </w:rPr>
        <w:t>1</w:t>
      </w:r>
      <w:r w:rsidRPr="00A52774">
        <w:rPr>
          <w:szCs w:val="20"/>
        </w:rPr>
        <w:t xml:space="preserve"> </w:t>
      </w:r>
      <w:r w:rsidRPr="00A52774">
        <w:rPr>
          <w:szCs w:val="20"/>
        </w:rPr>
        <w:tab/>
        <w:t xml:space="preserve">Outline of stepped economic evaluation </w:t>
      </w:r>
    </w:p>
    <w:tbl>
      <w:tblPr>
        <w:tblStyle w:val="TableGrid"/>
        <w:tblW w:w="0" w:type="auto"/>
        <w:tblCellMar>
          <w:left w:w="28" w:type="dxa"/>
          <w:right w:w="28" w:type="dxa"/>
        </w:tblCellMar>
        <w:tblLook w:val="04A0" w:firstRow="1" w:lastRow="0" w:firstColumn="1" w:lastColumn="0" w:noHBand="0" w:noVBand="1"/>
      </w:tblPr>
      <w:tblGrid>
        <w:gridCol w:w="2972"/>
        <w:gridCol w:w="851"/>
        <w:gridCol w:w="1842"/>
        <w:gridCol w:w="3351"/>
      </w:tblGrid>
      <w:tr w:rsidR="00BA721B" w:rsidRPr="00A52774" w:rsidTr="009264C5">
        <w:tc>
          <w:tcPr>
            <w:tcW w:w="2972" w:type="dxa"/>
            <w:vAlign w:val="center"/>
          </w:tcPr>
          <w:p w:rsidR="00BA721B" w:rsidRPr="00A52774" w:rsidRDefault="00BA721B" w:rsidP="009264C5">
            <w:pPr>
              <w:keepNext/>
              <w:spacing w:before="40" w:after="40"/>
              <w:rPr>
                <w:rFonts w:ascii="Arial Narrow" w:hAnsi="Arial Narrow"/>
                <w:b/>
                <w:sz w:val="20"/>
                <w:szCs w:val="20"/>
              </w:rPr>
            </w:pPr>
            <w:r w:rsidRPr="00A52774">
              <w:rPr>
                <w:rFonts w:ascii="Arial Narrow" w:hAnsi="Arial Narrow"/>
                <w:b/>
                <w:sz w:val="20"/>
                <w:szCs w:val="20"/>
              </w:rPr>
              <w:t>Step</w:t>
            </w:r>
          </w:p>
        </w:tc>
        <w:tc>
          <w:tcPr>
            <w:tcW w:w="851" w:type="dxa"/>
            <w:vAlign w:val="center"/>
          </w:tcPr>
          <w:p w:rsidR="00BA721B" w:rsidRPr="00A52774" w:rsidRDefault="00BA721B" w:rsidP="009264C5">
            <w:pPr>
              <w:keepNext/>
              <w:spacing w:before="40" w:after="40"/>
              <w:jc w:val="center"/>
              <w:rPr>
                <w:rFonts w:ascii="Arial Narrow" w:hAnsi="Arial Narrow"/>
                <w:b/>
                <w:sz w:val="20"/>
                <w:szCs w:val="20"/>
              </w:rPr>
            </w:pPr>
            <w:r w:rsidRPr="00A52774">
              <w:rPr>
                <w:rFonts w:ascii="Arial Narrow" w:hAnsi="Arial Narrow"/>
                <w:b/>
                <w:sz w:val="20"/>
                <w:szCs w:val="20"/>
              </w:rPr>
              <w:t>Time horizon</w:t>
            </w:r>
          </w:p>
        </w:tc>
        <w:tc>
          <w:tcPr>
            <w:tcW w:w="1842" w:type="dxa"/>
            <w:vAlign w:val="center"/>
          </w:tcPr>
          <w:p w:rsidR="00BA721B" w:rsidRPr="00A52774" w:rsidRDefault="00BA721B" w:rsidP="009264C5">
            <w:pPr>
              <w:keepNext/>
              <w:spacing w:before="40" w:after="40"/>
              <w:jc w:val="center"/>
              <w:rPr>
                <w:rFonts w:ascii="Arial Narrow" w:hAnsi="Arial Narrow"/>
                <w:b/>
                <w:sz w:val="20"/>
                <w:szCs w:val="20"/>
              </w:rPr>
            </w:pPr>
            <w:r w:rsidRPr="00A52774">
              <w:rPr>
                <w:rFonts w:ascii="Arial Narrow" w:hAnsi="Arial Narrow"/>
                <w:b/>
                <w:sz w:val="20"/>
                <w:szCs w:val="20"/>
              </w:rPr>
              <w:t>Outcome</w:t>
            </w:r>
          </w:p>
        </w:tc>
        <w:tc>
          <w:tcPr>
            <w:tcW w:w="3351" w:type="dxa"/>
            <w:vAlign w:val="center"/>
          </w:tcPr>
          <w:p w:rsidR="00BA721B" w:rsidRPr="00A52774" w:rsidRDefault="00BA721B" w:rsidP="009264C5">
            <w:pPr>
              <w:keepNext/>
              <w:spacing w:before="40" w:after="40"/>
              <w:jc w:val="center"/>
              <w:rPr>
                <w:rFonts w:ascii="Arial Narrow" w:hAnsi="Arial Narrow"/>
                <w:b/>
                <w:sz w:val="20"/>
                <w:szCs w:val="20"/>
              </w:rPr>
            </w:pPr>
            <w:r w:rsidRPr="00A52774">
              <w:rPr>
                <w:rFonts w:ascii="Arial Narrow" w:hAnsi="Arial Narrow"/>
                <w:b/>
                <w:sz w:val="20"/>
                <w:szCs w:val="20"/>
              </w:rPr>
              <w:t xml:space="preserve">Differences in model inputs between baseline PASI ≥12 to ≤15 and PASI &gt;15 </w:t>
            </w:r>
          </w:p>
        </w:tc>
      </w:tr>
      <w:tr w:rsidR="00BA721B" w:rsidRPr="00A52774" w:rsidTr="009264C5">
        <w:tc>
          <w:tcPr>
            <w:tcW w:w="2972" w:type="dxa"/>
            <w:vAlign w:val="center"/>
          </w:tcPr>
          <w:p w:rsidR="00BA721B" w:rsidRPr="00A52774" w:rsidRDefault="00BA721B" w:rsidP="009264C5">
            <w:pPr>
              <w:keepNext/>
              <w:spacing w:before="40" w:after="40"/>
              <w:rPr>
                <w:rFonts w:ascii="Arial Narrow" w:hAnsi="Arial Narrow"/>
                <w:sz w:val="20"/>
                <w:szCs w:val="20"/>
              </w:rPr>
            </w:pPr>
            <w:r w:rsidRPr="00A52774">
              <w:rPr>
                <w:rFonts w:ascii="Arial Narrow" w:hAnsi="Arial Narrow"/>
                <w:sz w:val="20"/>
                <w:szCs w:val="20"/>
              </w:rPr>
              <w:t>Step 1 Trial based</w:t>
            </w:r>
          </w:p>
        </w:tc>
        <w:tc>
          <w:tcPr>
            <w:tcW w:w="851"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12 weeks</w:t>
            </w:r>
          </w:p>
        </w:tc>
        <w:tc>
          <w:tcPr>
            <w:tcW w:w="1842"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PASI 75 responder</w:t>
            </w:r>
          </w:p>
        </w:tc>
        <w:tc>
          <w:tcPr>
            <w:tcW w:w="3351"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No difference</w:t>
            </w:r>
          </w:p>
        </w:tc>
      </w:tr>
      <w:tr w:rsidR="00BA721B" w:rsidRPr="00A52774" w:rsidTr="009264C5">
        <w:tc>
          <w:tcPr>
            <w:tcW w:w="2972" w:type="dxa"/>
            <w:vAlign w:val="center"/>
          </w:tcPr>
          <w:p w:rsidR="00BA721B" w:rsidRPr="00A52774" w:rsidRDefault="00BA721B" w:rsidP="009264C5">
            <w:pPr>
              <w:keepNext/>
              <w:spacing w:before="40" w:after="40"/>
              <w:rPr>
                <w:rFonts w:ascii="Arial Narrow" w:hAnsi="Arial Narrow"/>
                <w:sz w:val="20"/>
                <w:szCs w:val="20"/>
              </w:rPr>
            </w:pPr>
            <w:r w:rsidRPr="00A52774">
              <w:rPr>
                <w:rFonts w:ascii="Arial Narrow" w:hAnsi="Arial Narrow"/>
                <w:sz w:val="20"/>
                <w:szCs w:val="20"/>
              </w:rPr>
              <w:t>Step 2 Extrapolate to 5 years</w:t>
            </w:r>
          </w:p>
        </w:tc>
        <w:tc>
          <w:tcPr>
            <w:tcW w:w="851"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5 years</w:t>
            </w:r>
          </w:p>
        </w:tc>
        <w:tc>
          <w:tcPr>
            <w:tcW w:w="1842"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PASI 75 responder/year</w:t>
            </w:r>
          </w:p>
        </w:tc>
        <w:tc>
          <w:tcPr>
            <w:tcW w:w="3351"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No difference</w:t>
            </w:r>
          </w:p>
        </w:tc>
      </w:tr>
      <w:tr w:rsidR="00BA721B" w:rsidRPr="00A52774" w:rsidTr="009264C5">
        <w:tc>
          <w:tcPr>
            <w:tcW w:w="2972" w:type="dxa"/>
            <w:vAlign w:val="center"/>
          </w:tcPr>
          <w:p w:rsidR="00BA721B" w:rsidRPr="00A52774" w:rsidRDefault="00BA721B" w:rsidP="009264C5">
            <w:pPr>
              <w:keepNext/>
              <w:spacing w:before="40" w:after="40"/>
              <w:rPr>
                <w:rFonts w:ascii="Arial Narrow" w:hAnsi="Arial Narrow"/>
                <w:sz w:val="20"/>
                <w:szCs w:val="20"/>
              </w:rPr>
            </w:pPr>
            <w:r w:rsidRPr="00A52774">
              <w:rPr>
                <w:rFonts w:ascii="Arial Narrow" w:hAnsi="Arial Narrow"/>
                <w:sz w:val="20"/>
                <w:szCs w:val="20"/>
              </w:rPr>
              <w:t>Step 3 Convert to QALY</w:t>
            </w:r>
          </w:p>
        </w:tc>
        <w:tc>
          <w:tcPr>
            <w:tcW w:w="851"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5 years</w:t>
            </w:r>
          </w:p>
        </w:tc>
        <w:tc>
          <w:tcPr>
            <w:tcW w:w="1842"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QALY</w:t>
            </w:r>
          </w:p>
        </w:tc>
        <w:tc>
          <w:tcPr>
            <w:tcW w:w="3351"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No difference</w:t>
            </w:r>
          </w:p>
        </w:tc>
      </w:tr>
      <w:tr w:rsidR="00BA721B" w:rsidRPr="00A52774" w:rsidTr="009264C5">
        <w:tc>
          <w:tcPr>
            <w:tcW w:w="2972" w:type="dxa"/>
            <w:vAlign w:val="center"/>
          </w:tcPr>
          <w:p w:rsidR="00BA721B" w:rsidRPr="00A52774" w:rsidRDefault="00BA721B" w:rsidP="009264C5">
            <w:pPr>
              <w:keepNext/>
              <w:spacing w:before="40" w:after="40"/>
              <w:rPr>
                <w:rFonts w:ascii="Arial Narrow" w:hAnsi="Arial Narrow"/>
                <w:sz w:val="20"/>
                <w:szCs w:val="20"/>
              </w:rPr>
            </w:pPr>
            <w:r w:rsidRPr="00A52774">
              <w:rPr>
                <w:rFonts w:ascii="Arial Narrow" w:hAnsi="Arial Narrow"/>
                <w:sz w:val="20"/>
                <w:szCs w:val="20"/>
              </w:rPr>
              <w:t>Step 4 Include hospitalisation costs for no treatment/non-responder</w:t>
            </w:r>
          </w:p>
        </w:tc>
        <w:tc>
          <w:tcPr>
            <w:tcW w:w="851"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5 years</w:t>
            </w:r>
          </w:p>
        </w:tc>
        <w:tc>
          <w:tcPr>
            <w:tcW w:w="1842"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QALY</w:t>
            </w:r>
          </w:p>
        </w:tc>
        <w:tc>
          <w:tcPr>
            <w:tcW w:w="3351" w:type="dxa"/>
            <w:vAlign w:val="center"/>
          </w:tcPr>
          <w:p w:rsidR="00BA721B" w:rsidRPr="00A52774" w:rsidRDefault="00BA721B" w:rsidP="009264C5">
            <w:pPr>
              <w:keepNext/>
              <w:spacing w:before="40" w:after="40"/>
              <w:jc w:val="center"/>
              <w:rPr>
                <w:rFonts w:ascii="Arial Narrow" w:hAnsi="Arial Narrow"/>
                <w:b/>
                <w:sz w:val="20"/>
                <w:szCs w:val="20"/>
                <w:u w:val="single"/>
              </w:rPr>
            </w:pPr>
            <w:r w:rsidRPr="00A52774">
              <w:rPr>
                <w:rFonts w:ascii="Arial Narrow" w:hAnsi="Arial Narrow"/>
                <w:b/>
                <w:sz w:val="20"/>
                <w:szCs w:val="20"/>
                <w:u w:val="single"/>
              </w:rPr>
              <w:t>Existing ICER</w:t>
            </w:r>
          </w:p>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No difference</w:t>
            </w:r>
          </w:p>
        </w:tc>
      </w:tr>
      <w:tr w:rsidR="00BA721B" w:rsidRPr="00A52774" w:rsidTr="009264C5">
        <w:tc>
          <w:tcPr>
            <w:tcW w:w="2972" w:type="dxa"/>
            <w:vAlign w:val="center"/>
          </w:tcPr>
          <w:p w:rsidR="00BA721B" w:rsidRPr="00A52774" w:rsidRDefault="00BA721B" w:rsidP="009264C5">
            <w:pPr>
              <w:keepNext/>
              <w:spacing w:before="40" w:after="40"/>
              <w:rPr>
                <w:rFonts w:ascii="Arial Narrow" w:hAnsi="Arial Narrow"/>
                <w:sz w:val="20"/>
                <w:szCs w:val="20"/>
              </w:rPr>
            </w:pPr>
            <w:r w:rsidRPr="00A52774">
              <w:rPr>
                <w:rFonts w:ascii="Arial Narrow" w:hAnsi="Arial Narrow"/>
                <w:sz w:val="20"/>
                <w:szCs w:val="20"/>
              </w:rPr>
              <w:t>Step 5 Assume different baseline utility</w:t>
            </w:r>
          </w:p>
        </w:tc>
        <w:tc>
          <w:tcPr>
            <w:tcW w:w="851"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5 years</w:t>
            </w:r>
          </w:p>
        </w:tc>
        <w:tc>
          <w:tcPr>
            <w:tcW w:w="1842"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QALY</w:t>
            </w:r>
          </w:p>
        </w:tc>
        <w:tc>
          <w:tcPr>
            <w:tcW w:w="3351"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Higher non-responder utility</w:t>
            </w:r>
          </w:p>
        </w:tc>
      </w:tr>
      <w:tr w:rsidR="00BA721B" w:rsidRPr="00A52774" w:rsidTr="009264C5">
        <w:tc>
          <w:tcPr>
            <w:tcW w:w="2972" w:type="dxa"/>
            <w:vAlign w:val="center"/>
          </w:tcPr>
          <w:p w:rsidR="00BA721B" w:rsidRPr="00A52774" w:rsidRDefault="00BA721B" w:rsidP="009264C5">
            <w:pPr>
              <w:keepNext/>
              <w:spacing w:before="40" w:after="40"/>
              <w:rPr>
                <w:rFonts w:ascii="Arial Narrow" w:hAnsi="Arial Narrow"/>
                <w:sz w:val="20"/>
                <w:szCs w:val="20"/>
              </w:rPr>
            </w:pPr>
            <w:r w:rsidRPr="00A52774">
              <w:rPr>
                <w:rFonts w:ascii="Arial Narrow" w:hAnsi="Arial Narrow"/>
                <w:sz w:val="20"/>
                <w:szCs w:val="20"/>
              </w:rPr>
              <w:t>Step 6 Assume lower hospitalisation costs for no treatment/non-responder</w:t>
            </w:r>
          </w:p>
        </w:tc>
        <w:tc>
          <w:tcPr>
            <w:tcW w:w="851"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5 years</w:t>
            </w:r>
          </w:p>
        </w:tc>
        <w:tc>
          <w:tcPr>
            <w:tcW w:w="1842" w:type="dxa"/>
            <w:vAlign w:val="center"/>
          </w:tcPr>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QALY</w:t>
            </w:r>
          </w:p>
        </w:tc>
        <w:tc>
          <w:tcPr>
            <w:tcW w:w="3351" w:type="dxa"/>
            <w:vAlign w:val="center"/>
          </w:tcPr>
          <w:p w:rsidR="00BA721B" w:rsidRPr="00A52774" w:rsidRDefault="00BA721B" w:rsidP="009264C5">
            <w:pPr>
              <w:keepNext/>
              <w:spacing w:before="40" w:after="40"/>
              <w:jc w:val="center"/>
              <w:rPr>
                <w:rFonts w:ascii="Arial Narrow" w:hAnsi="Arial Narrow"/>
                <w:b/>
                <w:sz w:val="20"/>
                <w:szCs w:val="20"/>
                <w:u w:val="single"/>
              </w:rPr>
            </w:pPr>
            <w:r w:rsidRPr="00A52774">
              <w:rPr>
                <w:rFonts w:ascii="Arial Narrow" w:hAnsi="Arial Narrow"/>
                <w:b/>
                <w:sz w:val="20"/>
                <w:szCs w:val="20"/>
                <w:u w:val="single"/>
              </w:rPr>
              <w:t>Base case ICER</w:t>
            </w:r>
          </w:p>
          <w:p w:rsidR="00BA721B" w:rsidRPr="00A52774" w:rsidRDefault="00BA721B" w:rsidP="009264C5">
            <w:pPr>
              <w:keepNext/>
              <w:spacing w:before="40" w:after="40"/>
              <w:jc w:val="center"/>
              <w:rPr>
                <w:rFonts w:ascii="Arial Narrow" w:hAnsi="Arial Narrow"/>
                <w:sz w:val="20"/>
                <w:szCs w:val="20"/>
              </w:rPr>
            </w:pPr>
            <w:r w:rsidRPr="00A52774">
              <w:rPr>
                <w:rFonts w:ascii="Arial Narrow" w:hAnsi="Arial Narrow"/>
                <w:sz w:val="20"/>
                <w:szCs w:val="20"/>
              </w:rPr>
              <w:t>Higher non-responder utility, lower no treatment/non-responder health state costs</w:t>
            </w:r>
          </w:p>
        </w:tc>
      </w:tr>
    </w:tbl>
    <w:p w:rsidR="00BA721B" w:rsidRPr="00A52774" w:rsidRDefault="00BA721B" w:rsidP="00BA721B">
      <w:pPr>
        <w:pStyle w:val="TableFigureFooter"/>
        <w:keepNext/>
        <w:widowControl w:val="0"/>
        <w:rPr>
          <w:sz w:val="20"/>
          <w:szCs w:val="20"/>
        </w:rPr>
      </w:pPr>
      <w:r w:rsidRPr="00A52774">
        <w:rPr>
          <w:sz w:val="20"/>
          <w:szCs w:val="20"/>
        </w:rPr>
        <w:t>PASI = Psoriasis A</w:t>
      </w:r>
      <w:r w:rsidR="007E56BD">
        <w:rPr>
          <w:sz w:val="20"/>
          <w:szCs w:val="20"/>
        </w:rPr>
        <w:t>rea</w:t>
      </w:r>
      <w:r w:rsidRPr="00A52774">
        <w:rPr>
          <w:sz w:val="20"/>
          <w:szCs w:val="20"/>
        </w:rPr>
        <w:t xml:space="preserve"> and Severity Index; PASI 75 = 75% improvement on baseline PASI; QALY = quality adjusted life year</w:t>
      </w:r>
      <w:r w:rsidRPr="00A52774" w:rsidDel="0086747F">
        <w:rPr>
          <w:sz w:val="20"/>
          <w:szCs w:val="20"/>
        </w:rPr>
        <w:t xml:space="preserve"> </w:t>
      </w:r>
    </w:p>
    <w:p w:rsidR="00BA721B" w:rsidRPr="00A52774" w:rsidRDefault="00BA721B" w:rsidP="00BA721B">
      <w:pPr>
        <w:pStyle w:val="TableFigureFooter"/>
        <w:keepNext/>
        <w:widowControl w:val="0"/>
        <w:rPr>
          <w:sz w:val="20"/>
          <w:szCs w:val="20"/>
        </w:rPr>
      </w:pPr>
      <w:r w:rsidRPr="00A52774">
        <w:rPr>
          <w:sz w:val="20"/>
          <w:szCs w:val="20"/>
        </w:rPr>
        <w:t>Source: compiled durin</w:t>
      </w:r>
      <w:r w:rsidR="00853728">
        <w:rPr>
          <w:sz w:val="20"/>
          <w:szCs w:val="20"/>
        </w:rPr>
        <w:t>g the evaluation</w:t>
      </w:r>
    </w:p>
    <w:p w:rsidR="00BA721B" w:rsidRPr="00A52774" w:rsidRDefault="00BA721B" w:rsidP="00BA721B">
      <w:pPr>
        <w:pStyle w:val="TableFigureFooter"/>
        <w:keepNext/>
        <w:widowControl w:val="0"/>
        <w:rPr>
          <w:sz w:val="20"/>
          <w:szCs w:val="20"/>
        </w:rPr>
      </w:pPr>
    </w:p>
    <w:p w:rsidR="00BA721B" w:rsidRPr="00A52774" w:rsidRDefault="00BA721B" w:rsidP="00BA721B">
      <w:pPr>
        <w:pStyle w:val="3Bodytext"/>
      </w:pPr>
      <w:r w:rsidRPr="00A52774">
        <w:t>Consistent with the previous (re)submissions considered by the PBAC</w:t>
      </w:r>
      <w:r w:rsidR="00043F98">
        <w:t xml:space="preserve"> for severe </w:t>
      </w:r>
      <w:r w:rsidR="003D5104">
        <w:t>CPP</w:t>
      </w:r>
      <w:r w:rsidRPr="00A52774">
        <w:t>, a Mark</w:t>
      </w:r>
      <w:r w:rsidR="008609E8" w:rsidRPr="00A52774">
        <w:t>ov model was presented. In the B</w:t>
      </w:r>
      <w:r w:rsidRPr="00A52774">
        <w:t xml:space="preserve">ase case, only one line of therapy was considered for both the intervention and comparator (i.e. secukinumab versus placebo).  However, the model </w:t>
      </w:r>
      <w:r w:rsidR="00043F98">
        <w:t>was</w:t>
      </w:r>
      <w:r w:rsidRPr="00A52774">
        <w:t xml:space="preserve"> structured to allow up to three consecutive lines of therapy for both the intervention and the c</w:t>
      </w:r>
      <w:r w:rsidR="002869D9" w:rsidRPr="00A52774">
        <w:t>omparator, and this was tested in sensitivity analyses</w:t>
      </w:r>
      <w:r w:rsidRPr="00A52774">
        <w:t xml:space="preserve">.  The efficacy of the second and third-line </w:t>
      </w:r>
      <w:r w:rsidR="002869D9" w:rsidRPr="00A52774">
        <w:t xml:space="preserve">therapies were assumed to be the same </w:t>
      </w:r>
      <w:r w:rsidRPr="00A52774">
        <w:t xml:space="preserve">as </w:t>
      </w:r>
      <w:r w:rsidR="007E56BD">
        <w:t>the biologic</w:t>
      </w:r>
      <w:r w:rsidRPr="00A52774">
        <w:t xml:space="preserve"> used as first-line therapy.</w:t>
      </w:r>
    </w:p>
    <w:p w:rsidR="00BA721B" w:rsidRPr="00A52774" w:rsidRDefault="00BC07DC" w:rsidP="00BA721B">
      <w:pPr>
        <w:pStyle w:val="3Bodytext"/>
      </w:pPr>
      <w:r>
        <w:t xml:space="preserve">Patients were </w:t>
      </w:r>
      <w:r w:rsidR="00BA721B" w:rsidRPr="00A52774">
        <w:t xml:space="preserve">initially assumed to be non-responders </w:t>
      </w:r>
      <w:r>
        <w:t>to first-</w:t>
      </w:r>
      <w:r w:rsidR="00A82CE1" w:rsidRPr="00A52774">
        <w:t xml:space="preserve">line therapies </w:t>
      </w:r>
      <w:r w:rsidR="00BA721B" w:rsidRPr="00A52774">
        <w:t>and were randomised to receive either secukinumab or placebo.  At the end of the initiation period</w:t>
      </w:r>
      <w:r w:rsidR="00A73243">
        <w:t xml:space="preserve"> </w:t>
      </w:r>
      <w:r w:rsidR="00BA721B" w:rsidRPr="00A52774">
        <w:t>(16 weeks), a proportion of patients are considered to achieve a 75% improvement in baseline PASI (PASI 75 responders) which was informed by the results of the pivotal clinical trials using whole trial population</w:t>
      </w:r>
      <w:r w:rsidR="00AF7A06">
        <w:t xml:space="preserve"> data</w:t>
      </w:r>
      <w:r w:rsidR="00BA721B" w:rsidRPr="00A52774">
        <w:t xml:space="preserve"> </w:t>
      </w:r>
      <w:r w:rsidR="008609E8" w:rsidRPr="00A52774">
        <w:t>in the B</w:t>
      </w:r>
      <w:r w:rsidR="00BA721B" w:rsidRPr="00A52774">
        <w:t>ase case.</w:t>
      </w:r>
      <w:r w:rsidR="003D5104">
        <w:t xml:space="preserve"> </w:t>
      </w:r>
      <w:r w:rsidR="00BA721B" w:rsidRPr="00A52774">
        <w:t xml:space="preserve">After the initiation period, patients who were considered to be PASI 75 responders could maintain response, or lose response and move into the non-responder state where it was assumed that they would cease treatment, each cycle.  The cycle length can vary, but </w:t>
      </w:r>
      <w:r w:rsidR="008609E8" w:rsidRPr="00A52774">
        <w:t>in the B</w:t>
      </w:r>
      <w:r w:rsidR="00BA721B" w:rsidRPr="00A52774">
        <w:t xml:space="preserve">ase case it was assumed to be equal to the </w:t>
      </w:r>
      <w:r w:rsidR="000F38E1" w:rsidRPr="00A52774">
        <w:t>maintenance-dosing</w:t>
      </w:r>
      <w:r w:rsidR="00BA721B" w:rsidRPr="00A52774">
        <w:t xml:space="preserve"> interval of secukinumab (4 weeks).  Maintenance of response was informed by the proportion of patients remaining on PBS-listed treatment</w:t>
      </w:r>
      <w:r w:rsidR="006D2E12">
        <w:t xml:space="preserve"> based on PBS utilisation data</w:t>
      </w:r>
      <w:r w:rsidR="00BA721B" w:rsidRPr="00A52774">
        <w:t>.  The non-responder/no treatment state was considered an absorbing state, and patients were assumed to never achieve a PASI 75 response again for the remainder of the model.</w:t>
      </w:r>
    </w:p>
    <w:p w:rsidR="00BA721B" w:rsidRPr="00A52774" w:rsidRDefault="00BA721B" w:rsidP="00C1666E">
      <w:pPr>
        <w:pStyle w:val="3Bodytext"/>
      </w:pPr>
      <w:r w:rsidRPr="00A52774">
        <w:t>Costs and effects were discounted at an annual rate of 5%, and were accrued at the beginning of each cycle with no half-cycle correction applied</w:t>
      </w:r>
      <w:r w:rsidR="008609E8" w:rsidRPr="00A52774">
        <w:t>. The utilities applied in the</w:t>
      </w:r>
      <w:r w:rsidRPr="00A52774">
        <w:t xml:space="preserve"> model</w:t>
      </w:r>
      <w:r w:rsidR="00A82CE1" w:rsidRPr="00A52774">
        <w:t xml:space="preserve"> (</w:t>
      </w:r>
      <w:r w:rsidR="00420D74">
        <w:t>to inform both the</w:t>
      </w:r>
      <w:r w:rsidR="00A82CE1" w:rsidRPr="00A52774">
        <w:t xml:space="preserve"> Base case</w:t>
      </w:r>
      <w:r w:rsidR="00420D74">
        <w:t xml:space="preserve"> and Existing ICER</w:t>
      </w:r>
      <w:r w:rsidR="00A73243">
        <w:t>s</w:t>
      </w:r>
      <w:r w:rsidR="00A82CE1" w:rsidRPr="00A52774">
        <w:t>)</w:t>
      </w:r>
      <w:r w:rsidRPr="00A52774">
        <w:t xml:space="preserve"> </w:t>
      </w:r>
      <w:r w:rsidR="00420D74">
        <w:t>were</w:t>
      </w:r>
      <w:r w:rsidRPr="00A52774">
        <w:t xml:space="preserve"> taken from a patient preference study of 87 participants with psoriasis (Zug et. al. 1995) and are summarised in </w:t>
      </w:r>
      <w:r w:rsidRPr="00A52774">
        <w:rPr>
          <w:b/>
        </w:rPr>
        <w:t>Table 2</w:t>
      </w:r>
      <w:r w:rsidRPr="00A52774">
        <w:t>.</w:t>
      </w:r>
      <w:r w:rsidR="00A0143D" w:rsidRPr="00A52774">
        <w:t xml:space="preserve"> A literature review was conducted to identify alternative utility </w:t>
      </w:r>
      <w:r w:rsidR="00A0143D" w:rsidRPr="00A52774">
        <w:lastRenderedPageBreak/>
        <w:t>sources and the utility values from Geale et. al. (2017)</w:t>
      </w:r>
      <w:r w:rsidR="00C1666E" w:rsidRPr="00A52774">
        <w:t>,</w:t>
      </w:r>
      <w:r w:rsidR="00A0143D" w:rsidRPr="00A52774">
        <w:rPr>
          <w:rStyle w:val="FootnoteReference"/>
        </w:rPr>
        <w:footnoteReference w:id="2"/>
      </w:r>
      <w:r w:rsidR="00C1666E" w:rsidRPr="00A52774">
        <w:t xml:space="preserve"> a study of 2</w:t>
      </w:r>
      <w:r w:rsidR="00A82CE1" w:rsidRPr="00A52774">
        <w:t>,</w:t>
      </w:r>
      <w:r w:rsidR="00C1666E" w:rsidRPr="00A52774">
        <w:t>674 patients on the Swedish psoriasis register,</w:t>
      </w:r>
      <w:r w:rsidR="00A0143D" w:rsidRPr="00A52774">
        <w:t xml:space="preserve"> were</w:t>
      </w:r>
      <w:r w:rsidR="009103A9">
        <w:t xml:space="preserve"> </w:t>
      </w:r>
      <w:r w:rsidR="00A0143D" w:rsidRPr="00A52774">
        <w:t>tested in sensitivity analyses.</w:t>
      </w:r>
      <w:r w:rsidR="006F4391" w:rsidRPr="00A52774">
        <w:t xml:space="preserve"> In addition</w:t>
      </w:r>
      <w:r w:rsidR="00C034CE" w:rsidRPr="00A52774">
        <w:t>,</w:t>
      </w:r>
      <w:r w:rsidR="006F4391" w:rsidRPr="00A52774">
        <w:t xml:space="preserve"> alternative utilities were provided by </w:t>
      </w:r>
      <w:r w:rsidR="00C034CE" w:rsidRPr="00A52774">
        <w:t>a Sponsor</w:t>
      </w:r>
      <w:r w:rsidR="00410343">
        <w:t xml:space="preserve"> in their </w:t>
      </w:r>
      <w:r w:rsidR="009A3DC9">
        <w:t>PSCR</w:t>
      </w:r>
      <w:r w:rsidR="006F4391" w:rsidRPr="00A52774">
        <w:t xml:space="preserve"> and pre-PBAC responses.</w:t>
      </w:r>
    </w:p>
    <w:p w:rsidR="005B3AA5" w:rsidRPr="00A52774" w:rsidRDefault="005B3AA5" w:rsidP="00AC6D95">
      <w:pPr>
        <w:pStyle w:val="3Bodytext"/>
        <w:numPr>
          <w:ilvl w:val="0"/>
          <w:numId w:val="0"/>
        </w:numPr>
        <w:rPr>
          <w:rFonts w:ascii="Arial Narrow" w:hAnsi="Arial Narrow"/>
          <w:b/>
          <w:sz w:val="20"/>
          <w:szCs w:val="20"/>
        </w:rPr>
      </w:pPr>
      <w:r w:rsidRPr="00A52774">
        <w:rPr>
          <w:rFonts w:ascii="Arial Narrow" w:hAnsi="Arial Narrow"/>
          <w:b/>
          <w:sz w:val="20"/>
          <w:szCs w:val="20"/>
        </w:rPr>
        <w:t>Table 2</w:t>
      </w:r>
      <w:r w:rsidRPr="00A52774">
        <w:rPr>
          <w:rFonts w:ascii="Arial Narrow" w:hAnsi="Arial Narrow"/>
          <w:b/>
          <w:sz w:val="20"/>
          <w:szCs w:val="20"/>
        </w:rPr>
        <w:tab/>
        <w:t xml:space="preserve"> Utilities applied i</w:t>
      </w:r>
      <w:r w:rsidR="008609E8" w:rsidRPr="00A52774">
        <w:rPr>
          <w:rFonts w:ascii="Arial Narrow" w:hAnsi="Arial Narrow"/>
          <w:b/>
          <w:sz w:val="20"/>
          <w:szCs w:val="20"/>
        </w:rPr>
        <w:t>n the economic model</w:t>
      </w:r>
    </w:p>
    <w:tbl>
      <w:tblPr>
        <w:tblStyle w:val="TableGrid"/>
        <w:tblW w:w="8080" w:type="dxa"/>
        <w:tblInd w:w="-5" w:type="dxa"/>
        <w:tblCellMar>
          <w:left w:w="0" w:type="dxa"/>
          <w:right w:w="0" w:type="dxa"/>
        </w:tblCellMar>
        <w:tblLook w:val="04A0" w:firstRow="1" w:lastRow="0" w:firstColumn="1" w:lastColumn="0" w:noHBand="0" w:noVBand="1"/>
      </w:tblPr>
      <w:tblGrid>
        <w:gridCol w:w="3258"/>
        <w:gridCol w:w="2553"/>
        <w:gridCol w:w="2269"/>
      </w:tblGrid>
      <w:tr w:rsidR="005B3AA5" w:rsidRPr="00A52774" w:rsidTr="00AC6D95">
        <w:tc>
          <w:tcPr>
            <w:tcW w:w="3258" w:type="dxa"/>
            <w:vAlign w:val="center"/>
          </w:tcPr>
          <w:p w:rsidR="005B3AA5" w:rsidRPr="00A52774" w:rsidRDefault="005B3AA5" w:rsidP="00AC6D95">
            <w:pPr>
              <w:pStyle w:val="3Bodytext"/>
              <w:numPr>
                <w:ilvl w:val="0"/>
                <w:numId w:val="0"/>
              </w:numPr>
              <w:rPr>
                <w:rFonts w:ascii="Arial Narrow" w:hAnsi="Arial Narrow"/>
                <w:b/>
                <w:sz w:val="20"/>
                <w:szCs w:val="20"/>
              </w:rPr>
            </w:pPr>
            <w:r w:rsidRPr="00A52774">
              <w:rPr>
                <w:rFonts w:ascii="Arial Narrow" w:hAnsi="Arial Narrow"/>
                <w:b/>
                <w:sz w:val="20"/>
                <w:szCs w:val="20"/>
              </w:rPr>
              <w:t>Health state</w:t>
            </w:r>
          </w:p>
        </w:tc>
        <w:tc>
          <w:tcPr>
            <w:tcW w:w="2553" w:type="dxa"/>
            <w:vAlign w:val="center"/>
          </w:tcPr>
          <w:p w:rsidR="005B3AA5" w:rsidRPr="00A52774" w:rsidRDefault="005B3AA5" w:rsidP="009264C5">
            <w:pPr>
              <w:pStyle w:val="3Bodytext"/>
              <w:numPr>
                <w:ilvl w:val="0"/>
                <w:numId w:val="0"/>
              </w:numPr>
              <w:jc w:val="center"/>
              <w:rPr>
                <w:rFonts w:ascii="Arial Narrow" w:hAnsi="Arial Narrow"/>
                <w:b/>
                <w:sz w:val="20"/>
                <w:szCs w:val="20"/>
              </w:rPr>
            </w:pPr>
            <w:r w:rsidRPr="00A52774">
              <w:rPr>
                <w:rFonts w:ascii="Arial Narrow" w:hAnsi="Arial Narrow"/>
                <w:b/>
                <w:sz w:val="20"/>
                <w:szCs w:val="20"/>
              </w:rPr>
              <w:t>PASI &gt;15</w:t>
            </w:r>
          </w:p>
        </w:tc>
        <w:tc>
          <w:tcPr>
            <w:tcW w:w="2269" w:type="dxa"/>
            <w:vAlign w:val="center"/>
          </w:tcPr>
          <w:p w:rsidR="005B3AA5" w:rsidRPr="00A52774" w:rsidRDefault="005B3AA5" w:rsidP="009264C5">
            <w:pPr>
              <w:pStyle w:val="3Bodytext"/>
              <w:numPr>
                <w:ilvl w:val="0"/>
                <w:numId w:val="0"/>
              </w:numPr>
              <w:jc w:val="center"/>
              <w:rPr>
                <w:rFonts w:ascii="Arial Narrow" w:hAnsi="Arial Narrow"/>
                <w:b/>
                <w:sz w:val="20"/>
                <w:szCs w:val="20"/>
              </w:rPr>
            </w:pPr>
            <w:r w:rsidRPr="00A52774">
              <w:rPr>
                <w:rFonts w:ascii="Arial Narrow" w:hAnsi="Arial Narrow"/>
                <w:b/>
                <w:sz w:val="20"/>
                <w:szCs w:val="20"/>
              </w:rPr>
              <w:t>PASI ≥12 to ≤15</w:t>
            </w:r>
          </w:p>
        </w:tc>
      </w:tr>
      <w:tr w:rsidR="005B3AA5" w:rsidRPr="00A52774" w:rsidTr="00AC6D95">
        <w:trPr>
          <w:trHeight w:val="498"/>
        </w:trPr>
        <w:tc>
          <w:tcPr>
            <w:tcW w:w="3258" w:type="dxa"/>
          </w:tcPr>
          <w:p w:rsidR="005B3AA5" w:rsidRPr="00A52774" w:rsidRDefault="005B3AA5" w:rsidP="009264C5">
            <w:pPr>
              <w:pStyle w:val="3Bodytext"/>
              <w:numPr>
                <w:ilvl w:val="0"/>
                <w:numId w:val="0"/>
              </w:numPr>
              <w:jc w:val="left"/>
              <w:rPr>
                <w:rFonts w:ascii="Arial Narrow" w:hAnsi="Arial Narrow"/>
                <w:sz w:val="20"/>
                <w:szCs w:val="20"/>
              </w:rPr>
            </w:pPr>
            <w:r w:rsidRPr="00A52774">
              <w:rPr>
                <w:rFonts w:ascii="Arial Narrow" w:hAnsi="Arial Narrow"/>
                <w:sz w:val="20"/>
                <w:szCs w:val="20"/>
              </w:rPr>
              <w:t>PASI 75 responder</w:t>
            </w:r>
          </w:p>
        </w:tc>
        <w:tc>
          <w:tcPr>
            <w:tcW w:w="2553" w:type="dxa"/>
            <w:vAlign w:val="center"/>
          </w:tcPr>
          <w:p w:rsidR="005B3AA5" w:rsidRPr="00A52774" w:rsidRDefault="005B3AA5" w:rsidP="009264C5">
            <w:pPr>
              <w:pStyle w:val="3Bodytext"/>
              <w:numPr>
                <w:ilvl w:val="0"/>
                <w:numId w:val="0"/>
              </w:numPr>
              <w:jc w:val="center"/>
              <w:rPr>
                <w:rFonts w:ascii="Arial Narrow" w:hAnsi="Arial Narrow"/>
                <w:sz w:val="20"/>
                <w:szCs w:val="20"/>
              </w:rPr>
            </w:pPr>
            <w:r w:rsidRPr="00A52774">
              <w:rPr>
                <w:rFonts w:ascii="Arial Narrow" w:hAnsi="Arial Narrow"/>
                <w:sz w:val="20"/>
                <w:szCs w:val="20"/>
              </w:rPr>
              <w:t>0.89</w:t>
            </w:r>
          </w:p>
        </w:tc>
        <w:tc>
          <w:tcPr>
            <w:tcW w:w="2269" w:type="dxa"/>
            <w:vAlign w:val="center"/>
          </w:tcPr>
          <w:p w:rsidR="005B3AA5" w:rsidRPr="00A52774" w:rsidRDefault="005B3AA5" w:rsidP="009264C5">
            <w:pPr>
              <w:pStyle w:val="3Bodytext"/>
              <w:numPr>
                <w:ilvl w:val="0"/>
                <w:numId w:val="0"/>
              </w:numPr>
              <w:jc w:val="center"/>
              <w:rPr>
                <w:rFonts w:ascii="Arial Narrow" w:hAnsi="Arial Narrow"/>
                <w:sz w:val="20"/>
                <w:szCs w:val="20"/>
              </w:rPr>
            </w:pPr>
            <w:r w:rsidRPr="00A52774">
              <w:rPr>
                <w:rFonts w:ascii="Arial Narrow" w:hAnsi="Arial Narrow"/>
                <w:sz w:val="20"/>
                <w:szCs w:val="20"/>
              </w:rPr>
              <w:t>0.89</w:t>
            </w:r>
          </w:p>
        </w:tc>
      </w:tr>
      <w:tr w:rsidR="005B3AA5" w:rsidRPr="00A52774" w:rsidTr="00AC6D95">
        <w:trPr>
          <w:trHeight w:val="495"/>
        </w:trPr>
        <w:tc>
          <w:tcPr>
            <w:tcW w:w="3258" w:type="dxa"/>
          </w:tcPr>
          <w:p w:rsidR="005B3AA5" w:rsidRPr="00A52774" w:rsidRDefault="005B3AA5" w:rsidP="009264C5">
            <w:pPr>
              <w:pStyle w:val="3Bodytext"/>
              <w:numPr>
                <w:ilvl w:val="0"/>
                <w:numId w:val="0"/>
              </w:numPr>
              <w:jc w:val="left"/>
              <w:rPr>
                <w:rFonts w:ascii="Arial Narrow" w:hAnsi="Arial Narrow"/>
                <w:sz w:val="20"/>
                <w:szCs w:val="20"/>
              </w:rPr>
            </w:pPr>
            <w:r w:rsidRPr="00A52774">
              <w:rPr>
                <w:rFonts w:ascii="Arial Narrow" w:hAnsi="Arial Narrow"/>
                <w:sz w:val="20"/>
                <w:szCs w:val="20"/>
              </w:rPr>
              <w:t>PASI 75 non-responder</w:t>
            </w:r>
          </w:p>
        </w:tc>
        <w:tc>
          <w:tcPr>
            <w:tcW w:w="2553" w:type="dxa"/>
            <w:vAlign w:val="center"/>
          </w:tcPr>
          <w:p w:rsidR="005B3AA5" w:rsidRPr="00A52774" w:rsidRDefault="005B3AA5" w:rsidP="009264C5">
            <w:pPr>
              <w:pStyle w:val="3Bodytext"/>
              <w:numPr>
                <w:ilvl w:val="0"/>
                <w:numId w:val="0"/>
              </w:numPr>
              <w:jc w:val="center"/>
              <w:rPr>
                <w:rFonts w:ascii="Arial Narrow" w:hAnsi="Arial Narrow"/>
                <w:sz w:val="20"/>
                <w:szCs w:val="20"/>
              </w:rPr>
            </w:pPr>
            <w:r w:rsidRPr="00A52774">
              <w:rPr>
                <w:rFonts w:ascii="Arial Narrow" w:hAnsi="Arial Narrow"/>
                <w:sz w:val="20"/>
                <w:szCs w:val="20"/>
              </w:rPr>
              <w:t>0.59</w:t>
            </w:r>
          </w:p>
        </w:tc>
        <w:tc>
          <w:tcPr>
            <w:tcW w:w="2269" w:type="dxa"/>
            <w:vAlign w:val="center"/>
          </w:tcPr>
          <w:p w:rsidR="005B3AA5" w:rsidRPr="00A52774" w:rsidRDefault="005B3AA5" w:rsidP="009264C5">
            <w:pPr>
              <w:pStyle w:val="3Bodytext"/>
              <w:numPr>
                <w:ilvl w:val="0"/>
                <w:numId w:val="0"/>
              </w:numPr>
              <w:jc w:val="center"/>
              <w:rPr>
                <w:rFonts w:ascii="Arial Narrow" w:hAnsi="Arial Narrow"/>
                <w:sz w:val="20"/>
                <w:szCs w:val="20"/>
              </w:rPr>
            </w:pPr>
            <w:r w:rsidRPr="00A52774">
              <w:rPr>
                <w:rFonts w:ascii="Arial Narrow" w:hAnsi="Arial Narrow"/>
                <w:sz w:val="20"/>
                <w:szCs w:val="20"/>
              </w:rPr>
              <w:t>0.79</w:t>
            </w:r>
          </w:p>
        </w:tc>
      </w:tr>
    </w:tbl>
    <w:p w:rsidR="005B3AA5" w:rsidRPr="00A52774" w:rsidRDefault="005B3AA5" w:rsidP="00AC6D95">
      <w:pPr>
        <w:pStyle w:val="3Bodytext"/>
        <w:numPr>
          <w:ilvl w:val="0"/>
          <w:numId w:val="0"/>
        </w:numPr>
        <w:rPr>
          <w:rFonts w:ascii="Arial Narrow" w:hAnsi="Arial Narrow"/>
          <w:sz w:val="20"/>
          <w:szCs w:val="20"/>
        </w:rPr>
      </w:pPr>
      <w:r w:rsidRPr="00A52774">
        <w:rPr>
          <w:rFonts w:ascii="Arial Narrow" w:hAnsi="Arial Narrow"/>
          <w:sz w:val="20"/>
          <w:szCs w:val="20"/>
        </w:rPr>
        <w:t>So</w:t>
      </w:r>
      <w:r w:rsidR="00ED0482" w:rsidRPr="00A52774">
        <w:rPr>
          <w:rFonts w:ascii="Arial Narrow" w:hAnsi="Arial Narrow"/>
          <w:sz w:val="20"/>
          <w:szCs w:val="20"/>
        </w:rPr>
        <w:t>urce: Z</w:t>
      </w:r>
      <w:r w:rsidR="00853728">
        <w:rPr>
          <w:rFonts w:ascii="Arial Narrow" w:hAnsi="Arial Narrow"/>
          <w:sz w:val="20"/>
          <w:szCs w:val="20"/>
        </w:rPr>
        <w:t xml:space="preserve">ug et. al. 1995 </w:t>
      </w:r>
    </w:p>
    <w:p w:rsidR="0019502B" w:rsidRPr="00A52774" w:rsidRDefault="005B3AA5" w:rsidP="00D62022">
      <w:pPr>
        <w:pStyle w:val="3Bodytext"/>
      </w:pPr>
      <w:r w:rsidRPr="00A52774">
        <w:t>Costs for b</w:t>
      </w:r>
      <w:r w:rsidR="00A73243">
        <w:t>iologics</w:t>
      </w:r>
      <w:r w:rsidRPr="00A52774">
        <w:t xml:space="preserve"> were based on the effective (and indication specific) prices.  Because of the different administration schedules for each therapy, an average weekly cost for each was calculated and then multiplied by the nominate</w:t>
      </w:r>
      <w:r w:rsidR="008609E8" w:rsidRPr="00A52774">
        <w:t>d cycle length (4 weeks in the B</w:t>
      </w:r>
      <w:r w:rsidRPr="00A52774">
        <w:t xml:space="preserve">ase case) to estimate the cost of maintenance </w:t>
      </w:r>
      <w:r w:rsidR="00420D74">
        <w:t xml:space="preserve">therapy </w:t>
      </w:r>
      <w:r w:rsidRPr="00A52774">
        <w:t>pe</w:t>
      </w:r>
      <w:r w:rsidR="002869D9" w:rsidRPr="00A52774">
        <w:t>r cycle</w:t>
      </w:r>
      <w:r w:rsidRPr="00A52774">
        <w:t>.  The only cost applied to responders (PASI</w:t>
      </w:r>
      <w:r w:rsidR="00BC07DC">
        <w:t xml:space="preserve"> </w:t>
      </w:r>
      <w:r w:rsidRPr="00A52774">
        <w:t>&gt;</w:t>
      </w:r>
      <w:r w:rsidR="00A73243">
        <w:t xml:space="preserve"> </w:t>
      </w:r>
      <w:r w:rsidRPr="00A52774">
        <w:t>75% response) were drug costs. For non-responders differential hospitalisation costs were applied to reflect less severe disease in the PASI ≥</w:t>
      </w:r>
      <w:r w:rsidR="00A23307">
        <w:t xml:space="preserve"> </w:t>
      </w:r>
      <w:r w:rsidRPr="00A52774">
        <w:t>12 to ≤</w:t>
      </w:r>
      <w:r w:rsidR="00A23307">
        <w:t xml:space="preserve"> </w:t>
      </w:r>
      <w:r w:rsidRPr="00A52774">
        <w:t>15 subgroup versus the PASI &gt;</w:t>
      </w:r>
      <w:r w:rsidR="00A23307">
        <w:t xml:space="preserve"> </w:t>
      </w:r>
      <w:r w:rsidRPr="00A52774">
        <w:t>15 subgroup.</w:t>
      </w:r>
      <w:r w:rsidR="00A6513E">
        <w:t xml:space="preserve"> </w:t>
      </w:r>
    </w:p>
    <w:p w:rsidR="00992FCE" w:rsidRPr="005235FC" w:rsidRDefault="00992FCE" w:rsidP="005235FC">
      <w:pPr>
        <w:pStyle w:val="2Sections"/>
        <w:numPr>
          <w:ilvl w:val="0"/>
          <w:numId w:val="0"/>
        </w:numPr>
        <w:rPr>
          <w:rStyle w:val="SubtleEmphasis"/>
          <w:sz w:val="28"/>
          <w:szCs w:val="28"/>
        </w:rPr>
      </w:pPr>
      <w:r w:rsidRPr="005235FC">
        <w:rPr>
          <w:rStyle w:val="SubtleEmphasis"/>
          <w:sz w:val="28"/>
          <w:szCs w:val="28"/>
        </w:rPr>
        <w:t xml:space="preserve">Main </w:t>
      </w:r>
      <w:r w:rsidR="00575F96" w:rsidRPr="005235FC">
        <w:rPr>
          <w:rStyle w:val="SubtleEmphasis"/>
          <w:sz w:val="28"/>
          <w:szCs w:val="28"/>
        </w:rPr>
        <w:t>f</w:t>
      </w:r>
      <w:r w:rsidRPr="005235FC">
        <w:rPr>
          <w:rStyle w:val="SubtleEmphasis"/>
          <w:sz w:val="28"/>
          <w:szCs w:val="28"/>
        </w:rPr>
        <w:t xml:space="preserve">indings of the </w:t>
      </w:r>
      <w:r w:rsidR="00A6513E" w:rsidRPr="005235FC">
        <w:rPr>
          <w:rStyle w:val="SubtleEmphasis"/>
          <w:sz w:val="28"/>
          <w:szCs w:val="28"/>
        </w:rPr>
        <w:t>economic analysis</w:t>
      </w:r>
    </w:p>
    <w:p w:rsidR="00992FCE" w:rsidRPr="00A52774" w:rsidRDefault="00992FCE" w:rsidP="00992FCE">
      <w:pPr>
        <w:pStyle w:val="3Bodytext"/>
      </w:pPr>
      <w:r w:rsidRPr="00A52774">
        <w:t>The results of the stepped econom</w:t>
      </w:r>
      <w:r w:rsidR="00BC07DC">
        <w:t>ic evaluation of secukinumab versus</w:t>
      </w:r>
      <w:r w:rsidRPr="00A52774">
        <w:t xml:space="preserve"> placebo </w:t>
      </w:r>
      <w:r w:rsidR="00F566B0">
        <w:t>are</w:t>
      </w:r>
      <w:r w:rsidRPr="00A52774">
        <w:t xml:space="preserve"> presented in </w:t>
      </w:r>
      <w:r w:rsidRPr="00A52774">
        <w:rPr>
          <w:b/>
        </w:rPr>
        <w:t>Table 3</w:t>
      </w:r>
      <w:r w:rsidRPr="00A52774">
        <w:t>.</w:t>
      </w:r>
    </w:p>
    <w:p w:rsidR="005652B1" w:rsidRDefault="005652B1">
      <w:pPr>
        <w:rPr>
          <w:rFonts w:ascii="Arial Narrow" w:hAnsi="Arial Narrow" w:cstheme="minorBidi"/>
          <w:b/>
          <w:sz w:val="20"/>
          <w:szCs w:val="20"/>
        </w:rPr>
      </w:pPr>
      <w:r>
        <w:rPr>
          <w:rFonts w:ascii="Arial Narrow" w:hAnsi="Arial Narrow"/>
          <w:b/>
          <w:sz w:val="20"/>
          <w:szCs w:val="20"/>
        </w:rPr>
        <w:br w:type="page"/>
      </w:r>
    </w:p>
    <w:p w:rsidR="00992FCE" w:rsidRPr="00A52774" w:rsidRDefault="00992FCE" w:rsidP="00992FCE">
      <w:pPr>
        <w:pStyle w:val="3Bodytext"/>
        <w:numPr>
          <w:ilvl w:val="0"/>
          <w:numId w:val="0"/>
        </w:numPr>
        <w:rPr>
          <w:rFonts w:ascii="Arial Narrow" w:hAnsi="Arial Narrow"/>
          <w:b/>
          <w:sz w:val="20"/>
          <w:szCs w:val="20"/>
        </w:rPr>
      </w:pPr>
      <w:r w:rsidRPr="00A52774">
        <w:rPr>
          <w:rFonts w:ascii="Arial Narrow" w:hAnsi="Arial Narrow"/>
          <w:b/>
          <w:sz w:val="20"/>
          <w:szCs w:val="20"/>
        </w:rPr>
        <w:lastRenderedPageBreak/>
        <w:t>Table 3</w:t>
      </w:r>
      <w:r w:rsidRPr="00A52774">
        <w:rPr>
          <w:rFonts w:ascii="Arial Narrow" w:hAnsi="Arial Narrow"/>
          <w:b/>
          <w:sz w:val="20"/>
          <w:szCs w:val="20"/>
        </w:rPr>
        <w:tab/>
        <w:t>Results of stepped economic evaluation of secukinumab vs placebo</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2830"/>
        <w:gridCol w:w="1135"/>
        <w:gridCol w:w="790"/>
        <w:gridCol w:w="970"/>
        <w:gridCol w:w="1211"/>
        <w:gridCol w:w="779"/>
        <w:gridCol w:w="854"/>
        <w:gridCol w:w="925"/>
      </w:tblGrid>
      <w:tr w:rsidR="00992FCE" w:rsidRPr="00A52774" w:rsidTr="009264C5">
        <w:trPr>
          <w:cantSplit/>
          <w:tblHeader/>
        </w:trPr>
        <w:tc>
          <w:tcPr>
            <w:tcW w:w="1490" w:type="pct"/>
            <w:vMerge w:val="restart"/>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
                <w:sz w:val="20"/>
                <w:szCs w:val="18"/>
                <w:lang w:val="en-US"/>
              </w:rPr>
            </w:pPr>
            <w:r w:rsidRPr="00A52774">
              <w:rPr>
                <w:rFonts w:ascii="Arial Narrow" w:eastAsia="Times New Roman" w:hAnsi="Arial Narrow"/>
                <w:b/>
                <w:sz w:val="20"/>
                <w:szCs w:val="18"/>
                <w:lang w:val="en-US"/>
              </w:rPr>
              <w:t>Data</w:t>
            </w:r>
          </w:p>
        </w:tc>
        <w:tc>
          <w:tcPr>
            <w:tcW w:w="1525" w:type="pct"/>
            <w:gridSpan w:val="3"/>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
                <w:sz w:val="20"/>
                <w:szCs w:val="18"/>
                <w:lang w:val="en-US"/>
              </w:rPr>
            </w:pPr>
            <w:r w:rsidRPr="00A52774">
              <w:rPr>
                <w:rFonts w:ascii="Arial Narrow" w:eastAsia="Times New Roman" w:hAnsi="Arial Narrow"/>
                <w:b/>
                <w:sz w:val="20"/>
                <w:szCs w:val="18"/>
                <w:lang w:val="en-US"/>
              </w:rPr>
              <w:t>Costs</w:t>
            </w:r>
          </w:p>
        </w:tc>
        <w:tc>
          <w:tcPr>
            <w:tcW w:w="1498" w:type="pct"/>
            <w:gridSpan w:val="3"/>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
                <w:sz w:val="20"/>
                <w:szCs w:val="18"/>
                <w:lang w:val="en-US"/>
              </w:rPr>
            </w:pPr>
            <w:r w:rsidRPr="00A52774">
              <w:rPr>
                <w:rFonts w:ascii="Arial Narrow" w:eastAsia="Times New Roman" w:hAnsi="Arial Narrow"/>
                <w:b/>
                <w:sz w:val="20"/>
                <w:szCs w:val="18"/>
                <w:lang w:val="en-US"/>
              </w:rPr>
              <w:t>Health outcomes</w:t>
            </w:r>
          </w:p>
        </w:tc>
        <w:tc>
          <w:tcPr>
            <w:tcW w:w="487" w:type="pct"/>
            <w:vMerge w:val="restart"/>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
                <w:sz w:val="20"/>
                <w:szCs w:val="18"/>
                <w:lang w:val="en-US"/>
              </w:rPr>
            </w:pPr>
            <w:r w:rsidRPr="00A52774">
              <w:rPr>
                <w:rFonts w:ascii="Arial Narrow" w:eastAsia="Times New Roman" w:hAnsi="Arial Narrow"/>
                <w:b/>
                <w:sz w:val="20"/>
                <w:szCs w:val="18"/>
                <w:lang w:val="en-US"/>
              </w:rPr>
              <w:t>ICER</w:t>
            </w:r>
          </w:p>
        </w:tc>
      </w:tr>
      <w:tr w:rsidR="00992FCE" w:rsidRPr="00A52774" w:rsidTr="009264C5">
        <w:trPr>
          <w:cantSplit/>
          <w:tblHeader/>
        </w:trPr>
        <w:tc>
          <w:tcPr>
            <w:tcW w:w="1490" w:type="pct"/>
            <w:vMerge/>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
                <w:sz w:val="20"/>
                <w:szCs w:val="18"/>
                <w:lang w:val="en-US"/>
              </w:rPr>
            </w:pPr>
          </w:p>
        </w:tc>
        <w:tc>
          <w:tcPr>
            <w:tcW w:w="598" w:type="pct"/>
            <w:tcBorders>
              <w:bottom w:val="single" w:sz="4" w:space="0" w:color="auto"/>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
                <w:sz w:val="20"/>
                <w:szCs w:val="18"/>
                <w:lang w:val="en-US"/>
              </w:rPr>
            </w:pPr>
            <w:r w:rsidRPr="00A52774">
              <w:rPr>
                <w:rFonts w:ascii="Arial Narrow" w:eastAsia="Times New Roman" w:hAnsi="Arial Narrow"/>
                <w:b/>
                <w:sz w:val="20"/>
                <w:szCs w:val="18"/>
                <w:lang w:val="en-US"/>
              </w:rPr>
              <w:t>Secukinumab</w:t>
            </w:r>
          </w:p>
        </w:tc>
        <w:tc>
          <w:tcPr>
            <w:tcW w:w="416" w:type="pct"/>
            <w:tcBorders>
              <w:bottom w:val="single" w:sz="4" w:space="0" w:color="auto"/>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
                <w:sz w:val="20"/>
                <w:szCs w:val="18"/>
                <w:lang w:val="en-US"/>
              </w:rPr>
            </w:pPr>
            <w:r w:rsidRPr="00A52774">
              <w:rPr>
                <w:rFonts w:ascii="Arial Narrow" w:eastAsia="Times New Roman" w:hAnsi="Arial Narrow"/>
                <w:b/>
                <w:sz w:val="20"/>
                <w:szCs w:val="18"/>
                <w:lang w:val="en-US"/>
              </w:rPr>
              <w:t>Placebo</w:t>
            </w:r>
          </w:p>
        </w:tc>
        <w:tc>
          <w:tcPr>
            <w:tcW w:w="511" w:type="pct"/>
            <w:tcBorders>
              <w:bottom w:val="single" w:sz="4" w:space="0" w:color="auto"/>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
                <w:sz w:val="20"/>
                <w:szCs w:val="18"/>
                <w:lang w:val="en-US"/>
              </w:rPr>
            </w:pPr>
            <w:r w:rsidRPr="00A52774">
              <w:rPr>
                <w:rFonts w:ascii="Arial Narrow" w:eastAsia="Times New Roman" w:hAnsi="Arial Narrow"/>
                <w:b/>
                <w:sz w:val="20"/>
                <w:szCs w:val="18"/>
                <w:lang w:val="en-US"/>
              </w:rPr>
              <w:t>Increment</w:t>
            </w:r>
          </w:p>
        </w:tc>
        <w:tc>
          <w:tcPr>
            <w:tcW w:w="638" w:type="pct"/>
            <w:tcBorders>
              <w:bottom w:val="single" w:sz="4" w:space="0" w:color="auto"/>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
                <w:sz w:val="20"/>
                <w:szCs w:val="18"/>
                <w:lang w:val="en-US"/>
              </w:rPr>
            </w:pPr>
            <w:r w:rsidRPr="00A52774">
              <w:rPr>
                <w:rFonts w:ascii="Arial Narrow" w:eastAsia="Times New Roman" w:hAnsi="Arial Narrow"/>
                <w:b/>
                <w:sz w:val="20"/>
                <w:szCs w:val="18"/>
                <w:lang w:val="en-US"/>
              </w:rPr>
              <w:t>Secukinumab</w:t>
            </w:r>
          </w:p>
        </w:tc>
        <w:tc>
          <w:tcPr>
            <w:tcW w:w="410" w:type="pct"/>
            <w:tcBorders>
              <w:bottom w:val="single" w:sz="4" w:space="0" w:color="auto"/>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
                <w:sz w:val="20"/>
                <w:szCs w:val="18"/>
                <w:lang w:val="en-US"/>
              </w:rPr>
            </w:pPr>
            <w:r w:rsidRPr="00A52774">
              <w:rPr>
                <w:rFonts w:ascii="Arial Narrow" w:eastAsia="Times New Roman" w:hAnsi="Arial Narrow"/>
                <w:b/>
                <w:sz w:val="20"/>
                <w:szCs w:val="18"/>
                <w:lang w:val="en-US"/>
              </w:rPr>
              <w:t>Placebo</w:t>
            </w:r>
          </w:p>
        </w:tc>
        <w:tc>
          <w:tcPr>
            <w:tcW w:w="450" w:type="pct"/>
            <w:tcBorders>
              <w:bottom w:val="single" w:sz="4" w:space="0" w:color="auto"/>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
                <w:sz w:val="20"/>
                <w:szCs w:val="18"/>
                <w:lang w:val="en-US"/>
              </w:rPr>
            </w:pPr>
            <w:r w:rsidRPr="00A52774">
              <w:rPr>
                <w:rFonts w:ascii="Arial Narrow" w:eastAsia="Times New Roman" w:hAnsi="Arial Narrow"/>
                <w:b/>
                <w:sz w:val="20"/>
                <w:szCs w:val="18"/>
                <w:lang w:val="en-US"/>
              </w:rPr>
              <w:t>Increment</w:t>
            </w:r>
          </w:p>
        </w:tc>
        <w:tc>
          <w:tcPr>
            <w:tcW w:w="487" w:type="pct"/>
            <w:vMerge/>
            <w:tcBorders>
              <w:bottom w:val="single" w:sz="4" w:space="0" w:color="auto"/>
            </w:tcBorders>
            <w:shd w:val="clear" w:color="auto" w:fill="FFFFFF"/>
            <w:vAlign w:val="center"/>
          </w:tcPr>
          <w:p w:rsidR="00992FCE" w:rsidRPr="00A52774" w:rsidRDefault="00992FCE" w:rsidP="009264C5">
            <w:pPr>
              <w:keepNext/>
              <w:widowControl w:val="0"/>
              <w:spacing w:after="120" w:line="240" w:lineRule="auto"/>
              <w:jc w:val="center"/>
              <w:rPr>
                <w:rFonts w:ascii="Arial Narrow" w:eastAsia="Times New Roman" w:hAnsi="Arial Narrow"/>
                <w:sz w:val="20"/>
                <w:szCs w:val="18"/>
              </w:rPr>
            </w:pPr>
          </w:p>
        </w:tc>
      </w:tr>
      <w:tr w:rsidR="00992FCE" w:rsidRPr="00A52774" w:rsidTr="009264C5">
        <w:trPr>
          <w:cantSplit/>
        </w:trPr>
        <w:tc>
          <w:tcPr>
            <w:tcW w:w="1490" w:type="pct"/>
            <w:vMerge w:val="restart"/>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Cs/>
                <w:sz w:val="20"/>
                <w:szCs w:val="18"/>
              </w:rPr>
            </w:pPr>
            <w:r w:rsidRPr="00A52774">
              <w:rPr>
                <w:rFonts w:ascii="Arial Narrow" w:eastAsia="Times New Roman" w:hAnsi="Arial Narrow"/>
                <w:bCs/>
                <w:sz w:val="20"/>
                <w:szCs w:val="18"/>
              </w:rPr>
              <w:t>Trial based (12 weeks, PASI 75 responder)</w:t>
            </w:r>
          </w:p>
        </w:tc>
        <w:tc>
          <w:tcPr>
            <w:tcW w:w="598" w:type="pct"/>
            <w:tcBorders>
              <w:bottom w:val="nil"/>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Cs/>
                <w:sz w:val="20"/>
                <w:szCs w:val="18"/>
              </w:rPr>
            </w:pPr>
          </w:p>
        </w:tc>
        <w:tc>
          <w:tcPr>
            <w:tcW w:w="416" w:type="pct"/>
            <w:tcBorders>
              <w:bottom w:val="nil"/>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Cs/>
                <w:sz w:val="20"/>
                <w:szCs w:val="18"/>
              </w:rPr>
            </w:pPr>
          </w:p>
        </w:tc>
        <w:tc>
          <w:tcPr>
            <w:tcW w:w="511" w:type="pct"/>
            <w:tcBorders>
              <w:bottom w:val="nil"/>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Cs/>
                <w:sz w:val="20"/>
                <w:szCs w:val="18"/>
              </w:rPr>
            </w:pPr>
          </w:p>
        </w:tc>
        <w:tc>
          <w:tcPr>
            <w:tcW w:w="638" w:type="pct"/>
            <w:tcBorders>
              <w:bottom w:val="nil"/>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Cs/>
                <w:sz w:val="20"/>
                <w:szCs w:val="18"/>
              </w:rPr>
            </w:pPr>
          </w:p>
        </w:tc>
        <w:tc>
          <w:tcPr>
            <w:tcW w:w="410" w:type="pct"/>
            <w:tcBorders>
              <w:bottom w:val="nil"/>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Cs/>
                <w:sz w:val="20"/>
                <w:szCs w:val="18"/>
              </w:rPr>
            </w:pPr>
          </w:p>
        </w:tc>
        <w:tc>
          <w:tcPr>
            <w:tcW w:w="450" w:type="pct"/>
            <w:tcBorders>
              <w:bottom w:val="nil"/>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Cs/>
                <w:sz w:val="20"/>
                <w:szCs w:val="18"/>
              </w:rPr>
            </w:pPr>
          </w:p>
        </w:tc>
        <w:tc>
          <w:tcPr>
            <w:tcW w:w="487" w:type="pct"/>
            <w:tcBorders>
              <w:bottom w:val="nil"/>
            </w:tcBorders>
            <w:shd w:val="clear" w:color="auto" w:fill="FFFFFF"/>
            <w:vAlign w:val="center"/>
          </w:tcPr>
          <w:p w:rsidR="00992FCE" w:rsidRPr="00A52774" w:rsidRDefault="00992FCE" w:rsidP="009264C5">
            <w:pPr>
              <w:keepNext/>
              <w:widowControl w:val="0"/>
              <w:spacing w:after="0" w:line="240" w:lineRule="auto"/>
              <w:jc w:val="center"/>
              <w:rPr>
                <w:rFonts w:ascii="Arial Narrow" w:eastAsia="Times New Roman" w:hAnsi="Arial Narrow"/>
                <w:bCs/>
                <w:sz w:val="20"/>
                <w:szCs w:val="18"/>
              </w:rPr>
            </w:pPr>
          </w:p>
        </w:tc>
      </w:tr>
      <w:tr w:rsidR="00992FCE" w:rsidRPr="00A52774" w:rsidTr="009264C5">
        <w:trPr>
          <w:cantSplit/>
        </w:trPr>
        <w:tc>
          <w:tcPr>
            <w:tcW w:w="1490" w:type="pct"/>
            <w:vMerge/>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Cs/>
                <w:sz w:val="20"/>
                <w:szCs w:val="18"/>
              </w:rPr>
            </w:pPr>
          </w:p>
        </w:tc>
        <w:tc>
          <w:tcPr>
            <w:tcW w:w="598"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w:t>
            </w:r>
            <w:r w:rsidR="009669DF">
              <w:rPr>
                <w:rFonts w:ascii="Arial Narrow" w:eastAsia="Times New Roman" w:hAnsi="Arial Narrow"/>
                <w:bCs/>
                <w:noProof/>
                <w:color w:val="000000"/>
                <w:sz w:val="20"/>
                <w:szCs w:val="18"/>
                <w:highlight w:val="black"/>
              </w:rPr>
              <w:t>'''''''''''''''</w:t>
            </w:r>
          </w:p>
        </w:tc>
        <w:tc>
          <w:tcPr>
            <w:tcW w:w="416"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r w:rsidRPr="001D0723">
              <w:rPr>
                <w:rFonts w:ascii="Arial Narrow" w:eastAsia="Times New Roman" w:hAnsi="Arial Narrow"/>
                <w:bCs/>
                <w:sz w:val="20"/>
                <w:szCs w:val="18"/>
              </w:rPr>
              <w:t>$0</w:t>
            </w:r>
          </w:p>
        </w:tc>
        <w:tc>
          <w:tcPr>
            <w:tcW w:w="511"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w:t>
            </w:r>
            <w:r w:rsidR="009669DF">
              <w:rPr>
                <w:rFonts w:ascii="Arial Narrow" w:eastAsia="Times New Roman" w:hAnsi="Arial Narrow"/>
                <w:bCs/>
                <w:noProof/>
                <w:color w:val="000000"/>
                <w:sz w:val="20"/>
                <w:szCs w:val="18"/>
                <w:highlight w:val="black"/>
              </w:rPr>
              <w:t>'''''''''''''''</w:t>
            </w:r>
          </w:p>
        </w:tc>
        <w:tc>
          <w:tcPr>
            <w:tcW w:w="638"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r w:rsidRPr="001D0723">
              <w:rPr>
                <w:rFonts w:ascii="Arial Narrow" w:eastAsia="Times New Roman" w:hAnsi="Arial Narrow"/>
                <w:bCs/>
                <w:sz w:val="20"/>
                <w:szCs w:val="18"/>
              </w:rPr>
              <w:t>0.796</w:t>
            </w:r>
          </w:p>
        </w:tc>
        <w:tc>
          <w:tcPr>
            <w:tcW w:w="410"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0.43</w:t>
            </w:r>
          </w:p>
        </w:tc>
        <w:tc>
          <w:tcPr>
            <w:tcW w:w="450"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0.753</w:t>
            </w:r>
          </w:p>
        </w:tc>
        <w:tc>
          <w:tcPr>
            <w:tcW w:w="487"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w:t>
            </w:r>
            <w:r w:rsidR="009669DF">
              <w:rPr>
                <w:rFonts w:ascii="Arial Narrow" w:eastAsia="Times New Roman" w:hAnsi="Arial Narrow"/>
                <w:bCs/>
                <w:noProof/>
                <w:color w:val="000000"/>
                <w:sz w:val="20"/>
                <w:szCs w:val="18"/>
                <w:highlight w:val="black"/>
              </w:rPr>
              <w:t>''''''''''''''</w:t>
            </w:r>
          </w:p>
        </w:tc>
      </w:tr>
      <w:tr w:rsidR="00992FCE" w:rsidRPr="00A52774" w:rsidTr="009264C5">
        <w:trPr>
          <w:cantSplit/>
        </w:trPr>
        <w:tc>
          <w:tcPr>
            <w:tcW w:w="1490" w:type="pct"/>
            <w:vMerge w:val="restart"/>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Cs/>
                <w:sz w:val="20"/>
                <w:szCs w:val="18"/>
              </w:rPr>
            </w:pPr>
            <w:r w:rsidRPr="00A52774">
              <w:rPr>
                <w:rFonts w:ascii="Arial Narrow" w:eastAsia="Times New Roman" w:hAnsi="Arial Narrow"/>
                <w:bCs/>
                <w:sz w:val="20"/>
                <w:szCs w:val="18"/>
              </w:rPr>
              <w:t>Extrapolate to 5 years, PASI 75 responder (years)</w:t>
            </w:r>
          </w:p>
        </w:tc>
        <w:tc>
          <w:tcPr>
            <w:tcW w:w="598"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16"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511"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638"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10"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50"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87"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r>
      <w:tr w:rsidR="00992FCE" w:rsidRPr="00A52774" w:rsidTr="009264C5">
        <w:trPr>
          <w:cantSplit/>
        </w:trPr>
        <w:tc>
          <w:tcPr>
            <w:tcW w:w="1490" w:type="pct"/>
            <w:vMerge/>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Cs/>
                <w:sz w:val="20"/>
                <w:szCs w:val="18"/>
              </w:rPr>
            </w:pPr>
          </w:p>
        </w:tc>
        <w:tc>
          <w:tcPr>
            <w:tcW w:w="598"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w:t>
            </w:r>
            <w:r w:rsidR="009669DF">
              <w:rPr>
                <w:rFonts w:ascii="Arial Narrow" w:eastAsia="Times New Roman" w:hAnsi="Arial Narrow"/>
                <w:bCs/>
                <w:noProof/>
                <w:color w:val="000000"/>
                <w:sz w:val="20"/>
                <w:szCs w:val="18"/>
                <w:highlight w:val="black"/>
              </w:rPr>
              <w:t>''''''''''''''''</w:t>
            </w:r>
          </w:p>
        </w:tc>
        <w:tc>
          <w:tcPr>
            <w:tcW w:w="416"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r w:rsidRPr="001D0723">
              <w:rPr>
                <w:rFonts w:ascii="Arial Narrow" w:eastAsia="Times New Roman" w:hAnsi="Arial Narrow"/>
                <w:bCs/>
                <w:sz w:val="20"/>
                <w:szCs w:val="18"/>
              </w:rPr>
              <w:t>$0</w:t>
            </w:r>
          </w:p>
        </w:tc>
        <w:tc>
          <w:tcPr>
            <w:tcW w:w="511"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w:t>
            </w:r>
            <w:r w:rsidR="009669DF">
              <w:rPr>
                <w:rFonts w:ascii="Arial Narrow" w:eastAsia="Times New Roman" w:hAnsi="Arial Narrow"/>
                <w:bCs/>
                <w:noProof/>
                <w:color w:val="000000"/>
                <w:sz w:val="20"/>
                <w:szCs w:val="18"/>
                <w:highlight w:val="black"/>
              </w:rPr>
              <w:t>'''''''''''''''</w:t>
            </w:r>
          </w:p>
        </w:tc>
        <w:tc>
          <w:tcPr>
            <w:tcW w:w="638"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r w:rsidRPr="001D0723">
              <w:rPr>
                <w:rFonts w:ascii="Arial Narrow" w:eastAsia="Times New Roman" w:hAnsi="Arial Narrow"/>
                <w:bCs/>
                <w:sz w:val="20"/>
                <w:szCs w:val="18"/>
              </w:rPr>
              <w:t>2.659</w:t>
            </w:r>
          </w:p>
        </w:tc>
        <w:tc>
          <w:tcPr>
            <w:tcW w:w="410"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0.203</w:t>
            </w:r>
          </w:p>
        </w:tc>
        <w:tc>
          <w:tcPr>
            <w:tcW w:w="450"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2.456</w:t>
            </w:r>
          </w:p>
        </w:tc>
        <w:tc>
          <w:tcPr>
            <w:tcW w:w="487"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w:t>
            </w:r>
            <w:r w:rsidR="009669DF">
              <w:rPr>
                <w:rFonts w:ascii="Arial Narrow" w:eastAsia="Times New Roman" w:hAnsi="Arial Narrow"/>
                <w:bCs/>
                <w:noProof/>
                <w:color w:val="000000"/>
                <w:sz w:val="20"/>
                <w:szCs w:val="18"/>
                <w:highlight w:val="black"/>
              </w:rPr>
              <w:t>''''''''''''''''</w:t>
            </w:r>
          </w:p>
        </w:tc>
      </w:tr>
      <w:tr w:rsidR="00992FCE" w:rsidRPr="00A52774" w:rsidTr="009264C5">
        <w:trPr>
          <w:cantSplit/>
        </w:trPr>
        <w:tc>
          <w:tcPr>
            <w:tcW w:w="1490" w:type="pct"/>
            <w:vMerge w:val="restart"/>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Cs/>
                <w:sz w:val="20"/>
                <w:szCs w:val="18"/>
              </w:rPr>
            </w:pPr>
            <w:r w:rsidRPr="00A52774">
              <w:rPr>
                <w:rFonts w:ascii="Arial Narrow" w:eastAsia="Times New Roman" w:hAnsi="Arial Narrow"/>
                <w:bCs/>
                <w:sz w:val="20"/>
                <w:szCs w:val="18"/>
              </w:rPr>
              <w:t xml:space="preserve">Extrapolate to 5 years, QALYs using baseline PASI </w:t>
            </w:r>
            <w:r w:rsidRPr="00A52774">
              <w:rPr>
                <w:rFonts w:ascii="Arial Narrow" w:eastAsia="Times New Roman" w:hAnsi="Arial Narrow" w:cs="Calibri"/>
                <w:bCs/>
                <w:sz w:val="20"/>
                <w:szCs w:val="18"/>
              </w:rPr>
              <w:t>&gt;</w:t>
            </w:r>
            <w:r w:rsidRPr="00A52774">
              <w:rPr>
                <w:rFonts w:ascii="Arial Narrow" w:eastAsia="Times New Roman" w:hAnsi="Arial Narrow"/>
                <w:bCs/>
                <w:sz w:val="20"/>
                <w:szCs w:val="18"/>
              </w:rPr>
              <w:t>15 utilities (0.89/0.59 responder/non-responder)</w:t>
            </w:r>
          </w:p>
        </w:tc>
        <w:tc>
          <w:tcPr>
            <w:tcW w:w="598"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16"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511"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638"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10"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50"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87"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r>
      <w:tr w:rsidR="00992FCE" w:rsidRPr="00A52774" w:rsidTr="009264C5">
        <w:trPr>
          <w:cantSplit/>
        </w:trPr>
        <w:tc>
          <w:tcPr>
            <w:tcW w:w="1490" w:type="pct"/>
            <w:vMerge/>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Cs/>
                <w:sz w:val="20"/>
                <w:szCs w:val="18"/>
              </w:rPr>
            </w:pPr>
          </w:p>
        </w:tc>
        <w:tc>
          <w:tcPr>
            <w:tcW w:w="598"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w:t>
            </w:r>
            <w:r w:rsidR="009669DF">
              <w:rPr>
                <w:rFonts w:ascii="Arial Narrow" w:eastAsia="Times New Roman" w:hAnsi="Arial Narrow"/>
                <w:bCs/>
                <w:noProof/>
                <w:color w:val="000000"/>
                <w:sz w:val="20"/>
                <w:szCs w:val="18"/>
                <w:highlight w:val="black"/>
              </w:rPr>
              <w:t>''''''''''''''''</w:t>
            </w:r>
          </w:p>
        </w:tc>
        <w:tc>
          <w:tcPr>
            <w:tcW w:w="416"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r w:rsidRPr="001D0723">
              <w:rPr>
                <w:rFonts w:ascii="Arial Narrow" w:eastAsia="Times New Roman" w:hAnsi="Arial Narrow"/>
                <w:bCs/>
                <w:sz w:val="20"/>
                <w:szCs w:val="18"/>
              </w:rPr>
              <w:t>$0</w:t>
            </w:r>
          </w:p>
        </w:tc>
        <w:tc>
          <w:tcPr>
            <w:tcW w:w="511"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w:t>
            </w:r>
            <w:r w:rsidR="009669DF">
              <w:rPr>
                <w:rFonts w:ascii="Arial Narrow" w:eastAsia="Times New Roman" w:hAnsi="Arial Narrow"/>
                <w:bCs/>
                <w:noProof/>
                <w:color w:val="000000"/>
                <w:sz w:val="20"/>
                <w:szCs w:val="18"/>
                <w:highlight w:val="black"/>
              </w:rPr>
              <w:t>'''''''''''''''</w:t>
            </w:r>
          </w:p>
        </w:tc>
        <w:tc>
          <w:tcPr>
            <w:tcW w:w="638"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r w:rsidRPr="001D0723">
              <w:rPr>
                <w:rFonts w:ascii="Arial Narrow" w:eastAsia="Times New Roman" w:hAnsi="Arial Narrow"/>
                <w:bCs/>
                <w:sz w:val="20"/>
                <w:szCs w:val="18"/>
              </w:rPr>
              <w:t>3.423</w:t>
            </w:r>
          </w:p>
        </w:tc>
        <w:tc>
          <w:tcPr>
            <w:tcW w:w="410"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2.745</w:t>
            </w:r>
          </w:p>
        </w:tc>
        <w:tc>
          <w:tcPr>
            <w:tcW w:w="450"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0.678</w:t>
            </w:r>
          </w:p>
        </w:tc>
        <w:tc>
          <w:tcPr>
            <w:tcW w:w="487"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w:t>
            </w:r>
            <w:r w:rsidR="009669DF">
              <w:rPr>
                <w:rFonts w:ascii="Arial Narrow" w:eastAsia="Times New Roman" w:hAnsi="Arial Narrow"/>
                <w:bCs/>
                <w:noProof/>
                <w:color w:val="000000"/>
                <w:sz w:val="20"/>
                <w:szCs w:val="18"/>
                <w:highlight w:val="black"/>
              </w:rPr>
              <w:t>'''''''''''''''</w:t>
            </w:r>
          </w:p>
        </w:tc>
      </w:tr>
      <w:tr w:rsidR="00992FCE" w:rsidRPr="00A52774" w:rsidTr="009264C5">
        <w:trPr>
          <w:cantSplit/>
        </w:trPr>
        <w:tc>
          <w:tcPr>
            <w:tcW w:w="1490" w:type="pct"/>
            <w:vMerge w:val="restart"/>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
                <w:bCs/>
                <w:sz w:val="20"/>
                <w:szCs w:val="18"/>
              </w:rPr>
            </w:pPr>
            <w:r w:rsidRPr="00A52774">
              <w:rPr>
                <w:rFonts w:ascii="Arial Narrow" w:eastAsia="Times New Roman" w:hAnsi="Arial Narrow"/>
                <w:b/>
                <w:bCs/>
                <w:sz w:val="20"/>
                <w:szCs w:val="18"/>
                <w:u w:val="single"/>
              </w:rPr>
              <w:t>Existing ICER</w:t>
            </w:r>
            <w:r w:rsidRPr="00A52774">
              <w:rPr>
                <w:rFonts w:ascii="Arial Narrow" w:eastAsia="Times New Roman" w:hAnsi="Arial Narrow"/>
                <w:b/>
                <w:bCs/>
                <w:sz w:val="20"/>
                <w:szCs w:val="18"/>
              </w:rPr>
              <w:t xml:space="preserve"> </w:t>
            </w:r>
          </w:p>
          <w:p w:rsidR="00992FCE" w:rsidRPr="00A52774" w:rsidRDefault="00992FCE" w:rsidP="009264C5">
            <w:pPr>
              <w:keepNext/>
              <w:widowControl w:val="0"/>
              <w:spacing w:after="0" w:line="240" w:lineRule="auto"/>
              <w:rPr>
                <w:rFonts w:ascii="Arial Narrow" w:eastAsia="Times New Roman" w:hAnsi="Arial Narrow"/>
                <w:bCs/>
                <w:sz w:val="20"/>
                <w:szCs w:val="18"/>
              </w:rPr>
            </w:pPr>
            <w:r w:rsidRPr="00A52774">
              <w:rPr>
                <w:rFonts w:ascii="Arial Narrow" w:eastAsia="Times New Roman" w:hAnsi="Arial Narrow"/>
                <w:bCs/>
                <w:sz w:val="20"/>
                <w:szCs w:val="18"/>
              </w:rPr>
              <w:t xml:space="preserve">Extrapolate to 5 years, QALYs using baseline PASI </w:t>
            </w:r>
            <w:r w:rsidRPr="00A52774">
              <w:rPr>
                <w:rFonts w:ascii="Arial Narrow" w:eastAsia="Times New Roman" w:hAnsi="Arial Narrow" w:cs="Calibri"/>
                <w:bCs/>
                <w:sz w:val="20"/>
                <w:szCs w:val="18"/>
              </w:rPr>
              <w:t>&gt;</w:t>
            </w:r>
            <w:r w:rsidRPr="00A52774">
              <w:rPr>
                <w:rFonts w:ascii="Arial Narrow" w:eastAsia="Times New Roman" w:hAnsi="Arial Narrow"/>
                <w:bCs/>
                <w:sz w:val="20"/>
                <w:szCs w:val="18"/>
              </w:rPr>
              <w:t xml:space="preserve">15 utilities (0.89/0.59 responder/non-responder), include hospitalisation (major) </w:t>
            </w:r>
          </w:p>
        </w:tc>
        <w:tc>
          <w:tcPr>
            <w:tcW w:w="598"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16"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511"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638"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10"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50"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87"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r>
      <w:tr w:rsidR="00992FCE" w:rsidRPr="00A52774" w:rsidTr="009264C5">
        <w:trPr>
          <w:cantSplit/>
        </w:trPr>
        <w:tc>
          <w:tcPr>
            <w:tcW w:w="1490" w:type="pct"/>
            <w:vMerge/>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
                <w:bCs/>
                <w:sz w:val="20"/>
                <w:szCs w:val="18"/>
                <w:u w:val="single"/>
              </w:rPr>
            </w:pPr>
          </w:p>
        </w:tc>
        <w:tc>
          <w:tcPr>
            <w:tcW w:w="598"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cs="Calibri"/>
                <w:bCs/>
                <w:strike/>
                <w:sz w:val="20"/>
                <w:szCs w:val="18"/>
              </w:rPr>
            </w:pPr>
            <w:r w:rsidRPr="001D0723">
              <w:rPr>
                <w:rFonts w:ascii="Arial Narrow" w:eastAsia="Times New Roman" w:hAnsi="Arial Narrow" w:cs="Calibri"/>
                <w:bCs/>
                <w:sz w:val="20"/>
                <w:szCs w:val="18"/>
              </w:rPr>
              <w:t>$</w:t>
            </w:r>
            <w:r w:rsidR="009669DF">
              <w:rPr>
                <w:rFonts w:ascii="Arial Narrow" w:eastAsia="Times New Roman" w:hAnsi="Arial Narrow" w:cs="Calibri"/>
                <w:bCs/>
                <w:noProof/>
                <w:color w:val="000000"/>
                <w:sz w:val="20"/>
                <w:szCs w:val="18"/>
                <w:highlight w:val="black"/>
              </w:rPr>
              <w:t>'''''''''''''''</w:t>
            </w:r>
          </w:p>
        </w:tc>
        <w:tc>
          <w:tcPr>
            <w:tcW w:w="416"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cs="Calibri"/>
                <w:bCs/>
                <w:strike/>
                <w:sz w:val="20"/>
                <w:szCs w:val="18"/>
              </w:rPr>
            </w:pPr>
            <w:r w:rsidRPr="001D0723">
              <w:rPr>
                <w:rFonts w:ascii="Arial Narrow" w:eastAsia="Times New Roman" w:hAnsi="Arial Narrow" w:cs="Calibri"/>
                <w:bCs/>
                <w:sz w:val="20"/>
                <w:szCs w:val="18"/>
              </w:rPr>
              <w:t>$1,543</w:t>
            </w:r>
          </w:p>
        </w:tc>
        <w:tc>
          <w:tcPr>
            <w:tcW w:w="511"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cs="Calibri"/>
                <w:bCs/>
                <w:strike/>
                <w:sz w:val="20"/>
                <w:szCs w:val="18"/>
              </w:rPr>
            </w:pPr>
            <w:r w:rsidRPr="001D0723">
              <w:rPr>
                <w:rFonts w:ascii="Arial Narrow" w:eastAsia="Times New Roman" w:hAnsi="Arial Narrow" w:cs="Calibri"/>
                <w:bCs/>
                <w:sz w:val="20"/>
                <w:szCs w:val="18"/>
              </w:rPr>
              <w:t>$</w:t>
            </w:r>
            <w:r w:rsidR="009669DF">
              <w:rPr>
                <w:rFonts w:ascii="Arial Narrow" w:eastAsia="Times New Roman" w:hAnsi="Arial Narrow" w:cs="Calibri"/>
                <w:bCs/>
                <w:noProof/>
                <w:color w:val="000000"/>
                <w:sz w:val="20"/>
                <w:szCs w:val="18"/>
                <w:highlight w:val="black"/>
              </w:rPr>
              <w:t>'''''''''''''''''</w:t>
            </w:r>
          </w:p>
        </w:tc>
        <w:tc>
          <w:tcPr>
            <w:tcW w:w="638"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r w:rsidRPr="001D0723">
              <w:rPr>
                <w:rFonts w:ascii="Arial Narrow" w:eastAsia="Times New Roman" w:hAnsi="Arial Narrow"/>
                <w:bCs/>
                <w:sz w:val="20"/>
                <w:szCs w:val="18"/>
              </w:rPr>
              <w:t>3.423</w:t>
            </w:r>
          </w:p>
        </w:tc>
        <w:tc>
          <w:tcPr>
            <w:tcW w:w="410"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2.745</w:t>
            </w:r>
          </w:p>
        </w:tc>
        <w:tc>
          <w:tcPr>
            <w:tcW w:w="450"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0.678</w:t>
            </w:r>
          </w:p>
        </w:tc>
        <w:tc>
          <w:tcPr>
            <w:tcW w:w="487"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
                <w:bCs/>
                <w:strike/>
                <w:sz w:val="20"/>
                <w:szCs w:val="18"/>
                <w:u w:val="single"/>
              </w:rPr>
            </w:pPr>
            <w:r w:rsidRPr="001D0723">
              <w:rPr>
                <w:rFonts w:ascii="Arial Narrow" w:eastAsia="Times New Roman" w:hAnsi="Arial Narrow"/>
                <w:b/>
                <w:bCs/>
                <w:sz w:val="20"/>
                <w:szCs w:val="18"/>
                <w:u w:val="single"/>
              </w:rPr>
              <w:t>$</w:t>
            </w:r>
            <w:r w:rsidR="009669DF">
              <w:rPr>
                <w:rFonts w:ascii="Arial Narrow" w:eastAsia="Times New Roman" w:hAnsi="Arial Narrow"/>
                <w:b/>
                <w:bCs/>
                <w:noProof/>
                <w:color w:val="000000"/>
                <w:sz w:val="20"/>
                <w:szCs w:val="18"/>
                <w:highlight w:val="black"/>
                <w:u w:val="single"/>
              </w:rPr>
              <w:t>''''''''''''</w:t>
            </w:r>
          </w:p>
        </w:tc>
      </w:tr>
      <w:tr w:rsidR="00992FCE" w:rsidRPr="00A52774" w:rsidTr="009264C5">
        <w:trPr>
          <w:cantSplit/>
        </w:trPr>
        <w:tc>
          <w:tcPr>
            <w:tcW w:w="1490" w:type="pct"/>
            <w:vMerge w:val="restart"/>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Cs/>
                <w:sz w:val="20"/>
                <w:szCs w:val="18"/>
              </w:rPr>
            </w:pPr>
            <w:r w:rsidRPr="00A52774">
              <w:rPr>
                <w:rFonts w:ascii="Arial Narrow" w:eastAsia="Times New Roman" w:hAnsi="Arial Narrow"/>
                <w:bCs/>
                <w:sz w:val="20"/>
                <w:szCs w:val="18"/>
              </w:rPr>
              <w:t xml:space="preserve">Extrapolate to 5 years, QALYs using baseline PASI </w:t>
            </w:r>
            <w:r w:rsidRPr="00A52774">
              <w:rPr>
                <w:rFonts w:ascii="Arial Narrow" w:eastAsia="Times New Roman" w:hAnsi="Arial Narrow" w:cs="Calibri"/>
                <w:bCs/>
                <w:sz w:val="20"/>
                <w:szCs w:val="18"/>
              </w:rPr>
              <w:t>≥</w:t>
            </w:r>
            <w:r w:rsidRPr="00A52774">
              <w:rPr>
                <w:rFonts w:ascii="Arial Narrow" w:eastAsia="Times New Roman" w:hAnsi="Arial Narrow"/>
                <w:bCs/>
                <w:sz w:val="20"/>
                <w:szCs w:val="18"/>
              </w:rPr>
              <w:t>12 to ≤15 utilities (0.89/0.79 responder/non-responder), include hospitalisation (major)</w:t>
            </w:r>
          </w:p>
        </w:tc>
        <w:tc>
          <w:tcPr>
            <w:tcW w:w="598"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16"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511"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i/>
                <w:sz w:val="20"/>
                <w:szCs w:val="18"/>
              </w:rPr>
            </w:pPr>
          </w:p>
        </w:tc>
        <w:tc>
          <w:tcPr>
            <w:tcW w:w="638"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10"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50"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87"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r>
      <w:tr w:rsidR="00992FCE" w:rsidRPr="00A52774" w:rsidTr="009264C5">
        <w:trPr>
          <w:cantSplit/>
        </w:trPr>
        <w:tc>
          <w:tcPr>
            <w:tcW w:w="1490" w:type="pct"/>
            <w:vMerge/>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Cs/>
                <w:sz w:val="20"/>
                <w:szCs w:val="18"/>
              </w:rPr>
            </w:pPr>
          </w:p>
        </w:tc>
        <w:tc>
          <w:tcPr>
            <w:tcW w:w="598"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cs="Calibri"/>
                <w:bCs/>
                <w:strike/>
                <w:sz w:val="20"/>
                <w:szCs w:val="18"/>
              </w:rPr>
            </w:pPr>
            <w:r w:rsidRPr="001D0723">
              <w:rPr>
                <w:rFonts w:ascii="Arial Narrow" w:eastAsia="Times New Roman" w:hAnsi="Arial Narrow" w:cs="Calibri"/>
                <w:bCs/>
                <w:sz w:val="20"/>
                <w:szCs w:val="18"/>
              </w:rPr>
              <w:t>$</w:t>
            </w:r>
            <w:r w:rsidR="009669DF">
              <w:rPr>
                <w:rFonts w:ascii="Arial Narrow" w:eastAsia="Times New Roman" w:hAnsi="Arial Narrow" w:cs="Calibri"/>
                <w:bCs/>
                <w:noProof/>
                <w:color w:val="000000"/>
                <w:sz w:val="20"/>
                <w:szCs w:val="18"/>
                <w:highlight w:val="black"/>
              </w:rPr>
              <w:t>''''''''''''''''</w:t>
            </w:r>
          </w:p>
        </w:tc>
        <w:tc>
          <w:tcPr>
            <w:tcW w:w="416"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cs="Calibri"/>
                <w:bCs/>
                <w:strike/>
                <w:sz w:val="20"/>
                <w:szCs w:val="18"/>
              </w:rPr>
            </w:pPr>
            <w:r w:rsidRPr="001D0723">
              <w:rPr>
                <w:rFonts w:ascii="Arial Narrow" w:eastAsia="Times New Roman" w:hAnsi="Arial Narrow" w:cs="Calibri"/>
                <w:bCs/>
                <w:sz w:val="20"/>
                <w:szCs w:val="18"/>
              </w:rPr>
              <w:t>$1,543</w:t>
            </w:r>
          </w:p>
        </w:tc>
        <w:tc>
          <w:tcPr>
            <w:tcW w:w="511"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cs="Calibri"/>
                <w:bCs/>
                <w:strike/>
                <w:sz w:val="20"/>
                <w:szCs w:val="18"/>
              </w:rPr>
            </w:pPr>
            <w:r w:rsidRPr="001D0723">
              <w:rPr>
                <w:rFonts w:ascii="Arial Narrow" w:eastAsia="Times New Roman" w:hAnsi="Arial Narrow" w:cs="Calibri"/>
                <w:bCs/>
                <w:sz w:val="20"/>
                <w:szCs w:val="18"/>
              </w:rPr>
              <w:t>$</w:t>
            </w:r>
            <w:r w:rsidR="009669DF">
              <w:rPr>
                <w:rFonts w:ascii="Arial Narrow" w:eastAsia="Times New Roman" w:hAnsi="Arial Narrow" w:cs="Calibri"/>
                <w:bCs/>
                <w:noProof/>
                <w:color w:val="000000"/>
                <w:sz w:val="20"/>
                <w:szCs w:val="18"/>
                <w:highlight w:val="black"/>
              </w:rPr>
              <w:t>''''''''''''''''</w:t>
            </w:r>
          </w:p>
        </w:tc>
        <w:tc>
          <w:tcPr>
            <w:tcW w:w="638"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r w:rsidRPr="001D0723">
              <w:rPr>
                <w:rFonts w:ascii="Arial Narrow" w:eastAsia="Times New Roman" w:hAnsi="Arial Narrow"/>
                <w:bCs/>
                <w:sz w:val="20"/>
                <w:szCs w:val="18"/>
              </w:rPr>
              <w:t>3.846</w:t>
            </w:r>
          </w:p>
        </w:tc>
        <w:tc>
          <w:tcPr>
            <w:tcW w:w="410"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3.621</w:t>
            </w:r>
          </w:p>
        </w:tc>
        <w:tc>
          <w:tcPr>
            <w:tcW w:w="450"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0.226</w:t>
            </w:r>
          </w:p>
        </w:tc>
        <w:tc>
          <w:tcPr>
            <w:tcW w:w="487" w:type="pct"/>
            <w:tcBorders>
              <w:top w:val="nil"/>
              <w:bottom w:val="single" w:sz="4" w:space="0" w:color="auto"/>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w:t>
            </w:r>
            <w:r w:rsidR="009669DF">
              <w:rPr>
                <w:rFonts w:ascii="Arial Narrow" w:eastAsia="Times New Roman" w:hAnsi="Arial Narrow"/>
                <w:bCs/>
                <w:noProof/>
                <w:color w:val="000000"/>
                <w:sz w:val="20"/>
                <w:szCs w:val="18"/>
                <w:highlight w:val="black"/>
              </w:rPr>
              <w:t>'''''''''''''''''''''</w:t>
            </w:r>
          </w:p>
        </w:tc>
      </w:tr>
      <w:tr w:rsidR="00992FCE" w:rsidRPr="00A52774" w:rsidTr="009264C5">
        <w:trPr>
          <w:cantSplit/>
        </w:trPr>
        <w:tc>
          <w:tcPr>
            <w:tcW w:w="1490" w:type="pct"/>
            <w:vMerge w:val="restart"/>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
                <w:bCs/>
                <w:sz w:val="20"/>
                <w:szCs w:val="18"/>
              </w:rPr>
            </w:pPr>
            <w:r w:rsidRPr="00A52774">
              <w:rPr>
                <w:rFonts w:ascii="Arial Narrow" w:eastAsia="Times New Roman" w:hAnsi="Arial Narrow"/>
                <w:b/>
                <w:bCs/>
                <w:sz w:val="20"/>
                <w:szCs w:val="18"/>
                <w:u w:val="single"/>
              </w:rPr>
              <w:t>Base case ICER</w:t>
            </w:r>
            <w:r w:rsidRPr="00A52774">
              <w:rPr>
                <w:rFonts w:ascii="Arial Narrow" w:eastAsia="Times New Roman" w:hAnsi="Arial Narrow"/>
                <w:b/>
                <w:bCs/>
                <w:sz w:val="20"/>
                <w:szCs w:val="18"/>
              </w:rPr>
              <w:t xml:space="preserve"> (PASI ≥12 to ≤15)</w:t>
            </w:r>
          </w:p>
          <w:p w:rsidR="00992FCE" w:rsidRPr="00A52774" w:rsidRDefault="00992FCE" w:rsidP="009264C5">
            <w:pPr>
              <w:keepNext/>
              <w:widowControl w:val="0"/>
              <w:spacing w:after="0" w:line="240" w:lineRule="auto"/>
              <w:rPr>
                <w:rFonts w:ascii="Arial Narrow" w:eastAsia="Times New Roman" w:hAnsi="Arial Narrow"/>
                <w:bCs/>
                <w:sz w:val="20"/>
                <w:szCs w:val="18"/>
              </w:rPr>
            </w:pPr>
            <w:r w:rsidRPr="00A52774">
              <w:rPr>
                <w:rFonts w:ascii="Arial Narrow" w:eastAsia="Times New Roman" w:hAnsi="Arial Narrow"/>
                <w:bCs/>
                <w:sz w:val="20"/>
                <w:szCs w:val="18"/>
              </w:rPr>
              <w:t xml:space="preserve">Extrapolate to 5 years, QALYs using baseline PASI </w:t>
            </w:r>
            <w:r w:rsidRPr="00A52774">
              <w:rPr>
                <w:rFonts w:ascii="Arial Narrow" w:eastAsia="Times New Roman" w:hAnsi="Arial Narrow" w:cs="Calibri"/>
                <w:bCs/>
                <w:sz w:val="20"/>
                <w:szCs w:val="18"/>
              </w:rPr>
              <w:t>≥</w:t>
            </w:r>
            <w:r w:rsidRPr="00A52774">
              <w:rPr>
                <w:rFonts w:ascii="Arial Narrow" w:eastAsia="Times New Roman" w:hAnsi="Arial Narrow"/>
                <w:bCs/>
                <w:sz w:val="20"/>
                <w:szCs w:val="18"/>
              </w:rPr>
              <w:t>12 to ≤15 utilities (0.89/0.79 responder/non-responder) and lower non-responder hospitalisation cost (minor)</w:t>
            </w:r>
          </w:p>
        </w:tc>
        <w:tc>
          <w:tcPr>
            <w:tcW w:w="598"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16"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511"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638"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10"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50"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c>
          <w:tcPr>
            <w:tcW w:w="487" w:type="pct"/>
            <w:tcBorders>
              <w:bottom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p>
        </w:tc>
      </w:tr>
      <w:tr w:rsidR="00992FCE" w:rsidRPr="00A52774" w:rsidTr="009264C5">
        <w:trPr>
          <w:cantSplit/>
        </w:trPr>
        <w:tc>
          <w:tcPr>
            <w:tcW w:w="1490" w:type="pct"/>
            <w:vMerge/>
            <w:shd w:val="clear" w:color="auto" w:fill="FFFFFF"/>
            <w:vAlign w:val="center"/>
          </w:tcPr>
          <w:p w:rsidR="00992FCE" w:rsidRPr="00A52774" w:rsidRDefault="00992FCE" w:rsidP="009264C5">
            <w:pPr>
              <w:keepNext/>
              <w:widowControl w:val="0"/>
              <w:spacing w:after="0" w:line="240" w:lineRule="auto"/>
              <w:rPr>
                <w:rFonts w:ascii="Arial Narrow" w:eastAsia="Times New Roman" w:hAnsi="Arial Narrow"/>
                <w:b/>
                <w:bCs/>
                <w:sz w:val="20"/>
                <w:szCs w:val="18"/>
                <w:u w:val="single"/>
              </w:rPr>
            </w:pPr>
          </w:p>
        </w:tc>
        <w:tc>
          <w:tcPr>
            <w:tcW w:w="598" w:type="pct"/>
            <w:tcBorders>
              <w:top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cs="Calibri"/>
                <w:bCs/>
                <w:strike/>
                <w:sz w:val="20"/>
                <w:szCs w:val="18"/>
              </w:rPr>
            </w:pPr>
            <w:r w:rsidRPr="001D0723">
              <w:rPr>
                <w:rFonts w:ascii="Arial Narrow" w:eastAsia="Times New Roman" w:hAnsi="Arial Narrow" w:cs="Calibri"/>
                <w:bCs/>
                <w:sz w:val="20"/>
                <w:szCs w:val="18"/>
              </w:rPr>
              <w:t>$</w:t>
            </w:r>
            <w:r w:rsidR="009669DF">
              <w:rPr>
                <w:rFonts w:ascii="Arial Narrow" w:eastAsia="Times New Roman" w:hAnsi="Arial Narrow" w:cs="Calibri"/>
                <w:bCs/>
                <w:noProof/>
                <w:color w:val="000000"/>
                <w:sz w:val="20"/>
                <w:szCs w:val="18"/>
                <w:highlight w:val="black"/>
              </w:rPr>
              <w:t>'''''''''''''''''</w:t>
            </w:r>
          </w:p>
        </w:tc>
        <w:tc>
          <w:tcPr>
            <w:tcW w:w="416" w:type="pct"/>
            <w:tcBorders>
              <w:top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cs="Calibri"/>
                <w:bCs/>
                <w:strike/>
                <w:sz w:val="20"/>
                <w:szCs w:val="18"/>
              </w:rPr>
            </w:pPr>
            <w:r w:rsidRPr="001D0723">
              <w:rPr>
                <w:rFonts w:ascii="Arial Narrow" w:eastAsia="Times New Roman" w:hAnsi="Arial Narrow" w:cs="Calibri"/>
                <w:bCs/>
                <w:sz w:val="20"/>
                <w:szCs w:val="18"/>
              </w:rPr>
              <w:t>$447</w:t>
            </w:r>
          </w:p>
        </w:tc>
        <w:tc>
          <w:tcPr>
            <w:tcW w:w="511" w:type="pct"/>
            <w:tcBorders>
              <w:top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cs="Calibri"/>
                <w:bCs/>
                <w:strike/>
                <w:sz w:val="20"/>
                <w:szCs w:val="18"/>
              </w:rPr>
            </w:pPr>
            <w:r w:rsidRPr="001D0723">
              <w:rPr>
                <w:rFonts w:ascii="Arial Narrow" w:eastAsia="Times New Roman" w:hAnsi="Arial Narrow" w:cs="Calibri"/>
                <w:bCs/>
                <w:sz w:val="20"/>
                <w:szCs w:val="18"/>
              </w:rPr>
              <w:t>$</w:t>
            </w:r>
            <w:r w:rsidR="009669DF">
              <w:rPr>
                <w:rFonts w:ascii="Arial Narrow" w:eastAsia="Times New Roman" w:hAnsi="Arial Narrow" w:cs="Calibri"/>
                <w:bCs/>
                <w:noProof/>
                <w:color w:val="000000"/>
                <w:sz w:val="20"/>
                <w:szCs w:val="18"/>
                <w:highlight w:val="black"/>
              </w:rPr>
              <w:t>'''''''''''''''</w:t>
            </w:r>
          </w:p>
        </w:tc>
        <w:tc>
          <w:tcPr>
            <w:tcW w:w="638" w:type="pct"/>
            <w:tcBorders>
              <w:top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z w:val="20"/>
                <w:szCs w:val="18"/>
              </w:rPr>
            </w:pPr>
            <w:r w:rsidRPr="001D0723">
              <w:rPr>
                <w:rFonts w:ascii="Arial Narrow" w:eastAsia="Times New Roman" w:hAnsi="Arial Narrow"/>
                <w:bCs/>
                <w:sz w:val="20"/>
                <w:szCs w:val="18"/>
              </w:rPr>
              <w:t>3.846</w:t>
            </w:r>
          </w:p>
        </w:tc>
        <w:tc>
          <w:tcPr>
            <w:tcW w:w="410" w:type="pct"/>
            <w:tcBorders>
              <w:top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3.621</w:t>
            </w:r>
          </w:p>
        </w:tc>
        <w:tc>
          <w:tcPr>
            <w:tcW w:w="450" w:type="pct"/>
            <w:tcBorders>
              <w:top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Cs/>
                <w:strike/>
                <w:sz w:val="20"/>
                <w:szCs w:val="18"/>
              </w:rPr>
            </w:pPr>
            <w:r w:rsidRPr="001D0723">
              <w:rPr>
                <w:rFonts w:ascii="Arial Narrow" w:eastAsia="Times New Roman" w:hAnsi="Arial Narrow"/>
                <w:bCs/>
                <w:sz w:val="20"/>
                <w:szCs w:val="18"/>
              </w:rPr>
              <w:t>0.226</w:t>
            </w:r>
          </w:p>
        </w:tc>
        <w:tc>
          <w:tcPr>
            <w:tcW w:w="487" w:type="pct"/>
            <w:tcBorders>
              <w:top w:val="nil"/>
            </w:tcBorders>
            <w:shd w:val="clear" w:color="auto" w:fill="FFFFFF"/>
            <w:vAlign w:val="center"/>
          </w:tcPr>
          <w:p w:rsidR="00992FCE" w:rsidRPr="001D0723" w:rsidRDefault="00992FCE" w:rsidP="009264C5">
            <w:pPr>
              <w:keepNext/>
              <w:widowControl w:val="0"/>
              <w:spacing w:after="0" w:line="240" w:lineRule="auto"/>
              <w:jc w:val="center"/>
              <w:rPr>
                <w:rFonts w:ascii="Arial Narrow" w:eastAsia="Times New Roman" w:hAnsi="Arial Narrow"/>
                <w:b/>
                <w:bCs/>
                <w:strike/>
                <w:sz w:val="20"/>
                <w:szCs w:val="18"/>
                <w:u w:val="single"/>
              </w:rPr>
            </w:pPr>
            <w:r w:rsidRPr="001D0723">
              <w:rPr>
                <w:rFonts w:ascii="Arial Narrow" w:eastAsia="Times New Roman" w:hAnsi="Arial Narrow"/>
                <w:b/>
                <w:bCs/>
                <w:sz w:val="20"/>
                <w:szCs w:val="18"/>
                <w:u w:val="single"/>
              </w:rPr>
              <w:t>$</w:t>
            </w:r>
            <w:r w:rsidR="009669DF">
              <w:rPr>
                <w:rFonts w:ascii="Arial Narrow" w:eastAsia="Times New Roman" w:hAnsi="Arial Narrow"/>
                <w:b/>
                <w:bCs/>
                <w:noProof/>
                <w:color w:val="000000"/>
                <w:sz w:val="20"/>
                <w:szCs w:val="18"/>
                <w:highlight w:val="black"/>
                <w:u w:val="single"/>
              </w:rPr>
              <w:t>'''''''''''''''</w:t>
            </w:r>
          </w:p>
        </w:tc>
      </w:tr>
    </w:tbl>
    <w:p w:rsidR="00992FCE" w:rsidRPr="00A52774" w:rsidRDefault="00992FCE" w:rsidP="00992FCE">
      <w:pPr>
        <w:pStyle w:val="TableFigureFooter"/>
        <w:keepNext/>
        <w:widowControl w:val="0"/>
        <w:rPr>
          <w:rFonts w:cstheme="minorHAnsi"/>
          <w:sz w:val="20"/>
          <w:szCs w:val="20"/>
        </w:rPr>
      </w:pPr>
      <w:r w:rsidRPr="00A52774">
        <w:rPr>
          <w:rFonts w:cstheme="minorHAnsi"/>
          <w:sz w:val="20"/>
          <w:szCs w:val="20"/>
        </w:rPr>
        <w:t>Source: derived from the modelled economic evaluation</w:t>
      </w:r>
      <w:r w:rsidR="00ED0482" w:rsidRPr="00A52774">
        <w:rPr>
          <w:rFonts w:cstheme="minorHAnsi"/>
          <w:sz w:val="20"/>
          <w:szCs w:val="20"/>
        </w:rPr>
        <w:t xml:space="preserve"> </w:t>
      </w:r>
    </w:p>
    <w:p w:rsidR="00992FCE" w:rsidRPr="00A52774" w:rsidRDefault="00992FCE" w:rsidP="00992FCE">
      <w:pPr>
        <w:pStyle w:val="3Bodytext"/>
        <w:numPr>
          <w:ilvl w:val="0"/>
          <w:numId w:val="0"/>
        </w:numPr>
        <w:rPr>
          <w:rFonts w:ascii="Arial Narrow" w:hAnsi="Arial Narrow"/>
          <w:b/>
          <w:sz w:val="20"/>
          <w:szCs w:val="20"/>
        </w:rPr>
      </w:pPr>
    </w:p>
    <w:p w:rsidR="00992FCE" w:rsidRPr="00A52774" w:rsidRDefault="00992FCE" w:rsidP="00ED6A0E">
      <w:pPr>
        <w:pStyle w:val="3Bodytext"/>
      </w:pPr>
      <w:r w:rsidRPr="00A52774">
        <w:t>The Existing ICER</w:t>
      </w:r>
      <w:r w:rsidR="00ED6A0E">
        <w:t>,</w:t>
      </w:r>
      <w:r w:rsidRPr="00A52774">
        <w:t xml:space="preserve"> for secukinumab versus placebo in patients with</w:t>
      </w:r>
      <w:r w:rsidR="00ED6A0E">
        <w:t xml:space="preserve"> a</w:t>
      </w:r>
      <w:r w:rsidRPr="00A52774">
        <w:t xml:space="preserve"> baseline PASI &gt;</w:t>
      </w:r>
      <w:r w:rsidR="00A23307">
        <w:t xml:space="preserve"> </w:t>
      </w:r>
      <w:r w:rsidRPr="00A52774">
        <w:t>15</w:t>
      </w:r>
      <w:r w:rsidR="00ED6A0E">
        <w:t>,</w:t>
      </w:r>
      <w:r w:rsidRPr="00A52774">
        <w:t xml:space="preserve"> was estimated to be </w:t>
      </w:r>
      <w:r w:rsidR="00BC7D5C" w:rsidRPr="00BC7D5C">
        <w:t>$15,000/QALY - $45,000/QALY</w:t>
      </w:r>
      <w:r w:rsidRPr="00A52774">
        <w:t>. The</w:t>
      </w:r>
      <w:r w:rsidR="00F566B0">
        <w:t xml:space="preserve"> Base case</w:t>
      </w:r>
      <w:r w:rsidRPr="00A52774">
        <w:t xml:space="preserve"> ICER</w:t>
      </w:r>
      <w:r w:rsidR="00ED6A0E">
        <w:t>,</w:t>
      </w:r>
      <w:r w:rsidRPr="00A52774">
        <w:t xml:space="preserve"> </w:t>
      </w:r>
      <w:r w:rsidR="00ED6A0E">
        <w:t>in patients with a</w:t>
      </w:r>
      <w:r w:rsidR="00ED6A0E" w:rsidRPr="00ED6A0E">
        <w:t xml:space="preserve"> baseline PASI of ≥ 12 and ≤ 15</w:t>
      </w:r>
      <w:r w:rsidR="00ED6A0E">
        <w:t xml:space="preserve">, was </w:t>
      </w:r>
      <w:r w:rsidR="00BC7D5C" w:rsidRPr="00BC7D5C">
        <w:t>$105,000/QALY – $200,000/QALY</w:t>
      </w:r>
      <w:r w:rsidRPr="00A52774">
        <w:t>.</w:t>
      </w:r>
    </w:p>
    <w:p w:rsidR="00992FCE" w:rsidRPr="00A52774" w:rsidRDefault="00992FCE" w:rsidP="00BC7D5C">
      <w:pPr>
        <w:pStyle w:val="3Bodytext"/>
      </w:pPr>
      <w:r w:rsidRPr="00A52774">
        <w:t xml:space="preserve">In order for the Base case ICER to match the Existing ICER, the indication specific </w:t>
      </w:r>
      <w:r w:rsidR="00410343">
        <w:t>dispensed price for maximum quantity (</w:t>
      </w:r>
      <w:r w:rsidRPr="00A52774">
        <w:t>DPMQ</w:t>
      </w:r>
      <w:r w:rsidR="00410343">
        <w:t>)</w:t>
      </w:r>
      <w:r w:rsidRPr="00A52774">
        <w:t xml:space="preserve"> (2 × 150mg pens) </w:t>
      </w:r>
      <w:r w:rsidR="00F566B0">
        <w:t xml:space="preserve">of secukinumab </w:t>
      </w:r>
      <w:r w:rsidRPr="00A52774">
        <w:t>for patients with baseline PASI ≥</w:t>
      </w:r>
      <w:r w:rsidR="00024FC6">
        <w:t xml:space="preserve"> </w:t>
      </w:r>
      <w:r w:rsidRPr="00A52774">
        <w:t>12 to ≤</w:t>
      </w:r>
      <w:r w:rsidR="00024FC6">
        <w:t xml:space="preserve"> </w:t>
      </w:r>
      <w:r w:rsidRPr="00A52774">
        <w:t xml:space="preserve">15 would need to be </w:t>
      </w:r>
      <w:r w:rsidRPr="00FF3B86">
        <w:t>$</w:t>
      </w:r>
      <w:r w:rsidR="009669DF">
        <w:rPr>
          <w:noProof/>
          <w:color w:val="000000"/>
          <w:highlight w:val="black"/>
        </w:rPr>
        <w:t>''''''''''''</w:t>
      </w:r>
      <w:r w:rsidRPr="00A52774">
        <w:t xml:space="preserve">, representing a </w:t>
      </w:r>
      <w:r w:rsidR="009669DF">
        <w:rPr>
          <w:noProof/>
          <w:color w:val="000000"/>
          <w:highlight w:val="black"/>
        </w:rPr>
        <w:t>''''''''</w:t>
      </w:r>
      <w:r w:rsidRPr="00FF3B86">
        <w:t>%</w:t>
      </w:r>
      <w:r w:rsidRPr="00A52774">
        <w:t xml:space="preserve"> reduction </w:t>
      </w:r>
      <w:r w:rsidR="00A23307">
        <w:t>from</w:t>
      </w:r>
      <w:r w:rsidRPr="00A52774">
        <w:t xml:space="preserve"> the current indication specific price.  </w:t>
      </w:r>
    </w:p>
    <w:p w:rsidR="00602CA6" w:rsidRDefault="00992FCE" w:rsidP="00D62022">
      <w:pPr>
        <w:pStyle w:val="3Bodytext"/>
      </w:pPr>
      <w:r w:rsidRPr="00A52774">
        <w:t xml:space="preserve">The ICER for both the Base case and Existing ICER </w:t>
      </w:r>
      <w:r w:rsidR="00410343" w:rsidRPr="00A52774">
        <w:t>are sensitive</w:t>
      </w:r>
      <w:r w:rsidRPr="00A52774">
        <w:t xml:space="preserve"> to the utility values</w:t>
      </w:r>
      <w:r w:rsidR="00C1666E" w:rsidRPr="00A52774">
        <w:t xml:space="preserve"> </w:t>
      </w:r>
      <w:r w:rsidR="00410343" w:rsidRPr="00A52774">
        <w:t>used and the</w:t>
      </w:r>
      <w:r w:rsidRPr="00A52774">
        <w:t xml:space="preserve"> proportion of PASI 75 responders.  The ICER was not sensitive to adding more lines of treatment, cycle length changes or placebo maintenance rates.</w:t>
      </w:r>
      <w:r w:rsidR="009103A9">
        <w:t xml:space="preserve"> </w:t>
      </w:r>
      <w:r w:rsidRPr="00A52774">
        <w:t xml:space="preserve">The model </w:t>
      </w:r>
      <w:r w:rsidR="00F566B0">
        <w:t>was</w:t>
      </w:r>
      <w:r w:rsidRPr="00A52774">
        <w:t xml:space="preserve"> moderately sensitive to a change in time horizon, and while the current review adopts a 5 year time horizon, it may also be appropriate to co</w:t>
      </w:r>
      <w:r w:rsidR="008609E8" w:rsidRPr="00A52774">
        <w:t>nsider a 2 year time horizon (</w:t>
      </w:r>
      <w:r w:rsidR="00A23307">
        <w:t>‘</w:t>
      </w:r>
      <w:r w:rsidR="008609E8" w:rsidRPr="00A52774">
        <w:t>B</w:t>
      </w:r>
      <w:r w:rsidRPr="00A52774">
        <w:t>ase case</w:t>
      </w:r>
      <w:r w:rsidR="00A23307">
        <w:t>’</w:t>
      </w:r>
      <w:r w:rsidRPr="00A52774">
        <w:t xml:space="preserve"> ICER </w:t>
      </w:r>
      <w:r w:rsidR="00BC7D5C" w:rsidRPr="00BC7D5C">
        <w:t>$105,000/QALY – $200,000/QALY</w:t>
      </w:r>
      <w:r w:rsidRPr="00A52774">
        <w:t>) given that b</w:t>
      </w:r>
      <w:r w:rsidR="00A23307">
        <w:t>iologics</w:t>
      </w:r>
      <w:r w:rsidRPr="00A52774">
        <w:t xml:space="preserve"> are currently listed on a cost</w:t>
      </w:r>
      <w:r w:rsidR="009103A9">
        <w:t>-</w:t>
      </w:r>
      <w:r w:rsidRPr="00A52774">
        <w:t xml:space="preserve">minimisation basis (of total cost) </w:t>
      </w:r>
      <w:r w:rsidRPr="009221DA">
        <w:t>over 104 weeks (2 years)</w:t>
      </w:r>
      <w:r w:rsidRPr="00A52774">
        <w:t xml:space="preserve">.  </w:t>
      </w:r>
    </w:p>
    <w:p w:rsidR="009264C5" w:rsidRPr="005235FC" w:rsidRDefault="00F30443" w:rsidP="005235FC">
      <w:pPr>
        <w:pStyle w:val="2Sections"/>
        <w:numPr>
          <w:ilvl w:val="0"/>
          <w:numId w:val="0"/>
        </w:numPr>
        <w:rPr>
          <w:rStyle w:val="Emphasis"/>
          <w:sz w:val="28"/>
          <w:szCs w:val="28"/>
        </w:rPr>
      </w:pPr>
      <w:r w:rsidRPr="005235FC">
        <w:rPr>
          <w:rStyle w:val="Emphasis"/>
          <w:sz w:val="28"/>
          <w:szCs w:val="28"/>
        </w:rPr>
        <w:t>Estimated PBS usage &amp; financial implications</w:t>
      </w:r>
    </w:p>
    <w:p w:rsidR="00FB606D" w:rsidRDefault="00FB606D" w:rsidP="009264C5">
      <w:pPr>
        <w:pStyle w:val="3Bodytext"/>
      </w:pPr>
      <w:r>
        <w:t xml:space="preserve">The CER was considered by </w:t>
      </w:r>
      <w:r w:rsidR="00AF7A06">
        <w:t xml:space="preserve">the </w:t>
      </w:r>
      <w:r>
        <w:t>DUSC</w:t>
      </w:r>
      <w:r w:rsidR="00F861BB">
        <w:t xml:space="preserve"> in June 2020</w:t>
      </w:r>
      <w:r>
        <w:t>.</w:t>
      </w:r>
    </w:p>
    <w:p w:rsidR="009264C5" w:rsidRPr="00A52774" w:rsidRDefault="009264C5" w:rsidP="009264C5">
      <w:pPr>
        <w:pStyle w:val="3Bodytext"/>
      </w:pPr>
      <w:r w:rsidRPr="00A52774">
        <w:lastRenderedPageBreak/>
        <w:t>The number of CPP patients with baseline PASI ≥</w:t>
      </w:r>
      <w:r w:rsidR="00024FC6">
        <w:t xml:space="preserve"> </w:t>
      </w:r>
      <w:r w:rsidRPr="00A52774">
        <w:t>12 to ≤</w:t>
      </w:r>
      <w:r w:rsidR="00024FC6">
        <w:t xml:space="preserve"> </w:t>
      </w:r>
      <w:r w:rsidRPr="00A52774">
        <w:t>15 estimated to use b</w:t>
      </w:r>
      <w:r w:rsidR="00024FC6">
        <w:t>iologics</w:t>
      </w:r>
      <w:r w:rsidRPr="00A52774">
        <w:t xml:space="preserve"> is summarised in </w:t>
      </w:r>
      <w:r w:rsidRPr="00A52774">
        <w:rPr>
          <w:b/>
        </w:rPr>
        <w:t>Table 4</w:t>
      </w:r>
      <w:r w:rsidRPr="00A52774">
        <w:t>.</w:t>
      </w:r>
    </w:p>
    <w:p w:rsidR="009264C5" w:rsidRPr="00A52774" w:rsidRDefault="009264C5" w:rsidP="009264C5">
      <w:pPr>
        <w:rPr>
          <w:rFonts w:ascii="Arial Narrow" w:hAnsi="Arial Narrow" w:cstheme="minorHAnsi"/>
          <w:i/>
          <w:color w:val="FF0000"/>
          <w:sz w:val="20"/>
          <w:szCs w:val="20"/>
        </w:rPr>
      </w:pPr>
      <w:r w:rsidRPr="00A52774">
        <w:rPr>
          <w:rFonts w:ascii="Arial Narrow" w:eastAsia="Times New Roman" w:hAnsi="Arial Narrow" w:cstheme="minorHAnsi"/>
          <w:b/>
          <w:iCs/>
          <w:sz w:val="20"/>
          <w:szCs w:val="20"/>
        </w:rPr>
        <w:t>Table 4</w:t>
      </w:r>
      <w:r w:rsidRPr="00A52774">
        <w:rPr>
          <w:rFonts w:ascii="Arial Narrow" w:eastAsia="Times New Roman" w:hAnsi="Arial Narrow" w:cstheme="minorHAnsi"/>
          <w:b/>
          <w:iCs/>
          <w:sz w:val="20"/>
          <w:szCs w:val="20"/>
        </w:rPr>
        <w:tab/>
        <w:t>Estimated number of CPP patients with baseline PASI ≥</w:t>
      </w:r>
      <w:r w:rsidR="005D7BFA">
        <w:rPr>
          <w:rFonts w:ascii="Arial Narrow" w:eastAsia="Times New Roman" w:hAnsi="Arial Narrow" w:cstheme="minorHAnsi"/>
          <w:b/>
          <w:iCs/>
          <w:sz w:val="20"/>
          <w:szCs w:val="20"/>
        </w:rPr>
        <w:t xml:space="preserve"> </w:t>
      </w:r>
      <w:r w:rsidRPr="00A52774">
        <w:rPr>
          <w:rFonts w:ascii="Arial Narrow" w:eastAsia="Times New Roman" w:hAnsi="Arial Narrow" w:cstheme="minorHAnsi"/>
          <w:b/>
          <w:iCs/>
          <w:sz w:val="20"/>
          <w:szCs w:val="20"/>
        </w:rPr>
        <w:t>12 to ≤</w:t>
      </w:r>
      <w:r w:rsidR="005D7BFA">
        <w:rPr>
          <w:rFonts w:ascii="Arial Narrow" w:eastAsia="Times New Roman" w:hAnsi="Arial Narrow" w:cstheme="minorHAnsi"/>
          <w:b/>
          <w:iCs/>
          <w:sz w:val="20"/>
          <w:szCs w:val="20"/>
        </w:rPr>
        <w:t xml:space="preserve"> </w:t>
      </w:r>
      <w:r w:rsidRPr="00A52774">
        <w:rPr>
          <w:rFonts w:ascii="Arial Narrow" w:eastAsia="Times New Roman" w:hAnsi="Arial Narrow" w:cstheme="minorHAnsi"/>
          <w:b/>
          <w:iCs/>
          <w:sz w:val="20"/>
          <w:szCs w:val="20"/>
        </w:rPr>
        <w:t xml:space="preserve">15 treated with </w:t>
      </w:r>
      <w:r w:rsidR="00F861BB">
        <w:rPr>
          <w:rFonts w:ascii="Arial Narrow" w:eastAsia="Times New Roman" w:hAnsi="Arial Narrow" w:cstheme="minorHAnsi"/>
          <w:b/>
          <w:iCs/>
          <w:sz w:val="20"/>
          <w:szCs w:val="20"/>
        </w:rPr>
        <w:t>biologics</w:t>
      </w:r>
    </w:p>
    <w:tbl>
      <w:tblPr>
        <w:tblStyle w:val="TableGridbeth1"/>
        <w:tblW w:w="9072" w:type="dxa"/>
        <w:tblInd w:w="-5" w:type="dxa"/>
        <w:tblCellMar>
          <w:left w:w="28" w:type="dxa"/>
          <w:right w:w="28" w:type="dxa"/>
        </w:tblCellMar>
        <w:tblLook w:val="04A0" w:firstRow="1" w:lastRow="0" w:firstColumn="1" w:lastColumn="0" w:noHBand="0" w:noVBand="1"/>
      </w:tblPr>
      <w:tblGrid>
        <w:gridCol w:w="2522"/>
        <w:gridCol w:w="1134"/>
        <w:gridCol w:w="1135"/>
        <w:gridCol w:w="1135"/>
        <w:gridCol w:w="1134"/>
        <w:gridCol w:w="1135"/>
        <w:gridCol w:w="877"/>
      </w:tblGrid>
      <w:tr w:rsidR="009264C5" w:rsidRPr="00A52774" w:rsidTr="009264C5">
        <w:tc>
          <w:tcPr>
            <w:tcW w:w="2522" w:type="dxa"/>
            <w:tcBorders>
              <w:bottom w:val="nil"/>
            </w:tcBorders>
            <w:vAlign w:val="center"/>
          </w:tcPr>
          <w:p w:rsidR="009264C5" w:rsidRPr="00A52774" w:rsidRDefault="009264C5" w:rsidP="009264C5">
            <w:pPr>
              <w:keepNext/>
              <w:spacing w:before="40" w:after="40"/>
              <w:rPr>
                <w:rFonts w:ascii="Arial Narrow" w:hAnsi="Arial Narrow" w:cstheme="minorHAnsi"/>
              </w:rPr>
            </w:pPr>
          </w:p>
        </w:tc>
        <w:tc>
          <w:tcPr>
            <w:tcW w:w="1134"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2020</w:t>
            </w:r>
          </w:p>
        </w:tc>
        <w:tc>
          <w:tcPr>
            <w:tcW w:w="1135"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2021</w:t>
            </w:r>
          </w:p>
        </w:tc>
        <w:tc>
          <w:tcPr>
            <w:tcW w:w="1135"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2022</w:t>
            </w:r>
          </w:p>
        </w:tc>
        <w:tc>
          <w:tcPr>
            <w:tcW w:w="1134"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2023</w:t>
            </w:r>
          </w:p>
        </w:tc>
        <w:tc>
          <w:tcPr>
            <w:tcW w:w="1135"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2024</w:t>
            </w:r>
          </w:p>
        </w:tc>
        <w:tc>
          <w:tcPr>
            <w:tcW w:w="877"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2025</w:t>
            </w:r>
          </w:p>
        </w:tc>
      </w:tr>
      <w:tr w:rsidR="009264C5" w:rsidRPr="00A52774" w:rsidTr="009264C5">
        <w:tc>
          <w:tcPr>
            <w:tcW w:w="2522" w:type="dxa"/>
            <w:tcBorders>
              <w:top w:val="nil"/>
            </w:tcBorders>
            <w:vAlign w:val="center"/>
          </w:tcPr>
          <w:p w:rsidR="009264C5" w:rsidRPr="00A52774" w:rsidRDefault="009264C5" w:rsidP="009264C5">
            <w:pPr>
              <w:keepNext/>
              <w:spacing w:before="40" w:after="40"/>
              <w:rPr>
                <w:rFonts w:ascii="Arial Narrow" w:hAnsi="Arial Narrow" w:cstheme="minorHAnsi"/>
              </w:rPr>
            </w:pPr>
          </w:p>
        </w:tc>
        <w:tc>
          <w:tcPr>
            <w:tcW w:w="1134"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Year 1</w:t>
            </w:r>
          </w:p>
        </w:tc>
        <w:tc>
          <w:tcPr>
            <w:tcW w:w="1135"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Year 2</w:t>
            </w:r>
          </w:p>
        </w:tc>
        <w:tc>
          <w:tcPr>
            <w:tcW w:w="1135"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Year 3</w:t>
            </w:r>
          </w:p>
        </w:tc>
        <w:tc>
          <w:tcPr>
            <w:tcW w:w="1134"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Year 4</w:t>
            </w:r>
          </w:p>
        </w:tc>
        <w:tc>
          <w:tcPr>
            <w:tcW w:w="1135"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Year 5</w:t>
            </w:r>
          </w:p>
        </w:tc>
        <w:tc>
          <w:tcPr>
            <w:tcW w:w="877"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Year 6</w:t>
            </w:r>
          </w:p>
        </w:tc>
      </w:tr>
      <w:tr w:rsidR="009264C5" w:rsidRPr="00A52774" w:rsidTr="009264C5">
        <w:tc>
          <w:tcPr>
            <w:tcW w:w="2522" w:type="dxa"/>
            <w:vAlign w:val="center"/>
          </w:tcPr>
          <w:p w:rsidR="009264C5" w:rsidRPr="00A52774" w:rsidRDefault="009264C5" w:rsidP="009264C5">
            <w:pPr>
              <w:keepNext/>
              <w:spacing w:before="40" w:after="40"/>
              <w:rPr>
                <w:rFonts w:ascii="Arial Narrow" w:hAnsi="Arial Narrow" w:cstheme="minorHAnsi"/>
              </w:rPr>
            </w:pPr>
            <w:r w:rsidRPr="00A52774">
              <w:rPr>
                <w:rFonts w:ascii="Arial Narrow" w:hAnsi="Arial Narrow" w:cstheme="minorHAnsi"/>
              </w:rPr>
              <w:t>Australian population</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25,873,480</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26,301,274</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26,727,025</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27,147,199</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27,562,195</w:t>
            </w:r>
          </w:p>
        </w:tc>
        <w:tc>
          <w:tcPr>
            <w:tcW w:w="877"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27,970,435</w:t>
            </w:r>
          </w:p>
        </w:tc>
      </w:tr>
      <w:tr w:rsidR="009264C5" w:rsidRPr="00A52774" w:rsidTr="009264C5">
        <w:tc>
          <w:tcPr>
            <w:tcW w:w="2522" w:type="dxa"/>
            <w:vAlign w:val="center"/>
          </w:tcPr>
          <w:p w:rsidR="009264C5" w:rsidRPr="00A52774" w:rsidRDefault="009264C5" w:rsidP="009264C5">
            <w:pPr>
              <w:keepNext/>
              <w:spacing w:before="40" w:after="40"/>
              <w:rPr>
                <w:rFonts w:ascii="Arial Narrow" w:hAnsi="Arial Narrow" w:cstheme="minorHAnsi"/>
              </w:rPr>
            </w:pPr>
            <w:r w:rsidRPr="00A52774">
              <w:rPr>
                <w:rFonts w:ascii="Arial Narrow" w:hAnsi="Arial Narrow" w:cstheme="minorHAnsi"/>
              </w:rPr>
              <w:t>Psoriasis prevalence</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646,837</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657,532</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668,176</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678,680</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689,055</w:t>
            </w:r>
          </w:p>
        </w:tc>
        <w:tc>
          <w:tcPr>
            <w:tcW w:w="877"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699,261</w:t>
            </w:r>
          </w:p>
        </w:tc>
      </w:tr>
      <w:tr w:rsidR="009264C5" w:rsidRPr="00A52774" w:rsidTr="009264C5">
        <w:tc>
          <w:tcPr>
            <w:tcW w:w="2522" w:type="dxa"/>
            <w:vAlign w:val="center"/>
          </w:tcPr>
          <w:p w:rsidR="009264C5" w:rsidRPr="00A52774" w:rsidRDefault="009264C5" w:rsidP="009264C5">
            <w:pPr>
              <w:keepNext/>
              <w:spacing w:before="40" w:after="40"/>
              <w:rPr>
                <w:rFonts w:ascii="Arial Narrow" w:hAnsi="Arial Narrow" w:cstheme="minorHAnsi"/>
              </w:rPr>
            </w:pPr>
            <w:r w:rsidRPr="00A52774">
              <w:rPr>
                <w:rFonts w:ascii="Arial Narrow" w:hAnsi="Arial Narrow" w:cstheme="minorHAnsi"/>
              </w:rPr>
              <w:t>CPP prevalence</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511,001</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519,450</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527,859</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536,157</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544,353</w:t>
            </w:r>
          </w:p>
        </w:tc>
        <w:tc>
          <w:tcPr>
            <w:tcW w:w="877"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552,416</w:t>
            </w:r>
          </w:p>
        </w:tc>
      </w:tr>
      <w:tr w:rsidR="009264C5" w:rsidRPr="00A52774" w:rsidTr="009264C5">
        <w:tc>
          <w:tcPr>
            <w:tcW w:w="2522" w:type="dxa"/>
            <w:vAlign w:val="center"/>
          </w:tcPr>
          <w:p w:rsidR="009264C5" w:rsidRPr="00A52774" w:rsidRDefault="009264C5" w:rsidP="009264C5">
            <w:pPr>
              <w:keepNext/>
              <w:spacing w:before="40" w:after="40"/>
              <w:rPr>
                <w:rFonts w:ascii="Arial Narrow" w:hAnsi="Arial Narrow" w:cstheme="minorHAnsi"/>
              </w:rPr>
            </w:pPr>
            <w:r w:rsidRPr="00A52774">
              <w:rPr>
                <w:rFonts w:ascii="Arial Narrow" w:hAnsi="Arial Narrow" w:cstheme="minorHAnsi"/>
              </w:rPr>
              <w:t>CPP PASI ≥10 to ≤15</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40,880</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41,556</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42,229</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42,893</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43,548</w:t>
            </w:r>
          </w:p>
        </w:tc>
        <w:tc>
          <w:tcPr>
            <w:tcW w:w="877"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44,193</w:t>
            </w:r>
          </w:p>
        </w:tc>
      </w:tr>
      <w:tr w:rsidR="009264C5" w:rsidRPr="00A52774" w:rsidTr="009264C5">
        <w:tc>
          <w:tcPr>
            <w:tcW w:w="2522" w:type="dxa"/>
            <w:vAlign w:val="center"/>
          </w:tcPr>
          <w:p w:rsidR="009264C5" w:rsidRPr="00A52774" w:rsidRDefault="009264C5" w:rsidP="009264C5">
            <w:pPr>
              <w:keepNext/>
              <w:spacing w:before="40" w:after="40"/>
              <w:rPr>
                <w:rFonts w:ascii="Arial Narrow" w:hAnsi="Arial Narrow" w:cstheme="minorHAnsi"/>
              </w:rPr>
            </w:pPr>
            <w:r w:rsidRPr="00A52774">
              <w:rPr>
                <w:rFonts w:ascii="Arial Narrow" w:hAnsi="Arial Narrow" w:cstheme="minorHAnsi"/>
              </w:rPr>
              <w:t>CPP PASI ≥12 to ≤15</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17,170</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17,454</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17,736</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18,015</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18,290</w:t>
            </w:r>
          </w:p>
        </w:tc>
        <w:tc>
          <w:tcPr>
            <w:tcW w:w="877"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18,561</w:t>
            </w:r>
          </w:p>
        </w:tc>
      </w:tr>
      <w:tr w:rsidR="009264C5" w:rsidRPr="00A52774" w:rsidTr="009264C5">
        <w:tc>
          <w:tcPr>
            <w:tcW w:w="2522" w:type="dxa"/>
            <w:vAlign w:val="center"/>
          </w:tcPr>
          <w:p w:rsidR="009264C5" w:rsidRPr="00A52774" w:rsidRDefault="00AC6D95" w:rsidP="009264C5">
            <w:pPr>
              <w:keepNext/>
              <w:spacing w:before="40" w:after="40"/>
              <w:rPr>
                <w:rFonts w:ascii="Arial Narrow" w:hAnsi="Arial Narrow" w:cstheme="minorHAnsi"/>
              </w:rPr>
            </w:pPr>
            <w:r>
              <w:rPr>
                <w:rFonts w:ascii="Arial Narrow" w:hAnsi="Arial Narrow" w:cstheme="minorHAnsi"/>
              </w:rPr>
              <w:t>Eligible for biologic</w:t>
            </w:r>
            <w:r w:rsidR="009264C5" w:rsidRPr="00A52774">
              <w:rPr>
                <w:rFonts w:ascii="Arial Narrow" w:hAnsi="Arial Narrow" w:cstheme="minorHAnsi"/>
              </w:rPr>
              <w:t>s</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10,680</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10,856</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11,032</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11,205</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11,377</w:t>
            </w:r>
          </w:p>
        </w:tc>
        <w:tc>
          <w:tcPr>
            <w:tcW w:w="877"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11,545</w:t>
            </w:r>
          </w:p>
        </w:tc>
      </w:tr>
      <w:tr w:rsidR="009264C5" w:rsidRPr="00A52774" w:rsidTr="009264C5">
        <w:tc>
          <w:tcPr>
            <w:tcW w:w="2522" w:type="dxa"/>
            <w:vAlign w:val="center"/>
          </w:tcPr>
          <w:p w:rsidR="009264C5" w:rsidRPr="00A52774" w:rsidRDefault="009264C5" w:rsidP="009264C5">
            <w:pPr>
              <w:keepNext/>
              <w:spacing w:before="40" w:after="40"/>
              <w:rPr>
                <w:rFonts w:ascii="Arial Narrow" w:hAnsi="Arial Narrow" w:cstheme="minorHAnsi"/>
                <w:b/>
              </w:rPr>
            </w:pPr>
            <w:r w:rsidRPr="00A52774">
              <w:rPr>
                <w:rFonts w:ascii="Arial Narrow" w:hAnsi="Arial Narrow" w:cstheme="minorHAnsi"/>
                <w:b/>
              </w:rPr>
              <w:t>Total patient uptake</w:t>
            </w:r>
          </w:p>
        </w:tc>
        <w:tc>
          <w:tcPr>
            <w:tcW w:w="1134"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4,405</w:t>
            </w:r>
          </w:p>
        </w:tc>
        <w:tc>
          <w:tcPr>
            <w:tcW w:w="1135"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4,750</w:t>
            </w:r>
          </w:p>
        </w:tc>
        <w:tc>
          <w:tcPr>
            <w:tcW w:w="1135"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5,240</w:t>
            </w:r>
          </w:p>
        </w:tc>
        <w:tc>
          <w:tcPr>
            <w:tcW w:w="1134"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5,883</w:t>
            </w:r>
          </w:p>
        </w:tc>
        <w:tc>
          <w:tcPr>
            <w:tcW w:w="1135"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6,542</w:t>
            </w:r>
          </w:p>
        </w:tc>
        <w:tc>
          <w:tcPr>
            <w:tcW w:w="877" w:type="dxa"/>
            <w:vAlign w:val="center"/>
          </w:tcPr>
          <w:p w:rsidR="009264C5" w:rsidRPr="00A52774" w:rsidRDefault="009264C5" w:rsidP="009264C5">
            <w:pPr>
              <w:keepNext/>
              <w:spacing w:before="40" w:after="40"/>
              <w:jc w:val="center"/>
              <w:rPr>
                <w:rFonts w:ascii="Arial Narrow" w:hAnsi="Arial Narrow" w:cstheme="minorHAnsi"/>
                <w:b/>
              </w:rPr>
            </w:pPr>
            <w:r w:rsidRPr="00A52774">
              <w:rPr>
                <w:rFonts w:ascii="Arial Narrow" w:hAnsi="Arial Narrow" w:cstheme="minorHAnsi"/>
                <w:b/>
              </w:rPr>
              <w:t>6,638</w:t>
            </w:r>
          </w:p>
        </w:tc>
      </w:tr>
      <w:tr w:rsidR="009264C5" w:rsidRPr="00A52774" w:rsidTr="009264C5">
        <w:tc>
          <w:tcPr>
            <w:tcW w:w="2522" w:type="dxa"/>
            <w:vAlign w:val="center"/>
          </w:tcPr>
          <w:p w:rsidR="009264C5" w:rsidRPr="00A52774" w:rsidRDefault="009264C5" w:rsidP="009264C5">
            <w:pPr>
              <w:keepNext/>
              <w:spacing w:before="40" w:after="40"/>
              <w:ind w:left="306"/>
              <w:rPr>
                <w:rFonts w:ascii="Arial Narrow" w:hAnsi="Arial Narrow" w:cstheme="minorHAnsi"/>
              </w:rPr>
            </w:pPr>
            <w:r w:rsidRPr="00A52774">
              <w:rPr>
                <w:rFonts w:ascii="Arial Narrow" w:hAnsi="Arial Narrow" w:cstheme="minorHAnsi"/>
              </w:rPr>
              <w:t>Initiating patients</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4,405</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1,710</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1,439</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1,626</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1,709</w:t>
            </w:r>
          </w:p>
        </w:tc>
        <w:tc>
          <w:tcPr>
            <w:tcW w:w="877"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1,248</w:t>
            </w:r>
          </w:p>
        </w:tc>
      </w:tr>
      <w:tr w:rsidR="009264C5" w:rsidRPr="00A52774" w:rsidTr="009264C5">
        <w:tc>
          <w:tcPr>
            <w:tcW w:w="2522" w:type="dxa"/>
            <w:vAlign w:val="center"/>
          </w:tcPr>
          <w:p w:rsidR="009264C5" w:rsidRPr="00A52774" w:rsidRDefault="009264C5" w:rsidP="009264C5">
            <w:pPr>
              <w:keepNext/>
              <w:spacing w:before="40" w:after="40"/>
              <w:ind w:left="306"/>
              <w:rPr>
                <w:rFonts w:ascii="Arial Narrow" w:hAnsi="Arial Narrow" w:cstheme="minorHAnsi"/>
              </w:rPr>
            </w:pPr>
            <w:r w:rsidRPr="00A52774">
              <w:rPr>
                <w:rFonts w:ascii="Arial Narrow" w:hAnsi="Arial Narrow" w:cstheme="minorHAnsi"/>
              </w:rPr>
              <w:t>Continuing patients</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0</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3,040</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3,801</w:t>
            </w:r>
          </w:p>
        </w:tc>
        <w:tc>
          <w:tcPr>
            <w:tcW w:w="1134"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4,257</w:t>
            </w:r>
          </w:p>
        </w:tc>
        <w:tc>
          <w:tcPr>
            <w:tcW w:w="1135"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4,832</w:t>
            </w:r>
          </w:p>
        </w:tc>
        <w:tc>
          <w:tcPr>
            <w:tcW w:w="877" w:type="dxa"/>
            <w:vAlign w:val="center"/>
          </w:tcPr>
          <w:p w:rsidR="009264C5" w:rsidRPr="00A52774" w:rsidRDefault="009264C5" w:rsidP="009264C5">
            <w:pPr>
              <w:keepNext/>
              <w:spacing w:before="40" w:after="40"/>
              <w:jc w:val="center"/>
              <w:rPr>
                <w:rFonts w:ascii="Arial Narrow" w:hAnsi="Arial Narrow" w:cstheme="minorHAnsi"/>
              </w:rPr>
            </w:pPr>
            <w:r w:rsidRPr="00A52774">
              <w:rPr>
                <w:rFonts w:ascii="Arial Narrow" w:hAnsi="Arial Narrow" w:cstheme="minorHAnsi"/>
              </w:rPr>
              <w:t>5,390</w:t>
            </w:r>
          </w:p>
        </w:tc>
      </w:tr>
    </w:tbl>
    <w:p w:rsidR="009264C5" w:rsidRPr="00A52774" w:rsidRDefault="009264C5" w:rsidP="009264C5">
      <w:pPr>
        <w:pStyle w:val="3Bodytext"/>
        <w:numPr>
          <w:ilvl w:val="0"/>
          <w:numId w:val="0"/>
        </w:numPr>
        <w:ind w:left="720" w:hanging="720"/>
        <w:rPr>
          <w:rFonts w:ascii="Arial Narrow" w:hAnsi="Arial Narrow"/>
          <w:sz w:val="20"/>
          <w:szCs w:val="20"/>
        </w:rPr>
      </w:pPr>
      <w:r w:rsidRPr="00A52774">
        <w:rPr>
          <w:rFonts w:ascii="Arial Narrow" w:hAnsi="Arial Narrow"/>
          <w:sz w:val="20"/>
          <w:szCs w:val="20"/>
        </w:rPr>
        <w:t>Source: derived during</w:t>
      </w:r>
      <w:r w:rsidR="00853728">
        <w:rPr>
          <w:rFonts w:ascii="Arial Narrow" w:hAnsi="Arial Narrow"/>
          <w:sz w:val="20"/>
          <w:szCs w:val="20"/>
        </w:rPr>
        <w:t xml:space="preserve"> the evaluation </w:t>
      </w:r>
      <w:r w:rsidRPr="00A52774">
        <w:rPr>
          <w:rFonts w:ascii="Arial Narrow" w:hAnsi="Arial Narrow"/>
          <w:sz w:val="20"/>
          <w:szCs w:val="20"/>
        </w:rPr>
        <w:t xml:space="preserve"> </w:t>
      </w:r>
    </w:p>
    <w:p w:rsidR="009264C5" w:rsidRPr="00A52774" w:rsidRDefault="008609E8" w:rsidP="009264C5">
      <w:pPr>
        <w:pStyle w:val="3Bodytext"/>
      </w:pPr>
      <w:r w:rsidRPr="00A52774">
        <w:t>The uptake rate used in the B</w:t>
      </w:r>
      <w:r w:rsidR="009264C5" w:rsidRPr="00A52774">
        <w:t xml:space="preserve">ase case was the unweighted average of the assumed uptake rates applied in the </w:t>
      </w:r>
      <w:r w:rsidR="009264C5" w:rsidRPr="00F861BB">
        <w:t>ustekinumab 2009 and adalimumab 2013 submissions</w:t>
      </w:r>
      <w:r w:rsidR="009264C5" w:rsidRPr="00A52774">
        <w:t xml:space="preserve"> (i.e. 41%, 44%, 48%, 53%, 58%, and 58% from </w:t>
      </w:r>
      <w:r w:rsidR="00AF7A06">
        <w:t>Y</w:t>
      </w:r>
      <w:r w:rsidR="009264C5" w:rsidRPr="00A52774">
        <w:t>ears 1 to 6 respectively). The PBAC had previously noted that the patient estimates in the adalimumab submission were highly uncertain and were considerably lower than estimates revised during evaluation</w:t>
      </w:r>
      <w:r w:rsidR="00DD7CD3">
        <w:t xml:space="preserve"> </w:t>
      </w:r>
      <w:r w:rsidR="00DD7CD3" w:rsidRPr="00A52774">
        <w:t>(</w:t>
      </w:r>
      <w:r w:rsidR="00DD7CD3">
        <w:t xml:space="preserve">paragraph 12.8 </w:t>
      </w:r>
      <w:r w:rsidR="00DD7CD3" w:rsidRPr="00A52774">
        <w:t xml:space="preserve">adalimumab </w:t>
      </w:r>
      <w:r w:rsidR="00163DDC">
        <w:t xml:space="preserve">PSD </w:t>
      </w:r>
      <w:r w:rsidR="00DD7CD3" w:rsidRPr="00A52774">
        <w:t>March 2013)</w:t>
      </w:r>
      <w:r w:rsidR="009264C5" w:rsidRPr="00A52774">
        <w:t>. The assumed uptake rates applied in the ustekinumab (2009) and adalimu</w:t>
      </w:r>
      <w:r w:rsidR="00410343">
        <w:t>mab (2013) submissions were tested</w:t>
      </w:r>
      <w:r w:rsidR="009264C5" w:rsidRPr="00A52774">
        <w:t xml:space="preserve"> in sensitivity analyses.</w:t>
      </w:r>
    </w:p>
    <w:p w:rsidR="009264C5" w:rsidRPr="00A52774" w:rsidRDefault="009264C5" w:rsidP="009264C5">
      <w:pPr>
        <w:numPr>
          <w:ilvl w:val="1"/>
          <w:numId w:val="1"/>
        </w:numPr>
        <w:spacing w:after="120" w:line="240" w:lineRule="auto"/>
        <w:jc w:val="both"/>
        <w:rPr>
          <w:rFonts w:asciiTheme="minorHAnsi" w:hAnsiTheme="minorHAnsi" w:cstheme="minorHAnsi"/>
          <w:szCs w:val="22"/>
        </w:rPr>
      </w:pPr>
      <w:r w:rsidRPr="00A52774">
        <w:rPr>
          <w:rFonts w:asciiTheme="minorHAnsi" w:hAnsiTheme="minorHAnsi" w:cstheme="minorBidi"/>
          <w:szCs w:val="22"/>
        </w:rPr>
        <w:t>The PBAC has previously noted that subsidised use of biologics outside PBS restrictions,</w:t>
      </w:r>
      <w:r w:rsidR="005D7BFA">
        <w:rPr>
          <w:rFonts w:asciiTheme="minorHAnsi" w:hAnsiTheme="minorHAnsi" w:cstheme="minorBidi"/>
          <w:szCs w:val="22"/>
        </w:rPr>
        <w:t xml:space="preserve"> i.e.</w:t>
      </w:r>
      <w:r w:rsidRPr="00A52774">
        <w:rPr>
          <w:rFonts w:asciiTheme="minorHAnsi" w:hAnsiTheme="minorHAnsi" w:cstheme="minorBidi"/>
          <w:szCs w:val="22"/>
        </w:rPr>
        <w:t xml:space="preserve"> in patients with less severe CPP</w:t>
      </w:r>
      <w:r w:rsidR="00410343">
        <w:rPr>
          <w:rFonts w:asciiTheme="minorHAnsi" w:hAnsiTheme="minorHAnsi" w:cstheme="minorBidi"/>
          <w:szCs w:val="22"/>
        </w:rPr>
        <w:t>, was a risk</w:t>
      </w:r>
      <w:r w:rsidRPr="00A52774">
        <w:rPr>
          <w:rFonts w:asciiTheme="minorHAnsi" w:hAnsiTheme="minorHAnsi" w:cstheme="minorBidi"/>
          <w:szCs w:val="22"/>
        </w:rPr>
        <w:t xml:space="preserve"> as determination of a PASI score is subjective (paragraph 12.9 adalimumab PSD March 2013). In addition, it is unclear how the uptake rate in those with less severe disease (PASI ≥</w:t>
      </w:r>
      <w:r w:rsidR="005D7BFA">
        <w:rPr>
          <w:rFonts w:asciiTheme="minorHAnsi" w:hAnsiTheme="minorHAnsi" w:cstheme="minorBidi"/>
          <w:szCs w:val="22"/>
        </w:rPr>
        <w:t xml:space="preserve"> </w:t>
      </w:r>
      <w:r w:rsidRPr="00A52774">
        <w:rPr>
          <w:rFonts w:asciiTheme="minorHAnsi" w:hAnsiTheme="minorHAnsi" w:cstheme="minorBidi"/>
          <w:szCs w:val="22"/>
        </w:rPr>
        <w:t>12 to ≤</w:t>
      </w:r>
      <w:r w:rsidR="005D7BFA">
        <w:rPr>
          <w:rFonts w:asciiTheme="minorHAnsi" w:hAnsiTheme="minorHAnsi" w:cstheme="minorBidi"/>
          <w:szCs w:val="22"/>
        </w:rPr>
        <w:t xml:space="preserve"> </w:t>
      </w:r>
      <w:r w:rsidRPr="00A52774">
        <w:rPr>
          <w:rFonts w:asciiTheme="minorHAnsi" w:hAnsiTheme="minorHAnsi" w:cstheme="minorBidi"/>
          <w:szCs w:val="22"/>
        </w:rPr>
        <w:t>15) will compare to the uptake rate in those with severe disease (PASI &gt;</w:t>
      </w:r>
      <w:r w:rsidR="005D7BFA">
        <w:rPr>
          <w:rFonts w:asciiTheme="minorHAnsi" w:hAnsiTheme="minorHAnsi" w:cstheme="minorBidi"/>
          <w:szCs w:val="22"/>
        </w:rPr>
        <w:t xml:space="preserve"> </w:t>
      </w:r>
      <w:r w:rsidRPr="00A52774">
        <w:rPr>
          <w:rFonts w:asciiTheme="minorHAnsi" w:hAnsiTheme="minorHAnsi" w:cstheme="minorBidi"/>
          <w:szCs w:val="22"/>
        </w:rPr>
        <w:t>15). Barriers to access</w:t>
      </w:r>
      <w:r w:rsidR="00781093">
        <w:rPr>
          <w:rFonts w:asciiTheme="minorHAnsi" w:hAnsiTheme="minorHAnsi" w:cstheme="minorBidi"/>
          <w:szCs w:val="22"/>
        </w:rPr>
        <w:t>ing</w:t>
      </w:r>
      <w:r w:rsidRPr="00A52774">
        <w:rPr>
          <w:rFonts w:asciiTheme="minorHAnsi" w:hAnsiTheme="minorHAnsi" w:cstheme="minorBidi"/>
          <w:szCs w:val="22"/>
        </w:rPr>
        <w:t xml:space="preserve"> b</w:t>
      </w:r>
      <w:r w:rsidRPr="00A52774">
        <w:rPr>
          <w:rFonts w:asciiTheme="minorHAnsi" w:hAnsiTheme="minorHAnsi" w:cstheme="minorHAnsi"/>
          <w:szCs w:val="22"/>
        </w:rPr>
        <w:t xml:space="preserve">iologics, including the requirement to see a dermatologist and acceptability of injection, may influence uptake rates in a subgroup with less severe disease.  </w:t>
      </w:r>
    </w:p>
    <w:p w:rsidR="009264C5" w:rsidRPr="00A52774" w:rsidRDefault="008609E8" w:rsidP="00902299">
      <w:pPr>
        <w:pStyle w:val="3Bodytext"/>
        <w:rPr>
          <w:rFonts w:cstheme="minorHAnsi"/>
        </w:rPr>
      </w:pPr>
      <w:r w:rsidRPr="00A52774">
        <w:rPr>
          <w:rFonts w:cstheme="minorHAnsi"/>
          <w:szCs w:val="24"/>
        </w:rPr>
        <w:t>In the B</w:t>
      </w:r>
      <w:r w:rsidR="009264C5" w:rsidRPr="00A52774">
        <w:rPr>
          <w:rFonts w:cstheme="minorHAnsi"/>
          <w:szCs w:val="24"/>
        </w:rPr>
        <w:t>ase</w:t>
      </w:r>
      <w:r w:rsidR="00902299">
        <w:rPr>
          <w:rFonts w:cstheme="minorHAnsi"/>
          <w:szCs w:val="24"/>
        </w:rPr>
        <w:t xml:space="preserve"> case,</w:t>
      </w:r>
      <w:r w:rsidR="00902299" w:rsidRPr="00902299">
        <w:t xml:space="preserve"> </w:t>
      </w:r>
      <w:r w:rsidR="00902299" w:rsidRPr="00902299">
        <w:rPr>
          <w:rFonts w:cstheme="minorHAnsi"/>
          <w:szCs w:val="24"/>
        </w:rPr>
        <w:t xml:space="preserve">it is assumed that secukinumab will be the only biologic used in the baseline PASI ≥ 12 to ≤ 15 subgroup. The estimated expenditure on secukinumab in CPP patients with baseline PASI ≥ 12 to ≤ 15 using effective prices and assuming a </w:t>
      </w:r>
      <w:r w:rsidR="00D84365">
        <w:rPr>
          <w:rFonts w:cstheme="minorHAnsi"/>
          <w:noProof/>
          <w:color w:val="000000"/>
          <w:szCs w:val="24"/>
          <w:highlight w:val="black"/>
        </w:rPr>
        <w:t>''''''''''''</w:t>
      </w:r>
      <w:r w:rsidR="0052072D">
        <w:rPr>
          <w:rFonts w:cstheme="minorHAnsi"/>
          <w:noProof/>
          <w:color w:val="000000"/>
          <w:szCs w:val="24"/>
        </w:rPr>
        <w:t>%</w:t>
      </w:r>
      <w:r w:rsidR="00902299" w:rsidRPr="00902299">
        <w:rPr>
          <w:rFonts w:cstheme="minorHAnsi"/>
          <w:szCs w:val="24"/>
        </w:rPr>
        <w:t xml:space="preserve"> price reduction is presented in </w:t>
      </w:r>
      <w:r w:rsidR="00902299" w:rsidRPr="00902299">
        <w:rPr>
          <w:rFonts w:cstheme="minorHAnsi"/>
          <w:b/>
          <w:szCs w:val="24"/>
        </w:rPr>
        <w:t>Table 5</w:t>
      </w:r>
      <w:r w:rsidR="00902299" w:rsidRPr="00902299">
        <w:rPr>
          <w:rFonts w:cstheme="minorHAnsi"/>
          <w:szCs w:val="24"/>
        </w:rPr>
        <w:t>.</w:t>
      </w:r>
      <w:r w:rsidR="009264C5" w:rsidRPr="00A52774">
        <w:rPr>
          <w:rFonts w:cstheme="minorHAnsi"/>
          <w:szCs w:val="24"/>
        </w:rPr>
        <w:t xml:space="preserve"> </w:t>
      </w:r>
    </w:p>
    <w:p w:rsidR="009264C5" w:rsidRPr="00A52774" w:rsidRDefault="009264C5" w:rsidP="009264C5">
      <w:pPr>
        <w:keepNext/>
        <w:spacing w:after="40" w:line="240" w:lineRule="auto"/>
        <w:jc w:val="both"/>
        <w:rPr>
          <w:rFonts w:ascii="Arial Narrow" w:eastAsia="Times New Roman" w:hAnsi="Arial Narrow" w:cstheme="minorHAnsi"/>
          <w:b/>
          <w:iCs/>
          <w:sz w:val="20"/>
          <w:szCs w:val="20"/>
        </w:rPr>
      </w:pPr>
      <w:bookmarkStart w:id="2" w:name="_Ref25233377"/>
      <w:bookmarkStart w:id="3" w:name="_Ref38456584"/>
      <w:r w:rsidRPr="00A52774">
        <w:rPr>
          <w:rFonts w:ascii="Arial Narrow" w:eastAsia="Times New Roman" w:hAnsi="Arial Narrow" w:cstheme="minorHAnsi"/>
          <w:b/>
          <w:iCs/>
          <w:sz w:val="20"/>
          <w:szCs w:val="20"/>
        </w:rPr>
        <w:lastRenderedPageBreak/>
        <w:t xml:space="preserve">Table </w:t>
      </w:r>
      <w:bookmarkEnd w:id="2"/>
      <w:bookmarkEnd w:id="3"/>
      <w:r w:rsidRPr="00A52774">
        <w:rPr>
          <w:rFonts w:ascii="Arial Narrow" w:eastAsia="Times New Roman" w:hAnsi="Arial Narrow" w:cstheme="minorHAnsi"/>
          <w:b/>
          <w:iCs/>
          <w:sz w:val="20"/>
          <w:szCs w:val="20"/>
        </w:rPr>
        <w:t>5</w:t>
      </w:r>
      <w:r w:rsidRPr="00A52774">
        <w:rPr>
          <w:rFonts w:ascii="Arial Narrow" w:eastAsia="Times New Roman" w:hAnsi="Arial Narrow" w:cstheme="minorHAnsi"/>
          <w:b/>
          <w:iCs/>
          <w:noProof/>
          <w:sz w:val="20"/>
          <w:szCs w:val="20"/>
        </w:rPr>
        <w:tab/>
      </w:r>
      <w:r w:rsidRPr="00A52774">
        <w:rPr>
          <w:rFonts w:ascii="Arial Narrow" w:eastAsia="Times New Roman" w:hAnsi="Arial Narrow" w:cstheme="minorHAnsi"/>
          <w:b/>
          <w:iCs/>
          <w:sz w:val="20"/>
          <w:szCs w:val="20"/>
        </w:rPr>
        <w:t>Estimated expenditure on secukinumab in CPP patients with baseline PASI ≥</w:t>
      </w:r>
      <w:r w:rsidR="005D7BFA">
        <w:rPr>
          <w:rFonts w:ascii="Arial Narrow" w:eastAsia="Times New Roman" w:hAnsi="Arial Narrow" w:cstheme="minorHAnsi"/>
          <w:b/>
          <w:iCs/>
          <w:sz w:val="20"/>
          <w:szCs w:val="20"/>
        </w:rPr>
        <w:t xml:space="preserve"> </w:t>
      </w:r>
      <w:r w:rsidRPr="00A52774">
        <w:rPr>
          <w:rFonts w:ascii="Arial Narrow" w:eastAsia="Times New Roman" w:hAnsi="Arial Narrow" w:cstheme="minorHAnsi"/>
          <w:b/>
          <w:iCs/>
          <w:sz w:val="20"/>
          <w:szCs w:val="20"/>
        </w:rPr>
        <w:t>12 to ≤</w:t>
      </w:r>
      <w:r w:rsidR="005D7BFA">
        <w:rPr>
          <w:rFonts w:ascii="Arial Narrow" w:eastAsia="Times New Roman" w:hAnsi="Arial Narrow" w:cstheme="minorHAnsi"/>
          <w:b/>
          <w:iCs/>
          <w:sz w:val="20"/>
          <w:szCs w:val="20"/>
        </w:rPr>
        <w:t xml:space="preserve"> </w:t>
      </w:r>
      <w:r w:rsidRPr="00A52774">
        <w:rPr>
          <w:rFonts w:ascii="Arial Narrow" w:eastAsia="Times New Roman" w:hAnsi="Arial Narrow" w:cstheme="minorHAnsi"/>
          <w:b/>
          <w:iCs/>
          <w:sz w:val="20"/>
          <w:szCs w:val="20"/>
        </w:rPr>
        <w:t xml:space="preserve">15 using </w:t>
      </w:r>
      <w:r w:rsidR="005C2C6A">
        <w:rPr>
          <w:rFonts w:ascii="Arial Narrow" w:eastAsia="Times New Roman" w:hAnsi="Arial Narrow" w:cstheme="minorHAnsi"/>
          <w:b/>
          <w:iCs/>
          <w:sz w:val="20"/>
          <w:szCs w:val="20"/>
        </w:rPr>
        <w:t xml:space="preserve">published and </w:t>
      </w:r>
      <w:r w:rsidRPr="00A52774">
        <w:rPr>
          <w:rFonts w:ascii="Arial Narrow" w:eastAsia="Times New Roman" w:hAnsi="Arial Narrow" w:cstheme="minorHAnsi"/>
          <w:b/>
          <w:iCs/>
          <w:sz w:val="20"/>
          <w:szCs w:val="20"/>
        </w:rPr>
        <w:t xml:space="preserve">effective price and assuming </w:t>
      </w:r>
      <w:r w:rsidR="009669DF">
        <w:rPr>
          <w:rFonts w:ascii="Arial Narrow" w:eastAsia="Times New Roman" w:hAnsi="Arial Narrow" w:cstheme="minorHAnsi"/>
          <w:b/>
          <w:iCs/>
          <w:noProof/>
          <w:color w:val="000000"/>
          <w:sz w:val="20"/>
          <w:szCs w:val="20"/>
          <w:highlight w:val="black"/>
        </w:rPr>
        <w:t>''''''''</w:t>
      </w:r>
      <w:r w:rsidRPr="00FF3B86">
        <w:rPr>
          <w:rFonts w:ascii="Arial Narrow" w:eastAsia="Times New Roman" w:hAnsi="Arial Narrow" w:cstheme="minorHAnsi"/>
          <w:b/>
          <w:iCs/>
          <w:sz w:val="20"/>
          <w:szCs w:val="20"/>
        </w:rPr>
        <w:t>%</w:t>
      </w:r>
      <w:r w:rsidRPr="00A52774">
        <w:rPr>
          <w:rFonts w:ascii="Arial Narrow" w:eastAsia="Times New Roman" w:hAnsi="Arial Narrow" w:cstheme="minorHAnsi"/>
          <w:b/>
          <w:iCs/>
          <w:sz w:val="20"/>
          <w:szCs w:val="20"/>
        </w:rPr>
        <w:t xml:space="preserve"> price reduction </w:t>
      </w:r>
    </w:p>
    <w:tbl>
      <w:tblPr>
        <w:tblStyle w:val="TableGridbeth2"/>
        <w:tblW w:w="0" w:type="auto"/>
        <w:tblLayout w:type="fixed"/>
        <w:tblCellMar>
          <w:left w:w="28" w:type="dxa"/>
          <w:right w:w="28" w:type="dxa"/>
        </w:tblCellMar>
        <w:tblLook w:val="04A0" w:firstRow="1" w:lastRow="0" w:firstColumn="1" w:lastColumn="0" w:noHBand="0" w:noVBand="1"/>
      </w:tblPr>
      <w:tblGrid>
        <w:gridCol w:w="2405"/>
        <w:gridCol w:w="1134"/>
        <w:gridCol w:w="1134"/>
        <w:gridCol w:w="1134"/>
        <w:gridCol w:w="992"/>
        <w:gridCol w:w="1134"/>
        <w:gridCol w:w="1083"/>
      </w:tblGrid>
      <w:tr w:rsidR="009264C5" w:rsidRPr="00A52774" w:rsidTr="009264C5">
        <w:tc>
          <w:tcPr>
            <w:tcW w:w="2405" w:type="dxa"/>
            <w:tcBorders>
              <w:bottom w:val="nil"/>
            </w:tcBorders>
            <w:vAlign w:val="center"/>
          </w:tcPr>
          <w:p w:rsidR="009264C5" w:rsidRPr="00A52774" w:rsidRDefault="009264C5" w:rsidP="009264C5">
            <w:pPr>
              <w:keepNext/>
              <w:spacing w:before="40" w:after="40"/>
              <w:rPr>
                <w:rFonts w:ascii="Arial Narrow" w:hAnsi="Arial Narrow"/>
              </w:rPr>
            </w:pPr>
          </w:p>
        </w:tc>
        <w:tc>
          <w:tcPr>
            <w:tcW w:w="1134" w:type="dxa"/>
            <w:vAlign w:val="center"/>
          </w:tcPr>
          <w:p w:rsidR="009264C5" w:rsidRPr="00A52774" w:rsidRDefault="009264C5" w:rsidP="009264C5">
            <w:pPr>
              <w:keepNext/>
              <w:spacing w:before="40" w:after="40"/>
              <w:jc w:val="center"/>
              <w:rPr>
                <w:rFonts w:ascii="Arial Narrow" w:hAnsi="Arial Narrow"/>
                <w:b/>
              </w:rPr>
            </w:pPr>
            <w:r w:rsidRPr="00A52774">
              <w:rPr>
                <w:rFonts w:ascii="Arial Narrow" w:hAnsi="Arial Narrow" w:cs="Calibri"/>
                <w:b/>
              </w:rPr>
              <w:t>2020</w:t>
            </w:r>
          </w:p>
        </w:tc>
        <w:tc>
          <w:tcPr>
            <w:tcW w:w="1134" w:type="dxa"/>
            <w:vAlign w:val="center"/>
          </w:tcPr>
          <w:p w:rsidR="009264C5" w:rsidRPr="00A52774" w:rsidRDefault="009264C5" w:rsidP="009264C5">
            <w:pPr>
              <w:keepNext/>
              <w:spacing w:before="40" w:after="40"/>
              <w:jc w:val="center"/>
              <w:rPr>
                <w:rFonts w:ascii="Arial Narrow" w:hAnsi="Arial Narrow"/>
                <w:b/>
              </w:rPr>
            </w:pPr>
            <w:r w:rsidRPr="00A52774">
              <w:rPr>
                <w:rFonts w:ascii="Arial Narrow" w:hAnsi="Arial Narrow" w:cs="Calibri"/>
                <w:b/>
              </w:rPr>
              <w:t>2021</w:t>
            </w:r>
          </w:p>
        </w:tc>
        <w:tc>
          <w:tcPr>
            <w:tcW w:w="1134" w:type="dxa"/>
            <w:vAlign w:val="center"/>
          </w:tcPr>
          <w:p w:rsidR="009264C5" w:rsidRPr="00A52774" w:rsidRDefault="009264C5" w:rsidP="009264C5">
            <w:pPr>
              <w:keepNext/>
              <w:spacing w:before="40" w:after="40"/>
              <w:jc w:val="center"/>
              <w:rPr>
                <w:rFonts w:ascii="Arial Narrow" w:hAnsi="Arial Narrow"/>
                <w:b/>
              </w:rPr>
            </w:pPr>
            <w:r w:rsidRPr="00A52774">
              <w:rPr>
                <w:rFonts w:ascii="Arial Narrow" w:hAnsi="Arial Narrow" w:cs="Calibri"/>
                <w:b/>
              </w:rPr>
              <w:t>2022</w:t>
            </w:r>
          </w:p>
        </w:tc>
        <w:tc>
          <w:tcPr>
            <w:tcW w:w="992" w:type="dxa"/>
            <w:vAlign w:val="center"/>
          </w:tcPr>
          <w:p w:rsidR="009264C5" w:rsidRPr="00A52774" w:rsidRDefault="009264C5" w:rsidP="009264C5">
            <w:pPr>
              <w:keepNext/>
              <w:spacing w:before="40" w:after="40"/>
              <w:jc w:val="center"/>
              <w:rPr>
                <w:rFonts w:ascii="Arial Narrow" w:hAnsi="Arial Narrow"/>
                <w:b/>
              </w:rPr>
            </w:pPr>
            <w:r w:rsidRPr="00A52774">
              <w:rPr>
                <w:rFonts w:ascii="Arial Narrow" w:hAnsi="Arial Narrow" w:cs="Calibri"/>
                <w:b/>
              </w:rPr>
              <w:t>2023</w:t>
            </w:r>
          </w:p>
        </w:tc>
        <w:tc>
          <w:tcPr>
            <w:tcW w:w="1134" w:type="dxa"/>
            <w:vAlign w:val="center"/>
          </w:tcPr>
          <w:p w:rsidR="009264C5" w:rsidRPr="00A52774" w:rsidRDefault="009264C5" w:rsidP="009264C5">
            <w:pPr>
              <w:keepNext/>
              <w:spacing w:before="40" w:after="40"/>
              <w:jc w:val="center"/>
              <w:rPr>
                <w:rFonts w:ascii="Arial Narrow" w:hAnsi="Arial Narrow"/>
                <w:b/>
              </w:rPr>
            </w:pPr>
            <w:r w:rsidRPr="00A52774">
              <w:rPr>
                <w:rFonts w:ascii="Arial Narrow" w:hAnsi="Arial Narrow" w:cs="Calibri"/>
                <w:b/>
              </w:rPr>
              <w:t>2024</w:t>
            </w:r>
          </w:p>
        </w:tc>
        <w:tc>
          <w:tcPr>
            <w:tcW w:w="1083" w:type="dxa"/>
            <w:vAlign w:val="center"/>
          </w:tcPr>
          <w:p w:rsidR="009264C5" w:rsidRPr="00A52774" w:rsidRDefault="009264C5" w:rsidP="009264C5">
            <w:pPr>
              <w:keepNext/>
              <w:spacing w:before="40" w:after="40"/>
              <w:jc w:val="center"/>
              <w:rPr>
                <w:rFonts w:ascii="Arial Narrow" w:hAnsi="Arial Narrow"/>
                <w:b/>
              </w:rPr>
            </w:pPr>
            <w:r w:rsidRPr="00A52774">
              <w:rPr>
                <w:rFonts w:ascii="Arial Narrow" w:hAnsi="Arial Narrow" w:cs="Calibri"/>
                <w:b/>
              </w:rPr>
              <w:t>2025</w:t>
            </w:r>
          </w:p>
        </w:tc>
      </w:tr>
      <w:tr w:rsidR="009264C5" w:rsidRPr="00A52774" w:rsidTr="009264C5">
        <w:tc>
          <w:tcPr>
            <w:tcW w:w="2405" w:type="dxa"/>
            <w:tcBorders>
              <w:top w:val="nil"/>
              <w:bottom w:val="single" w:sz="4" w:space="0" w:color="auto"/>
            </w:tcBorders>
            <w:vAlign w:val="center"/>
          </w:tcPr>
          <w:p w:rsidR="009264C5" w:rsidRPr="00A52774" w:rsidRDefault="009264C5" w:rsidP="009264C5">
            <w:pPr>
              <w:keepNext/>
              <w:spacing w:before="40" w:after="40"/>
              <w:rPr>
                <w:rFonts w:ascii="Arial Narrow" w:hAnsi="Arial Narrow"/>
              </w:rPr>
            </w:pPr>
          </w:p>
        </w:tc>
        <w:tc>
          <w:tcPr>
            <w:tcW w:w="1134" w:type="dxa"/>
            <w:tcBorders>
              <w:bottom w:val="single" w:sz="4" w:space="0" w:color="auto"/>
            </w:tcBorders>
            <w:vAlign w:val="center"/>
          </w:tcPr>
          <w:p w:rsidR="009264C5" w:rsidRPr="00A52774" w:rsidRDefault="009264C5" w:rsidP="009264C5">
            <w:pPr>
              <w:keepNext/>
              <w:spacing w:before="40" w:after="40"/>
              <w:jc w:val="center"/>
              <w:rPr>
                <w:rFonts w:ascii="Arial Narrow" w:hAnsi="Arial Narrow"/>
                <w:b/>
              </w:rPr>
            </w:pPr>
            <w:r w:rsidRPr="00A52774">
              <w:rPr>
                <w:rFonts w:ascii="Arial Narrow" w:hAnsi="Arial Narrow" w:cs="Calibri"/>
                <w:b/>
              </w:rPr>
              <w:t>Year 1</w:t>
            </w:r>
          </w:p>
        </w:tc>
        <w:tc>
          <w:tcPr>
            <w:tcW w:w="1134" w:type="dxa"/>
            <w:tcBorders>
              <w:bottom w:val="single" w:sz="4" w:space="0" w:color="auto"/>
            </w:tcBorders>
            <w:vAlign w:val="center"/>
          </w:tcPr>
          <w:p w:rsidR="009264C5" w:rsidRPr="00A52774" w:rsidRDefault="009264C5" w:rsidP="009264C5">
            <w:pPr>
              <w:keepNext/>
              <w:spacing w:before="40" w:after="40"/>
              <w:jc w:val="center"/>
              <w:rPr>
                <w:rFonts w:ascii="Arial Narrow" w:hAnsi="Arial Narrow"/>
                <w:b/>
              </w:rPr>
            </w:pPr>
            <w:r w:rsidRPr="00A52774">
              <w:rPr>
                <w:rFonts w:ascii="Arial Narrow" w:hAnsi="Arial Narrow" w:cs="Calibri"/>
                <w:b/>
              </w:rPr>
              <w:t>Year 2</w:t>
            </w:r>
          </w:p>
        </w:tc>
        <w:tc>
          <w:tcPr>
            <w:tcW w:w="1134" w:type="dxa"/>
            <w:tcBorders>
              <w:bottom w:val="single" w:sz="4" w:space="0" w:color="auto"/>
            </w:tcBorders>
            <w:vAlign w:val="center"/>
          </w:tcPr>
          <w:p w:rsidR="009264C5" w:rsidRPr="00A52774" w:rsidRDefault="009264C5" w:rsidP="009264C5">
            <w:pPr>
              <w:keepNext/>
              <w:spacing w:before="40" w:after="40"/>
              <w:jc w:val="center"/>
              <w:rPr>
                <w:rFonts w:ascii="Arial Narrow" w:hAnsi="Arial Narrow"/>
                <w:b/>
              </w:rPr>
            </w:pPr>
            <w:r w:rsidRPr="00A52774">
              <w:rPr>
                <w:rFonts w:ascii="Arial Narrow" w:hAnsi="Arial Narrow" w:cs="Calibri"/>
                <w:b/>
              </w:rPr>
              <w:t>Year 3</w:t>
            </w:r>
          </w:p>
        </w:tc>
        <w:tc>
          <w:tcPr>
            <w:tcW w:w="992" w:type="dxa"/>
            <w:tcBorders>
              <w:bottom w:val="single" w:sz="4" w:space="0" w:color="auto"/>
            </w:tcBorders>
            <w:vAlign w:val="center"/>
          </w:tcPr>
          <w:p w:rsidR="009264C5" w:rsidRPr="00A52774" w:rsidRDefault="009264C5" w:rsidP="009264C5">
            <w:pPr>
              <w:keepNext/>
              <w:spacing w:before="40" w:after="40"/>
              <w:jc w:val="center"/>
              <w:rPr>
                <w:rFonts w:ascii="Arial Narrow" w:hAnsi="Arial Narrow"/>
                <w:b/>
              </w:rPr>
            </w:pPr>
            <w:r w:rsidRPr="00A52774">
              <w:rPr>
                <w:rFonts w:ascii="Arial Narrow" w:hAnsi="Arial Narrow" w:cs="Calibri"/>
                <w:b/>
              </w:rPr>
              <w:t>Year 4</w:t>
            </w:r>
          </w:p>
        </w:tc>
        <w:tc>
          <w:tcPr>
            <w:tcW w:w="1134" w:type="dxa"/>
            <w:tcBorders>
              <w:bottom w:val="single" w:sz="4" w:space="0" w:color="auto"/>
            </w:tcBorders>
            <w:vAlign w:val="center"/>
          </w:tcPr>
          <w:p w:rsidR="009264C5" w:rsidRPr="00A52774" w:rsidRDefault="009264C5" w:rsidP="009264C5">
            <w:pPr>
              <w:keepNext/>
              <w:spacing w:before="40" w:after="40"/>
              <w:jc w:val="center"/>
              <w:rPr>
                <w:rFonts w:ascii="Arial Narrow" w:hAnsi="Arial Narrow"/>
                <w:b/>
              </w:rPr>
            </w:pPr>
            <w:r w:rsidRPr="00A52774">
              <w:rPr>
                <w:rFonts w:ascii="Arial Narrow" w:hAnsi="Arial Narrow" w:cs="Calibri"/>
                <w:b/>
              </w:rPr>
              <w:t>Year 5</w:t>
            </w:r>
          </w:p>
        </w:tc>
        <w:tc>
          <w:tcPr>
            <w:tcW w:w="1083" w:type="dxa"/>
            <w:tcBorders>
              <w:bottom w:val="single" w:sz="4" w:space="0" w:color="auto"/>
            </w:tcBorders>
            <w:vAlign w:val="center"/>
          </w:tcPr>
          <w:p w:rsidR="009264C5" w:rsidRPr="00A52774" w:rsidRDefault="009264C5" w:rsidP="009264C5">
            <w:pPr>
              <w:keepNext/>
              <w:spacing w:before="40" w:after="40"/>
              <w:jc w:val="center"/>
              <w:rPr>
                <w:rFonts w:ascii="Arial Narrow" w:hAnsi="Arial Narrow"/>
                <w:b/>
              </w:rPr>
            </w:pPr>
            <w:r w:rsidRPr="00A52774">
              <w:rPr>
                <w:rFonts w:ascii="Arial Narrow" w:hAnsi="Arial Narrow" w:cs="Calibri"/>
                <w:b/>
              </w:rPr>
              <w:t>Year 6</w:t>
            </w:r>
          </w:p>
        </w:tc>
      </w:tr>
      <w:tr w:rsidR="009264C5" w:rsidRPr="00A52774" w:rsidTr="0009090F">
        <w:trPr>
          <w:trHeight w:val="93"/>
        </w:trPr>
        <w:tc>
          <w:tcPr>
            <w:tcW w:w="2405" w:type="dxa"/>
            <w:tcBorders>
              <w:top w:val="nil"/>
              <w:bottom w:val="single" w:sz="4" w:space="0" w:color="auto"/>
            </w:tcBorders>
            <w:vAlign w:val="center"/>
          </w:tcPr>
          <w:p w:rsidR="009264C5" w:rsidRPr="00A52774" w:rsidRDefault="0059227D" w:rsidP="009264C5">
            <w:pPr>
              <w:keepNext/>
              <w:spacing w:before="40" w:after="40"/>
              <w:rPr>
                <w:rFonts w:ascii="Arial Narrow" w:hAnsi="Arial Narrow" w:cs="Calibri"/>
              </w:rPr>
            </w:pPr>
            <w:r w:rsidRPr="00A52774">
              <w:rPr>
                <w:rFonts w:ascii="Arial Narrow" w:hAnsi="Arial Narrow" w:cs="Calibri"/>
              </w:rPr>
              <w:t>Total Scripts</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30,837</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51,485</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59,487</w:t>
            </w:r>
          </w:p>
        </w:tc>
        <w:tc>
          <w:tcPr>
            <w:tcW w:w="992"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66,722</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74,785</w:t>
            </w:r>
          </w:p>
        </w:tc>
        <w:tc>
          <w:tcPr>
            <w:tcW w:w="1083"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78,809</w:t>
            </w:r>
          </w:p>
        </w:tc>
      </w:tr>
      <w:tr w:rsidR="009264C5" w:rsidRPr="00A52774" w:rsidTr="009264C5">
        <w:tc>
          <w:tcPr>
            <w:tcW w:w="2405" w:type="dxa"/>
            <w:tcBorders>
              <w:top w:val="nil"/>
              <w:bottom w:val="single" w:sz="4" w:space="0" w:color="auto"/>
            </w:tcBorders>
            <w:vAlign w:val="center"/>
          </w:tcPr>
          <w:p w:rsidR="009264C5" w:rsidRPr="00A52774" w:rsidRDefault="0059227D" w:rsidP="009264C5">
            <w:pPr>
              <w:keepNext/>
              <w:spacing w:before="40" w:after="40"/>
              <w:rPr>
                <w:rFonts w:ascii="Arial Narrow" w:hAnsi="Arial Narrow" w:cs="Calibri"/>
              </w:rPr>
            </w:pPr>
            <w:r w:rsidRPr="00A52774">
              <w:rPr>
                <w:rFonts w:ascii="Arial Narrow" w:hAnsi="Arial Narrow" w:cs="Calibri"/>
              </w:rPr>
              <w:t>Scripts PBS</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30,775</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51,382</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59,368</w:t>
            </w:r>
          </w:p>
        </w:tc>
        <w:tc>
          <w:tcPr>
            <w:tcW w:w="992"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66,588</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74,636</w:t>
            </w:r>
          </w:p>
        </w:tc>
        <w:tc>
          <w:tcPr>
            <w:tcW w:w="1083"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78,652</w:t>
            </w:r>
          </w:p>
        </w:tc>
      </w:tr>
      <w:tr w:rsidR="009264C5" w:rsidRPr="00A52774" w:rsidTr="009264C5">
        <w:tc>
          <w:tcPr>
            <w:tcW w:w="2405" w:type="dxa"/>
            <w:tcBorders>
              <w:top w:val="nil"/>
              <w:bottom w:val="single" w:sz="4" w:space="0" w:color="auto"/>
            </w:tcBorders>
            <w:vAlign w:val="center"/>
          </w:tcPr>
          <w:p w:rsidR="009264C5" w:rsidRPr="00A52774" w:rsidRDefault="0059227D" w:rsidP="009264C5">
            <w:pPr>
              <w:keepNext/>
              <w:spacing w:before="40" w:after="40"/>
              <w:rPr>
                <w:rFonts w:ascii="Arial Narrow" w:hAnsi="Arial Narrow" w:cs="Calibri"/>
              </w:rPr>
            </w:pPr>
            <w:r w:rsidRPr="00A52774">
              <w:rPr>
                <w:rFonts w:ascii="Arial Narrow" w:hAnsi="Arial Narrow" w:cs="Calibri"/>
              </w:rPr>
              <w:t>Scripts RPBS</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62</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103</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119</w:t>
            </w:r>
          </w:p>
        </w:tc>
        <w:tc>
          <w:tcPr>
            <w:tcW w:w="992"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133</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150</w:t>
            </w:r>
          </w:p>
        </w:tc>
        <w:tc>
          <w:tcPr>
            <w:tcW w:w="1083"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158</w:t>
            </w:r>
          </w:p>
        </w:tc>
      </w:tr>
      <w:tr w:rsidR="009264C5" w:rsidRPr="00A52774" w:rsidTr="009264C5">
        <w:tc>
          <w:tcPr>
            <w:tcW w:w="2405" w:type="dxa"/>
            <w:tcBorders>
              <w:top w:val="nil"/>
              <w:bottom w:val="single" w:sz="4" w:space="0" w:color="auto"/>
            </w:tcBorders>
            <w:vAlign w:val="center"/>
          </w:tcPr>
          <w:p w:rsidR="009264C5" w:rsidRPr="00A52774" w:rsidRDefault="0059227D" w:rsidP="009264C5">
            <w:pPr>
              <w:keepNext/>
              <w:spacing w:before="40" w:after="40"/>
              <w:rPr>
                <w:rFonts w:ascii="Arial Narrow" w:hAnsi="Arial Narrow" w:cs="Calibri"/>
              </w:rPr>
            </w:pPr>
            <w:r w:rsidRPr="00A52774">
              <w:rPr>
                <w:rFonts w:ascii="Arial Narrow" w:hAnsi="Arial Narrow" w:cs="Calibri"/>
              </w:rPr>
              <w:t>Cost of secukinumab (published)</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$44,949,706</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$75,046,716</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$86,710,729</w:t>
            </w:r>
          </w:p>
        </w:tc>
        <w:tc>
          <w:tcPr>
            <w:tcW w:w="992"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$97,257,141</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$109,010,601</w:t>
            </w:r>
          </w:p>
        </w:tc>
        <w:tc>
          <w:tcPr>
            <w:tcW w:w="1083"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$114,876,132</w:t>
            </w:r>
          </w:p>
        </w:tc>
      </w:tr>
      <w:tr w:rsidR="009264C5" w:rsidRPr="00A52774" w:rsidTr="009264C5">
        <w:trPr>
          <w:trHeight w:val="419"/>
        </w:trPr>
        <w:tc>
          <w:tcPr>
            <w:tcW w:w="2405" w:type="dxa"/>
            <w:tcBorders>
              <w:top w:val="nil"/>
              <w:bottom w:val="single" w:sz="4" w:space="0" w:color="auto"/>
            </w:tcBorders>
            <w:vAlign w:val="center"/>
          </w:tcPr>
          <w:p w:rsidR="009264C5" w:rsidRPr="00A52774" w:rsidRDefault="0059227D" w:rsidP="009264C5">
            <w:pPr>
              <w:keepNext/>
              <w:spacing w:before="40" w:after="40"/>
              <w:rPr>
                <w:rFonts w:ascii="Arial Narrow" w:hAnsi="Arial Narrow" w:cs="Calibri"/>
              </w:rPr>
            </w:pPr>
            <w:r w:rsidRPr="00A52774">
              <w:rPr>
                <w:rFonts w:ascii="Arial Narrow" w:hAnsi="Arial Narrow" w:cs="Calibri"/>
              </w:rPr>
              <w:t>Cost of secukinumab effective (CPP indication-specific)</w:t>
            </w:r>
          </w:p>
        </w:tc>
        <w:tc>
          <w:tcPr>
            <w:tcW w:w="1134"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1134"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1134"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992"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1134"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1083"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r>
      <w:tr w:rsidR="009264C5" w:rsidRPr="00A52774" w:rsidTr="009264C5">
        <w:trPr>
          <w:trHeight w:val="583"/>
        </w:trPr>
        <w:tc>
          <w:tcPr>
            <w:tcW w:w="2405" w:type="dxa"/>
            <w:tcBorders>
              <w:top w:val="nil"/>
              <w:bottom w:val="single" w:sz="4" w:space="0" w:color="auto"/>
            </w:tcBorders>
            <w:vAlign w:val="center"/>
          </w:tcPr>
          <w:p w:rsidR="009264C5" w:rsidRPr="00A52774" w:rsidRDefault="0059227D" w:rsidP="009264C5">
            <w:pPr>
              <w:keepNext/>
              <w:spacing w:before="40" w:after="40"/>
              <w:rPr>
                <w:rFonts w:ascii="Arial Narrow" w:hAnsi="Arial Narrow" w:cs="Calibri"/>
              </w:rPr>
            </w:pPr>
            <w:r w:rsidRPr="00A52774">
              <w:rPr>
                <w:rFonts w:ascii="Arial Narrow" w:hAnsi="Arial Narrow" w:cs="Calibri"/>
              </w:rPr>
              <w:t xml:space="preserve">Cost of secukinumab effective (indication-specific), </w:t>
            </w:r>
            <w:r w:rsidR="009669DF">
              <w:rPr>
                <w:rFonts w:ascii="Arial Narrow" w:hAnsi="Arial Narrow" w:cs="Calibri"/>
                <w:noProof/>
                <w:color w:val="000000"/>
                <w:highlight w:val="black"/>
              </w:rPr>
              <w:t>''''''''''</w:t>
            </w:r>
            <w:r w:rsidRPr="00FF3B86">
              <w:rPr>
                <w:rFonts w:ascii="Arial Narrow" w:hAnsi="Arial Narrow" w:cs="Calibri"/>
              </w:rPr>
              <w:t>%</w:t>
            </w:r>
            <w:r w:rsidRPr="00A52774">
              <w:rPr>
                <w:rFonts w:ascii="Arial Narrow" w:hAnsi="Arial Narrow" w:cs="Calibri"/>
              </w:rPr>
              <w:t xml:space="preserve"> price reduction</w:t>
            </w:r>
          </w:p>
        </w:tc>
        <w:tc>
          <w:tcPr>
            <w:tcW w:w="1134"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1134"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1134"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992"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C56EE5">
              <w:rPr>
                <w:rFonts w:ascii="Arial Narrow" w:hAnsi="Arial Narrow"/>
                <w:noProof/>
                <w:color w:val="000000"/>
                <w:highlight w:val="black"/>
              </w:rPr>
              <w:t>''''''''''''''''''''''''''</w:t>
            </w:r>
          </w:p>
        </w:tc>
        <w:tc>
          <w:tcPr>
            <w:tcW w:w="1134"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1083"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r>
      <w:tr w:rsidR="009264C5" w:rsidRPr="00A52774" w:rsidTr="009264C5">
        <w:trPr>
          <w:trHeight w:val="70"/>
        </w:trPr>
        <w:tc>
          <w:tcPr>
            <w:tcW w:w="2405" w:type="dxa"/>
            <w:tcBorders>
              <w:top w:val="nil"/>
              <w:bottom w:val="single" w:sz="4" w:space="0" w:color="auto"/>
            </w:tcBorders>
            <w:vAlign w:val="center"/>
          </w:tcPr>
          <w:p w:rsidR="009264C5" w:rsidRPr="00A52774" w:rsidRDefault="0059227D" w:rsidP="009264C5">
            <w:pPr>
              <w:keepNext/>
              <w:spacing w:before="40" w:after="40"/>
              <w:ind w:left="22"/>
              <w:rPr>
                <w:rFonts w:ascii="Arial Narrow" w:hAnsi="Arial Narrow" w:cs="Calibri"/>
              </w:rPr>
            </w:pPr>
            <w:r w:rsidRPr="00A52774">
              <w:rPr>
                <w:rFonts w:ascii="Arial Narrow" w:hAnsi="Arial Narrow" w:cs="Calibri"/>
              </w:rPr>
              <w:t xml:space="preserve">Total </w:t>
            </w:r>
            <w:r w:rsidR="000F38E1" w:rsidRPr="00A52774">
              <w:rPr>
                <w:rFonts w:ascii="Arial Narrow" w:hAnsi="Arial Narrow" w:cs="Calibri"/>
              </w:rPr>
              <w:t>co-payment</w:t>
            </w:r>
            <w:r w:rsidRPr="00A52774">
              <w:rPr>
                <w:rFonts w:ascii="Arial Narrow" w:hAnsi="Arial Narrow" w:cs="Calibri"/>
              </w:rPr>
              <w:t xml:space="preserve"> PBS</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$920,493</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$1,536,828</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$1,775,687</w:t>
            </w:r>
          </w:p>
        </w:tc>
        <w:tc>
          <w:tcPr>
            <w:tcW w:w="992"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$1,991,660</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$2,232,351</w:t>
            </w:r>
          </w:p>
        </w:tc>
        <w:tc>
          <w:tcPr>
            <w:tcW w:w="1083"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$2,352,467</w:t>
            </w:r>
          </w:p>
        </w:tc>
      </w:tr>
      <w:tr w:rsidR="009264C5" w:rsidRPr="00A52774" w:rsidTr="009264C5">
        <w:tc>
          <w:tcPr>
            <w:tcW w:w="2405" w:type="dxa"/>
            <w:tcBorders>
              <w:top w:val="nil"/>
              <w:bottom w:val="single" w:sz="4" w:space="0" w:color="auto"/>
            </w:tcBorders>
            <w:vAlign w:val="center"/>
          </w:tcPr>
          <w:p w:rsidR="009264C5" w:rsidRPr="00A52774" w:rsidRDefault="0059227D" w:rsidP="009264C5">
            <w:pPr>
              <w:keepNext/>
              <w:spacing w:before="40" w:after="40"/>
              <w:ind w:left="22"/>
              <w:rPr>
                <w:rFonts w:ascii="Arial Narrow" w:hAnsi="Arial Narrow" w:cs="Calibri"/>
              </w:rPr>
            </w:pPr>
            <w:r w:rsidRPr="00A52774">
              <w:rPr>
                <w:rFonts w:ascii="Arial Narrow" w:hAnsi="Arial Narrow" w:cs="Calibri"/>
              </w:rPr>
              <w:t xml:space="preserve">Total </w:t>
            </w:r>
            <w:r w:rsidR="000F38E1" w:rsidRPr="00A52774">
              <w:rPr>
                <w:rFonts w:ascii="Arial Narrow" w:hAnsi="Arial Narrow" w:cs="Calibri"/>
              </w:rPr>
              <w:t>co-payment</w:t>
            </w:r>
            <w:r w:rsidRPr="00A52774">
              <w:rPr>
                <w:rFonts w:ascii="Arial Narrow" w:hAnsi="Arial Narrow" w:cs="Calibri"/>
              </w:rPr>
              <w:t xml:space="preserve"> RPBS</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$401</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$669</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$773</w:t>
            </w:r>
          </w:p>
        </w:tc>
        <w:tc>
          <w:tcPr>
            <w:tcW w:w="992"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$867</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$972</w:t>
            </w:r>
          </w:p>
        </w:tc>
        <w:tc>
          <w:tcPr>
            <w:tcW w:w="1083"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$1,025</w:t>
            </w:r>
          </w:p>
        </w:tc>
      </w:tr>
      <w:tr w:rsidR="009264C5" w:rsidRPr="00A52774" w:rsidTr="009264C5">
        <w:tc>
          <w:tcPr>
            <w:tcW w:w="2405" w:type="dxa"/>
            <w:tcBorders>
              <w:top w:val="nil"/>
              <w:bottom w:val="single" w:sz="4" w:space="0" w:color="auto"/>
            </w:tcBorders>
            <w:vAlign w:val="center"/>
          </w:tcPr>
          <w:p w:rsidR="009264C5" w:rsidRPr="00A52774" w:rsidRDefault="0059227D" w:rsidP="009264C5">
            <w:pPr>
              <w:keepNext/>
              <w:spacing w:before="40" w:after="40"/>
              <w:ind w:left="22"/>
              <w:rPr>
                <w:rFonts w:ascii="Arial Narrow" w:hAnsi="Arial Narrow" w:cs="Calibri"/>
                <w:b/>
              </w:rPr>
            </w:pPr>
            <w:r w:rsidRPr="00A52774">
              <w:rPr>
                <w:rFonts w:ascii="Arial Narrow" w:hAnsi="Arial Narrow" w:cs="Calibri"/>
                <w:b/>
              </w:rPr>
              <w:t>Net cost to PBS/RPS (published)</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$44,028,812</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$73,509,218</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$84,934,268</w:t>
            </w:r>
          </w:p>
        </w:tc>
        <w:tc>
          <w:tcPr>
            <w:tcW w:w="992"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$95,264,613</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$106,777,278</w:t>
            </w:r>
          </w:p>
        </w:tc>
        <w:tc>
          <w:tcPr>
            <w:tcW w:w="1083"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$112,522,640</w:t>
            </w:r>
          </w:p>
        </w:tc>
      </w:tr>
      <w:tr w:rsidR="009264C5" w:rsidRPr="00A52774" w:rsidTr="009264C5">
        <w:trPr>
          <w:trHeight w:val="70"/>
        </w:trPr>
        <w:tc>
          <w:tcPr>
            <w:tcW w:w="2405" w:type="dxa"/>
            <w:tcBorders>
              <w:top w:val="nil"/>
              <w:bottom w:val="single" w:sz="4" w:space="0" w:color="auto"/>
            </w:tcBorders>
            <w:vAlign w:val="center"/>
          </w:tcPr>
          <w:p w:rsidR="009264C5" w:rsidRPr="00A52774" w:rsidRDefault="0059227D" w:rsidP="009264C5">
            <w:pPr>
              <w:keepNext/>
              <w:spacing w:before="40" w:after="40"/>
              <w:ind w:left="22"/>
              <w:rPr>
                <w:rFonts w:ascii="Arial Narrow" w:hAnsi="Arial Narrow" w:cs="Calibri"/>
                <w:b/>
              </w:rPr>
            </w:pPr>
            <w:r w:rsidRPr="00A52774">
              <w:rPr>
                <w:rFonts w:ascii="Arial Narrow" w:hAnsi="Arial Narrow" w:cs="Calibri"/>
                <w:b/>
              </w:rPr>
              <w:t>Net cost to PBS/RPBS (effective)</w:t>
            </w:r>
          </w:p>
        </w:tc>
        <w:tc>
          <w:tcPr>
            <w:tcW w:w="1134"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strike/>
              </w:rPr>
            </w:pPr>
            <w:r w:rsidRPr="00FF3B86">
              <w:rPr>
                <w:rFonts w:ascii="Arial Narrow" w:hAnsi="Arial Narrow"/>
              </w:rPr>
              <w:t>$</w:t>
            </w:r>
            <w:r w:rsidR="009669DF">
              <w:rPr>
                <w:rFonts w:ascii="Arial Narrow" w:hAnsi="Arial Narrow"/>
                <w:noProof/>
                <w:color w:val="000000"/>
                <w:highlight w:val="black"/>
              </w:rPr>
              <w:t>'''''''''''''''''''''''''''''</w:t>
            </w:r>
          </w:p>
        </w:tc>
        <w:tc>
          <w:tcPr>
            <w:tcW w:w="1134"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strike/>
              </w:rPr>
            </w:pPr>
            <w:r w:rsidRPr="00FF3B86">
              <w:rPr>
                <w:rFonts w:ascii="Arial Narrow" w:hAnsi="Arial Narrow"/>
              </w:rPr>
              <w:t>$</w:t>
            </w:r>
            <w:r w:rsidR="009669DF">
              <w:rPr>
                <w:rFonts w:ascii="Arial Narrow" w:hAnsi="Arial Narrow"/>
                <w:noProof/>
                <w:color w:val="000000"/>
                <w:highlight w:val="black"/>
              </w:rPr>
              <w:t>'''''''''''''''''''''''''''</w:t>
            </w:r>
          </w:p>
        </w:tc>
        <w:tc>
          <w:tcPr>
            <w:tcW w:w="1134"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strike/>
              </w:rPr>
            </w:pPr>
            <w:r w:rsidRPr="00FF3B86">
              <w:rPr>
                <w:rFonts w:ascii="Arial Narrow" w:hAnsi="Arial Narrow"/>
              </w:rPr>
              <w:t>$</w:t>
            </w:r>
            <w:r w:rsidR="009669DF">
              <w:rPr>
                <w:rFonts w:ascii="Arial Narrow" w:hAnsi="Arial Narrow"/>
                <w:noProof/>
                <w:color w:val="000000"/>
                <w:highlight w:val="black"/>
              </w:rPr>
              <w:t>''''''''''''''''''''''''</w:t>
            </w:r>
          </w:p>
        </w:tc>
        <w:tc>
          <w:tcPr>
            <w:tcW w:w="992"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strike/>
              </w:rPr>
            </w:pPr>
            <w:r w:rsidRPr="00FF3B86">
              <w:rPr>
                <w:rFonts w:ascii="Arial Narrow" w:hAnsi="Arial Narrow"/>
              </w:rPr>
              <w:t>$</w:t>
            </w:r>
            <w:r w:rsidR="00C56EE5">
              <w:rPr>
                <w:rFonts w:ascii="Arial Narrow" w:hAnsi="Arial Narrow"/>
                <w:noProof/>
                <w:color w:val="000000"/>
                <w:highlight w:val="black"/>
              </w:rPr>
              <w:t>''''''''''''''''''''''''''</w:t>
            </w:r>
          </w:p>
        </w:tc>
        <w:tc>
          <w:tcPr>
            <w:tcW w:w="1134"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strike/>
              </w:rPr>
            </w:pPr>
            <w:r w:rsidRPr="00FF3B86">
              <w:rPr>
                <w:rFonts w:ascii="Arial Narrow" w:hAnsi="Arial Narrow"/>
              </w:rPr>
              <w:t>$</w:t>
            </w:r>
            <w:r w:rsidR="009669DF">
              <w:rPr>
                <w:rFonts w:ascii="Arial Narrow" w:hAnsi="Arial Narrow"/>
                <w:noProof/>
                <w:color w:val="000000"/>
                <w:highlight w:val="black"/>
              </w:rPr>
              <w:t>'''''''''''''''''''''''''</w:t>
            </w:r>
          </w:p>
        </w:tc>
        <w:tc>
          <w:tcPr>
            <w:tcW w:w="1083" w:type="dxa"/>
            <w:tcBorders>
              <w:top w:val="nil"/>
              <w:bottom w:val="single" w:sz="4" w:space="0" w:color="auto"/>
            </w:tcBorders>
            <w:vAlign w:val="center"/>
          </w:tcPr>
          <w:p w:rsidR="009264C5" w:rsidRPr="00FF3B86" w:rsidRDefault="009264C5" w:rsidP="009264C5">
            <w:pPr>
              <w:keepNext/>
              <w:spacing w:before="40" w:after="40"/>
              <w:jc w:val="center"/>
              <w:rPr>
                <w:rFonts w:ascii="Arial Narrow" w:hAnsi="Arial Narrow"/>
                <w:strike/>
              </w:rPr>
            </w:pPr>
            <w:r w:rsidRPr="00FF3B86">
              <w:rPr>
                <w:rFonts w:ascii="Arial Narrow" w:hAnsi="Arial Narrow"/>
              </w:rPr>
              <w:t>$</w:t>
            </w:r>
            <w:r w:rsidR="009669DF">
              <w:rPr>
                <w:rFonts w:ascii="Arial Narrow" w:hAnsi="Arial Narrow"/>
                <w:noProof/>
                <w:color w:val="000000"/>
                <w:highlight w:val="black"/>
              </w:rPr>
              <w:t>''''''''''''''''''''''''</w:t>
            </w:r>
          </w:p>
        </w:tc>
      </w:tr>
      <w:tr w:rsidR="009264C5" w:rsidRPr="00A52774" w:rsidTr="009264C5">
        <w:trPr>
          <w:trHeight w:val="70"/>
        </w:trPr>
        <w:tc>
          <w:tcPr>
            <w:tcW w:w="2405" w:type="dxa"/>
            <w:tcBorders>
              <w:top w:val="nil"/>
            </w:tcBorders>
            <w:vAlign w:val="center"/>
          </w:tcPr>
          <w:p w:rsidR="009264C5" w:rsidRPr="00A52774" w:rsidRDefault="0059227D" w:rsidP="009264C5">
            <w:pPr>
              <w:keepNext/>
              <w:spacing w:before="40" w:after="40"/>
              <w:ind w:left="22"/>
              <w:rPr>
                <w:rFonts w:ascii="Arial Narrow" w:hAnsi="Arial Narrow" w:cs="Calibri"/>
                <w:b/>
              </w:rPr>
            </w:pPr>
            <w:r w:rsidRPr="00A52774">
              <w:rPr>
                <w:rFonts w:ascii="Arial Narrow" w:hAnsi="Arial Narrow" w:cs="Calibri"/>
                <w:b/>
              </w:rPr>
              <w:t xml:space="preserve">Net cost to PBS/RPBS (effective, </w:t>
            </w:r>
            <w:r w:rsidR="009669DF">
              <w:rPr>
                <w:rFonts w:ascii="Arial Narrow" w:hAnsi="Arial Narrow" w:cs="Calibri"/>
                <w:b/>
                <w:noProof/>
                <w:color w:val="000000"/>
                <w:highlight w:val="black"/>
              </w:rPr>
              <w:t>''''''''</w:t>
            </w:r>
            <w:r w:rsidRPr="00FF3B86">
              <w:rPr>
                <w:rFonts w:ascii="Arial Narrow" w:hAnsi="Arial Narrow" w:cs="Calibri"/>
                <w:b/>
              </w:rPr>
              <w:t>%</w:t>
            </w:r>
            <w:r w:rsidRPr="00A52774">
              <w:rPr>
                <w:rFonts w:ascii="Arial Narrow" w:hAnsi="Arial Narrow" w:cs="Calibri"/>
                <w:b/>
              </w:rPr>
              <w:t xml:space="preserve"> price reduction)</w:t>
            </w:r>
          </w:p>
        </w:tc>
        <w:tc>
          <w:tcPr>
            <w:tcW w:w="1134" w:type="dxa"/>
            <w:tcBorders>
              <w:top w:val="nil"/>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1134" w:type="dxa"/>
            <w:tcBorders>
              <w:top w:val="nil"/>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1134" w:type="dxa"/>
            <w:tcBorders>
              <w:top w:val="nil"/>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992" w:type="dxa"/>
            <w:tcBorders>
              <w:top w:val="nil"/>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1134" w:type="dxa"/>
            <w:tcBorders>
              <w:top w:val="nil"/>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c>
          <w:tcPr>
            <w:tcW w:w="1083" w:type="dxa"/>
            <w:tcBorders>
              <w:top w:val="nil"/>
            </w:tcBorders>
            <w:vAlign w:val="center"/>
          </w:tcPr>
          <w:p w:rsidR="009264C5" w:rsidRPr="00FF3B86" w:rsidRDefault="009264C5" w:rsidP="009264C5">
            <w:pPr>
              <w:keepNext/>
              <w:spacing w:before="40" w:after="40"/>
              <w:jc w:val="center"/>
              <w:rPr>
                <w:rFonts w:ascii="Arial Narrow" w:hAnsi="Arial Narrow" w:cs="Calibri"/>
                <w:strike/>
              </w:rPr>
            </w:pPr>
            <w:r w:rsidRPr="00FF3B86">
              <w:rPr>
                <w:rFonts w:ascii="Arial Narrow" w:hAnsi="Arial Narrow"/>
              </w:rPr>
              <w:t>$</w:t>
            </w:r>
            <w:r w:rsidR="009669DF">
              <w:rPr>
                <w:rFonts w:ascii="Arial Narrow" w:hAnsi="Arial Narrow"/>
                <w:noProof/>
                <w:color w:val="000000"/>
                <w:highlight w:val="black"/>
              </w:rPr>
              <w:t>'''''''''''''''''''''''''''</w:t>
            </w:r>
          </w:p>
        </w:tc>
      </w:tr>
      <w:tr w:rsidR="009264C5" w:rsidRPr="00A52774" w:rsidTr="009264C5">
        <w:tc>
          <w:tcPr>
            <w:tcW w:w="2405" w:type="dxa"/>
            <w:tcBorders>
              <w:bottom w:val="single" w:sz="4" w:space="0" w:color="auto"/>
            </w:tcBorders>
            <w:vAlign w:val="center"/>
          </w:tcPr>
          <w:p w:rsidR="009264C5" w:rsidRPr="00A52774" w:rsidRDefault="009264C5" w:rsidP="009264C5">
            <w:pPr>
              <w:keepNext/>
              <w:spacing w:before="40" w:after="40"/>
              <w:ind w:left="22"/>
              <w:rPr>
                <w:rFonts w:ascii="Arial Narrow" w:hAnsi="Arial Narrow"/>
              </w:rPr>
            </w:pPr>
            <w:r w:rsidRPr="00A52774">
              <w:rPr>
                <w:rFonts w:ascii="Arial Narrow" w:hAnsi="Arial Narrow" w:cs="Calibri"/>
              </w:rPr>
              <w:t>Total specialist costs</w:t>
            </w:r>
          </w:p>
        </w:tc>
        <w:tc>
          <w:tcPr>
            <w:tcW w:w="1134" w:type="dxa"/>
            <w:tcBorders>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$390,750</w:t>
            </w:r>
          </w:p>
        </w:tc>
        <w:tc>
          <w:tcPr>
            <w:tcW w:w="1134" w:type="dxa"/>
            <w:tcBorders>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$421,284</w:t>
            </w:r>
          </w:p>
        </w:tc>
        <w:tc>
          <w:tcPr>
            <w:tcW w:w="1134" w:type="dxa"/>
            <w:tcBorders>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$464,798</w:t>
            </w:r>
          </w:p>
        </w:tc>
        <w:tc>
          <w:tcPr>
            <w:tcW w:w="992" w:type="dxa"/>
            <w:tcBorders>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$521,801</w:t>
            </w:r>
          </w:p>
        </w:tc>
        <w:tc>
          <w:tcPr>
            <w:tcW w:w="1134" w:type="dxa"/>
            <w:tcBorders>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$580,232</w:t>
            </w:r>
          </w:p>
        </w:tc>
        <w:tc>
          <w:tcPr>
            <w:tcW w:w="1083" w:type="dxa"/>
            <w:tcBorders>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$588,827</w:t>
            </w:r>
          </w:p>
        </w:tc>
      </w:tr>
      <w:tr w:rsidR="009264C5" w:rsidRPr="00A52774" w:rsidTr="009264C5">
        <w:tc>
          <w:tcPr>
            <w:tcW w:w="2405" w:type="dxa"/>
            <w:tcBorders>
              <w:top w:val="nil"/>
              <w:bottom w:val="single" w:sz="4" w:space="0" w:color="auto"/>
            </w:tcBorders>
            <w:vAlign w:val="center"/>
          </w:tcPr>
          <w:p w:rsidR="009264C5" w:rsidRPr="00A52774" w:rsidRDefault="0059227D" w:rsidP="009264C5">
            <w:pPr>
              <w:keepNext/>
              <w:spacing w:before="40" w:after="40"/>
              <w:ind w:left="22"/>
              <w:rPr>
                <w:rFonts w:ascii="Arial Narrow" w:hAnsi="Arial Narrow" w:cs="Calibri"/>
              </w:rPr>
            </w:pPr>
            <w:r w:rsidRPr="00A52774">
              <w:rPr>
                <w:rFonts w:ascii="Arial Narrow" w:hAnsi="Arial Narrow" w:cs="Calibri"/>
              </w:rPr>
              <w:t>Net cost to government (inc specialist), published</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rPr>
            </w:pPr>
            <w:r w:rsidRPr="00A52774">
              <w:rPr>
                <w:rFonts w:ascii="Arial Narrow" w:hAnsi="Arial Narrow"/>
              </w:rPr>
              <w:t>$44,419,562</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$73,930,502</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$85,399,066</w:t>
            </w:r>
          </w:p>
        </w:tc>
        <w:tc>
          <w:tcPr>
            <w:tcW w:w="992"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$95,786,414</w:t>
            </w:r>
          </w:p>
        </w:tc>
        <w:tc>
          <w:tcPr>
            <w:tcW w:w="1134"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$107,357,511</w:t>
            </w:r>
          </w:p>
        </w:tc>
        <w:tc>
          <w:tcPr>
            <w:tcW w:w="1083" w:type="dxa"/>
            <w:tcBorders>
              <w:top w:val="nil"/>
              <w:bottom w:val="single" w:sz="4" w:space="0" w:color="auto"/>
            </w:tcBorders>
            <w:vAlign w:val="center"/>
          </w:tcPr>
          <w:p w:rsidR="009264C5" w:rsidRPr="00A52774" w:rsidRDefault="009264C5" w:rsidP="009264C5">
            <w:pPr>
              <w:keepNext/>
              <w:spacing w:before="40" w:after="40"/>
              <w:jc w:val="center"/>
              <w:rPr>
                <w:rFonts w:ascii="Arial Narrow" w:hAnsi="Arial Narrow" w:cs="Calibri"/>
                <w:strike/>
              </w:rPr>
            </w:pPr>
            <w:r w:rsidRPr="00A52774">
              <w:rPr>
                <w:rFonts w:ascii="Arial Narrow" w:hAnsi="Arial Narrow"/>
              </w:rPr>
              <w:t>$113,111,467</w:t>
            </w:r>
          </w:p>
        </w:tc>
      </w:tr>
      <w:tr w:rsidR="009264C5" w:rsidRPr="00A52774" w:rsidTr="009264C5">
        <w:trPr>
          <w:trHeight w:val="70"/>
        </w:trPr>
        <w:tc>
          <w:tcPr>
            <w:tcW w:w="2405" w:type="dxa"/>
            <w:tcBorders>
              <w:top w:val="nil"/>
              <w:bottom w:val="single" w:sz="4" w:space="0" w:color="auto"/>
            </w:tcBorders>
            <w:vAlign w:val="center"/>
          </w:tcPr>
          <w:p w:rsidR="009264C5" w:rsidRPr="00A52774" w:rsidRDefault="0059227D" w:rsidP="009264C5">
            <w:pPr>
              <w:keepNext/>
              <w:spacing w:before="40" w:after="40"/>
              <w:ind w:left="22"/>
              <w:rPr>
                <w:rFonts w:ascii="Arial Narrow" w:hAnsi="Arial Narrow" w:cs="Calibri"/>
              </w:rPr>
            </w:pPr>
            <w:r w:rsidRPr="00A52774">
              <w:rPr>
                <w:rFonts w:ascii="Arial Narrow" w:hAnsi="Arial Narrow" w:cs="Calibri"/>
              </w:rPr>
              <w:t>Net cost to government (inc specialist), effective (indication-specific)</w:t>
            </w:r>
          </w:p>
        </w:tc>
        <w:tc>
          <w:tcPr>
            <w:tcW w:w="1134" w:type="dxa"/>
            <w:tcBorders>
              <w:top w:val="nil"/>
              <w:bottom w:val="single" w:sz="4" w:space="0" w:color="auto"/>
            </w:tcBorders>
            <w:vAlign w:val="center"/>
          </w:tcPr>
          <w:p w:rsidR="009264C5" w:rsidRPr="00DB561B" w:rsidRDefault="009264C5" w:rsidP="009264C5">
            <w:pPr>
              <w:keepNext/>
              <w:spacing w:before="40" w:after="40"/>
              <w:jc w:val="center"/>
              <w:rPr>
                <w:rFonts w:ascii="Arial Narrow" w:hAnsi="Arial Narrow"/>
                <w:strike/>
              </w:rPr>
            </w:pPr>
            <w:r w:rsidRPr="00DB561B">
              <w:rPr>
                <w:rFonts w:ascii="Arial Narrow" w:hAnsi="Arial Narrow"/>
              </w:rPr>
              <w:t>$</w:t>
            </w:r>
            <w:r w:rsidR="009669DF">
              <w:rPr>
                <w:rFonts w:ascii="Arial Narrow" w:hAnsi="Arial Narrow"/>
                <w:noProof/>
                <w:color w:val="000000"/>
                <w:highlight w:val="black"/>
              </w:rPr>
              <w:t>''''''''''''''''''''''''''</w:t>
            </w:r>
          </w:p>
        </w:tc>
        <w:tc>
          <w:tcPr>
            <w:tcW w:w="1134" w:type="dxa"/>
            <w:tcBorders>
              <w:top w:val="nil"/>
              <w:bottom w:val="single" w:sz="4" w:space="0" w:color="auto"/>
            </w:tcBorders>
            <w:vAlign w:val="center"/>
          </w:tcPr>
          <w:p w:rsidR="009264C5" w:rsidRPr="00DB561B" w:rsidRDefault="009264C5" w:rsidP="009264C5">
            <w:pPr>
              <w:keepNext/>
              <w:spacing w:before="40" w:after="40"/>
              <w:jc w:val="center"/>
              <w:rPr>
                <w:rFonts w:ascii="Arial Narrow" w:hAnsi="Arial Narrow"/>
                <w:strike/>
              </w:rPr>
            </w:pPr>
            <w:r w:rsidRPr="00DB561B">
              <w:rPr>
                <w:rFonts w:ascii="Arial Narrow" w:hAnsi="Arial Narrow"/>
              </w:rPr>
              <w:t>$</w:t>
            </w:r>
            <w:r w:rsidR="009669DF">
              <w:rPr>
                <w:rFonts w:ascii="Arial Narrow" w:hAnsi="Arial Narrow"/>
                <w:noProof/>
                <w:color w:val="000000"/>
                <w:highlight w:val="black"/>
              </w:rPr>
              <w:t>''''''''''''''''''''''''''''</w:t>
            </w:r>
          </w:p>
        </w:tc>
        <w:tc>
          <w:tcPr>
            <w:tcW w:w="1134" w:type="dxa"/>
            <w:tcBorders>
              <w:top w:val="nil"/>
              <w:bottom w:val="single" w:sz="4" w:space="0" w:color="auto"/>
            </w:tcBorders>
            <w:vAlign w:val="center"/>
          </w:tcPr>
          <w:p w:rsidR="009264C5" w:rsidRPr="00DB561B" w:rsidRDefault="009264C5" w:rsidP="009264C5">
            <w:pPr>
              <w:keepNext/>
              <w:spacing w:before="40" w:after="40"/>
              <w:jc w:val="center"/>
              <w:rPr>
                <w:rFonts w:ascii="Arial Narrow" w:hAnsi="Arial Narrow"/>
                <w:strike/>
              </w:rPr>
            </w:pPr>
            <w:r w:rsidRPr="00DB561B">
              <w:rPr>
                <w:rFonts w:ascii="Arial Narrow" w:hAnsi="Arial Narrow"/>
              </w:rPr>
              <w:t>$</w:t>
            </w:r>
            <w:r w:rsidR="009669DF">
              <w:rPr>
                <w:rFonts w:ascii="Arial Narrow" w:hAnsi="Arial Narrow"/>
                <w:noProof/>
                <w:color w:val="000000"/>
                <w:highlight w:val="black"/>
              </w:rPr>
              <w:t>'''''''''''''''''''''''</w:t>
            </w:r>
          </w:p>
        </w:tc>
        <w:tc>
          <w:tcPr>
            <w:tcW w:w="992" w:type="dxa"/>
            <w:tcBorders>
              <w:top w:val="nil"/>
              <w:bottom w:val="single" w:sz="4" w:space="0" w:color="auto"/>
            </w:tcBorders>
            <w:vAlign w:val="center"/>
          </w:tcPr>
          <w:p w:rsidR="009264C5" w:rsidRPr="00DB561B" w:rsidRDefault="009264C5" w:rsidP="009264C5">
            <w:pPr>
              <w:keepNext/>
              <w:spacing w:before="40" w:after="40"/>
              <w:jc w:val="center"/>
              <w:rPr>
                <w:rFonts w:ascii="Arial Narrow" w:hAnsi="Arial Narrow"/>
                <w:strike/>
              </w:rPr>
            </w:pPr>
            <w:r w:rsidRPr="00DB561B">
              <w:rPr>
                <w:rFonts w:ascii="Arial Narrow" w:hAnsi="Arial Narrow"/>
              </w:rPr>
              <w:t>$</w:t>
            </w:r>
            <w:r w:rsidR="009669DF">
              <w:rPr>
                <w:rFonts w:ascii="Arial Narrow" w:hAnsi="Arial Narrow"/>
                <w:noProof/>
                <w:color w:val="000000"/>
                <w:highlight w:val="black"/>
              </w:rPr>
              <w:t>'''''''''''''''''''''''''</w:t>
            </w:r>
          </w:p>
        </w:tc>
        <w:tc>
          <w:tcPr>
            <w:tcW w:w="1134" w:type="dxa"/>
            <w:tcBorders>
              <w:top w:val="nil"/>
              <w:bottom w:val="single" w:sz="4" w:space="0" w:color="auto"/>
            </w:tcBorders>
            <w:vAlign w:val="center"/>
          </w:tcPr>
          <w:p w:rsidR="009264C5" w:rsidRPr="00DB561B" w:rsidRDefault="009264C5" w:rsidP="009264C5">
            <w:pPr>
              <w:keepNext/>
              <w:spacing w:before="40" w:after="40"/>
              <w:jc w:val="center"/>
              <w:rPr>
                <w:rFonts w:ascii="Arial Narrow" w:hAnsi="Arial Narrow"/>
                <w:strike/>
              </w:rPr>
            </w:pPr>
            <w:r w:rsidRPr="00DB561B">
              <w:rPr>
                <w:rFonts w:ascii="Arial Narrow" w:hAnsi="Arial Narrow"/>
              </w:rPr>
              <w:t>$</w:t>
            </w:r>
            <w:r w:rsidR="009669DF">
              <w:rPr>
                <w:rFonts w:ascii="Arial Narrow" w:hAnsi="Arial Narrow"/>
                <w:noProof/>
                <w:color w:val="000000"/>
                <w:highlight w:val="black"/>
              </w:rPr>
              <w:t>''''''''''''''''''''''''</w:t>
            </w:r>
          </w:p>
        </w:tc>
        <w:tc>
          <w:tcPr>
            <w:tcW w:w="1083" w:type="dxa"/>
            <w:tcBorders>
              <w:top w:val="nil"/>
              <w:bottom w:val="single" w:sz="4" w:space="0" w:color="auto"/>
            </w:tcBorders>
            <w:vAlign w:val="center"/>
          </w:tcPr>
          <w:p w:rsidR="009264C5" w:rsidRPr="00DB561B" w:rsidRDefault="009264C5" w:rsidP="009264C5">
            <w:pPr>
              <w:keepNext/>
              <w:spacing w:before="40" w:after="40"/>
              <w:jc w:val="center"/>
              <w:rPr>
                <w:rFonts w:ascii="Arial Narrow" w:hAnsi="Arial Narrow"/>
                <w:strike/>
              </w:rPr>
            </w:pPr>
            <w:r w:rsidRPr="00DB561B">
              <w:rPr>
                <w:rFonts w:ascii="Arial Narrow" w:hAnsi="Arial Narrow"/>
              </w:rPr>
              <w:t>$</w:t>
            </w:r>
            <w:r w:rsidR="009669DF">
              <w:rPr>
                <w:rFonts w:ascii="Arial Narrow" w:hAnsi="Arial Narrow"/>
                <w:noProof/>
                <w:color w:val="000000"/>
                <w:highlight w:val="black"/>
              </w:rPr>
              <w:t>''''''''''''''''''''''''''</w:t>
            </w:r>
          </w:p>
        </w:tc>
      </w:tr>
      <w:tr w:rsidR="009264C5" w:rsidRPr="00A52774" w:rsidTr="009264C5">
        <w:trPr>
          <w:trHeight w:val="70"/>
        </w:trPr>
        <w:tc>
          <w:tcPr>
            <w:tcW w:w="2405" w:type="dxa"/>
            <w:tcBorders>
              <w:top w:val="nil"/>
            </w:tcBorders>
            <w:vAlign w:val="center"/>
          </w:tcPr>
          <w:p w:rsidR="009264C5" w:rsidRPr="00A52774" w:rsidRDefault="0059227D" w:rsidP="009264C5">
            <w:pPr>
              <w:keepNext/>
              <w:spacing w:before="40" w:after="40"/>
              <w:ind w:left="22"/>
              <w:rPr>
                <w:rFonts w:ascii="Arial Narrow" w:hAnsi="Arial Narrow" w:cs="Calibri"/>
              </w:rPr>
            </w:pPr>
            <w:r w:rsidRPr="00A52774">
              <w:rPr>
                <w:rFonts w:ascii="Arial Narrow" w:hAnsi="Arial Narrow" w:cs="Calibri"/>
              </w:rPr>
              <w:t>Net cost to government (inc specialist), effective (indication-specific</w:t>
            </w:r>
            <w:r w:rsidRPr="00FF3B86">
              <w:rPr>
                <w:rFonts w:ascii="Arial Narrow" w:hAnsi="Arial Narrow" w:cs="Calibri"/>
              </w:rPr>
              <w:t xml:space="preserve">), </w:t>
            </w:r>
            <w:r w:rsidR="009669DF">
              <w:rPr>
                <w:rFonts w:ascii="Arial Narrow" w:hAnsi="Arial Narrow" w:cs="Calibri"/>
                <w:noProof/>
                <w:color w:val="000000"/>
                <w:highlight w:val="black"/>
              </w:rPr>
              <w:t>''''''''''</w:t>
            </w:r>
            <w:r w:rsidRPr="00FF3B86">
              <w:rPr>
                <w:rFonts w:ascii="Arial Narrow" w:hAnsi="Arial Narrow" w:cs="Calibri"/>
              </w:rPr>
              <w:t>% discount</w:t>
            </w:r>
          </w:p>
        </w:tc>
        <w:tc>
          <w:tcPr>
            <w:tcW w:w="1134" w:type="dxa"/>
            <w:tcBorders>
              <w:top w:val="nil"/>
            </w:tcBorders>
            <w:vAlign w:val="center"/>
          </w:tcPr>
          <w:p w:rsidR="009264C5" w:rsidRPr="00DB561B" w:rsidRDefault="009264C5" w:rsidP="009264C5">
            <w:pPr>
              <w:keepNext/>
              <w:spacing w:before="40" w:after="40"/>
              <w:jc w:val="center"/>
              <w:rPr>
                <w:rFonts w:ascii="Arial Narrow" w:hAnsi="Arial Narrow" w:cs="Calibri"/>
                <w:strike/>
              </w:rPr>
            </w:pPr>
            <w:r w:rsidRPr="00DB561B">
              <w:rPr>
                <w:rFonts w:ascii="Arial Narrow" w:hAnsi="Arial Narrow"/>
              </w:rPr>
              <w:t>$</w:t>
            </w:r>
            <w:r w:rsidR="009669DF">
              <w:rPr>
                <w:rFonts w:ascii="Arial Narrow" w:hAnsi="Arial Narrow"/>
                <w:noProof/>
                <w:color w:val="000000"/>
                <w:highlight w:val="black"/>
              </w:rPr>
              <w:t>''''''''''''''''''''''''</w:t>
            </w:r>
          </w:p>
        </w:tc>
        <w:tc>
          <w:tcPr>
            <w:tcW w:w="1134" w:type="dxa"/>
            <w:tcBorders>
              <w:top w:val="nil"/>
            </w:tcBorders>
            <w:vAlign w:val="center"/>
          </w:tcPr>
          <w:p w:rsidR="009264C5" w:rsidRPr="00DB561B" w:rsidRDefault="009264C5" w:rsidP="009264C5">
            <w:pPr>
              <w:keepNext/>
              <w:spacing w:before="40" w:after="40"/>
              <w:jc w:val="center"/>
              <w:rPr>
                <w:rFonts w:ascii="Arial Narrow" w:hAnsi="Arial Narrow" w:cs="Calibri"/>
                <w:strike/>
              </w:rPr>
            </w:pPr>
            <w:r w:rsidRPr="00DB561B">
              <w:rPr>
                <w:rFonts w:ascii="Arial Narrow" w:hAnsi="Arial Narrow"/>
              </w:rPr>
              <w:t>$</w:t>
            </w:r>
            <w:r w:rsidR="009669DF">
              <w:rPr>
                <w:rFonts w:ascii="Arial Narrow" w:hAnsi="Arial Narrow"/>
                <w:noProof/>
                <w:color w:val="000000"/>
                <w:highlight w:val="black"/>
              </w:rPr>
              <w:t>''''''''''''''''''''''''''''</w:t>
            </w:r>
          </w:p>
        </w:tc>
        <w:tc>
          <w:tcPr>
            <w:tcW w:w="1134" w:type="dxa"/>
            <w:tcBorders>
              <w:top w:val="nil"/>
            </w:tcBorders>
            <w:vAlign w:val="center"/>
          </w:tcPr>
          <w:p w:rsidR="009264C5" w:rsidRPr="00DB561B" w:rsidRDefault="009264C5" w:rsidP="009264C5">
            <w:pPr>
              <w:keepNext/>
              <w:spacing w:before="40" w:after="40"/>
              <w:jc w:val="center"/>
              <w:rPr>
                <w:rFonts w:ascii="Arial Narrow" w:hAnsi="Arial Narrow" w:cs="Calibri"/>
                <w:strike/>
              </w:rPr>
            </w:pPr>
            <w:r w:rsidRPr="00DB561B">
              <w:rPr>
                <w:rFonts w:ascii="Arial Narrow" w:hAnsi="Arial Narrow"/>
              </w:rPr>
              <w:t>$</w:t>
            </w:r>
            <w:r w:rsidR="009669DF">
              <w:rPr>
                <w:rFonts w:ascii="Arial Narrow" w:hAnsi="Arial Narrow"/>
                <w:noProof/>
                <w:color w:val="000000"/>
                <w:highlight w:val="black"/>
              </w:rPr>
              <w:t>''''''''''''''''''''''''</w:t>
            </w:r>
          </w:p>
        </w:tc>
        <w:tc>
          <w:tcPr>
            <w:tcW w:w="992" w:type="dxa"/>
            <w:tcBorders>
              <w:top w:val="nil"/>
            </w:tcBorders>
            <w:vAlign w:val="center"/>
          </w:tcPr>
          <w:p w:rsidR="009264C5" w:rsidRPr="00DB561B" w:rsidRDefault="009264C5" w:rsidP="009264C5">
            <w:pPr>
              <w:keepNext/>
              <w:spacing w:before="40" w:after="40"/>
              <w:jc w:val="center"/>
              <w:rPr>
                <w:rFonts w:ascii="Arial Narrow" w:hAnsi="Arial Narrow" w:cs="Calibri"/>
                <w:strike/>
              </w:rPr>
            </w:pPr>
            <w:r w:rsidRPr="00DB561B">
              <w:rPr>
                <w:rFonts w:ascii="Arial Narrow" w:hAnsi="Arial Narrow"/>
              </w:rPr>
              <w:t>$</w:t>
            </w:r>
            <w:r w:rsidR="009669DF">
              <w:rPr>
                <w:rFonts w:ascii="Arial Narrow" w:hAnsi="Arial Narrow"/>
                <w:noProof/>
                <w:color w:val="000000"/>
                <w:highlight w:val="black"/>
              </w:rPr>
              <w:t>'''''''''''''''''''''''''</w:t>
            </w:r>
          </w:p>
        </w:tc>
        <w:tc>
          <w:tcPr>
            <w:tcW w:w="1134" w:type="dxa"/>
            <w:tcBorders>
              <w:top w:val="nil"/>
            </w:tcBorders>
            <w:vAlign w:val="center"/>
          </w:tcPr>
          <w:p w:rsidR="009264C5" w:rsidRPr="00DB561B" w:rsidRDefault="009264C5" w:rsidP="009264C5">
            <w:pPr>
              <w:keepNext/>
              <w:spacing w:before="40" w:after="40"/>
              <w:jc w:val="center"/>
              <w:rPr>
                <w:rFonts w:ascii="Arial Narrow" w:hAnsi="Arial Narrow" w:cs="Calibri"/>
                <w:strike/>
              </w:rPr>
            </w:pPr>
            <w:r w:rsidRPr="00DB561B">
              <w:rPr>
                <w:rFonts w:ascii="Arial Narrow" w:hAnsi="Arial Narrow"/>
              </w:rPr>
              <w:t>$</w:t>
            </w:r>
            <w:r w:rsidR="009669DF">
              <w:rPr>
                <w:rFonts w:ascii="Arial Narrow" w:hAnsi="Arial Narrow"/>
                <w:noProof/>
                <w:color w:val="000000"/>
                <w:highlight w:val="black"/>
              </w:rPr>
              <w:t>'''''''''''''''''''''''''''</w:t>
            </w:r>
          </w:p>
        </w:tc>
        <w:tc>
          <w:tcPr>
            <w:tcW w:w="1083" w:type="dxa"/>
            <w:tcBorders>
              <w:top w:val="nil"/>
            </w:tcBorders>
            <w:vAlign w:val="center"/>
          </w:tcPr>
          <w:p w:rsidR="009264C5" w:rsidRPr="00DB561B" w:rsidRDefault="009264C5" w:rsidP="009264C5">
            <w:pPr>
              <w:keepNext/>
              <w:spacing w:before="40" w:after="40"/>
              <w:jc w:val="center"/>
              <w:rPr>
                <w:rFonts w:ascii="Arial Narrow" w:hAnsi="Arial Narrow" w:cs="Calibri"/>
                <w:strike/>
              </w:rPr>
            </w:pPr>
            <w:r w:rsidRPr="00DB561B">
              <w:rPr>
                <w:rFonts w:ascii="Arial Narrow" w:hAnsi="Arial Narrow"/>
              </w:rPr>
              <w:t>$</w:t>
            </w:r>
            <w:r w:rsidR="009669DF">
              <w:rPr>
                <w:rFonts w:ascii="Arial Narrow" w:hAnsi="Arial Narrow"/>
                <w:noProof/>
                <w:color w:val="000000"/>
                <w:highlight w:val="black"/>
              </w:rPr>
              <w:t>''''''''''''''''''''''''''''</w:t>
            </w:r>
          </w:p>
        </w:tc>
      </w:tr>
    </w:tbl>
    <w:p w:rsidR="009264C5" w:rsidRPr="00A52774" w:rsidRDefault="009264C5" w:rsidP="009264C5">
      <w:pPr>
        <w:keepNext/>
        <w:widowControl w:val="0"/>
        <w:spacing w:after="0" w:line="240" w:lineRule="auto"/>
        <w:contextualSpacing/>
        <w:jc w:val="both"/>
        <w:rPr>
          <w:rFonts w:ascii="Arial Narrow" w:eastAsia="Times New Roman" w:hAnsi="Arial Narrow" w:cstheme="minorHAnsi"/>
          <w:snapToGrid w:val="0"/>
          <w:sz w:val="20"/>
          <w:szCs w:val="20"/>
        </w:rPr>
      </w:pPr>
      <w:r w:rsidRPr="00A52774">
        <w:rPr>
          <w:rFonts w:ascii="Arial Narrow" w:eastAsia="Times New Roman" w:hAnsi="Arial Narrow" w:cstheme="minorHAnsi"/>
          <w:snapToGrid w:val="0"/>
          <w:sz w:val="20"/>
          <w:szCs w:val="20"/>
        </w:rPr>
        <w:t>Source: derived during the evaluation</w:t>
      </w:r>
    </w:p>
    <w:p w:rsidR="009264C5" w:rsidRPr="00A52774" w:rsidRDefault="009264C5" w:rsidP="009264C5">
      <w:pPr>
        <w:pStyle w:val="3Bodytext"/>
        <w:numPr>
          <w:ilvl w:val="0"/>
          <w:numId w:val="0"/>
        </w:numPr>
        <w:rPr>
          <w:rFonts w:cstheme="minorHAnsi"/>
        </w:rPr>
      </w:pPr>
    </w:p>
    <w:p w:rsidR="009264C5" w:rsidRPr="00A52774" w:rsidRDefault="004454CE" w:rsidP="00D62022">
      <w:pPr>
        <w:pStyle w:val="3Bodytext"/>
      </w:pPr>
      <w:r>
        <w:t xml:space="preserve">The redacted </w:t>
      </w:r>
      <w:r w:rsidR="00CF6144">
        <w:rPr>
          <w:b/>
        </w:rPr>
        <w:t xml:space="preserve">Table </w:t>
      </w:r>
      <w:r w:rsidR="00902299">
        <w:rPr>
          <w:b/>
        </w:rPr>
        <w:t>5</w:t>
      </w:r>
      <w:r w:rsidR="00902299">
        <w:t xml:space="preserve"> shows</w:t>
      </w:r>
      <w:r>
        <w:t xml:space="preserve"> that i</w:t>
      </w:r>
      <w:r w:rsidR="009264C5" w:rsidRPr="00A52774">
        <w:t>n the</w:t>
      </w:r>
      <w:r w:rsidR="008609E8" w:rsidRPr="00A52774">
        <w:t xml:space="preserve"> B</w:t>
      </w:r>
      <w:r w:rsidR="009264C5" w:rsidRPr="00A52774">
        <w:t>ase case</w:t>
      </w:r>
      <w:r>
        <w:t>,</w:t>
      </w:r>
      <w:r w:rsidR="009264C5" w:rsidRPr="00A52774">
        <w:t xml:space="preserve"> using the epidemiological approach for CPP patients with baseline PASI ≥</w:t>
      </w:r>
      <w:r w:rsidR="005D7BFA">
        <w:t xml:space="preserve"> </w:t>
      </w:r>
      <w:r w:rsidR="009264C5" w:rsidRPr="00A52774">
        <w:t>12 to ≤</w:t>
      </w:r>
      <w:r w:rsidR="005D7BFA">
        <w:t xml:space="preserve"> </w:t>
      </w:r>
      <w:r w:rsidR="009264C5" w:rsidRPr="00A52774">
        <w:t xml:space="preserve">15 and assuming a </w:t>
      </w:r>
      <w:r w:rsidR="009669DF">
        <w:rPr>
          <w:noProof/>
          <w:color w:val="000000"/>
          <w:highlight w:val="black"/>
        </w:rPr>
        <w:t>'''''''''</w:t>
      </w:r>
      <w:r w:rsidR="009264C5" w:rsidRPr="00DB561B">
        <w:t>%</w:t>
      </w:r>
      <w:r w:rsidR="009264C5" w:rsidRPr="00A52774">
        <w:t xml:space="preserve"> discount on the indication specific price, the</w:t>
      </w:r>
      <w:r>
        <w:t xml:space="preserve"> estimated net cost to the PBS/RPBS </w:t>
      </w:r>
      <w:r w:rsidR="00620F03">
        <w:t>in</w:t>
      </w:r>
      <w:r w:rsidR="005D7BFA">
        <w:t xml:space="preserve"> Y</w:t>
      </w:r>
      <w:r>
        <w:t xml:space="preserve">ear 6 would be </w:t>
      </w:r>
      <w:r w:rsidRPr="004454CE">
        <w:t>$10 – $20 million</w:t>
      </w:r>
      <w:r w:rsidR="00685DCF">
        <w:t xml:space="preserve"> per year</w:t>
      </w:r>
      <w:r>
        <w:t xml:space="preserve">. </w:t>
      </w:r>
      <w:r w:rsidR="009264C5" w:rsidRPr="00A52774">
        <w:t xml:space="preserve"> </w:t>
      </w:r>
    </w:p>
    <w:p w:rsidR="009264C5" w:rsidRPr="00A52774" w:rsidRDefault="009264C5" w:rsidP="009264C5">
      <w:pPr>
        <w:pStyle w:val="3Bodytext"/>
      </w:pPr>
      <w:r w:rsidRPr="00A52774">
        <w:t>The net cost to the PBS in the PASI &gt;</w:t>
      </w:r>
      <w:r w:rsidR="005D7BFA">
        <w:t xml:space="preserve"> </w:t>
      </w:r>
      <w:r w:rsidRPr="00A52774">
        <w:t>15 population (total PBS market) is based on the current PBS market</w:t>
      </w:r>
      <w:r w:rsidR="00CF6144">
        <w:t xml:space="preserve"> share</w:t>
      </w:r>
      <w:r w:rsidRPr="00A52774">
        <w:t xml:space="preserve"> (patient numbers currently treated) and the assumption that all patients will be treated with secukinumab. The number of scripts per patient was based on the same number of scripts estimated in the PASI ≥</w:t>
      </w:r>
      <w:r w:rsidR="005D7BFA">
        <w:t xml:space="preserve"> </w:t>
      </w:r>
      <w:r w:rsidRPr="00A52774">
        <w:t>12 to ≤</w:t>
      </w:r>
      <w:r w:rsidR="005D7BFA">
        <w:t xml:space="preserve"> </w:t>
      </w:r>
      <w:r w:rsidRPr="00A52774">
        <w:t>15 population for secukinumab</w:t>
      </w:r>
      <w:r w:rsidR="00557392">
        <w:t xml:space="preserve">; </w:t>
      </w:r>
      <w:r w:rsidRPr="00A52774">
        <w:t>seven for initiating patients (first year) and</w:t>
      </w:r>
      <w:r w:rsidR="0080365B">
        <w:t xml:space="preserve"> </w:t>
      </w:r>
      <w:r w:rsidRPr="00A52774">
        <w:t>thirteen per year for maintenance patients. This approach</w:t>
      </w:r>
      <w:r w:rsidR="00CF6144">
        <w:t xml:space="preserve"> </w:t>
      </w:r>
      <w:r w:rsidRPr="00A52774">
        <w:t>slightly overestimate</w:t>
      </w:r>
      <w:r w:rsidR="00CF6144">
        <w:t>d</w:t>
      </w:r>
      <w:r w:rsidRPr="00A52774">
        <w:t xml:space="preserve"> the cost of the total PBS </w:t>
      </w:r>
      <w:r w:rsidRPr="00A52774">
        <w:lastRenderedPageBreak/>
        <w:t>market as it</w:t>
      </w:r>
      <w:r w:rsidR="00CF6144">
        <w:t xml:space="preserve"> applied the secukinumab price to the whole </w:t>
      </w:r>
      <w:r w:rsidR="00902299">
        <w:t>market, which</w:t>
      </w:r>
      <w:r w:rsidRPr="00A52774">
        <w:t xml:space="preserve"> </w:t>
      </w:r>
      <w:r w:rsidR="00CF6144" w:rsidRPr="009221DA">
        <w:t>a</w:t>
      </w:r>
      <w:r w:rsidRPr="00ED2648">
        <w:t>lso</w:t>
      </w:r>
      <w:r w:rsidRPr="00A52774">
        <w:t xml:space="preserve"> include</w:t>
      </w:r>
      <w:r w:rsidR="00CF6144">
        <w:t>d</w:t>
      </w:r>
      <w:r w:rsidRPr="00A52774">
        <w:t xml:space="preserve"> lower cost biologics such as etanercept and infliximab.</w:t>
      </w:r>
    </w:p>
    <w:p w:rsidR="00A3718C" w:rsidRPr="00504C43" w:rsidRDefault="00ED2648" w:rsidP="00ED2648">
      <w:pPr>
        <w:pStyle w:val="3Bodytext"/>
      </w:pPr>
      <w:r>
        <w:t>T</w:t>
      </w:r>
      <w:r w:rsidRPr="00ED2648">
        <w:t xml:space="preserve">he estimated net cost to the PBS/RPBS for the total </w:t>
      </w:r>
      <w:r>
        <w:t xml:space="preserve">biologics market for CPP (PASI </w:t>
      </w:r>
      <w:r>
        <w:rPr>
          <w:rFonts w:cstheme="minorHAnsi"/>
        </w:rPr>
        <w:t>≥</w:t>
      </w:r>
      <w:r>
        <w:t xml:space="preserve"> 12)</w:t>
      </w:r>
      <w:r w:rsidR="00902299">
        <w:t>,</w:t>
      </w:r>
      <w:r w:rsidRPr="00ED2648">
        <w:t xml:space="preserve"> based on the price of secukinumab, was estimated to</w:t>
      </w:r>
      <w:r>
        <w:t xml:space="preserve"> be more than $100 million in Year 6</w:t>
      </w:r>
      <w:r w:rsidRPr="00ED2648">
        <w:t xml:space="preserve">. </w:t>
      </w:r>
    </w:p>
    <w:p w:rsidR="00C73AB6" w:rsidRPr="00A52774" w:rsidRDefault="00C73AB6" w:rsidP="0026033F">
      <w:pPr>
        <w:pStyle w:val="3Bodytext"/>
      </w:pPr>
      <w:r w:rsidRPr="00A52774">
        <w:t>The wording of the proposed</w:t>
      </w:r>
      <w:r w:rsidR="00557392">
        <w:t xml:space="preserve"> draft</w:t>
      </w:r>
      <w:r w:rsidR="003C21A3">
        <w:t xml:space="preserve"> PBS</w:t>
      </w:r>
      <w:r w:rsidRPr="00A52774">
        <w:t xml:space="preserve"> restrictions for b</w:t>
      </w:r>
      <w:r w:rsidR="00557392">
        <w:t>iologics</w:t>
      </w:r>
      <w:r w:rsidRPr="00A52774">
        <w:t xml:space="preserve"> for CPP </w:t>
      </w:r>
      <w:r w:rsidR="007C1200">
        <w:t>were</w:t>
      </w:r>
      <w:r w:rsidRPr="00A52774">
        <w:t xml:space="preserve"> </w:t>
      </w:r>
      <w:r w:rsidR="0080365B">
        <w:t>determined</w:t>
      </w:r>
      <w:r w:rsidRPr="00A52774">
        <w:t xml:space="preserve"> following consultation with Services Australia. All PBS item codes that refer to treatment initiation with a biologic (for whole body CPP) have been amended to require patients to have a baseline PASI of </w:t>
      </w:r>
      <w:r w:rsidR="005304A9">
        <w:t>‘</w:t>
      </w:r>
      <w:r w:rsidRPr="00A52774">
        <w:t>12 or greater</w:t>
      </w:r>
      <w:r w:rsidR="005304A9">
        <w:t>’</w:t>
      </w:r>
      <w:r w:rsidRPr="00A52774">
        <w:t xml:space="preserve"> from the </w:t>
      </w:r>
      <w:r w:rsidR="00557392">
        <w:t>current</w:t>
      </w:r>
      <w:r w:rsidRPr="00A52774">
        <w:t xml:space="preserve"> </w:t>
      </w:r>
      <w:r w:rsidR="005304A9">
        <w:t>‘</w:t>
      </w:r>
      <w:r w:rsidRPr="00A52774">
        <w:t>greater than 15.</w:t>
      </w:r>
      <w:r w:rsidR="005304A9">
        <w:t>’</w:t>
      </w:r>
      <w:r w:rsidRPr="00A52774">
        <w:t xml:space="preserve"> No change</w:t>
      </w:r>
      <w:r w:rsidR="003C21A3">
        <w:t>s</w:t>
      </w:r>
      <w:r w:rsidRPr="00A52774">
        <w:t xml:space="preserve"> ha</w:t>
      </w:r>
      <w:r w:rsidR="003C21A3">
        <w:t>ve</w:t>
      </w:r>
      <w:r w:rsidRPr="00A52774">
        <w:t xml:space="preserve"> been </w:t>
      </w:r>
      <w:r w:rsidR="00902299">
        <w:t xml:space="preserve">proposed </w:t>
      </w:r>
      <w:r w:rsidR="00902299" w:rsidRPr="00A52774">
        <w:t>to</w:t>
      </w:r>
      <w:r w:rsidRPr="00A52774">
        <w:t xml:space="preserve"> </w:t>
      </w:r>
      <w:r w:rsidR="003C21A3">
        <w:t xml:space="preserve">PBS </w:t>
      </w:r>
      <w:r w:rsidRPr="00A52774">
        <w:t xml:space="preserve">restrictions for treatment initiation </w:t>
      </w:r>
      <w:r w:rsidR="009221DA">
        <w:t xml:space="preserve">of </w:t>
      </w:r>
      <w:r w:rsidR="009221DA" w:rsidRPr="00A52774">
        <w:t>patients</w:t>
      </w:r>
      <w:r w:rsidRPr="00A52774">
        <w:t xml:space="preserve"> with severe CPP of the face, hand or foot as this was outside the scope of the </w:t>
      </w:r>
      <w:r w:rsidR="00557392">
        <w:t>CER</w:t>
      </w:r>
      <w:r w:rsidRPr="00A52774">
        <w:t xml:space="preserve">. </w:t>
      </w:r>
    </w:p>
    <w:p w:rsidR="00C73AB6" w:rsidRPr="00A52774" w:rsidRDefault="00C73AB6" w:rsidP="00C73AB6">
      <w:pPr>
        <w:pStyle w:val="3Bodytext"/>
      </w:pPr>
      <w:r w:rsidRPr="00A52774">
        <w:t xml:space="preserve">No changes have been </w:t>
      </w:r>
      <w:r w:rsidR="003C21A3">
        <w:t xml:space="preserve">proposed </w:t>
      </w:r>
      <w:r w:rsidRPr="00A52774">
        <w:t xml:space="preserve">to the </w:t>
      </w:r>
      <w:r w:rsidR="003C21A3">
        <w:t xml:space="preserve">PBS </w:t>
      </w:r>
      <w:r w:rsidRPr="00A52774">
        <w:t>restrictions for biologic treatment continuation for patients with whole body CPP as</w:t>
      </w:r>
      <w:r w:rsidR="00557392">
        <w:t xml:space="preserve"> </w:t>
      </w:r>
      <w:r w:rsidRPr="00A52774">
        <w:t xml:space="preserve">irrespective of a patient’s baseline PASI </w:t>
      </w:r>
      <w:r w:rsidR="000F38E1">
        <w:t>score;</w:t>
      </w:r>
      <w:r w:rsidRPr="00A52774">
        <w:t xml:space="preserve"> they are still required to achieve a 75% PASI improvement to be eligible for continuation therapy with the same biologic. Although the structure of the </w:t>
      </w:r>
      <w:r w:rsidR="003C21A3">
        <w:t xml:space="preserve">PBS </w:t>
      </w:r>
      <w:r w:rsidRPr="00A52774">
        <w:t xml:space="preserve">restrictions differ between biologics, the principle changes made are the same. </w:t>
      </w:r>
    </w:p>
    <w:p w:rsidR="00C73AB6" w:rsidRPr="00A52774" w:rsidRDefault="00C73AB6" w:rsidP="00C73AB6">
      <w:pPr>
        <w:pStyle w:val="3Bodytext"/>
      </w:pPr>
      <w:r w:rsidRPr="00A52774">
        <w:t xml:space="preserve">The proposed single restriction for the CPP population with baseline PASI of </w:t>
      </w:r>
      <w:r w:rsidR="0080365B">
        <w:t>‘</w:t>
      </w:r>
      <w:r w:rsidRPr="00A52774">
        <w:t>12 or greater</w:t>
      </w:r>
      <w:r w:rsidR="0080365B">
        <w:t>’</w:t>
      </w:r>
      <w:r w:rsidRPr="00A52774">
        <w:t xml:space="preserve"> </w:t>
      </w:r>
      <w:r w:rsidR="00410343" w:rsidRPr="00A52774">
        <w:t>would require</w:t>
      </w:r>
      <w:r w:rsidRPr="00A52774">
        <w:t xml:space="preserve"> a weighted price. The CER </w:t>
      </w:r>
      <w:r w:rsidR="0080365B">
        <w:t>presented</w:t>
      </w:r>
      <w:r w:rsidRPr="00A52774">
        <w:t xml:space="preserve"> a weighted price for secukinumab based on the number of patients enrolled in clinical trials. It was estimated that </w:t>
      </w:r>
      <w:r w:rsidR="009669DF">
        <w:rPr>
          <w:noProof/>
          <w:color w:val="000000"/>
          <w:highlight w:val="black"/>
        </w:rPr>
        <w:t>'''''</w:t>
      </w:r>
      <w:r w:rsidRPr="006C383E">
        <w:t xml:space="preserve">% </w:t>
      </w:r>
      <w:r w:rsidR="009669DF">
        <w:rPr>
          <w:noProof/>
          <w:color w:val="000000"/>
          <w:highlight w:val="black"/>
        </w:rPr>
        <w:t>''''''''''''''''''''''</w:t>
      </w:r>
      <w:r w:rsidRPr="00A52774">
        <w:t xml:space="preserve"> of all patients enrolled in the clinical trials had a baseline PASI of ≥</w:t>
      </w:r>
      <w:r w:rsidR="00557392">
        <w:t xml:space="preserve"> </w:t>
      </w:r>
      <w:r w:rsidRPr="00A52774">
        <w:t>12 to ≤</w:t>
      </w:r>
      <w:r w:rsidR="00557392">
        <w:t xml:space="preserve"> </w:t>
      </w:r>
      <w:r w:rsidRPr="00A52774">
        <w:t xml:space="preserve">15 and </w:t>
      </w:r>
      <w:r w:rsidR="009669DF">
        <w:rPr>
          <w:noProof/>
          <w:color w:val="000000"/>
          <w:highlight w:val="black"/>
        </w:rPr>
        <w:t>'''''</w:t>
      </w:r>
      <w:r w:rsidR="002970FB" w:rsidRPr="006C383E">
        <w:t>%</w:t>
      </w:r>
      <w:r w:rsidR="002970FB">
        <w:t xml:space="preserve"> have a baseline PASI &gt;</w:t>
      </w:r>
      <w:r w:rsidR="00557392">
        <w:t xml:space="preserve"> </w:t>
      </w:r>
      <w:r w:rsidR="002970FB">
        <w:t>15</w:t>
      </w:r>
      <w:r w:rsidRPr="00A52774">
        <w:t>.</w:t>
      </w:r>
    </w:p>
    <w:p w:rsidR="00C73AB6" w:rsidRDefault="00C73AB6" w:rsidP="00C73AB6">
      <w:pPr>
        <w:pStyle w:val="3Bodytext"/>
      </w:pPr>
      <w:r w:rsidRPr="00A52774">
        <w:t>The Department has consulted Services Australia regarding the capture of utilisation data in the PASI ≥</w:t>
      </w:r>
      <w:r w:rsidR="005304A9">
        <w:t xml:space="preserve"> </w:t>
      </w:r>
      <w:r w:rsidRPr="00A52774">
        <w:t>12 to ≤</w:t>
      </w:r>
      <w:r w:rsidR="005304A9">
        <w:t xml:space="preserve"> </w:t>
      </w:r>
      <w:r w:rsidRPr="00A52774">
        <w:t>15 population and the currently eligible PASI &gt;</w:t>
      </w:r>
      <w:r w:rsidR="005304A9">
        <w:t xml:space="preserve"> </w:t>
      </w:r>
      <w:r w:rsidRPr="00A52774">
        <w:t>15 population. Services Australia advised that baseline PASI scores, and PASI scores for patients responsive to treatment (following initiation of a b</w:t>
      </w:r>
      <w:r w:rsidR="005304A9">
        <w:t>iologic</w:t>
      </w:r>
      <w:r w:rsidRPr="00A52774">
        <w:t>) can be captured in written authority applications and made accessible to the Department via data feed.</w:t>
      </w:r>
    </w:p>
    <w:p w:rsidR="00FD3AED" w:rsidRPr="00A52774" w:rsidRDefault="007A19BD" w:rsidP="00A52774">
      <w:pPr>
        <w:pStyle w:val="2Sections"/>
      </w:pPr>
      <w:r w:rsidRPr="00A52774">
        <w:t xml:space="preserve">PBAC </w:t>
      </w:r>
      <w:r w:rsidR="00634414">
        <w:t>o</w:t>
      </w:r>
      <w:r w:rsidRPr="00A52774">
        <w:t>utcome</w:t>
      </w:r>
    </w:p>
    <w:p w:rsidR="00A70A94" w:rsidRPr="00A52774" w:rsidRDefault="00A70A94" w:rsidP="00E427A4">
      <w:pPr>
        <w:pStyle w:val="3Bodytext"/>
      </w:pPr>
      <w:r w:rsidRPr="00A52774">
        <w:t>The PBAC noted the Sponsor pre-PBAC responses</w:t>
      </w:r>
      <w:r w:rsidR="00D43A8E" w:rsidRPr="00A52774">
        <w:t xml:space="preserve"> and </w:t>
      </w:r>
      <w:r w:rsidR="002561E2" w:rsidRPr="00A52774">
        <w:t xml:space="preserve">one stakeholder </w:t>
      </w:r>
      <w:r w:rsidR="00D43A8E" w:rsidRPr="00A52774">
        <w:t>submission</w:t>
      </w:r>
      <w:r w:rsidR="002561E2" w:rsidRPr="00A52774">
        <w:t>.</w:t>
      </w:r>
      <w:r w:rsidR="00D43A8E" w:rsidRPr="00A52774">
        <w:t xml:space="preserve"> </w:t>
      </w:r>
    </w:p>
    <w:p w:rsidR="00E427A4" w:rsidRPr="00A52774" w:rsidRDefault="008100F8" w:rsidP="00150A5E">
      <w:pPr>
        <w:pStyle w:val="3Bodytext"/>
      </w:pPr>
      <w:r w:rsidRPr="00A52774">
        <w:t xml:space="preserve">The PBAC recalled that in </w:t>
      </w:r>
      <w:r w:rsidR="005304A9" w:rsidRPr="00A52774">
        <w:t>it</w:t>
      </w:r>
      <w:r w:rsidR="005304A9">
        <w:t>s</w:t>
      </w:r>
      <w:r w:rsidR="00CF226B" w:rsidRPr="00A52774">
        <w:t xml:space="preserve"> April 2018 consideration of the PMR report for biologics</w:t>
      </w:r>
      <w:r w:rsidR="008F6C35" w:rsidRPr="00A52774">
        <w:t xml:space="preserve"> </w:t>
      </w:r>
      <w:r w:rsidR="00CF226B" w:rsidRPr="00A52774">
        <w:t xml:space="preserve">in CPP, </w:t>
      </w:r>
      <w:r w:rsidRPr="00A52774">
        <w:t>“</w:t>
      </w:r>
      <w:r w:rsidR="00CF226B" w:rsidRPr="00A52774">
        <w:t xml:space="preserve">the PBAC </w:t>
      </w:r>
      <w:r w:rsidR="00E427A4" w:rsidRPr="00A52774">
        <w:t>requested a CER to consider the additional PBS population’s treated with biologics that meet the eligibility criteria of a baseline</w:t>
      </w:r>
      <w:r w:rsidR="0028499B" w:rsidRPr="00A52774">
        <w:t xml:space="preserve"> </w:t>
      </w:r>
      <w:r w:rsidR="00E427A4" w:rsidRPr="00A52774">
        <w:t>PASI</w:t>
      </w:r>
      <w:r w:rsidR="00150A5E">
        <w:t xml:space="preserve"> of </w:t>
      </w:r>
      <w:r w:rsidR="00150A5E" w:rsidRPr="00150A5E">
        <w:t>≥</w:t>
      </w:r>
      <w:r w:rsidR="005304A9">
        <w:t xml:space="preserve"> </w:t>
      </w:r>
      <w:r w:rsidR="00150A5E" w:rsidRPr="00150A5E">
        <w:t>12 to ≤</w:t>
      </w:r>
      <w:r w:rsidR="005304A9">
        <w:t xml:space="preserve"> </w:t>
      </w:r>
      <w:r w:rsidR="00150A5E" w:rsidRPr="00150A5E">
        <w:t xml:space="preserve">15 </w:t>
      </w:r>
      <w:r w:rsidR="00E427A4" w:rsidRPr="00A52774">
        <w:t>and</w:t>
      </w:r>
      <w:r w:rsidR="00150A5E">
        <w:t xml:space="preserve"> a</w:t>
      </w:r>
      <w:r w:rsidR="008940FB">
        <w:t xml:space="preserve"> </w:t>
      </w:r>
      <w:r w:rsidR="00E427A4" w:rsidRPr="00A52774">
        <w:t>DLQI &gt;</w:t>
      </w:r>
      <w:r w:rsidR="005304A9">
        <w:t xml:space="preserve"> </w:t>
      </w:r>
      <w:r w:rsidR="00E427A4" w:rsidRPr="00A52774">
        <w:t xml:space="preserve">10. Where possible this analysis should also consider </w:t>
      </w:r>
      <w:r w:rsidR="00F4636F" w:rsidRPr="00A52774">
        <w:t>the inclusion of the ‘OR DLQI &gt;</w:t>
      </w:r>
      <w:r w:rsidR="005304A9">
        <w:t xml:space="preserve"> </w:t>
      </w:r>
      <w:r w:rsidR="00E427A4" w:rsidRPr="00A52774">
        <w:t>10’ population in addition to those who meet the combined eligibility requirement of a b</w:t>
      </w:r>
      <w:r w:rsidR="00150A5E">
        <w:t xml:space="preserve">aseline PASI </w:t>
      </w:r>
      <w:r w:rsidR="00150A5E" w:rsidRPr="00150A5E">
        <w:t>≥</w:t>
      </w:r>
      <w:r w:rsidR="005304A9">
        <w:t xml:space="preserve"> </w:t>
      </w:r>
      <w:r w:rsidR="00150A5E" w:rsidRPr="00150A5E">
        <w:t>12 to ≤</w:t>
      </w:r>
      <w:r w:rsidR="005304A9">
        <w:t xml:space="preserve"> </w:t>
      </w:r>
      <w:r w:rsidR="00150A5E" w:rsidRPr="00150A5E">
        <w:t xml:space="preserve">15 </w:t>
      </w:r>
      <w:r w:rsidRPr="00A52774">
        <w:t>and DLQI &gt;10</w:t>
      </w:r>
      <w:r w:rsidR="004617D7">
        <w:t>.</w:t>
      </w:r>
      <w:r w:rsidRPr="00A52774">
        <w:t>”</w:t>
      </w:r>
      <w:r w:rsidR="00E427A4" w:rsidRPr="00A52774">
        <w:t xml:space="preserve">  </w:t>
      </w:r>
    </w:p>
    <w:p w:rsidR="00EF3C3A" w:rsidRPr="00A52774" w:rsidRDefault="00477A15" w:rsidP="0071093F">
      <w:pPr>
        <w:pStyle w:val="3Bodytext"/>
        <w:rPr>
          <w:rFonts w:cstheme="minorHAnsi"/>
        </w:rPr>
      </w:pPr>
      <w:r w:rsidRPr="00A52774">
        <w:t xml:space="preserve">The PBAC </w:t>
      </w:r>
      <w:r w:rsidR="00CB7E4D">
        <w:t xml:space="preserve">agreed with </w:t>
      </w:r>
      <w:r w:rsidR="004617D7">
        <w:t>S</w:t>
      </w:r>
      <w:r w:rsidR="00CB7E4D">
        <w:t xml:space="preserve">ponsors </w:t>
      </w:r>
      <w:r w:rsidR="000C2A78" w:rsidRPr="00A52774">
        <w:t xml:space="preserve">that the CER did not specifically address the population with a DLQI </w:t>
      </w:r>
      <w:r w:rsidR="000C2A78" w:rsidRPr="00A52774">
        <w:rPr>
          <w:rFonts w:cstheme="minorHAnsi"/>
        </w:rPr>
        <w:t>˃</w:t>
      </w:r>
      <w:r w:rsidR="005304A9">
        <w:rPr>
          <w:rFonts w:cstheme="minorHAnsi"/>
        </w:rPr>
        <w:t xml:space="preserve"> </w:t>
      </w:r>
      <w:r w:rsidR="000C2A78" w:rsidRPr="00A52774">
        <w:t>10</w:t>
      </w:r>
      <w:r w:rsidR="004617D7">
        <w:t xml:space="preserve"> separately</w:t>
      </w:r>
      <w:r w:rsidR="00F018A0">
        <w:t xml:space="preserve"> to those</w:t>
      </w:r>
      <w:r w:rsidR="004617D7">
        <w:t xml:space="preserve"> with a PASI </w:t>
      </w:r>
      <w:r w:rsidR="00271D3D">
        <w:rPr>
          <w:rFonts w:cstheme="minorHAnsi"/>
        </w:rPr>
        <w:t>≥</w:t>
      </w:r>
      <w:r w:rsidR="004617D7">
        <w:t xml:space="preserve"> 12</w:t>
      </w:r>
      <w:r w:rsidR="000C2A78" w:rsidRPr="00A52774">
        <w:t xml:space="preserve">. </w:t>
      </w:r>
      <w:r w:rsidR="00B163D5" w:rsidRPr="00A52774">
        <w:t xml:space="preserve">The </w:t>
      </w:r>
      <w:r w:rsidR="00B163D5" w:rsidRPr="00A52774">
        <w:rPr>
          <w:rFonts w:cstheme="minorHAnsi"/>
        </w:rPr>
        <w:t xml:space="preserve">PBAC recalled that in its consideration of the PMR report for biologics in CPP, “the PBAC was uncertain that there was sufficient evidence to support the inclusion of DLQI in the </w:t>
      </w:r>
      <w:r w:rsidR="00B163D5" w:rsidRPr="00A52774">
        <w:rPr>
          <w:rFonts w:cstheme="minorHAnsi"/>
        </w:rPr>
        <w:lastRenderedPageBreak/>
        <w:t>restriction criteria</w:t>
      </w:r>
      <w:r w:rsidR="00B163D5">
        <w:rPr>
          <w:rFonts w:cstheme="minorHAnsi"/>
        </w:rPr>
        <w:t xml:space="preserve"> </w:t>
      </w:r>
      <w:r w:rsidR="00D62022">
        <w:rPr>
          <w:rFonts w:cstheme="minorHAnsi"/>
        </w:rPr>
        <w:t>(</w:t>
      </w:r>
      <w:r w:rsidR="007D77E7">
        <w:rPr>
          <w:rFonts w:cstheme="minorHAnsi"/>
        </w:rPr>
        <w:t xml:space="preserve">7.01 </w:t>
      </w:r>
      <w:r w:rsidR="00D62022">
        <w:rPr>
          <w:rFonts w:cstheme="minorHAnsi"/>
        </w:rPr>
        <w:t>April 2018</w:t>
      </w:r>
      <w:r w:rsidR="007D77E7">
        <w:rPr>
          <w:rFonts w:cstheme="minorHAnsi"/>
        </w:rPr>
        <w:t xml:space="preserve"> Minutes</w:t>
      </w:r>
      <w:r w:rsidR="00D62022">
        <w:rPr>
          <w:rFonts w:cstheme="minorHAnsi"/>
        </w:rPr>
        <w:t>, paragraph 4.3.4</w:t>
      </w:r>
      <w:r w:rsidR="00B163D5">
        <w:rPr>
          <w:rFonts w:cstheme="minorHAnsi"/>
        </w:rPr>
        <w:t>)</w:t>
      </w:r>
      <w:r w:rsidR="00B163D5" w:rsidRPr="00A52774">
        <w:rPr>
          <w:rFonts w:cstheme="minorHAnsi"/>
        </w:rPr>
        <w:t>.</w:t>
      </w:r>
      <w:r w:rsidR="00541A54">
        <w:rPr>
          <w:rFonts w:cstheme="minorHAnsi"/>
        </w:rPr>
        <w:t>”</w:t>
      </w:r>
      <w:r w:rsidR="00B163D5" w:rsidRPr="00A52774">
        <w:rPr>
          <w:rFonts w:cstheme="minorHAnsi"/>
        </w:rPr>
        <w:t xml:space="preserve"> </w:t>
      </w:r>
      <w:r w:rsidR="00EF3C3A" w:rsidRPr="00A52774">
        <w:t xml:space="preserve">The PBAC noted </w:t>
      </w:r>
      <w:r w:rsidR="00F72F98">
        <w:t xml:space="preserve">the evaluator comments </w:t>
      </w:r>
      <w:r w:rsidR="00EF3C3A" w:rsidRPr="00A52774">
        <w:t xml:space="preserve">that </w:t>
      </w:r>
      <w:r w:rsidR="004617D7">
        <w:t xml:space="preserve">there were </w:t>
      </w:r>
      <w:r w:rsidR="00EF3C3A" w:rsidRPr="00A52774">
        <w:t>very few patients in the PASI ≥</w:t>
      </w:r>
      <w:r w:rsidR="005304A9">
        <w:t xml:space="preserve"> </w:t>
      </w:r>
      <w:r w:rsidR="00EF3C3A" w:rsidRPr="00A52774">
        <w:t>12 to ≤</w:t>
      </w:r>
      <w:r w:rsidR="005304A9">
        <w:t xml:space="preserve"> </w:t>
      </w:r>
      <w:r w:rsidR="00EF3C3A" w:rsidRPr="00A52774">
        <w:t>15 AND DLQI &gt;</w:t>
      </w:r>
      <w:r w:rsidR="005304A9">
        <w:t xml:space="preserve"> </w:t>
      </w:r>
      <w:r w:rsidR="00EF3C3A" w:rsidRPr="00A52774">
        <w:t xml:space="preserve">10 subgroup </w:t>
      </w:r>
      <w:r w:rsidR="004617D7">
        <w:t xml:space="preserve">in </w:t>
      </w:r>
      <w:r w:rsidR="00EF3C3A" w:rsidRPr="00A52774">
        <w:t>the clinical trial</w:t>
      </w:r>
      <w:r w:rsidR="002561E2" w:rsidRPr="00A52774">
        <w:t xml:space="preserve"> data </w:t>
      </w:r>
      <w:r w:rsidR="00F72F98">
        <w:t xml:space="preserve">and </w:t>
      </w:r>
      <w:r w:rsidR="00515D58" w:rsidRPr="00A52774">
        <w:t>that</w:t>
      </w:r>
      <w:r w:rsidR="004617D7">
        <w:t xml:space="preserve"> </w:t>
      </w:r>
      <w:r w:rsidR="007037E1" w:rsidRPr="00A52774">
        <w:t>th</w:t>
      </w:r>
      <w:r w:rsidR="002561E2" w:rsidRPr="00A52774">
        <w:t>e</w:t>
      </w:r>
      <w:r w:rsidR="007037E1" w:rsidRPr="00A52774">
        <w:t xml:space="preserve"> DLQI &gt;</w:t>
      </w:r>
      <w:r w:rsidR="0037758D">
        <w:t xml:space="preserve"> </w:t>
      </w:r>
      <w:r w:rsidR="007037E1" w:rsidRPr="00A52774">
        <w:t xml:space="preserve">10 subgroup </w:t>
      </w:r>
      <w:r w:rsidR="00D72072">
        <w:t>did</w:t>
      </w:r>
      <w:r w:rsidR="007037E1" w:rsidRPr="00A52774">
        <w:t xml:space="preserve"> not represent a mutually exclusive group</w:t>
      </w:r>
      <w:r w:rsidR="00E87271" w:rsidRPr="00A52774">
        <w:t xml:space="preserve">. </w:t>
      </w:r>
      <w:r w:rsidR="00BC46D1" w:rsidRPr="00A52774">
        <w:rPr>
          <w:rFonts w:cstheme="minorHAnsi"/>
        </w:rPr>
        <w:t>The PBAC were concerned that</w:t>
      </w:r>
      <w:r w:rsidR="00D72072">
        <w:rPr>
          <w:rFonts w:cstheme="minorHAnsi"/>
        </w:rPr>
        <w:t xml:space="preserve"> there may be</w:t>
      </w:r>
      <w:r w:rsidR="00BC46D1" w:rsidRPr="00A52774">
        <w:rPr>
          <w:rFonts w:cstheme="minorHAnsi"/>
        </w:rPr>
        <w:t xml:space="preserve"> a small population with a </w:t>
      </w:r>
      <w:r w:rsidR="00717A8C" w:rsidRPr="00A52774">
        <w:rPr>
          <w:rFonts w:cstheme="minorHAnsi"/>
        </w:rPr>
        <w:t>DLQI ˃</w:t>
      </w:r>
      <w:r w:rsidR="0037758D">
        <w:rPr>
          <w:rFonts w:cstheme="minorHAnsi"/>
        </w:rPr>
        <w:t xml:space="preserve"> </w:t>
      </w:r>
      <w:r w:rsidR="00717A8C" w:rsidRPr="00A52774">
        <w:rPr>
          <w:rFonts w:cstheme="minorHAnsi"/>
        </w:rPr>
        <w:t>10 and a PASI ˂</w:t>
      </w:r>
      <w:r w:rsidR="0037758D">
        <w:rPr>
          <w:rFonts w:cstheme="minorHAnsi"/>
        </w:rPr>
        <w:t xml:space="preserve"> </w:t>
      </w:r>
      <w:r w:rsidR="00717A8C" w:rsidRPr="00A52774">
        <w:rPr>
          <w:rFonts w:cstheme="minorHAnsi"/>
        </w:rPr>
        <w:t xml:space="preserve">12 </w:t>
      </w:r>
      <w:r w:rsidR="00D72072">
        <w:rPr>
          <w:rFonts w:cstheme="minorHAnsi"/>
        </w:rPr>
        <w:t xml:space="preserve">who </w:t>
      </w:r>
      <w:r w:rsidR="00BC46D1" w:rsidRPr="00A52774">
        <w:rPr>
          <w:rFonts w:cstheme="minorHAnsi"/>
        </w:rPr>
        <w:t>remain ineligible for treatment.</w:t>
      </w:r>
    </w:p>
    <w:p w:rsidR="00B163D5" w:rsidRPr="00A52774" w:rsidRDefault="00B163D5" w:rsidP="00B163D5">
      <w:pPr>
        <w:pStyle w:val="3Bodytext"/>
        <w:rPr>
          <w:rFonts w:ascii="Calibri" w:eastAsia="Times New Roman" w:hAnsi="Calibri" w:cs="Times New Roman"/>
          <w:szCs w:val="24"/>
        </w:rPr>
      </w:pPr>
      <w:r w:rsidRPr="00A52774">
        <w:t>The PBAC noted that secukinumab was nominated as the reference biologic because:</w:t>
      </w:r>
    </w:p>
    <w:p w:rsidR="00B163D5" w:rsidRPr="00A52774" w:rsidRDefault="0037758D" w:rsidP="00B163D5">
      <w:pPr>
        <w:pStyle w:val="3Bodytext"/>
        <w:numPr>
          <w:ilvl w:val="0"/>
          <w:numId w:val="9"/>
        </w:numPr>
        <w:rPr>
          <w:rFonts w:ascii="Calibri" w:eastAsia="Times New Roman" w:hAnsi="Calibri" w:cs="Times New Roman"/>
          <w:szCs w:val="24"/>
        </w:rPr>
      </w:pPr>
      <w:r>
        <w:rPr>
          <w:rFonts w:ascii="Calibri" w:eastAsia="Times New Roman" w:hAnsi="Calibri" w:cs="Times New Roman"/>
          <w:szCs w:val="24"/>
        </w:rPr>
        <w:t>T</w:t>
      </w:r>
      <w:r w:rsidR="00B163D5" w:rsidRPr="00A52774">
        <w:rPr>
          <w:rFonts w:ascii="Calibri" w:eastAsia="Times New Roman" w:hAnsi="Calibri" w:cs="Times New Roman"/>
          <w:szCs w:val="24"/>
        </w:rPr>
        <w:t>he relative efficacy of secukinumab compared to placebo is close to the middle among all the biologics considered; and</w:t>
      </w:r>
    </w:p>
    <w:p w:rsidR="00B163D5" w:rsidRPr="00A52774" w:rsidRDefault="0037758D" w:rsidP="00B163D5">
      <w:pPr>
        <w:pStyle w:val="3Bodytext"/>
        <w:numPr>
          <w:ilvl w:val="0"/>
          <w:numId w:val="9"/>
        </w:numPr>
        <w:rPr>
          <w:rFonts w:ascii="Calibri" w:eastAsia="Times New Roman" w:hAnsi="Calibri" w:cs="Times New Roman"/>
          <w:szCs w:val="24"/>
        </w:rPr>
      </w:pPr>
      <w:r>
        <w:rPr>
          <w:rFonts w:ascii="Calibri" w:eastAsia="Times New Roman" w:hAnsi="Calibri" w:cs="Times New Roman"/>
          <w:szCs w:val="24"/>
        </w:rPr>
        <w:t>S</w:t>
      </w:r>
      <w:r w:rsidR="00B163D5" w:rsidRPr="00A52774">
        <w:rPr>
          <w:rFonts w:ascii="Calibri" w:eastAsia="Times New Roman" w:hAnsi="Calibri" w:cs="Times New Roman"/>
          <w:szCs w:val="24"/>
        </w:rPr>
        <w:t>ecukinumab has been listed on the PBS since September 2015 and there is a reasonable amount of utilisation data to inform maintenance rates in the Australian population currently treated with secukinumab.</w:t>
      </w:r>
    </w:p>
    <w:p w:rsidR="003A2437" w:rsidRPr="00A52774" w:rsidRDefault="00927E7A" w:rsidP="00D43A8E">
      <w:pPr>
        <w:pStyle w:val="3Bodytext"/>
      </w:pPr>
      <w:r w:rsidRPr="00A52774">
        <w:t xml:space="preserve">The PBAC </w:t>
      </w:r>
      <w:r w:rsidR="00EF3C3A" w:rsidRPr="00A52774">
        <w:t xml:space="preserve">recalled </w:t>
      </w:r>
      <w:r w:rsidRPr="00A52774">
        <w:t xml:space="preserve">that </w:t>
      </w:r>
      <w:r w:rsidR="00EF3C3A" w:rsidRPr="00A52774">
        <w:t>in July 2019</w:t>
      </w:r>
      <w:r w:rsidR="002970FB">
        <w:t>,</w:t>
      </w:r>
      <w:r w:rsidR="00F83C6D" w:rsidRPr="00A52774">
        <w:t xml:space="preserve"> </w:t>
      </w:r>
      <w:r w:rsidR="002970FB">
        <w:t xml:space="preserve">in the </w:t>
      </w:r>
      <w:r w:rsidR="002970FB" w:rsidRPr="00877049">
        <w:t>C</w:t>
      </w:r>
      <w:r w:rsidR="00EF3C3A" w:rsidRPr="00877049">
        <w:t xml:space="preserve">ommittee’s </w:t>
      </w:r>
      <w:r w:rsidR="00FB1E27" w:rsidRPr="00BF0C39">
        <w:t>consideration of risankizumab</w:t>
      </w:r>
      <w:r w:rsidR="002970FB" w:rsidRPr="00BF0C39">
        <w:t>,</w:t>
      </w:r>
      <w:r w:rsidR="00FB1E27" w:rsidRPr="00BF0C39">
        <w:t xml:space="preserve"> </w:t>
      </w:r>
      <w:r w:rsidR="00541A54">
        <w:t>it</w:t>
      </w:r>
      <w:r w:rsidR="00EF3C3A" w:rsidRPr="00BF0C39">
        <w:t xml:space="preserve"> considered</w:t>
      </w:r>
      <w:r w:rsidR="00FB1E27" w:rsidRPr="00675F3C">
        <w:t>; “there was unlikely to be any clinically significant difference in long-term outcomes between any of the PBS-listed biologics available for u</w:t>
      </w:r>
      <w:r w:rsidR="00FB1E27" w:rsidRPr="00A52774">
        <w:t xml:space="preserve">se in CPP (paragraph 7.5, </w:t>
      </w:r>
      <w:r w:rsidR="001B7D06" w:rsidRPr="00A52774">
        <w:t>risankizumab</w:t>
      </w:r>
      <w:r w:rsidR="00FB1E27" w:rsidRPr="00A52774">
        <w:t xml:space="preserve"> PSD July 2019).</w:t>
      </w:r>
      <w:r w:rsidR="00541A54">
        <w:t>”</w:t>
      </w:r>
      <w:r w:rsidR="003E5CC8" w:rsidRPr="00A52774">
        <w:t xml:space="preserve"> </w:t>
      </w:r>
      <w:r w:rsidR="002E694D" w:rsidRPr="00A52774">
        <w:t xml:space="preserve">The PBAC noted that based on the </w:t>
      </w:r>
      <w:r w:rsidR="00F83C6D" w:rsidRPr="00A52774">
        <w:t>C</w:t>
      </w:r>
      <w:r w:rsidR="008100F8" w:rsidRPr="00A52774">
        <w:t>ommittee’s</w:t>
      </w:r>
      <w:r w:rsidR="002E694D" w:rsidRPr="00A52774">
        <w:t xml:space="preserve"> consideration of risankizumab</w:t>
      </w:r>
      <w:r w:rsidR="00F018A0">
        <w:t>,</w:t>
      </w:r>
      <w:r w:rsidR="002E694D" w:rsidRPr="00A52774">
        <w:t xml:space="preserve"> the ESC advised that the use of a reference biologic (secukinumab) was appropriate.</w:t>
      </w:r>
    </w:p>
    <w:p w:rsidR="003E5CC8" w:rsidRPr="00A52774" w:rsidRDefault="0084275D" w:rsidP="00D43A8E">
      <w:pPr>
        <w:pStyle w:val="3Bodytext"/>
      </w:pPr>
      <w:r w:rsidRPr="00A52774">
        <w:t xml:space="preserve">The PBAC </w:t>
      </w:r>
      <w:r w:rsidR="00F7153C">
        <w:t>noted that</w:t>
      </w:r>
      <w:r w:rsidRPr="00A52774">
        <w:t xml:space="preserve"> PBS utilisation data </w:t>
      </w:r>
      <w:r w:rsidR="00F7153C">
        <w:t>w</w:t>
      </w:r>
      <w:r w:rsidR="00271D3D">
        <w:t>as</w:t>
      </w:r>
      <w:r w:rsidR="00F7153C">
        <w:t xml:space="preserve"> used</w:t>
      </w:r>
      <w:r w:rsidRPr="00A52774">
        <w:t xml:space="preserve"> to inform maintenan</w:t>
      </w:r>
      <w:r w:rsidR="001E5743" w:rsidRPr="00A52774">
        <w:t>ce rates</w:t>
      </w:r>
      <w:r w:rsidR="00F7153C">
        <w:t xml:space="preserve"> </w:t>
      </w:r>
      <w:r w:rsidR="00F018A0">
        <w:t xml:space="preserve">in the model </w:t>
      </w:r>
      <w:r w:rsidR="00F7153C">
        <w:t>beyond the duration of the clinical trial data provided. The PBAC considered that there may be uncertainty in the maintenance rates accurately reflecting treatment failure</w:t>
      </w:r>
      <w:r w:rsidR="00F018A0">
        <w:t>,</w:t>
      </w:r>
      <w:r w:rsidR="00F7153C">
        <w:t xml:space="preserve"> </w:t>
      </w:r>
      <w:r w:rsidR="001E5743" w:rsidRPr="00A52774">
        <w:t xml:space="preserve">as </w:t>
      </w:r>
      <w:r w:rsidRPr="00A52774">
        <w:t>patients may</w:t>
      </w:r>
      <w:r w:rsidR="001E5743" w:rsidRPr="00A52774">
        <w:t xml:space="preserve"> switch between biologics for </w:t>
      </w:r>
      <w:r w:rsidRPr="00A52774">
        <w:t>reasons such as</w:t>
      </w:r>
      <w:r w:rsidR="001E5743" w:rsidRPr="00A52774">
        <w:t xml:space="preserve"> the method of administration (e.g. I</w:t>
      </w:r>
      <w:r w:rsidR="0015572B">
        <w:t>.</w:t>
      </w:r>
      <w:r w:rsidR="001E5743" w:rsidRPr="00A52774">
        <w:t>V</w:t>
      </w:r>
      <w:r w:rsidR="0015572B">
        <w:t>.</w:t>
      </w:r>
      <w:r w:rsidR="001E5743" w:rsidRPr="00A52774">
        <w:t xml:space="preserve"> infusion versus subcutaneous injection)</w:t>
      </w:r>
      <w:r w:rsidRPr="00A52774">
        <w:t xml:space="preserve"> </w:t>
      </w:r>
      <w:r w:rsidR="001E5743" w:rsidRPr="00A52774">
        <w:t>and a more convenient dosage</w:t>
      </w:r>
      <w:r w:rsidR="00F4636F" w:rsidRPr="00A52774">
        <w:t xml:space="preserve"> regimen (</w:t>
      </w:r>
      <w:r w:rsidR="008F6C35" w:rsidRPr="00A52774">
        <w:t xml:space="preserve">e.g. </w:t>
      </w:r>
      <w:r w:rsidR="00F4636F" w:rsidRPr="00A52774">
        <w:t>once weekly injection versus 12 weekly injection</w:t>
      </w:r>
      <w:r w:rsidR="001E5743" w:rsidRPr="00A52774">
        <w:t xml:space="preserve">). </w:t>
      </w:r>
    </w:p>
    <w:p w:rsidR="001E5743" w:rsidRPr="00620F03" w:rsidRDefault="000C2DE0" w:rsidP="00620F03">
      <w:pPr>
        <w:pStyle w:val="3Bodytext"/>
      </w:pPr>
      <w:r w:rsidRPr="00A52774">
        <w:t xml:space="preserve">The PBAC noted that the incremental cost effectiveness ratio (ICER) for the PASI </w:t>
      </w:r>
      <w:r w:rsidRPr="00A52774">
        <w:rPr>
          <w:rFonts w:cs="Calibri"/>
        </w:rPr>
        <w:t>˃</w:t>
      </w:r>
      <w:r w:rsidR="0037758D">
        <w:rPr>
          <w:rFonts w:cs="Calibri"/>
        </w:rPr>
        <w:t xml:space="preserve"> </w:t>
      </w:r>
      <w:r w:rsidRPr="00A52774">
        <w:t>15 subgroup (the ‘Existing ICER</w:t>
      </w:r>
      <w:r w:rsidR="00091516" w:rsidRPr="00A52774">
        <w:t>’</w:t>
      </w:r>
      <w:r w:rsidRPr="00A52774">
        <w:t>) was</w:t>
      </w:r>
      <w:r w:rsidR="00620F03">
        <w:t xml:space="preserve"> </w:t>
      </w:r>
      <w:r w:rsidR="00620F03" w:rsidRPr="00620F03">
        <w:rPr>
          <w:rFonts w:ascii="Calibri" w:eastAsia="Times New Roman" w:hAnsi="Calibri" w:cs="Times New Roman"/>
          <w:color w:val="000000"/>
          <w:szCs w:val="24"/>
        </w:rPr>
        <w:t>$15,000/QALY - $45,000/QALY</w:t>
      </w:r>
      <w:r w:rsidRPr="00620F03">
        <w:rPr>
          <w:rFonts w:ascii="Calibri" w:eastAsia="Times New Roman" w:hAnsi="Calibri" w:cs="Times New Roman"/>
          <w:color w:val="000000"/>
          <w:szCs w:val="24"/>
        </w:rPr>
        <w:t xml:space="preserve"> and the ICER for the </w:t>
      </w:r>
      <w:r w:rsidRPr="00A52774">
        <w:t>PASI ≥</w:t>
      </w:r>
      <w:r w:rsidR="0037758D">
        <w:t xml:space="preserve"> </w:t>
      </w:r>
      <w:r w:rsidRPr="00A52774">
        <w:t>12 to ≤</w:t>
      </w:r>
      <w:r w:rsidR="0037758D">
        <w:t xml:space="preserve"> </w:t>
      </w:r>
      <w:r w:rsidRPr="00A52774">
        <w:t>15 subgroup (the ‘Base case ICER’) was</w:t>
      </w:r>
      <w:r w:rsidR="00620F03">
        <w:t xml:space="preserve"> </w:t>
      </w:r>
      <w:r w:rsidR="00620F03" w:rsidRPr="00620F03">
        <w:t>$105,000/QALY – $200,000/QALY</w:t>
      </w:r>
      <w:r w:rsidRPr="00A52774">
        <w:t xml:space="preserve">. </w:t>
      </w:r>
      <w:r w:rsidR="00717C73" w:rsidRPr="00A52774">
        <w:t xml:space="preserve">The </w:t>
      </w:r>
      <w:r w:rsidR="008F6C35" w:rsidRPr="00A52774">
        <w:t>PBAC noted that the CER stated</w:t>
      </w:r>
      <w:r w:rsidR="00717C73" w:rsidRPr="00A52774">
        <w:t xml:space="preserve"> that a price reduction of </w:t>
      </w:r>
      <w:r w:rsidR="009669DF">
        <w:rPr>
          <w:noProof/>
          <w:color w:val="000000"/>
          <w:highlight w:val="black"/>
        </w:rPr>
        <w:t>'''''''''</w:t>
      </w:r>
      <w:r w:rsidR="00717C73" w:rsidRPr="006C383E">
        <w:t>%</w:t>
      </w:r>
      <w:r w:rsidR="00717C73" w:rsidRPr="00A52774">
        <w:t xml:space="preserve"> </w:t>
      </w:r>
      <w:r w:rsidR="00717C73" w:rsidRPr="00620F03">
        <w:rPr>
          <w:iCs/>
        </w:rPr>
        <w:t>(from the current indication specific price for the PASI ˃</w:t>
      </w:r>
      <w:r w:rsidR="0037758D">
        <w:rPr>
          <w:iCs/>
        </w:rPr>
        <w:t xml:space="preserve"> </w:t>
      </w:r>
      <w:r w:rsidR="00717C73" w:rsidRPr="00620F03">
        <w:rPr>
          <w:iCs/>
        </w:rPr>
        <w:t>15 subgroup)</w:t>
      </w:r>
      <w:r w:rsidR="00711E54" w:rsidRPr="00620F03">
        <w:rPr>
          <w:iCs/>
        </w:rPr>
        <w:t xml:space="preserve"> is required in the PASI ≥</w:t>
      </w:r>
      <w:r w:rsidR="0037758D">
        <w:rPr>
          <w:iCs/>
        </w:rPr>
        <w:t xml:space="preserve"> </w:t>
      </w:r>
      <w:r w:rsidR="00711E54" w:rsidRPr="00620F03">
        <w:rPr>
          <w:iCs/>
        </w:rPr>
        <w:t>12 to ≤</w:t>
      </w:r>
      <w:r w:rsidR="0037758D">
        <w:rPr>
          <w:iCs/>
        </w:rPr>
        <w:t xml:space="preserve"> </w:t>
      </w:r>
      <w:r w:rsidR="00711E54" w:rsidRPr="00620F03">
        <w:rPr>
          <w:iCs/>
        </w:rPr>
        <w:t xml:space="preserve">15 subgroup to maintain the same ICER across both populations. </w:t>
      </w:r>
    </w:p>
    <w:p w:rsidR="00675F3C" w:rsidRPr="00A52774" w:rsidRDefault="00675F3C" w:rsidP="00711E54">
      <w:pPr>
        <w:pStyle w:val="3Bodytext"/>
      </w:pPr>
      <w:r>
        <w:rPr>
          <w:iCs/>
        </w:rPr>
        <w:t xml:space="preserve">The PBAC noted that while the ICER for secukinumab was used as the Base case ICER, sensitivity analyses were performed by the evaluator for other biologics for CPP. The PBAC noted that the ICER </w:t>
      </w:r>
      <w:r w:rsidR="00CC2EE4">
        <w:rPr>
          <w:iCs/>
        </w:rPr>
        <w:t xml:space="preserve">for secukinumab was </w:t>
      </w:r>
      <w:r w:rsidR="009669DF">
        <w:rPr>
          <w:iCs/>
          <w:noProof/>
          <w:color w:val="000000"/>
          <w:highlight w:val="black"/>
        </w:rPr>
        <w:t>'''''' '''''''''''''' '''''''''''''</w:t>
      </w:r>
      <w:r w:rsidR="00CC2EE4">
        <w:rPr>
          <w:iCs/>
        </w:rPr>
        <w:t xml:space="preserve"> among biologics in the F1 formulary.</w:t>
      </w:r>
    </w:p>
    <w:p w:rsidR="005804F4" w:rsidRPr="00A52774" w:rsidRDefault="005804F4" w:rsidP="005804F4">
      <w:pPr>
        <w:pStyle w:val="3Bodytext"/>
      </w:pPr>
      <w:r w:rsidRPr="00A52774">
        <w:t>The PBAC agreed with the ESC advice that; “the model is highly sensitive to the utility values used and noted that this was driven by the incremental utility gain of 0.3 (0.89-0.59) per responder in the PASI ˃</w:t>
      </w:r>
      <w:r w:rsidR="0037758D">
        <w:t xml:space="preserve"> </w:t>
      </w:r>
      <w:r w:rsidRPr="00A52774">
        <w:t>15 subgroup versus an incremental utility gain of 0.1 (0.89-0.79) per responder in the PASI ≥</w:t>
      </w:r>
      <w:r w:rsidR="0037758D">
        <w:t xml:space="preserve"> </w:t>
      </w:r>
      <w:r w:rsidRPr="00A52774">
        <w:t>12 to ≤</w:t>
      </w:r>
      <w:r w:rsidR="0037758D">
        <w:t xml:space="preserve"> </w:t>
      </w:r>
      <w:r w:rsidRPr="00A52774">
        <w:t>15 subgroup.”</w:t>
      </w:r>
      <w:r w:rsidRPr="00A52774">
        <w:rPr>
          <w:i/>
        </w:rPr>
        <w:t xml:space="preserve"> </w:t>
      </w:r>
    </w:p>
    <w:p w:rsidR="005804F4" w:rsidRPr="00A52774" w:rsidRDefault="005804F4" w:rsidP="005804F4">
      <w:pPr>
        <w:pStyle w:val="3Bodytext"/>
        <w:rPr>
          <w:i/>
        </w:rPr>
      </w:pPr>
      <w:r w:rsidRPr="00A52774">
        <w:t>The PBAC noted that</w:t>
      </w:r>
      <w:r w:rsidR="00132AE9" w:rsidRPr="00A52774">
        <w:t xml:space="preserve"> the ESC and</w:t>
      </w:r>
      <w:r w:rsidRPr="00A52774">
        <w:t xml:space="preserve"> several Sponsors had raised concerns with using the utility values from Zug et. al. (1995) due to the study’s small sample size and because </w:t>
      </w:r>
      <w:r w:rsidRPr="00A52774">
        <w:lastRenderedPageBreak/>
        <w:t>it was now dated. The PBAC a</w:t>
      </w:r>
      <w:r w:rsidR="001C1D5C">
        <w:t xml:space="preserve">lso noted the ESC advice that </w:t>
      </w:r>
      <w:r w:rsidRPr="00A52774">
        <w:t xml:space="preserve">the utilities from Zug et. al. have been </w:t>
      </w:r>
      <w:r w:rsidR="0052157E" w:rsidRPr="00A52774">
        <w:t xml:space="preserve">presented </w:t>
      </w:r>
      <w:r w:rsidRPr="00A52774">
        <w:t xml:space="preserve">in </w:t>
      </w:r>
      <w:r w:rsidR="001E36FB">
        <w:t xml:space="preserve">prior </w:t>
      </w:r>
      <w:r w:rsidRPr="00A52774">
        <w:t>PBAC submissions</w:t>
      </w:r>
      <w:r w:rsidR="0052157E" w:rsidRPr="00A52774">
        <w:t xml:space="preserve"> and</w:t>
      </w:r>
      <w:r w:rsidR="001E36FB">
        <w:t xml:space="preserve"> previously</w:t>
      </w:r>
      <w:r w:rsidR="0052157E" w:rsidRPr="00A52774">
        <w:t xml:space="preserve"> accepted by</w:t>
      </w:r>
      <w:r w:rsidR="00717A8C" w:rsidRPr="00A52774">
        <w:t xml:space="preserve"> the</w:t>
      </w:r>
      <w:r w:rsidR="00A52774">
        <w:t xml:space="preserve"> PBAC</w:t>
      </w:r>
      <w:r w:rsidR="0052157E" w:rsidRPr="00A52774">
        <w:t xml:space="preserve">. </w:t>
      </w:r>
      <w:r w:rsidRPr="00A52774">
        <w:t>The PBAC considered that there is very little consistency in published utility values for CPP and</w:t>
      </w:r>
      <w:r w:rsidR="001C4DA7" w:rsidRPr="00A52774">
        <w:t xml:space="preserve"> noted that</w:t>
      </w:r>
      <w:r w:rsidR="00680018" w:rsidRPr="00A52774">
        <w:t xml:space="preserve"> </w:t>
      </w:r>
      <w:r w:rsidRPr="00A52774">
        <w:t xml:space="preserve">if the utility values provided by </w:t>
      </w:r>
      <w:r w:rsidR="001E36FB">
        <w:t xml:space="preserve">one </w:t>
      </w:r>
      <w:r w:rsidR="00541A54">
        <w:t>S</w:t>
      </w:r>
      <w:r w:rsidR="001E36FB">
        <w:t xml:space="preserve">ponsor </w:t>
      </w:r>
      <w:r w:rsidRPr="00A52774">
        <w:t>(in their pre-PBAC response) were applied to the current model</w:t>
      </w:r>
      <w:r w:rsidR="0015572B">
        <w:t>,</w:t>
      </w:r>
      <w:r w:rsidRPr="00A52774">
        <w:t xml:space="preserve"> </w:t>
      </w:r>
      <w:r w:rsidRPr="005235FC">
        <w:t>the Existing ICER would increase by</w:t>
      </w:r>
      <w:r w:rsidR="009669DF">
        <w:rPr>
          <w:noProof/>
          <w:color w:val="000000"/>
          <w:highlight w:val="black"/>
        </w:rPr>
        <w:t xml:space="preserve"> '''''</w:t>
      </w:r>
      <w:r w:rsidRPr="006C383E">
        <w:t>%</w:t>
      </w:r>
      <w:r w:rsidR="001C4DA7" w:rsidRPr="006C383E">
        <w:t>.</w:t>
      </w:r>
      <w:r w:rsidR="001C4DA7" w:rsidRPr="00A52774">
        <w:t xml:space="preserve"> The PBAC considered that if alternative utilities were used this woul</w:t>
      </w:r>
      <w:r w:rsidR="0015572B">
        <w:t>d alter the ICER for the PASI &gt;</w:t>
      </w:r>
      <w:r w:rsidR="0037758D">
        <w:t xml:space="preserve"> </w:t>
      </w:r>
      <w:r w:rsidR="001C4DA7" w:rsidRPr="00A52774">
        <w:t xml:space="preserve">15 population </w:t>
      </w:r>
      <w:r w:rsidR="001C4ED5" w:rsidRPr="00A52774">
        <w:t xml:space="preserve">previously </w:t>
      </w:r>
      <w:r w:rsidR="001C4DA7" w:rsidRPr="00A52774">
        <w:t xml:space="preserve">accepted by </w:t>
      </w:r>
      <w:r w:rsidR="0015572B">
        <w:t xml:space="preserve">the </w:t>
      </w:r>
      <w:r w:rsidR="001C4DA7" w:rsidRPr="00A52774">
        <w:t>PBAC.</w:t>
      </w:r>
    </w:p>
    <w:p w:rsidR="005804F4" w:rsidRPr="00A52774" w:rsidRDefault="005804F4" w:rsidP="00D43A8E">
      <w:pPr>
        <w:pStyle w:val="3Bodytext"/>
      </w:pPr>
      <w:r w:rsidRPr="00A52774">
        <w:t xml:space="preserve">The PBAC noted that the CER assumed that in the Base case 5% of all patients who were non-responders would require one hospitalisation per year. The PBAC noted the ESC advice that “it would be more appropriate to assume an 11% hospitalisation rate in the Base case” as per the </w:t>
      </w:r>
      <w:r w:rsidR="009669DF">
        <w:rPr>
          <w:noProof/>
          <w:color w:val="000000"/>
          <w:highlight w:val="black"/>
        </w:rPr>
        <w:t>'''''''''''''''''''''''' '''''''''''' ''''''''' ''''''''''''''''''''''</w:t>
      </w:r>
      <w:r w:rsidRPr="00A52774">
        <w:t xml:space="preserve">. The PBAC noted that the CER tested an 11% hospitalisation rate in </w:t>
      </w:r>
      <w:r w:rsidR="001E36FB">
        <w:t xml:space="preserve">a </w:t>
      </w:r>
      <w:r w:rsidRPr="00A52774">
        <w:t>sensitivity analys</w:t>
      </w:r>
      <w:r w:rsidR="001E36FB">
        <w:t>i</w:t>
      </w:r>
      <w:r w:rsidRPr="00A52774">
        <w:t xml:space="preserve">s that reduced the Base case ICER and the Existing ICER </w:t>
      </w:r>
      <w:r w:rsidRPr="0023589C">
        <w:t xml:space="preserve">by </w:t>
      </w:r>
      <w:r w:rsidR="009669DF">
        <w:rPr>
          <w:noProof/>
          <w:color w:val="000000"/>
          <w:highlight w:val="black"/>
        </w:rPr>
        <w:t>''''</w:t>
      </w:r>
      <w:r w:rsidRPr="0023589C">
        <w:t xml:space="preserve">% and </w:t>
      </w:r>
      <w:r w:rsidR="009669DF">
        <w:rPr>
          <w:noProof/>
          <w:color w:val="000000"/>
          <w:highlight w:val="black"/>
        </w:rPr>
        <w:t>''''</w:t>
      </w:r>
      <w:r w:rsidRPr="0023589C">
        <w:t>%</w:t>
      </w:r>
      <w:r w:rsidRPr="00A52774">
        <w:t xml:space="preserve"> respectively and considered this </w:t>
      </w:r>
      <w:r w:rsidR="00C11E6B">
        <w:t xml:space="preserve">change </w:t>
      </w:r>
      <w:r w:rsidRPr="00A52774">
        <w:t xml:space="preserve">did not significantly </w:t>
      </w:r>
      <w:r w:rsidR="0015572B">
        <w:t>impact</w:t>
      </w:r>
      <w:r w:rsidRPr="00A52774">
        <w:t xml:space="preserve"> the ICER. </w:t>
      </w:r>
    </w:p>
    <w:p w:rsidR="008C5E25" w:rsidRPr="00A52774" w:rsidRDefault="008C5E25" w:rsidP="006D57F1">
      <w:pPr>
        <w:pStyle w:val="3Bodytext"/>
      </w:pPr>
      <w:r w:rsidRPr="00A52774">
        <w:t>The PBAC noted that the CER estimated that the cost</w:t>
      </w:r>
      <w:r w:rsidR="009409AE" w:rsidRPr="00A52774">
        <w:t>s</w:t>
      </w:r>
      <w:r w:rsidRPr="00A52774">
        <w:t xml:space="preserve"> of expanding access to </w:t>
      </w:r>
      <w:r w:rsidR="009409AE" w:rsidRPr="00A52774">
        <w:t>biologics</w:t>
      </w:r>
      <w:r w:rsidRPr="00A52774">
        <w:t xml:space="preserve"> to those with a baseline PASI </w:t>
      </w:r>
      <w:r w:rsidRPr="00A52774">
        <w:rPr>
          <w:iCs/>
        </w:rPr>
        <w:t>≥</w:t>
      </w:r>
      <w:r w:rsidR="00541A54">
        <w:rPr>
          <w:iCs/>
        </w:rPr>
        <w:t xml:space="preserve"> </w:t>
      </w:r>
      <w:r w:rsidRPr="00A52774">
        <w:rPr>
          <w:iCs/>
        </w:rPr>
        <w:t>12 to ≤</w:t>
      </w:r>
      <w:r w:rsidR="00541A54">
        <w:rPr>
          <w:iCs/>
        </w:rPr>
        <w:t xml:space="preserve"> </w:t>
      </w:r>
      <w:r w:rsidRPr="00A52774">
        <w:rPr>
          <w:iCs/>
        </w:rPr>
        <w:t xml:space="preserve">15 </w:t>
      </w:r>
      <w:r w:rsidR="009409AE" w:rsidRPr="00A52774">
        <w:rPr>
          <w:iCs/>
        </w:rPr>
        <w:t>(</w:t>
      </w:r>
      <w:r w:rsidRPr="00A52774">
        <w:t xml:space="preserve">assuming </w:t>
      </w:r>
      <w:r w:rsidRPr="0023589C">
        <w:t xml:space="preserve">a </w:t>
      </w:r>
      <w:r w:rsidR="009669DF">
        <w:rPr>
          <w:noProof/>
          <w:color w:val="000000"/>
          <w:highlight w:val="black"/>
        </w:rPr>
        <w:t>'''''''''</w:t>
      </w:r>
      <w:r w:rsidRPr="0023589C">
        <w:t>%</w:t>
      </w:r>
      <w:r w:rsidRPr="00A52774">
        <w:t xml:space="preserve"> discount o</w:t>
      </w:r>
      <w:r w:rsidR="009409AE" w:rsidRPr="00A52774">
        <w:t>n the</w:t>
      </w:r>
      <w:r w:rsidR="00AA468E" w:rsidRPr="00A52774">
        <w:t xml:space="preserve"> current</w:t>
      </w:r>
      <w:r w:rsidR="009409AE" w:rsidRPr="00A52774">
        <w:t xml:space="preserve"> indication specific price) </w:t>
      </w:r>
      <w:r w:rsidR="00793549">
        <w:t>would</w:t>
      </w:r>
      <w:r w:rsidRPr="00A52774">
        <w:t xml:space="preserve"> be</w:t>
      </w:r>
      <w:r w:rsidR="00620F03">
        <w:t xml:space="preserve"> </w:t>
      </w:r>
      <w:r w:rsidR="00620F03" w:rsidRPr="00620F03">
        <w:t>$10 – $20 million per year</w:t>
      </w:r>
      <w:r w:rsidRPr="00A52774">
        <w:t xml:space="preserve"> </w:t>
      </w:r>
      <w:r w:rsidR="00620F03">
        <w:t>in Year 6</w:t>
      </w:r>
      <w:r w:rsidR="009409AE" w:rsidRPr="00A52774">
        <w:t>.</w:t>
      </w:r>
    </w:p>
    <w:p w:rsidR="00E83BFC" w:rsidRPr="00A52774" w:rsidRDefault="009409AE" w:rsidP="00E83BFC">
      <w:pPr>
        <w:pStyle w:val="3Bodytext"/>
      </w:pPr>
      <w:r w:rsidRPr="00A52774">
        <w:t xml:space="preserve">The PBAC </w:t>
      </w:r>
      <w:r w:rsidR="00E83BFC" w:rsidRPr="00A52774">
        <w:t>noted advice from</w:t>
      </w:r>
      <w:r w:rsidR="006B07B1" w:rsidRPr="00A52774">
        <w:t xml:space="preserve"> the</w:t>
      </w:r>
      <w:r w:rsidR="00E83BFC" w:rsidRPr="00A52774">
        <w:t xml:space="preserve"> DUSC that the estimates for the PASI ˃</w:t>
      </w:r>
      <w:r w:rsidR="001131D6">
        <w:t xml:space="preserve"> </w:t>
      </w:r>
      <w:r w:rsidR="00E83BFC" w:rsidRPr="00A52774">
        <w:t>15 PBS market nearly doubled in</w:t>
      </w:r>
      <w:r w:rsidR="00541A54">
        <w:t xml:space="preserve"> the</w:t>
      </w:r>
      <w:r w:rsidR="00E83BFC" w:rsidRPr="00A52774">
        <w:t xml:space="preserve"> number of initiating patients from 2020 to 2025. The DUSC advised that in a mature market</w:t>
      </w:r>
      <w:r w:rsidR="001C4ED5" w:rsidRPr="00A52774">
        <w:t>,</w:t>
      </w:r>
      <w:r w:rsidR="00E83BFC" w:rsidRPr="00A52774">
        <w:t xml:space="preserve"> this</w:t>
      </w:r>
      <w:r w:rsidR="001C4ED5" w:rsidRPr="00A52774">
        <w:t xml:space="preserve"> growth in utilisation suggests</w:t>
      </w:r>
      <w:r w:rsidR="00E83BFC" w:rsidRPr="00A52774">
        <w:t xml:space="preserve"> leakage into another (less severe disease) population</w:t>
      </w:r>
      <w:r w:rsidR="001C4ED5" w:rsidRPr="00A52774">
        <w:t>.</w:t>
      </w:r>
      <w:r w:rsidR="00E83BFC" w:rsidRPr="00A52774">
        <w:t xml:space="preserve"> The PBAC agreed with</w:t>
      </w:r>
      <w:r w:rsidR="006B07B1" w:rsidRPr="00A52774">
        <w:t xml:space="preserve"> the</w:t>
      </w:r>
      <w:r w:rsidR="00E83BFC" w:rsidRPr="00A52774">
        <w:t xml:space="preserve"> DUSC that leakage into</w:t>
      </w:r>
      <w:r w:rsidR="0015572B">
        <w:t xml:space="preserve"> a</w:t>
      </w:r>
      <w:r w:rsidR="00E83BFC" w:rsidRPr="00A52774">
        <w:t xml:space="preserve"> less severe </w:t>
      </w:r>
      <w:r w:rsidR="001C4ED5" w:rsidRPr="00A52774">
        <w:t>CPP population</w:t>
      </w:r>
      <w:r w:rsidR="00E83BFC" w:rsidRPr="00A52774">
        <w:t xml:space="preserve"> is the most likely reason behind the continued growth of </w:t>
      </w:r>
      <w:r w:rsidR="001C4ED5" w:rsidRPr="00A52774">
        <w:t>this</w:t>
      </w:r>
      <w:r w:rsidR="00E83BFC" w:rsidRPr="00A52774">
        <w:t xml:space="preserve"> mature market.</w:t>
      </w:r>
      <w:r w:rsidR="00E83BFC" w:rsidRPr="00A52774">
        <w:rPr>
          <w:i/>
        </w:rPr>
        <w:t xml:space="preserve">  </w:t>
      </w:r>
    </w:p>
    <w:p w:rsidR="009409AE" w:rsidRPr="00A52774" w:rsidRDefault="009A1941" w:rsidP="00CA7240">
      <w:pPr>
        <w:pStyle w:val="3Bodytext"/>
      </w:pPr>
      <w:r w:rsidRPr="00A52774">
        <w:t xml:space="preserve">The PBAC agreed </w:t>
      </w:r>
      <w:r w:rsidR="009409AE" w:rsidRPr="00A52774">
        <w:t xml:space="preserve">with the DUSC </w:t>
      </w:r>
      <w:r w:rsidR="00CF226B" w:rsidRPr="00A52774">
        <w:t>advice</w:t>
      </w:r>
      <w:r w:rsidR="0015572B">
        <w:t xml:space="preserve"> that; “</w:t>
      </w:r>
      <w:r w:rsidR="009409AE" w:rsidRPr="00A52774">
        <w:t>the estimates for the PASI ≥</w:t>
      </w:r>
      <w:r w:rsidR="001131D6">
        <w:t xml:space="preserve"> </w:t>
      </w:r>
      <w:r w:rsidR="009409AE" w:rsidRPr="00A52774">
        <w:t>12 to ≤</w:t>
      </w:r>
      <w:r w:rsidR="001131D6">
        <w:t xml:space="preserve"> </w:t>
      </w:r>
      <w:r w:rsidR="009409AE" w:rsidRPr="00A52774">
        <w:t>15 population were not robust and are likely</w:t>
      </w:r>
      <w:r w:rsidR="00541A54">
        <w:t xml:space="preserve"> an</w:t>
      </w:r>
      <w:r w:rsidR="009409AE" w:rsidRPr="00A52774">
        <w:t xml:space="preserve"> overestimate due to: lack of evidence to support the relative distribution of patients with PASI ≥</w:t>
      </w:r>
      <w:r w:rsidR="001131D6">
        <w:t xml:space="preserve"> </w:t>
      </w:r>
      <w:r w:rsidR="009409AE" w:rsidRPr="00A52774">
        <w:t>12 relative to PASI ≥</w:t>
      </w:r>
      <w:r w:rsidR="001131D6">
        <w:t xml:space="preserve"> </w:t>
      </w:r>
      <w:r w:rsidR="009409AE" w:rsidRPr="00A52774">
        <w:t xml:space="preserve">10; </w:t>
      </w:r>
      <w:r w:rsidR="00766189" w:rsidRPr="00A52774">
        <w:t>and</w:t>
      </w:r>
      <w:r w:rsidR="009409AE" w:rsidRPr="00A52774">
        <w:t xml:space="preserve"> uncertainty in the rate of uptake of biologics in the PASI ≥</w:t>
      </w:r>
      <w:r w:rsidR="001131D6">
        <w:t xml:space="preserve"> </w:t>
      </w:r>
      <w:r w:rsidR="009409AE" w:rsidRPr="00A52774">
        <w:t>12 to ≤</w:t>
      </w:r>
      <w:r w:rsidR="001131D6">
        <w:t xml:space="preserve"> </w:t>
      </w:r>
      <w:r w:rsidR="009409AE" w:rsidRPr="00A52774">
        <w:t xml:space="preserve">15 population.” </w:t>
      </w:r>
    </w:p>
    <w:p w:rsidR="00DB6067" w:rsidRPr="00A52774" w:rsidRDefault="00BA47ED" w:rsidP="006D57F1">
      <w:pPr>
        <w:pStyle w:val="3Bodytext"/>
      </w:pPr>
      <w:r w:rsidRPr="00A52774">
        <w:t xml:space="preserve">The PBAC did not recommend </w:t>
      </w:r>
      <w:r w:rsidR="00E52DBC" w:rsidRPr="00A52774">
        <w:t>expanding the PBS restrictions for CPP to include patients with a baseline PASI score of ≥</w:t>
      </w:r>
      <w:r w:rsidR="001131D6">
        <w:t xml:space="preserve"> </w:t>
      </w:r>
      <w:r w:rsidR="00E52DBC" w:rsidRPr="00A52774">
        <w:t>12 to ≤</w:t>
      </w:r>
      <w:r w:rsidR="001131D6">
        <w:t xml:space="preserve"> </w:t>
      </w:r>
      <w:r w:rsidR="00E52DBC" w:rsidRPr="00A52774">
        <w:t xml:space="preserve">15. </w:t>
      </w:r>
      <w:r w:rsidR="005C7393" w:rsidRPr="00A52774">
        <w:t xml:space="preserve">The PBAC considered the ICER </w:t>
      </w:r>
      <w:r w:rsidR="00B43609" w:rsidRPr="00A52774">
        <w:t xml:space="preserve">of </w:t>
      </w:r>
      <w:r w:rsidR="006D57F1" w:rsidRPr="006D57F1">
        <w:t>$105,000/QALY – $200,000/QALY</w:t>
      </w:r>
      <w:r w:rsidR="00B43609" w:rsidRPr="00A52774">
        <w:t xml:space="preserve"> </w:t>
      </w:r>
      <w:r w:rsidR="005C7393" w:rsidRPr="00A52774">
        <w:t>in the PASI ≥</w:t>
      </w:r>
      <w:r w:rsidR="001131D6">
        <w:t xml:space="preserve"> </w:t>
      </w:r>
      <w:r w:rsidR="005C7393" w:rsidRPr="00A52774">
        <w:t>12 to ≤</w:t>
      </w:r>
      <w:r w:rsidR="001131D6">
        <w:t xml:space="preserve"> </w:t>
      </w:r>
      <w:r w:rsidR="005C7393" w:rsidRPr="00A52774">
        <w:t xml:space="preserve">15 </w:t>
      </w:r>
      <w:r w:rsidR="008A543D" w:rsidRPr="00A52774">
        <w:t xml:space="preserve">subgroup </w:t>
      </w:r>
      <w:r w:rsidR="005C7393" w:rsidRPr="00A52774">
        <w:t>unacceptably high</w:t>
      </w:r>
      <w:r w:rsidR="001E36FB">
        <w:t xml:space="preserve"> and uncertain</w:t>
      </w:r>
      <w:r w:rsidR="005C7393" w:rsidRPr="00A52774">
        <w:t xml:space="preserve">. The </w:t>
      </w:r>
      <w:r w:rsidR="008A543D" w:rsidRPr="00A52774">
        <w:t xml:space="preserve">PBAC considered that </w:t>
      </w:r>
      <w:r w:rsidR="00132AE9" w:rsidRPr="00A52774">
        <w:t xml:space="preserve">it was likely that </w:t>
      </w:r>
      <w:r w:rsidR="006702BA" w:rsidRPr="00A52774">
        <w:t xml:space="preserve">a proportion of patients </w:t>
      </w:r>
      <w:r w:rsidR="006702BA" w:rsidRPr="004C675B">
        <w:t xml:space="preserve">with a </w:t>
      </w:r>
      <w:r w:rsidR="00D959A8" w:rsidRPr="004C675B">
        <w:t xml:space="preserve">baseline </w:t>
      </w:r>
      <w:r w:rsidR="006702BA" w:rsidRPr="004C675B">
        <w:t>PASI</w:t>
      </w:r>
      <w:r w:rsidR="008A543D" w:rsidRPr="004C675B">
        <w:t xml:space="preserve"> of </w:t>
      </w:r>
      <w:r w:rsidR="008A543D" w:rsidRPr="004C675B">
        <w:rPr>
          <w:rFonts w:cstheme="minorHAnsi"/>
        </w:rPr>
        <w:t>˂</w:t>
      </w:r>
      <w:r w:rsidR="001131D6" w:rsidRPr="004C675B">
        <w:rPr>
          <w:rFonts w:cstheme="minorHAnsi"/>
        </w:rPr>
        <w:t xml:space="preserve"> </w:t>
      </w:r>
      <w:r w:rsidR="008A543D" w:rsidRPr="004C675B">
        <w:t xml:space="preserve">15 were </w:t>
      </w:r>
      <w:r w:rsidR="0015572B" w:rsidRPr="004C675B">
        <w:t>already</w:t>
      </w:r>
      <w:r w:rsidR="008A543D" w:rsidRPr="004C675B">
        <w:t xml:space="preserve"> being treated with PBS</w:t>
      </w:r>
      <w:r w:rsidR="00541A54" w:rsidRPr="004C675B">
        <w:t>-</w:t>
      </w:r>
      <w:r w:rsidR="008A543D" w:rsidRPr="004C675B">
        <w:t>subsidised biologics</w:t>
      </w:r>
      <w:r w:rsidR="001C4ED5" w:rsidRPr="004C675B">
        <w:t>.</w:t>
      </w:r>
      <w:r w:rsidR="008A543D" w:rsidRPr="004C675B">
        <w:t xml:space="preserve"> In addition</w:t>
      </w:r>
      <w:r w:rsidR="002111A5" w:rsidRPr="004C675B">
        <w:t>,</w:t>
      </w:r>
      <w:r w:rsidR="00665D6C" w:rsidRPr="004C675B">
        <w:t xml:space="preserve"> the PBAC considered</w:t>
      </w:r>
      <w:r w:rsidR="008A543D" w:rsidRPr="004C675B">
        <w:t xml:space="preserve"> that the positive recommendation of apremilast (July 2020) for CPP</w:t>
      </w:r>
      <w:r w:rsidR="002111A5" w:rsidRPr="004C675B">
        <w:t xml:space="preserve">, </w:t>
      </w:r>
      <w:r w:rsidR="008A543D" w:rsidRPr="004C675B">
        <w:t>if</w:t>
      </w:r>
      <w:r w:rsidR="002111A5" w:rsidRPr="004C675B">
        <w:t xml:space="preserve"> progresse</w:t>
      </w:r>
      <w:r w:rsidR="00CC2EE4" w:rsidRPr="004C675B">
        <w:t>d</w:t>
      </w:r>
      <w:r w:rsidR="002111A5" w:rsidRPr="004C675B">
        <w:t xml:space="preserve"> to</w:t>
      </w:r>
      <w:r w:rsidR="008A543D" w:rsidRPr="004C675B">
        <w:t xml:space="preserve"> </w:t>
      </w:r>
      <w:r w:rsidR="00FA743A" w:rsidRPr="004C675B">
        <w:t xml:space="preserve">PBS </w:t>
      </w:r>
      <w:r w:rsidR="002111A5" w:rsidRPr="004C675B">
        <w:t>listing, wi</w:t>
      </w:r>
      <w:r w:rsidR="008A543D" w:rsidRPr="004C675B">
        <w:t xml:space="preserve">ll provide another treatment option for CPP patients </w:t>
      </w:r>
      <w:r w:rsidR="00132AE9" w:rsidRPr="004C675B">
        <w:t>presenting with a baseline</w:t>
      </w:r>
      <w:r w:rsidR="008A543D" w:rsidRPr="004C675B">
        <w:t xml:space="preserve"> PASI </w:t>
      </w:r>
      <w:r w:rsidR="00132AE9" w:rsidRPr="004C675B">
        <w:t xml:space="preserve">in the </w:t>
      </w:r>
      <w:r w:rsidR="008A543D" w:rsidRPr="004C675B">
        <w:t>≥</w:t>
      </w:r>
      <w:r w:rsidR="001131D6" w:rsidRPr="004C675B">
        <w:t xml:space="preserve"> </w:t>
      </w:r>
      <w:r w:rsidR="008A543D" w:rsidRPr="004C675B">
        <w:t>12 to ≤</w:t>
      </w:r>
      <w:r w:rsidR="001131D6" w:rsidRPr="004C675B">
        <w:t xml:space="preserve"> </w:t>
      </w:r>
      <w:r w:rsidR="008A543D" w:rsidRPr="004C675B">
        <w:t xml:space="preserve">15 </w:t>
      </w:r>
      <w:r w:rsidR="00132AE9" w:rsidRPr="004C675B">
        <w:t>range.</w:t>
      </w:r>
      <w:r w:rsidR="008A543D" w:rsidRPr="00A52774">
        <w:t xml:space="preserve"> </w:t>
      </w:r>
    </w:p>
    <w:p w:rsidR="008A543D" w:rsidRPr="00A52774" w:rsidRDefault="008A543D" w:rsidP="00A63BFD">
      <w:pPr>
        <w:pStyle w:val="4Bodytextnumbered"/>
        <w:numPr>
          <w:ilvl w:val="1"/>
          <w:numId w:val="1"/>
        </w:numPr>
      </w:pPr>
      <w:r w:rsidRPr="00A52774">
        <w:t xml:space="preserve">The PBAC </w:t>
      </w:r>
      <w:r w:rsidR="00A63BFD" w:rsidRPr="00A52774">
        <w:rPr>
          <w:rFonts w:cstheme="minorHAnsi"/>
        </w:rPr>
        <w:t>noted that it would</w:t>
      </w:r>
      <w:r w:rsidR="001E36FB">
        <w:rPr>
          <w:rFonts w:cstheme="minorHAnsi"/>
        </w:rPr>
        <w:t xml:space="preserve"> remain open to </w:t>
      </w:r>
      <w:r w:rsidR="00A63BFD" w:rsidRPr="00A52774">
        <w:rPr>
          <w:rFonts w:cstheme="minorHAnsi"/>
        </w:rPr>
        <w:t>submissions</w:t>
      </w:r>
      <w:r w:rsidR="002C3671" w:rsidRPr="00A52774">
        <w:rPr>
          <w:rFonts w:cstheme="minorHAnsi"/>
        </w:rPr>
        <w:t xml:space="preserve"> from Sponsors</w:t>
      </w:r>
      <w:r w:rsidR="00FA743A" w:rsidRPr="00A52774">
        <w:rPr>
          <w:rFonts w:cstheme="minorHAnsi"/>
        </w:rPr>
        <w:t xml:space="preserve"> to extend the PBS </w:t>
      </w:r>
      <w:r w:rsidR="00AA468E" w:rsidRPr="00A52774">
        <w:rPr>
          <w:rFonts w:cstheme="minorHAnsi"/>
        </w:rPr>
        <w:t>listings for</w:t>
      </w:r>
      <w:r w:rsidR="00A63BFD" w:rsidRPr="00A52774">
        <w:rPr>
          <w:rFonts w:cstheme="minorHAnsi"/>
        </w:rPr>
        <w:t xml:space="preserve"> any of the biologics</w:t>
      </w:r>
      <w:r w:rsidR="00AA468E" w:rsidRPr="00A52774">
        <w:rPr>
          <w:rFonts w:cstheme="minorHAnsi"/>
        </w:rPr>
        <w:t xml:space="preserve"> used to treat CPP to the </w:t>
      </w:r>
      <w:r w:rsidR="00AA468E" w:rsidRPr="00A52774">
        <w:t>PASI ≥</w:t>
      </w:r>
      <w:r w:rsidR="001131D6">
        <w:t xml:space="preserve"> </w:t>
      </w:r>
      <w:r w:rsidR="00AA468E" w:rsidRPr="00A52774">
        <w:t>12 to ≤</w:t>
      </w:r>
      <w:r w:rsidR="001131D6">
        <w:t xml:space="preserve"> </w:t>
      </w:r>
      <w:r w:rsidR="00AA468E" w:rsidRPr="00A52774">
        <w:t>15</w:t>
      </w:r>
      <w:r w:rsidR="002A0D84">
        <w:t xml:space="preserve"> OR DLQI &gt;</w:t>
      </w:r>
      <w:r w:rsidR="001131D6">
        <w:t xml:space="preserve"> </w:t>
      </w:r>
      <w:r w:rsidR="002A0D84">
        <w:t>10</w:t>
      </w:r>
      <w:r w:rsidR="00AA468E" w:rsidRPr="00A52774">
        <w:t xml:space="preserve"> population</w:t>
      </w:r>
      <w:r w:rsidR="00B43609" w:rsidRPr="00A52774">
        <w:t xml:space="preserve"> at a cost-effective price</w:t>
      </w:r>
      <w:r w:rsidR="00A63BFD" w:rsidRPr="00A52774">
        <w:rPr>
          <w:rFonts w:cstheme="minorHAnsi"/>
        </w:rPr>
        <w:t xml:space="preserve"> </w:t>
      </w:r>
      <w:r w:rsidR="001C4ED5" w:rsidRPr="00A52774">
        <w:rPr>
          <w:rFonts w:cstheme="minorHAnsi"/>
        </w:rPr>
        <w:t>in the future.</w:t>
      </w:r>
      <w:r w:rsidR="00A63BFD" w:rsidRPr="00A52774">
        <w:rPr>
          <w:rFonts w:cstheme="minorHAnsi"/>
        </w:rPr>
        <w:t xml:space="preserve"> </w:t>
      </w:r>
      <w:r w:rsidR="00AA468E" w:rsidRPr="00A52774">
        <w:rPr>
          <w:rFonts w:cstheme="minorHAnsi"/>
        </w:rPr>
        <w:t xml:space="preserve"> </w:t>
      </w:r>
    </w:p>
    <w:p w:rsidR="007C2E0B" w:rsidRPr="00A52774" w:rsidRDefault="007C2E0B" w:rsidP="007C2E0B">
      <w:pPr>
        <w:spacing w:before="240" w:after="0"/>
        <w:jc w:val="both"/>
        <w:rPr>
          <w:rFonts w:asciiTheme="minorHAnsi" w:hAnsiTheme="minorHAnsi" w:cs="Arial"/>
          <w:b/>
          <w:bCs/>
          <w:snapToGrid w:val="0"/>
          <w:lang w:val="en-GB"/>
        </w:rPr>
      </w:pPr>
      <w:r w:rsidRPr="00A52774">
        <w:rPr>
          <w:rFonts w:asciiTheme="minorHAnsi" w:hAnsiTheme="minorHAnsi" w:cs="Arial"/>
          <w:b/>
          <w:bCs/>
          <w:snapToGrid w:val="0"/>
          <w:lang w:val="en-GB"/>
        </w:rPr>
        <w:t>Outcome:</w:t>
      </w:r>
    </w:p>
    <w:p w:rsidR="00283C37" w:rsidRPr="00A52774" w:rsidRDefault="00B54C41" w:rsidP="007C2E0B">
      <w:pPr>
        <w:jc w:val="both"/>
        <w:rPr>
          <w:rFonts w:asciiTheme="minorHAnsi" w:hAnsiTheme="minorHAnsi" w:cs="Arial"/>
          <w:bCs/>
          <w:snapToGrid w:val="0"/>
          <w:lang w:val="en-GB"/>
        </w:rPr>
      </w:pPr>
      <w:r w:rsidRPr="00A52774">
        <w:rPr>
          <w:rFonts w:asciiTheme="minorHAnsi" w:hAnsiTheme="minorHAnsi" w:cs="Arial"/>
          <w:bCs/>
          <w:snapToGrid w:val="0"/>
          <w:lang w:val="en-GB"/>
        </w:rPr>
        <w:t>Noted</w:t>
      </w:r>
    </w:p>
    <w:p w:rsidR="00053D4E" w:rsidRDefault="00053D4E" w:rsidP="00053D4E">
      <w:pPr>
        <w:pStyle w:val="2Sections"/>
        <w:rPr>
          <w:color w:val="1F497D"/>
        </w:rPr>
      </w:pPr>
      <w:r w:rsidRPr="00C07617">
        <w:lastRenderedPageBreak/>
        <w:t>Context for Decision</w:t>
      </w:r>
    </w:p>
    <w:p w:rsidR="00053D4E" w:rsidRDefault="00053D4E" w:rsidP="008C458C">
      <w:pPr>
        <w:ind w:left="720"/>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559B4" w:rsidRPr="007129F2" w:rsidRDefault="001559B4" w:rsidP="00053D4E">
      <w:pPr>
        <w:ind w:left="720"/>
        <w:rPr>
          <w:rFonts w:asciiTheme="minorHAnsi" w:hAnsiTheme="minorHAnsi" w:cs="Arial"/>
          <w:bCs/>
          <w:lang w:val="en-GB"/>
        </w:rPr>
      </w:pPr>
    </w:p>
    <w:p w:rsidR="00053D4E" w:rsidRPr="00053D4E" w:rsidRDefault="00053D4E" w:rsidP="00053D4E">
      <w:pPr>
        <w:pStyle w:val="2Sections"/>
        <w:rPr>
          <w:lang w:val="en-GB"/>
        </w:rPr>
      </w:pPr>
      <w:r w:rsidRPr="00053D4E">
        <w:rPr>
          <w:lang w:val="en-GB"/>
        </w:rPr>
        <w:t>Sponsor Comments</w:t>
      </w:r>
    </w:p>
    <w:p w:rsidR="001131D6" w:rsidRDefault="001131D6" w:rsidP="00053D4E">
      <w:pPr>
        <w:spacing w:after="120"/>
        <w:ind w:left="720"/>
        <w:jc w:val="both"/>
        <w:rPr>
          <w:rFonts w:asciiTheme="minorHAnsi" w:hAnsiTheme="minorHAnsi" w:cs="Arial"/>
          <w:bCs/>
        </w:rPr>
      </w:pPr>
      <w:r w:rsidRPr="001131D6">
        <w:rPr>
          <w:rFonts w:asciiTheme="minorHAnsi" w:hAnsiTheme="minorHAnsi" w:cs="Arial"/>
          <w:bCs/>
        </w:rPr>
        <w:t>The sponsor</w:t>
      </w:r>
      <w:r w:rsidR="00782013">
        <w:rPr>
          <w:rFonts w:asciiTheme="minorHAnsi" w:hAnsiTheme="minorHAnsi" w:cs="Arial"/>
          <w:bCs/>
        </w:rPr>
        <w:t>s</w:t>
      </w:r>
      <w:r w:rsidRPr="001131D6">
        <w:rPr>
          <w:rFonts w:asciiTheme="minorHAnsi" w:hAnsiTheme="minorHAnsi" w:cs="Arial"/>
          <w:bCs/>
        </w:rPr>
        <w:t xml:space="preserve"> had no comment.</w:t>
      </w:r>
    </w:p>
    <w:p w:rsidR="007C2E0B" w:rsidRPr="001131D6" w:rsidRDefault="007C2E0B" w:rsidP="001131D6">
      <w:pPr>
        <w:spacing w:after="120"/>
        <w:ind w:left="720"/>
        <w:jc w:val="both"/>
        <w:rPr>
          <w:rFonts w:asciiTheme="minorHAnsi" w:hAnsiTheme="minorHAnsi" w:cs="Arial"/>
          <w:bCs/>
        </w:rPr>
      </w:pPr>
    </w:p>
    <w:sectPr w:rsidR="007C2E0B" w:rsidRPr="001131D6" w:rsidSect="00782013">
      <w:headerReference w:type="default" r:id="rId7"/>
      <w:footerReference w:type="default" r:id="rId8"/>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365" w:rsidRDefault="00D84365" w:rsidP="008C0014">
      <w:pPr>
        <w:spacing w:after="0" w:line="240" w:lineRule="auto"/>
      </w:pPr>
      <w:r>
        <w:separator/>
      </w:r>
    </w:p>
  </w:endnote>
  <w:endnote w:type="continuationSeparator" w:id="0">
    <w:p w:rsidR="00D84365" w:rsidRDefault="00D84365" w:rsidP="008C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2A7" w:rsidRDefault="008272A7" w:rsidP="008C0014">
    <w:pPr>
      <w:pStyle w:val="Footer"/>
      <w:jc w:val="center"/>
      <w:rPr>
        <w:rFonts w:ascii="Calibri" w:hAnsi="Calibri" w:cs="Calibri"/>
        <w:b/>
      </w:rPr>
    </w:pPr>
  </w:p>
  <w:p w:rsidR="00B56991" w:rsidRPr="008272A7" w:rsidRDefault="00B56991" w:rsidP="008272A7">
    <w:pPr>
      <w:pStyle w:val="Footer"/>
      <w:jc w:val="center"/>
      <w:rPr>
        <w:rFonts w:ascii="Calibri" w:hAnsi="Calibri" w:cs="Calibri"/>
        <w:b/>
      </w:rPr>
    </w:pPr>
    <w:r w:rsidRPr="00C74F62">
      <w:rPr>
        <w:rFonts w:ascii="Calibri" w:hAnsi="Calibri" w:cs="Calibri"/>
        <w:b/>
      </w:rPr>
      <w:fldChar w:fldCharType="begin"/>
    </w:r>
    <w:r w:rsidRPr="00C74F62">
      <w:rPr>
        <w:rFonts w:ascii="Calibri" w:hAnsi="Calibri" w:cs="Calibri"/>
        <w:b/>
      </w:rPr>
      <w:instrText xml:space="preserve"> PAGE   \* MERGEFORMAT </w:instrText>
    </w:r>
    <w:r w:rsidRPr="00C74F62">
      <w:rPr>
        <w:rFonts w:ascii="Calibri" w:hAnsi="Calibri" w:cs="Calibri"/>
        <w:b/>
      </w:rPr>
      <w:fldChar w:fldCharType="separate"/>
    </w:r>
    <w:r w:rsidR="008272A7">
      <w:rPr>
        <w:rFonts w:ascii="Calibri" w:hAnsi="Calibri" w:cs="Calibri"/>
        <w:b/>
        <w:noProof/>
      </w:rPr>
      <w:t>2</w:t>
    </w:r>
    <w:r w:rsidRPr="00C74F62">
      <w:rPr>
        <w:rFonts w:ascii="Calibri" w:hAnsi="Calibri" w:cs="Calibri"/>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365" w:rsidRDefault="00D84365" w:rsidP="008C0014">
      <w:pPr>
        <w:spacing w:after="0" w:line="240" w:lineRule="auto"/>
      </w:pPr>
      <w:r>
        <w:separator/>
      </w:r>
    </w:p>
  </w:footnote>
  <w:footnote w:type="continuationSeparator" w:id="0">
    <w:p w:rsidR="00D84365" w:rsidRDefault="00D84365" w:rsidP="008C0014">
      <w:pPr>
        <w:spacing w:after="0" w:line="240" w:lineRule="auto"/>
      </w:pPr>
      <w:r>
        <w:continuationSeparator/>
      </w:r>
    </w:p>
  </w:footnote>
  <w:footnote w:id="1">
    <w:p w:rsidR="00B56991" w:rsidRPr="002B1388" w:rsidRDefault="00B56991" w:rsidP="00C77F31">
      <w:pPr>
        <w:pStyle w:val="FootnoteText"/>
        <w:rPr>
          <w:rFonts w:asciiTheme="minorHAnsi" w:hAnsiTheme="minorHAnsi" w:cstheme="minorHAnsi"/>
        </w:rPr>
      </w:pPr>
      <w:r w:rsidRPr="002B1388">
        <w:rPr>
          <w:rStyle w:val="FootnoteReference"/>
          <w:rFonts w:asciiTheme="minorHAnsi" w:hAnsiTheme="minorHAnsi" w:cstheme="minorHAnsi"/>
        </w:rPr>
        <w:footnoteRef/>
      </w:r>
      <w:r w:rsidRPr="002B1388">
        <w:rPr>
          <w:rFonts w:asciiTheme="minorHAnsi" w:hAnsiTheme="minorHAnsi" w:cstheme="minorHAnsi"/>
        </w:rPr>
        <w:t xml:space="preserve"> Based on publicly available PBS data from the Services Aust</w:t>
      </w:r>
      <w:bookmarkStart w:id="0" w:name="_GoBack"/>
      <w:bookmarkEnd w:id="0"/>
      <w:r w:rsidRPr="002B1388">
        <w:rPr>
          <w:rFonts w:asciiTheme="minorHAnsi" w:hAnsiTheme="minorHAnsi" w:cstheme="minorHAnsi"/>
        </w:rPr>
        <w:t>ralia website</w:t>
      </w:r>
    </w:p>
  </w:footnote>
  <w:footnote w:id="2">
    <w:p w:rsidR="00B56991" w:rsidRPr="00E87271" w:rsidRDefault="00B56991">
      <w:pPr>
        <w:pStyle w:val="FootnoteText"/>
        <w:rPr>
          <w:rFonts w:asciiTheme="minorHAnsi" w:hAnsiTheme="minorHAnsi" w:cstheme="minorHAnsi"/>
        </w:rPr>
      </w:pPr>
      <w:r w:rsidRPr="00E87271">
        <w:rPr>
          <w:rStyle w:val="FootnoteReference"/>
          <w:rFonts w:asciiTheme="minorHAnsi" w:hAnsiTheme="minorHAnsi" w:cstheme="minorHAnsi"/>
        </w:rPr>
        <w:footnoteRef/>
      </w:r>
      <w:r w:rsidRPr="00E87271">
        <w:rPr>
          <w:rFonts w:asciiTheme="minorHAnsi" w:hAnsiTheme="minorHAnsi" w:cstheme="minorHAnsi"/>
        </w:rPr>
        <w:t xml:space="preserve"> Geale, K., Henriksson, M. &amp; Schmitt-Egenolf, M. How is disease severity associated with quality of life in psoriasis patients? Evidence from a longitudinal population-based study in Sweden. Health Qual Life Outcomes 15, 151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65" w:rsidRPr="0099259F" w:rsidRDefault="0099259F" w:rsidP="0099259F">
    <w:pPr>
      <w:spacing w:after="0" w:line="240" w:lineRule="auto"/>
      <w:jc w:val="center"/>
      <w:rPr>
        <w:rFonts w:ascii="Calibri" w:eastAsia="Times New Roman" w:hAnsi="Calibri" w:cs="Calibri"/>
        <w:i/>
      </w:rPr>
    </w:pPr>
    <w:r>
      <w:rPr>
        <w:rFonts w:ascii="Calibri" w:eastAsia="Times New Roman" w:hAnsi="Calibri" w:cs="Calibri"/>
        <w:i/>
      </w:rPr>
      <w:t>Public Summary Document – July 2020 PBAC Meeting</w:t>
    </w:r>
  </w:p>
  <w:p w:rsidR="00B56991" w:rsidRPr="00C74F62" w:rsidRDefault="00B56991" w:rsidP="000B3199">
    <w:pPr>
      <w:spacing w:after="0" w:line="240" w:lineRule="auto"/>
      <w:jc w:val="center"/>
      <w:rPr>
        <w:rFonts w:ascii="Calibri" w:eastAsia="Times New Roman" w:hAnsi="Calibri" w:cs="Calibri"/>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A4EB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6B4979"/>
    <w:multiLevelType w:val="hybridMultilevel"/>
    <w:tmpl w:val="18EC5D1E"/>
    <w:lvl w:ilvl="0" w:tplc="E65616B8">
      <w:start w:val="1"/>
      <w:numFmt w:val="bullet"/>
      <w:lvlText w:val="-"/>
      <w:lvlJc w:val="left"/>
      <w:pPr>
        <w:ind w:left="2160" w:hanging="360"/>
      </w:pPr>
      <w:rPr>
        <w:rFonts w:ascii="Calibri" w:eastAsia="Times New Roman"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27FB11DB"/>
    <w:multiLevelType w:val="hybridMultilevel"/>
    <w:tmpl w:val="51B886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9CC20FA"/>
    <w:multiLevelType w:val="hybridMultilevel"/>
    <w:tmpl w:val="8AA444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0EE4FDA"/>
    <w:multiLevelType w:val="hybridMultilevel"/>
    <w:tmpl w:val="152A2E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C71B90"/>
    <w:multiLevelType w:val="hybridMultilevel"/>
    <w:tmpl w:val="2F8C8D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E141AEB"/>
    <w:multiLevelType w:val="hybridMultilevel"/>
    <w:tmpl w:val="D8CA3F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F496956"/>
    <w:multiLevelType w:val="hybridMultilevel"/>
    <w:tmpl w:val="C09CB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924653"/>
    <w:multiLevelType w:val="hybridMultilevel"/>
    <w:tmpl w:val="5524D44E"/>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A6F77F1"/>
    <w:multiLevelType w:val="hybridMultilevel"/>
    <w:tmpl w:val="4CFE3D44"/>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6ED52E80"/>
    <w:multiLevelType w:val="hybridMultilevel"/>
    <w:tmpl w:val="29146D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1464EB0"/>
    <w:multiLevelType w:val="hybridMultilevel"/>
    <w:tmpl w:val="EAC8BCCA"/>
    <w:lvl w:ilvl="0" w:tplc="E65616B8">
      <w:start w:val="1"/>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39E35A0"/>
    <w:multiLevelType w:val="hybridMultilevel"/>
    <w:tmpl w:val="5F023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033C"/>
    <w:multiLevelType w:val="multilevel"/>
    <w:tmpl w:val="29DA11FC"/>
    <w:lvl w:ilvl="0">
      <w:start w:val="1"/>
      <w:numFmt w:val="decimal"/>
      <w:pStyle w:val="2Sections"/>
      <w:lvlText w:val="%1"/>
      <w:lvlJc w:val="left"/>
      <w:pPr>
        <w:ind w:left="720" w:hanging="720"/>
      </w:pPr>
      <w:rPr>
        <w:rFonts w:hint="default"/>
        <w:b/>
        <w:strike w:val="0"/>
        <w:color w:val="auto"/>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4"/>
  </w:num>
  <w:num w:numId="3">
    <w:abstractNumId w:val="8"/>
  </w:num>
  <w:num w:numId="4">
    <w:abstractNumId w:val="13"/>
    <w:lvlOverride w:ilvl="0">
      <w:startOverride w:val="2"/>
    </w:lvlOverride>
    <w:lvlOverride w:ilvl="1">
      <w:startOverride w:val="6"/>
    </w:lvlOverride>
  </w:num>
  <w:num w:numId="5">
    <w:abstractNumId w:val="10"/>
  </w:num>
  <w:num w:numId="6">
    <w:abstractNumId w:val="3"/>
  </w:num>
  <w:num w:numId="7">
    <w:abstractNumId w:val="1"/>
  </w:num>
  <w:num w:numId="8">
    <w:abstractNumId w:val="11"/>
  </w:num>
  <w:num w:numId="9">
    <w:abstractNumId w:val="5"/>
  </w:num>
  <w:num w:numId="10">
    <w:abstractNumId w:val="0"/>
  </w:num>
  <w:num w:numId="11">
    <w:abstractNumId w:val="7"/>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14"/>
    <w:rsid w:val="00000EE5"/>
    <w:rsid w:val="000050FD"/>
    <w:rsid w:val="000124FE"/>
    <w:rsid w:val="000139C7"/>
    <w:rsid w:val="00024FC6"/>
    <w:rsid w:val="00025A97"/>
    <w:rsid w:val="00026C1C"/>
    <w:rsid w:val="00035747"/>
    <w:rsid w:val="00036E3E"/>
    <w:rsid w:val="00043F98"/>
    <w:rsid w:val="00046787"/>
    <w:rsid w:val="00053D4E"/>
    <w:rsid w:val="00060916"/>
    <w:rsid w:val="000672DE"/>
    <w:rsid w:val="0009090F"/>
    <w:rsid w:val="00091516"/>
    <w:rsid w:val="00097CF3"/>
    <w:rsid w:val="000A7279"/>
    <w:rsid w:val="000B3199"/>
    <w:rsid w:val="000B367B"/>
    <w:rsid w:val="000C2A78"/>
    <w:rsid w:val="000C2DE0"/>
    <w:rsid w:val="000D4465"/>
    <w:rsid w:val="000E3620"/>
    <w:rsid w:val="000F1633"/>
    <w:rsid w:val="000F38E1"/>
    <w:rsid w:val="001001A3"/>
    <w:rsid w:val="00106871"/>
    <w:rsid w:val="001131D6"/>
    <w:rsid w:val="00132AE9"/>
    <w:rsid w:val="00141E2D"/>
    <w:rsid w:val="00142AC8"/>
    <w:rsid w:val="00150A5E"/>
    <w:rsid w:val="00151CB5"/>
    <w:rsid w:val="0015572B"/>
    <w:rsid w:val="001559B4"/>
    <w:rsid w:val="00163DDC"/>
    <w:rsid w:val="00172388"/>
    <w:rsid w:val="0019502B"/>
    <w:rsid w:val="001A6240"/>
    <w:rsid w:val="001B61B0"/>
    <w:rsid w:val="001B7D06"/>
    <w:rsid w:val="001C1D5C"/>
    <w:rsid w:val="001C4DA7"/>
    <w:rsid w:val="001C4ED5"/>
    <w:rsid w:val="001D0723"/>
    <w:rsid w:val="001D73DC"/>
    <w:rsid w:val="001E0413"/>
    <w:rsid w:val="001E36FB"/>
    <w:rsid w:val="001E56B7"/>
    <w:rsid w:val="001E5743"/>
    <w:rsid w:val="001F1066"/>
    <w:rsid w:val="002111A5"/>
    <w:rsid w:val="00216BC3"/>
    <w:rsid w:val="002211A6"/>
    <w:rsid w:val="00224F28"/>
    <w:rsid w:val="00232E6B"/>
    <w:rsid w:val="0023589C"/>
    <w:rsid w:val="00245996"/>
    <w:rsid w:val="002561E2"/>
    <w:rsid w:val="0026033F"/>
    <w:rsid w:val="00271D3D"/>
    <w:rsid w:val="00280050"/>
    <w:rsid w:val="002811B3"/>
    <w:rsid w:val="00283C37"/>
    <w:rsid w:val="002847B0"/>
    <w:rsid w:val="0028499B"/>
    <w:rsid w:val="002869D9"/>
    <w:rsid w:val="00291EC6"/>
    <w:rsid w:val="002970FB"/>
    <w:rsid w:val="002A0D84"/>
    <w:rsid w:val="002A15F5"/>
    <w:rsid w:val="002A18DB"/>
    <w:rsid w:val="002B1D1C"/>
    <w:rsid w:val="002B3AA3"/>
    <w:rsid w:val="002B71E2"/>
    <w:rsid w:val="002C3671"/>
    <w:rsid w:val="002D55A6"/>
    <w:rsid w:val="002E694D"/>
    <w:rsid w:val="002F727D"/>
    <w:rsid w:val="003143C4"/>
    <w:rsid w:val="00333C34"/>
    <w:rsid w:val="00353683"/>
    <w:rsid w:val="003769E2"/>
    <w:rsid w:val="0037758D"/>
    <w:rsid w:val="00377ED9"/>
    <w:rsid w:val="00384D44"/>
    <w:rsid w:val="003937A8"/>
    <w:rsid w:val="003A2437"/>
    <w:rsid w:val="003A2BA2"/>
    <w:rsid w:val="003A7F79"/>
    <w:rsid w:val="003B38D3"/>
    <w:rsid w:val="003B590D"/>
    <w:rsid w:val="003C21A3"/>
    <w:rsid w:val="003C7A33"/>
    <w:rsid w:val="003C7D97"/>
    <w:rsid w:val="003D460A"/>
    <w:rsid w:val="003D5104"/>
    <w:rsid w:val="003D7AF0"/>
    <w:rsid w:val="003E525A"/>
    <w:rsid w:val="003E5CC8"/>
    <w:rsid w:val="003E60C1"/>
    <w:rsid w:val="003F44B5"/>
    <w:rsid w:val="00410343"/>
    <w:rsid w:val="00420D74"/>
    <w:rsid w:val="004224CE"/>
    <w:rsid w:val="004454CE"/>
    <w:rsid w:val="00445E35"/>
    <w:rsid w:val="00450A10"/>
    <w:rsid w:val="004617D7"/>
    <w:rsid w:val="004654AF"/>
    <w:rsid w:val="00477A15"/>
    <w:rsid w:val="0048549E"/>
    <w:rsid w:val="00492878"/>
    <w:rsid w:val="004B196B"/>
    <w:rsid w:val="004C1ADB"/>
    <w:rsid w:val="004C3E6E"/>
    <w:rsid w:val="004C675B"/>
    <w:rsid w:val="004F014C"/>
    <w:rsid w:val="004F7628"/>
    <w:rsid w:val="00504C43"/>
    <w:rsid w:val="00515D58"/>
    <w:rsid w:val="0052072D"/>
    <w:rsid w:val="0052157E"/>
    <w:rsid w:val="005235FC"/>
    <w:rsid w:val="00523B13"/>
    <w:rsid w:val="00527C07"/>
    <w:rsid w:val="005304A9"/>
    <w:rsid w:val="00534C3A"/>
    <w:rsid w:val="00535FCE"/>
    <w:rsid w:val="00537A5E"/>
    <w:rsid w:val="00541A54"/>
    <w:rsid w:val="005542A3"/>
    <w:rsid w:val="00556959"/>
    <w:rsid w:val="00557392"/>
    <w:rsid w:val="005617FA"/>
    <w:rsid w:val="00564562"/>
    <w:rsid w:val="005652B1"/>
    <w:rsid w:val="005674DA"/>
    <w:rsid w:val="00575F96"/>
    <w:rsid w:val="00576F80"/>
    <w:rsid w:val="005804F4"/>
    <w:rsid w:val="00586B23"/>
    <w:rsid w:val="0059227D"/>
    <w:rsid w:val="005A3200"/>
    <w:rsid w:val="005B3AA5"/>
    <w:rsid w:val="005C2C6A"/>
    <w:rsid w:val="005C7393"/>
    <w:rsid w:val="005C74AC"/>
    <w:rsid w:val="005D0F6E"/>
    <w:rsid w:val="005D35CE"/>
    <w:rsid w:val="005D6C65"/>
    <w:rsid w:val="005D7BFA"/>
    <w:rsid w:val="005F2C27"/>
    <w:rsid w:val="0060045C"/>
    <w:rsid w:val="00602CA6"/>
    <w:rsid w:val="0060418C"/>
    <w:rsid w:val="00605026"/>
    <w:rsid w:val="00620F03"/>
    <w:rsid w:val="00634414"/>
    <w:rsid w:val="00641670"/>
    <w:rsid w:val="006432E5"/>
    <w:rsid w:val="00646DA6"/>
    <w:rsid w:val="006471B6"/>
    <w:rsid w:val="006541B3"/>
    <w:rsid w:val="0065594F"/>
    <w:rsid w:val="00665D6C"/>
    <w:rsid w:val="006702BA"/>
    <w:rsid w:val="00673642"/>
    <w:rsid w:val="00675F3C"/>
    <w:rsid w:val="00680018"/>
    <w:rsid w:val="006844E8"/>
    <w:rsid w:val="00685DCF"/>
    <w:rsid w:val="00691CFA"/>
    <w:rsid w:val="00693692"/>
    <w:rsid w:val="006B07B1"/>
    <w:rsid w:val="006B35A2"/>
    <w:rsid w:val="006C383E"/>
    <w:rsid w:val="006D179C"/>
    <w:rsid w:val="006D2E12"/>
    <w:rsid w:val="006D57F1"/>
    <w:rsid w:val="006E14B1"/>
    <w:rsid w:val="006F4391"/>
    <w:rsid w:val="007037E1"/>
    <w:rsid w:val="00705BD6"/>
    <w:rsid w:val="0071093F"/>
    <w:rsid w:val="007109DE"/>
    <w:rsid w:val="00711E54"/>
    <w:rsid w:val="00717A8C"/>
    <w:rsid w:val="00717C73"/>
    <w:rsid w:val="00721C45"/>
    <w:rsid w:val="00766189"/>
    <w:rsid w:val="00766C81"/>
    <w:rsid w:val="00773C9C"/>
    <w:rsid w:val="00781093"/>
    <w:rsid w:val="00782013"/>
    <w:rsid w:val="00793549"/>
    <w:rsid w:val="007A19BD"/>
    <w:rsid w:val="007B1237"/>
    <w:rsid w:val="007B3A96"/>
    <w:rsid w:val="007B44DA"/>
    <w:rsid w:val="007C1200"/>
    <w:rsid w:val="007C2E0B"/>
    <w:rsid w:val="007D0A7F"/>
    <w:rsid w:val="007D535F"/>
    <w:rsid w:val="007D6691"/>
    <w:rsid w:val="007D77E7"/>
    <w:rsid w:val="007E3129"/>
    <w:rsid w:val="007E56BD"/>
    <w:rsid w:val="007F3922"/>
    <w:rsid w:val="007F460F"/>
    <w:rsid w:val="0080365B"/>
    <w:rsid w:val="008100F8"/>
    <w:rsid w:val="0081552B"/>
    <w:rsid w:val="008272A7"/>
    <w:rsid w:val="0084275D"/>
    <w:rsid w:val="00850F03"/>
    <w:rsid w:val="00853728"/>
    <w:rsid w:val="0085597D"/>
    <w:rsid w:val="008609E8"/>
    <w:rsid w:val="00867130"/>
    <w:rsid w:val="008717FC"/>
    <w:rsid w:val="00877049"/>
    <w:rsid w:val="00883CBD"/>
    <w:rsid w:val="00890708"/>
    <w:rsid w:val="008937D1"/>
    <w:rsid w:val="008940FB"/>
    <w:rsid w:val="0089787D"/>
    <w:rsid w:val="008A2247"/>
    <w:rsid w:val="008A2E9C"/>
    <w:rsid w:val="008A543D"/>
    <w:rsid w:val="008C0014"/>
    <w:rsid w:val="008C101E"/>
    <w:rsid w:val="008C2454"/>
    <w:rsid w:val="008C458C"/>
    <w:rsid w:val="008C4828"/>
    <w:rsid w:val="008C569C"/>
    <w:rsid w:val="008C5E25"/>
    <w:rsid w:val="008D63E3"/>
    <w:rsid w:val="008F6C35"/>
    <w:rsid w:val="00902299"/>
    <w:rsid w:val="0090615D"/>
    <w:rsid w:val="009103A9"/>
    <w:rsid w:val="00914F32"/>
    <w:rsid w:val="009221DA"/>
    <w:rsid w:val="009264C5"/>
    <w:rsid w:val="00927E7A"/>
    <w:rsid w:val="009359B5"/>
    <w:rsid w:val="009409AE"/>
    <w:rsid w:val="00945959"/>
    <w:rsid w:val="00947618"/>
    <w:rsid w:val="009669DF"/>
    <w:rsid w:val="00971C42"/>
    <w:rsid w:val="00974850"/>
    <w:rsid w:val="00975BE0"/>
    <w:rsid w:val="009767E9"/>
    <w:rsid w:val="009823EB"/>
    <w:rsid w:val="00985FF4"/>
    <w:rsid w:val="00986310"/>
    <w:rsid w:val="0099259F"/>
    <w:rsid w:val="00992B62"/>
    <w:rsid w:val="00992D58"/>
    <w:rsid w:val="00992FCE"/>
    <w:rsid w:val="00995213"/>
    <w:rsid w:val="009A1941"/>
    <w:rsid w:val="009A3DC9"/>
    <w:rsid w:val="009B38CB"/>
    <w:rsid w:val="009C283D"/>
    <w:rsid w:val="009E2E29"/>
    <w:rsid w:val="009F347F"/>
    <w:rsid w:val="009F5A4E"/>
    <w:rsid w:val="00A0143D"/>
    <w:rsid w:val="00A15C5B"/>
    <w:rsid w:val="00A22C7E"/>
    <w:rsid w:val="00A23307"/>
    <w:rsid w:val="00A3109D"/>
    <w:rsid w:val="00A337C1"/>
    <w:rsid w:val="00A3632C"/>
    <w:rsid w:val="00A3718C"/>
    <w:rsid w:val="00A432A8"/>
    <w:rsid w:val="00A4795D"/>
    <w:rsid w:val="00A52774"/>
    <w:rsid w:val="00A527C6"/>
    <w:rsid w:val="00A63837"/>
    <w:rsid w:val="00A63BFD"/>
    <w:rsid w:val="00A6513E"/>
    <w:rsid w:val="00A70A94"/>
    <w:rsid w:val="00A72591"/>
    <w:rsid w:val="00A73243"/>
    <w:rsid w:val="00A7496F"/>
    <w:rsid w:val="00A82CE1"/>
    <w:rsid w:val="00A8548F"/>
    <w:rsid w:val="00A963BA"/>
    <w:rsid w:val="00A96874"/>
    <w:rsid w:val="00AA0C12"/>
    <w:rsid w:val="00AA468E"/>
    <w:rsid w:val="00AA7AFA"/>
    <w:rsid w:val="00AB39B9"/>
    <w:rsid w:val="00AC33B5"/>
    <w:rsid w:val="00AC6D95"/>
    <w:rsid w:val="00AD50B5"/>
    <w:rsid w:val="00AE28B2"/>
    <w:rsid w:val="00AF7A06"/>
    <w:rsid w:val="00B10EDD"/>
    <w:rsid w:val="00B163D5"/>
    <w:rsid w:val="00B27D1D"/>
    <w:rsid w:val="00B33D8E"/>
    <w:rsid w:val="00B36798"/>
    <w:rsid w:val="00B43609"/>
    <w:rsid w:val="00B50FCB"/>
    <w:rsid w:val="00B549AB"/>
    <w:rsid w:val="00B54C41"/>
    <w:rsid w:val="00B56991"/>
    <w:rsid w:val="00B64DA3"/>
    <w:rsid w:val="00B64EE5"/>
    <w:rsid w:val="00B73EFC"/>
    <w:rsid w:val="00B7752F"/>
    <w:rsid w:val="00BA47ED"/>
    <w:rsid w:val="00BA721B"/>
    <w:rsid w:val="00BC022A"/>
    <w:rsid w:val="00BC07DC"/>
    <w:rsid w:val="00BC46D1"/>
    <w:rsid w:val="00BC7D5C"/>
    <w:rsid w:val="00BF0C39"/>
    <w:rsid w:val="00BF48CD"/>
    <w:rsid w:val="00C00850"/>
    <w:rsid w:val="00C034CE"/>
    <w:rsid w:val="00C05F01"/>
    <w:rsid w:val="00C11E6B"/>
    <w:rsid w:val="00C15F4B"/>
    <w:rsid w:val="00C1666E"/>
    <w:rsid w:val="00C1771B"/>
    <w:rsid w:val="00C24DC4"/>
    <w:rsid w:val="00C33500"/>
    <w:rsid w:val="00C35279"/>
    <w:rsid w:val="00C3605D"/>
    <w:rsid w:val="00C36816"/>
    <w:rsid w:val="00C36AC2"/>
    <w:rsid w:val="00C37D25"/>
    <w:rsid w:val="00C42554"/>
    <w:rsid w:val="00C56006"/>
    <w:rsid w:val="00C56EE5"/>
    <w:rsid w:val="00C611DE"/>
    <w:rsid w:val="00C73AB6"/>
    <w:rsid w:val="00C74F62"/>
    <w:rsid w:val="00C77F31"/>
    <w:rsid w:val="00C96FB2"/>
    <w:rsid w:val="00CA6F5E"/>
    <w:rsid w:val="00CA7240"/>
    <w:rsid w:val="00CB7E4D"/>
    <w:rsid w:val="00CC2EE4"/>
    <w:rsid w:val="00CD3786"/>
    <w:rsid w:val="00CE200E"/>
    <w:rsid w:val="00CE4DD4"/>
    <w:rsid w:val="00CF226B"/>
    <w:rsid w:val="00CF339B"/>
    <w:rsid w:val="00CF6144"/>
    <w:rsid w:val="00CF7D1F"/>
    <w:rsid w:val="00D07791"/>
    <w:rsid w:val="00D1515D"/>
    <w:rsid w:val="00D33149"/>
    <w:rsid w:val="00D334DB"/>
    <w:rsid w:val="00D34307"/>
    <w:rsid w:val="00D43A8E"/>
    <w:rsid w:val="00D50B0A"/>
    <w:rsid w:val="00D516C1"/>
    <w:rsid w:val="00D52AAF"/>
    <w:rsid w:val="00D5337E"/>
    <w:rsid w:val="00D615C0"/>
    <w:rsid w:val="00D62022"/>
    <w:rsid w:val="00D72072"/>
    <w:rsid w:val="00D77430"/>
    <w:rsid w:val="00D84365"/>
    <w:rsid w:val="00D95637"/>
    <w:rsid w:val="00D959A8"/>
    <w:rsid w:val="00DA1DA5"/>
    <w:rsid w:val="00DA333A"/>
    <w:rsid w:val="00DB561B"/>
    <w:rsid w:val="00DB6067"/>
    <w:rsid w:val="00DB7FC3"/>
    <w:rsid w:val="00DC772F"/>
    <w:rsid w:val="00DD28B5"/>
    <w:rsid w:val="00DD7CD3"/>
    <w:rsid w:val="00DF144D"/>
    <w:rsid w:val="00DF6BB3"/>
    <w:rsid w:val="00E03867"/>
    <w:rsid w:val="00E33340"/>
    <w:rsid w:val="00E36125"/>
    <w:rsid w:val="00E427A4"/>
    <w:rsid w:val="00E477C9"/>
    <w:rsid w:val="00E529F7"/>
    <w:rsid w:val="00E52DBC"/>
    <w:rsid w:val="00E53064"/>
    <w:rsid w:val="00E55B88"/>
    <w:rsid w:val="00E67968"/>
    <w:rsid w:val="00E83BFC"/>
    <w:rsid w:val="00E87271"/>
    <w:rsid w:val="00E97334"/>
    <w:rsid w:val="00EA3048"/>
    <w:rsid w:val="00EA4BD1"/>
    <w:rsid w:val="00EB09E7"/>
    <w:rsid w:val="00EB41FB"/>
    <w:rsid w:val="00ED0482"/>
    <w:rsid w:val="00ED2648"/>
    <w:rsid w:val="00ED6A0E"/>
    <w:rsid w:val="00EF3C3A"/>
    <w:rsid w:val="00EF3D95"/>
    <w:rsid w:val="00F00503"/>
    <w:rsid w:val="00F018A0"/>
    <w:rsid w:val="00F14D6C"/>
    <w:rsid w:val="00F15598"/>
    <w:rsid w:val="00F17611"/>
    <w:rsid w:val="00F206EA"/>
    <w:rsid w:val="00F30443"/>
    <w:rsid w:val="00F331FA"/>
    <w:rsid w:val="00F4636F"/>
    <w:rsid w:val="00F46E97"/>
    <w:rsid w:val="00F54E5E"/>
    <w:rsid w:val="00F55364"/>
    <w:rsid w:val="00F566B0"/>
    <w:rsid w:val="00F60311"/>
    <w:rsid w:val="00F6037E"/>
    <w:rsid w:val="00F62231"/>
    <w:rsid w:val="00F7153C"/>
    <w:rsid w:val="00F72F98"/>
    <w:rsid w:val="00F74EBC"/>
    <w:rsid w:val="00F762DB"/>
    <w:rsid w:val="00F83C6D"/>
    <w:rsid w:val="00F861BB"/>
    <w:rsid w:val="00F92C72"/>
    <w:rsid w:val="00F945C4"/>
    <w:rsid w:val="00F950C7"/>
    <w:rsid w:val="00FA4FFB"/>
    <w:rsid w:val="00FA743A"/>
    <w:rsid w:val="00FB1E27"/>
    <w:rsid w:val="00FB606D"/>
    <w:rsid w:val="00FB61C8"/>
    <w:rsid w:val="00FC4FDA"/>
    <w:rsid w:val="00FD3AED"/>
    <w:rsid w:val="00FD7253"/>
    <w:rsid w:val="00FE283A"/>
    <w:rsid w:val="00FE709A"/>
    <w:rsid w:val="00FF3B86"/>
    <w:rsid w:val="00FF5BE5"/>
    <w:rsid w:val="00FF6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888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482"/>
  </w:style>
  <w:style w:type="paragraph" w:styleId="Heading3">
    <w:name w:val="heading 3"/>
    <w:basedOn w:val="Normal"/>
    <w:next w:val="Normal"/>
    <w:link w:val="Heading3Char"/>
    <w:uiPriority w:val="9"/>
    <w:unhideWhenUsed/>
    <w:qFormat/>
    <w:rsid w:val="009264C5"/>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014"/>
  </w:style>
  <w:style w:type="paragraph" w:styleId="Footer">
    <w:name w:val="footer"/>
    <w:basedOn w:val="Normal"/>
    <w:link w:val="FooterChar"/>
    <w:uiPriority w:val="99"/>
    <w:unhideWhenUsed/>
    <w:rsid w:val="008C0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014"/>
  </w:style>
  <w:style w:type="paragraph" w:customStyle="1" w:styleId="2Sections">
    <w:name w:val="2. Sections"/>
    <w:qFormat/>
    <w:rsid w:val="008C0014"/>
    <w:pPr>
      <w:numPr>
        <w:numId w:val="1"/>
      </w:numPr>
      <w:spacing w:before="240" w:after="120" w:line="240" w:lineRule="auto"/>
      <w:outlineLvl w:val="0"/>
    </w:pPr>
    <w:rPr>
      <w:rFonts w:asciiTheme="minorHAnsi" w:eastAsia="Times New Roman" w:hAnsiTheme="minorHAnsi" w:cs="Arial"/>
      <w:b/>
      <w:snapToGrid w:val="0"/>
      <w:sz w:val="32"/>
      <w:szCs w:val="32"/>
    </w:rPr>
  </w:style>
  <w:style w:type="paragraph" w:customStyle="1" w:styleId="3Bodytext">
    <w:name w:val="3. Body text"/>
    <w:basedOn w:val="ListParagraph"/>
    <w:link w:val="3BodytextChar"/>
    <w:qFormat/>
    <w:rsid w:val="008C0014"/>
    <w:pPr>
      <w:numPr>
        <w:ilvl w:val="1"/>
        <w:numId w:val="1"/>
      </w:numPr>
      <w:spacing w:after="120" w:line="240" w:lineRule="auto"/>
      <w:contextualSpacing w:val="0"/>
      <w:jc w:val="both"/>
    </w:pPr>
    <w:rPr>
      <w:rFonts w:asciiTheme="minorHAnsi" w:hAnsiTheme="minorHAnsi" w:cstheme="minorBidi"/>
      <w:szCs w:val="22"/>
    </w:rPr>
  </w:style>
  <w:style w:type="paragraph" w:styleId="ListParagraph">
    <w:name w:val="List Paragraph"/>
    <w:aliases w:val="Footnote,BulletPoints,List Paragraph1,Recommendation,Body Text Bullet Points,Numbered para,Bullet point,List Paragraph11,ES Paragraph,PBAC ES Paragraph,PBAC normal points,Bullet List"/>
    <w:basedOn w:val="Normal"/>
    <w:link w:val="ListParagraphChar"/>
    <w:uiPriority w:val="34"/>
    <w:qFormat/>
    <w:rsid w:val="008C0014"/>
    <w:pPr>
      <w:ind w:left="720"/>
      <w:contextualSpacing/>
    </w:pPr>
  </w:style>
  <w:style w:type="table" w:styleId="TableGrid">
    <w:name w:val="Table Grid"/>
    <w:aliases w:val="Summary box,Table Gridbeth"/>
    <w:basedOn w:val="TableNormal"/>
    <w:uiPriority w:val="39"/>
    <w:rsid w:val="00C7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odytextChar">
    <w:name w:val="3. Body text Char"/>
    <w:basedOn w:val="DefaultParagraphFont"/>
    <w:link w:val="3Bodytext"/>
    <w:rsid w:val="007D535F"/>
    <w:rPr>
      <w:rFonts w:asciiTheme="minorHAnsi" w:hAnsiTheme="minorHAnsi" w:cstheme="minorBidi"/>
      <w:szCs w:val="22"/>
    </w:rPr>
  </w:style>
  <w:style w:type="paragraph" w:styleId="BodyText">
    <w:name w:val="Body Text"/>
    <w:basedOn w:val="Normal"/>
    <w:link w:val="BodyTextChar"/>
    <w:uiPriority w:val="99"/>
    <w:semiHidden/>
    <w:unhideWhenUsed/>
    <w:rsid w:val="007D535F"/>
    <w:pPr>
      <w:spacing w:after="120"/>
    </w:pPr>
  </w:style>
  <w:style w:type="character" w:customStyle="1" w:styleId="BodyTextChar">
    <w:name w:val="Body Text Char"/>
    <w:basedOn w:val="DefaultParagraphFont"/>
    <w:link w:val="BodyText"/>
    <w:uiPriority w:val="99"/>
    <w:semiHidden/>
    <w:rsid w:val="007D535F"/>
  </w:style>
  <w:style w:type="paragraph" w:styleId="FootnoteText">
    <w:name w:val="footnote text"/>
    <w:basedOn w:val="Normal"/>
    <w:link w:val="FootnoteTextChar"/>
    <w:uiPriority w:val="99"/>
    <w:semiHidden/>
    <w:unhideWhenUsed/>
    <w:rsid w:val="00C77F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7F31"/>
    <w:rPr>
      <w:sz w:val="20"/>
      <w:szCs w:val="20"/>
    </w:rPr>
  </w:style>
  <w:style w:type="character" w:styleId="FootnoteReference">
    <w:name w:val="footnote reference"/>
    <w:basedOn w:val="DefaultParagraphFont"/>
    <w:uiPriority w:val="99"/>
    <w:semiHidden/>
    <w:unhideWhenUsed/>
    <w:rsid w:val="00C77F31"/>
    <w:rPr>
      <w:vertAlign w:val="superscript"/>
    </w:rPr>
  </w:style>
  <w:style w:type="paragraph" w:customStyle="1" w:styleId="TableText">
    <w:name w:val="Table Text"/>
    <w:link w:val="TableTextChar"/>
    <w:qFormat/>
    <w:rsid w:val="00C77F31"/>
    <w:pPr>
      <w:keepNext/>
      <w:spacing w:after="0" w:line="240" w:lineRule="auto"/>
    </w:pPr>
    <w:rPr>
      <w:rFonts w:ascii="Arial Narrow" w:eastAsiaTheme="majorEastAsia" w:hAnsi="Arial Narrow" w:cstheme="majorBidi"/>
      <w:bCs/>
      <w:sz w:val="20"/>
    </w:rPr>
  </w:style>
  <w:style w:type="character" w:customStyle="1" w:styleId="TableTextChar">
    <w:name w:val="Table Text Char"/>
    <w:basedOn w:val="DefaultParagraphFont"/>
    <w:link w:val="TableText"/>
    <w:rsid w:val="00C77F31"/>
    <w:rPr>
      <w:rFonts w:ascii="Arial Narrow" w:eastAsiaTheme="majorEastAsia" w:hAnsi="Arial Narrow" w:cstheme="majorBidi"/>
      <w:bCs/>
      <w:sz w:val="20"/>
    </w:rPr>
  </w:style>
  <w:style w:type="paragraph" w:styleId="ListBullet">
    <w:name w:val="List Bullet"/>
    <w:basedOn w:val="Normal"/>
    <w:uiPriority w:val="99"/>
    <w:unhideWhenUsed/>
    <w:rsid w:val="00BA721B"/>
    <w:pPr>
      <w:numPr>
        <w:numId w:val="10"/>
      </w:numPr>
      <w:spacing w:after="0" w:line="240" w:lineRule="auto"/>
      <w:contextualSpacing/>
      <w:jc w:val="both"/>
    </w:pPr>
    <w:rPr>
      <w:rFonts w:ascii="Calibri" w:eastAsia="Times New Roman" w:hAnsi="Calibri"/>
    </w:rPr>
  </w:style>
  <w:style w:type="character" w:customStyle="1" w:styleId="ListParagraphChar">
    <w:name w:val="List Paragraph Char"/>
    <w:aliases w:val="Footnote Char,BulletPoints Char,List Paragraph1 Char,Recommendation Char,Body Text Bullet Points Char,Numbered para Char,Bullet point Char,List Paragraph11 Char,ES Paragraph Char,PBAC ES Paragraph Char,PBAC normal points Char"/>
    <w:basedOn w:val="DefaultParagraphFont"/>
    <w:link w:val="ListParagraph"/>
    <w:uiPriority w:val="34"/>
    <w:qFormat/>
    <w:locked/>
    <w:rsid w:val="00BA721B"/>
  </w:style>
  <w:style w:type="paragraph" w:styleId="Caption">
    <w:name w:val="caption"/>
    <w:basedOn w:val="Normal"/>
    <w:next w:val="Normal"/>
    <w:link w:val="CaptionChar"/>
    <w:uiPriority w:val="35"/>
    <w:unhideWhenUsed/>
    <w:rsid w:val="00BA721B"/>
    <w:pPr>
      <w:spacing w:after="40" w:line="240" w:lineRule="auto"/>
      <w:jc w:val="both"/>
    </w:pPr>
    <w:rPr>
      <w:rFonts w:ascii="Arial Narrow" w:eastAsia="Times New Roman" w:hAnsi="Arial Narrow"/>
      <w:b/>
      <w:iCs/>
      <w:sz w:val="20"/>
      <w:szCs w:val="18"/>
    </w:rPr>
  </w:style>
  <w:style w:type="character" w:customStyle="1" w:styleId="CaptionChar">
    <w:name w:val="Caption Char"/>
    <w:basedOn w:val="DefaultParagraphFont"/>
    <w:link w:val="Caption"/>
    <w:uiPriority w:val="35"/>
    <w:rsid w:val="00BA721B"/>
    <w:rPr>
      <w:rFonts w:ascii="Arial Narrow" w:eastAsia="Times New Roman" w:hAnsi="Arial Narrow"/>
      <w:b/>
      <w:iCs/>
      <w:sz w:val="20"/>
      <w:szCs w:val="18"/>
    </w:rPr>
  </w:style>
  <w:style w:type="paragraph" w:customStyle="1" w:styleId="TableFigureFooter">
    <w:name w:val="Table/Figure Footer"/>
    <w:basedOn w:val="Normal"/>
    <w:link w:val="TableFigureFooterChar"/>
    <w:qFormat/>
    <w:rsid w:val="00BA721B"/>
    <w:pPr>
      <w:spacing w:after="0" w:line="240" w:lineRule="auto"/>
      <w:contextualSpacing/>
      <w:jc w:val="both"/>
    </w:pPr>
    <w:rPr>
      <w:rFonts w:ascii="Arial Narrow" w:eastAsia="Times New Roman" w:hAnsi="Arial Narrow" w:cs="Arial"/>
      <w:snapToGrid w:val="0"/>
      <w:sz w:val="18"/>
      <w:szCs w:val="22"/>
    </w:rPr>
  </w:style>
  <w:style w:type="character" w:customStyle="1" w:styleId="TableFigureFooterChar">
    <w:name w:val="Table/Figure Footer Char"/>
    <w:link w:val="TableFigureFooter"/>
    <w:rsid w:val="00BA721B"/>
    <w:rPr>
      <w:rFonts w:ascii="Arial Narrow" w:eastAsia="Times New Roman" w:hAnsi="Arial Narrow" w:cs="Arial"/>
      <w:snapToGrid w:val="0"/>
      <w:sz w:val="18"/>
      <w:szCs w:val="22"/>
    </w:rPr>
  </w:style>
  <w:style w:type="table" w:customStyle="1" w:styleId="TableGridbeth1">
    <w:name w:val="Table Gridbeth1"/>
    <w:basedOn w:val="TableNormal"/>
    <w:next w:val="TableGrid"/>
    <w:uiPriority w:val="39"/>
    <w:rsid w:val="009264C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264C5"/>
    <w:rPr>
      <w:rFonts w:asciiTheme="majorHAnsi" w:eastAsiaTheme="majorEastAsia" w:hAnsiTheme="majorHAnsi" w:cstheme="majorBidi"/>
      <w:color w:val="1F4D78" w:themeColor="accent1" w:themeShade="7F"/>
    </w:rPr>
  </w:style>
  <w:style w:type="table" w:customStyle="1" w:styleId="TableGridbeth2">
    <w:name w:val="Table Gridbeth2"/>
    <w:basedOn w:val="TableNormal"/>
    <w:next w:val="TableGrid"/>
    <w:uiPriority w:val="39"/>
    <w:rsid w:val="009264C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39"/>
    <w:rsid w:val="009264C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odytextnumbered">
    <w:name w:val="4. Body text numbered"/>
    <w:basedOn w:val="ListParagraph"/>
    <w:qFormat/>
    <w:rsid w:val="00A63BFD"/>
    <w:pPr>
      <w:spacing w:after="120" w:line="240" w:lineRule="auto"/>
      <w:ind w:hanging="720"/>
      <w:contextualSpacing w:val="0"/>
      <w:jc w:val="both"/>
    </w:pPr>
    <w:rPr>
      <w:rFonts w:asciiTheme="minorHAnsi" w:hAnsiTheme="minorHAnsi" w:cstheme="minorBidi"/>
      <w:szCs w:val="22"/>
    </w:rPr>
  </w:style>
  <w:style w:type="character" w:styleId="CommentReference">
    <w:name w:val="annotation reference"/>
    <w:basedOn w:val="DefaultParagraphFont"/>
    <w:uiPriority w:val="99"/>
    <w:semiHidden/>
    <w:unhideWhenUsed/>
    <w:rsid w:val="00025A97"/>
    <w:rPr>
      <w:sz w:val="16"/>
      <w:szCs w:val="16"/>
    </w:rPr>
  </w:style>
  <w:style w:type="paragraph" w:styleId="CommentText">
    <w:name w:val="annotation text"/>
    <w:basedOn w:val="Normal"/>
    <w:link w:val="CommentTextChar"/>
    <w:uiPriority w:val="99"/>
    <w:semiHidden/>
    <w:unhideWhenUsed/>
    <w:rsid w:val="00025A97"/>
    <w:pPr>
      <w:spacing w:line="240" w:lineRule="auto"/>
    </w:pPr>
    <w:rPr>
      <w:sz w:val="20"/>
      <w:szCs w:val="20"/>
    </w:rPr>
  </w:style>
  <w:style w:type="character" w:customStyle="1" w:styleId="CommentTextChar">
    <w:name w:val="Comment Text Char"/>
    <w:basedOn w:val="DefaultParagraphFont"/>
    <w:link w:val="CommentText"/>
    <w:uiPriority w:val="99"/>
    <w:semiHidden/>
    <w:rsid w:val="00025A97"/>
    <w:rPr>
      <w:sz w:val="20"/>
      <w:szCs w:val="20"/>
    </w:rPr>
  </w:style>
  <w:style w:type="paragraph" w:styleId="CommentSubject">
    <w:name w:val="annotation subject"/>
    <w:basedOn w:val="CommentText"/>
    <w:next w:val="CommentText"/>
    <w:link w:val="CommentSubjectChar"/>
    <w:uiPriority w:val="99"/>
    <w:semiHidden/>
    <w:unhideWhenUsed/>
    <w:rsid w:val="00025A97"/>
    <w:rPr>
      <w:b/>
      <w:bCs/>
    </w:rPr>
  </w:style>
  <w:style w:type="character" w:customStyle="1" w:styleId="CommentSubjectChar">
    <w:name w:val="Comment Subject Char"/>
    <w:basedOn w:val="CommentTextChar"/>
    <w:link w:val="CommentSubject"/>
    <w:uiPriority w:val="99"/>
    <w:semiHidden/>
    <w:rsid w:val="00025A97"/>
    <w:rPr>
      <w:b/>
      <w:bCs/>
      <w:sz w:val="20"/>
      <w:szCs w:val="20"/>
    </w:rPr>
  </w:style>
  <w:style w:type="paragraph" w:styleId="BalloonText">
    <w:name w:val="Balloon Text"/>
    <w:basedOn w:val="Normal"/>
    <w:link w:val="BalloonTextChar"/>
    <w:uiPriority w:val="99"/>
    <w:semiHidden/>
    <w:unhideWhenUsed/>
    <w:rsid w:val="00025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A97"/>
    <w:rPr>
      <w:rFonts w:ascii="Segoe UI" w:hAnsi="Segoe UI" w:cs="Segoe UI"/>
      <w:sz w:val="18"/>
      <w:szCs w:val="18"/>
    </w:rPr>
  </w:style>
  <w:style w:type="character" w:styleId="Hyperlink">
    <w:name w:val="Hyperlink"/>
    <w:basedOn w:val="DefaultParagraphFont"/>
    <w:uiPriority w:val="99"/>
    <w:unhideWhenUsed/>
    <w:rsid w:val="00450A10"/>
    <w:rPr>
      <w:color w:val="0563C1" w:themeColor="hyperlink"/>
      <w:u w:val="single"/>
    </w:rPr>
  </w:style>
  <w:style w:type="paragraph" w:styleId="Revision">
    <w:name w:val="Revision"/>
    <w:hidden/>
    <w:uiPriority w:val="99"/>
    <w:semiHidden/>
    <w:rsid w:val="00766C81"/>
    <w:pPr>
      <w:spacing w:after="0" w:line="240" w:lineRule="auto"/>
    </w:pPr>
  </w:style>
  <w:style w:type="character" w:styleId="Emphasis">
    <w:name w:val="Emphasis"/>
    <w:basedOn w:val="DefaultParagraphFont"/>
    <w:uiPriority w:val="20"/>
    <w:qFormat/>
    <w:rsid w:val="00A6513E"/>
    <w:rPr>
      <w:i/>
      <w:iCs/>
    </w:rPr>
  </w:style>
  <w:style w:type="character" w:styleId="SubtleEmphasis">
    <w:name w:val="Subtle Emphasis"/>
    <w:basedOn w:val="DefaultParagraphFont"/>
    <w:uiPriority w:val="19"/>
    <w:qFormat/>
    <w:rsid w:val="00A651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9363">
      <w:bodyDiv w:val="1"/>
      <w:marLeft w:val="0"/>
      <w:marRight w:val="0"/>
      <w:marTop w:val="0"/>
      <w:marBottom w:val="0"/>
      <w:divBdr>
        <w:top w:val="none" w:sz="0" w:space="0" w:color="auto"/>
        <w:left w:val="none" w:sz="0" w:space="0" w:color="auto"/>
        <w:bottom w:val="none" w:sz="0" w:space="0" w:color="auto"/>
        <w:right w:val="none" w:sz="0" w:space="0" w:color="auto"/>
      </w:divBdr>
      <w:divsChild>
        <w:div w:id="674648830">
          <w:marLeft w:val="1080"/>
          <w:marRight w:val="0"/>
          <w:marTop w:val="100"/>
          <w:marBottom w:val="0"/>
          <w:divBdr>
            <w:top w:val="none" w:sz="0" w:space="0" w:color="auto"/>
            <w:left w:val="none" w:sz="0" w:space="0" w:color="auto"/>
            <w:bottom w:val="none" w:sz="0" w:space="0" w:color="auto"/>
            <w:right w:val="none" w:sz="0" w:space="0" w:color="auto"/>
          </w:divBdr>
        </w:div>
      </w:divsChild>
    </w:div>
    <w:div w:id="873152920">
      <w:bodyDiv w:val="1"/>
      <w:marLeft w:val="0"/>
      <w:marRight w:val="0"/>
      <w:marTop w:val="0"/>
      <w:marBottom w:val="0"/>
      <w:divBdr>
        <w:top w:val="none" w:sz="0" w:space="0" w:color="auto"/>
        <w:left w:val="none" w:sz="0" w:space="0" w:color="auto"/>
        <w:bottom w:val="none" w:sz="0" w:space="0" w:color="auto"/>
        <w:right w:val="none" w:sz="0" w:space="0" w:color="auto"/>
      </w:divBdr>
      <w:divsChild>
        <w:div w:id="13568981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4330</Words>
  <Characters>24683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2020-10-28T04:28:00Z</dcterms:created>
  <dcterms:modified xsi:type="dcterms:W3CDTF">2020-10-28T04:28:00Z</dcterms:modified>
</cp:coreProperties>
</file>