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FC" w:rsidRPr="00D97B31" w:rsidRDefault="003B590D" w:rsidP="004A6040">
      <w:pPr>
        <w:pStyle w:val="1-MainHeading"/>
        <w:rPr>
          <w:bCs/>
        </w:rPr>
      </w:pPr>
      <w:bookmarkStart w:id="0" w:name="_Toc40744321"/>
      <w:bookmarkStart w:id="1" w:name="_GoBack"/>
      <w:bookmarkEnd w:id="1"/>
      <w:r w:rsidRPr="00D97B31">
        <w:t>5.05</w:t>
      </w:r>
      <w:r w:rsidR="00163F66" w:rsidRPr="00D97B31">
        <w:tab/>
      </w:r>
      <w:r w:rsidRPr="00D97B31">
        <w:rPr>
          <w:bCs/>
        </w:rPr>
        <w:t>DAROLUTAMIDE</w:t>
      </w:r>
      <w:r w:rsidR="00163F66" w:rsidRPr="00D97B31">
        <w:t>,</w:t>
      </w:r>
      <w:r w:rsidRPr="00D97B31">
        <w:t xml:space="preserve"> </w:t>
      </w:r>
      <w:r w:rsidR="001236E1" w:rsidRPr="00D97B31">
        <w:br/>
      </w:r>
      <w:r w:rsidRPr="00D97B31">
        <w:rPr>
          <w:bCs/>
        </w:rPr>
        <w:t>Tablet 300 mg</w:t>
      </w:r>
      <w:r w:rsidR="00163F66" w:rsidRPr="00D97B31">
        <w:rPr>
          <w:bCs/>
        </w:rPr>
        <w:t>,</w:t>
      </w:r>
      <w:r w:rsidRPr="00D97B31">
        <w:rPr>
          <w:bCs/>
        </w:rPr>
        <w:t xml:space="preserve"> </w:t>
      </w:r>
      <w:r w:rsidR="001236E1" w:rsidRPr="00D97B31">
        <w:rPr>
          <w:bCs/>
        </w:rPr>
        <w:br/>
      </w:r>
      <w:r w:rsidRPr="00D97B31">
        <w:rPr>
          <w:bCs/>
        </w:rPr>
        <w:t>Nubeqa</w:t>
      </w:r>
      <w:r w:rsidRPr="00D97B31">
        <w:rPr>
          <w:bCs/>
          <w:vertAlign w:val="superscript"/>
        </w:rPr>
        <w:t>®</w:t>
      </w:r>
      <w:r w:rsidRPr="00D97B31">
        <w:rPr>
          <w:bCs/>
        </w:rPr>
        <w:t xml:space="preserve">, </w:t>
      </w:r>
      <w:r w:rsidR="001236E1" w:rsidRPr="00D97B31">
        <w:rPr>
          <w:bCs/>
        </w:rPr>
        <w:br/>
      </w:r>
      <w:r w:rsidRPr="00D97B31">
        <w:rPr>
          <w:bCs/>
        </w:rPr>
        <w:t>Bayer</w:t>
      </w:r>
      <w:bookmarkEnd w:id="0"/>
      <w:r w:rsidR="000419B1" w:rsidRPr="00D97B31">
        <w:rPr>
          <w:bCs/>
        </w:rPr>
        <w:t xml:space="preserve"> Australia Ltd.</w:t>
      </w:r>
    </w:p>
    <w:p w:rsidR="00B50DB8" w:rsidRPr="00D97B31" w:rsidRDefault="00B50DB8" w:rsidP="004A6040">
      <w:pPr>
        <w:pStyle w:val="2-SectionHeading"/>
      </w:pPr>
      <w:bookmarkStart w:id="2" w:name="_Toc40744323"/>
      <w:r w:rsidRPr="00D97B31">
        <w:t xml:space="preserve">Purpose of </w:t>
      </w:r>
      <w:r w:rsidR="00CD7193" w:rsidRPr="00D97B31">
        <w:t>s</w:t>
      </w:r>
      <w:r w:rsidR="00BB3A45" w:rsidRPr="00D97B31">
        <w:t>ubmission</w:t>
      </w:r>
      <w:bookmarkEnd w:id="2"/>
    </w:p>
    <w:p w:rsidR="002C2775" w:rsidRPr="00D97B31" w:rsidRDefault="00B67A2B" w:rsidP="004E18E9">
      <w:pPr>
        <w:pStyle w:val="3-BodyText"/>
      </w:pPr>
      <w:r w:rsidRPr="00D97B31">
        <w:t>The submission requested a</w:t>
      </w:r>
      <w:r w:rsidR="001A41A1" w:rsidRPr="00D97B31">
        <w:t xml:space="preserve"> General Schedule</w:t>
      </w:r>
      <w:r w:rsidRPr="00D97B31">
        <w:t xml:space="preserve"> Authority Required </w:t>
      </w:r>
      <w:r w:rsidR="001A41A1" w:rsidRPr="00D97B31">
        <w:t xml:space="preserve">(Telephone) </w:t>
      </w:r>
      <w:r w:rsidRPr="00D97B31">
        <w:t>listing for darolutamide for treatment of patients with non-metastatic castration resistant prostate cancer (</w:t>
      </w:r>
      <w:r w:rsidR="009A3E8C" w:rsidRPr="00D97B31">
        <w:t>m0</w:t>
      </w:r>
      <w:r w:rsidRPr="00D97B31">
        <w:t>CRPC) at high risk of distant metastases.</w:t>
      </w:r>
      <w:r w:rsidR="007D6522" w:rsidRPr="00D97B31">
        <w:t xml:space="preserve"> </w:t>
      </w:r>
      <w:r w:rsidRPr="00D97B31">
        <w:rPr>
          <w:iCs/>
        </w:rPr>
        <w:t>This was the first PBAC submission for darolutamide</w:t>
      </w:r>
      <w:r w:rsidRPr="00D97B31">
        <w:t>.</w:t>
      </w:r>
      <w:r w:rsidR="007D6522" w:rsidRPr="00D97B31">
        <w:t xml:space="preserve"> </w:t>
      </w:r>
    </w:p>
    <w:p w:rsidR="00C2778B" w:rsidRPr="00D97B31" w:rsidRDefault="005750C5" w:rsidP="008D430B">
      <w:pPr>
        <w:pStyle w:val="3-BodyText"/>
      </w:pPr>
      <w:r w:rsidRPr="00D97B31">
        <w:t xml:space="preserve">Listing was requested on the basis of a </w:t>
      </w:r>
      <w:r w:rsidR="00855CCC" w:rsidRPr="00D97B31">
        <w:t>c</w:t>
      </w:r>
      <w:r w:rsidRPr="00D97B31">
        <w:t>ost-</w:t>
      </w:r>
      <w:r w:rsidR="00855CCC" w:rsidRPr="00D97B31">
        <w:t>utility</w:t>
      </w:r>
      <w:r w:rsidRPr="00D97B31">
        <w:t xml:space="preserve"> analysis versus </w:t>
      </w:r>
      <w:r w:rsidR="00855CCC" w:rsidRPr="00D97B31">
        <w:t>standard of care (SOC).</w:t>
      </w:r>
      <w:r w:rsidR="007D6522" w:rsidRPr="00D97B31">
        <w:t xml:space="preserve"> </w:t>
      </w:r>
      <w:r w:rsidR="00855CCC" w:rsidRPr="00D97B31">
        <w:t>The key components of the clinical issue addressed by the submission are presented in Table 1.</w:t>
      </w:r>
      <w:r w:rsidRPr="00D97B31">
        <w:t xml:space="preserve"> </w:t>
      </w:r>
    </w:p>
    <w:p w:rsidR="008B1757" w:rsidRPr="00D97B31" w:rsidRDefault="008B1757" w:rsidP="004A6040">
      <w:pPr>
        <w:pStyle w:val="TableFigureHeading"/>
        <w:rPr>
          <w:rStyle w:val="CommentReference"/>
          <w:b/>
          <w:szCs w:val="24"/>
        </w:rPr>
      </w:pPr>
      <w:r w:rsidRPr="00D97B31">
        <w:rPr>
          <w:rStyle w:val="CommentReference"/>
          <w:b/>
          <w:szCs w:val="24"/>
        </w:rPr>
        <w:t xml:space="preserve">Table </w:t>
      </w:r>
      <w:r w:rsidR="003E1877" w:rsidRPr="00D97B31">
        <w:rPr>
          <w:rStyle w:val="CommentReference"/>
          <w:b/>
          <w:szCs w:val="24"/>
        </w:rPr>
        <w:t>1</w:t>
      </w:r>
      <w:r w:rsidRPr="00D97B31">
        <w:rPr>
          <w:rStyle w:val="CommentReference"/>
          <w:b/>
          <w:szCs w:val="24"/>
        </w:rPr>
        <w:t>:</w:t>
      </w:r>
      <w:r w:rsidR="00BC591F" w:rsidRPr="00D97B31">
        <w:rPr>
          <w:rStyle w:val="CommentReference"/>
          <w:b/>
          <w:szCs w:val="24"/>
        </w:rPr>
        <w:t xml:space="preserve"> </w:t>
      </w:r>
      <w:r w:rsidRPr="00D97B31">
        <w:rPr>
          <w:rStyle w:val="CommentReference"/>
          <w:b/>
          <w:szCs w:val="24"/>
        </w:rPr>
        <w:t>Key components of the clinical issue addressed by the submission</w:t>
      </w:r>
      <w:r w:rsidR="007170DA" w:rsidRPr="00D97B31">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555"/>
        <w:gridCol w:w="7462"/>
      </w:tblGrid>
      <w:tr w:rsidR="008B1757" w:rsidRPr="00D97B31" w:rsidTr="0028338E">
        <w:trPr>
          <w:cantSplit/>
          <w:tblHeader/>
        </w:trPr>
        <w:tc>
          <w:tcPr>
            <w:tcW w:w="862" w:type="pct"/>
            <w:shd w:val="clear" w:color="auto" w:fill="auto"/>
          </w:tcPr>
          <w:p w:rsidR="008B1757" w:rsidRPr="00D97B31" w:rsidRDefault="008B1757" w:rsidP="004A6040">
            <w:pPr>
              <w:pStyle w:val="In-tableHeading"/>
              <w:rPr>
                <w:szCs w:val="20"/>
                <w:lang w:val="en-AU"/>
              </w:rPr>
            </w:pPr>
            <w:r w:rsidRPr="00D97B31">
              <w:rPr>
                <w:lang w:val="en-AU"/>
              </w:rPr>
              <w:t>Component</w:t>
            </w:r>
          </w:p>
        </w:tc>
        <w:tc>
          <w:tcPr>
            <w:tcW w:w="4138" w:type="pct"/>
            <w:shd w:val="clear" w:color="auto" w:fill="auto"/>
          </w:tcPr>
          <w:p w:rsidR="008B1757" w:rsidRPr="00D97B31" w:rsidRDefault="008B1757" w:rsidP="004A6040">
            <w:pPr>
              <w:pStyle w:val="In-tableHeading"/>
              <w:rPr>
                <w:lang w:val="en-AU"/>
              </w:rPr>
            </w:pPr>
            <w:r w:rsidRPr="00D97B31">
              <w:rPr>
                <w:lang w:val="en-AU"/>
              </w:rPr>
              <w:t>Description</w:t>
            </w:r>
          </w:p>
        </w:tc>
      </w:tr>
      <w:tr w:rsidR="008B1757" w:rsidRPr="00D97B31" w:rsidTr="0028338E">
        <w:trPr>
          <w:cantSplit/>
        </w:trPr>
        <w:tc>
          <w:tcPr>
            <w:tcW w:w="862" w:type="pct"/>
            <w:shd w:val="clear" w:color="auto" w:fill="auto"/>
          </w:tcPr>
          <w:p w:rsidR="008B1757" w:rsidRPr="00D97B31" w:rsidRDefault="008B1757" w:rsidP="004A6040">
            <w:pPr>
              <w:pStyle w:val="TableText0"/>
            </w:pPr>
            <w:r w:rsidRPr="00D97B31">
              <w:t>Population</w:t>
            </w:r>
          </w:p>
        </w:tc>
        <w:tc>
          <w:tcPr>
            <w:tcW w:w="4138" w:type="pct"/>
            <w:shd w:val="clear" w:color="auto" w:fill="auto"/>
          </w:tcPr>
          <w:p w:rsidR="00233C01" w:rsidRPr="00D97B31" w:rsidRDefault="00855CCC" w:rsidP="0003120C">
            <w:pPr>
              <w:pStyle w:val="TableText0"/>
              <w:rPr>
                <w:szCs w:val="20"/>
              </w:rPr>
            </w:pPr>
            <w:r w:rsidRPr="00D97B31">
              <w:t xml:space="preserve">Patients with </w:t>
            </w:r>
            <w:r w:rsidR="0003120C" w:rsidRPr="00D97B31">
              <w:t>m0</w:t>
            </w:r>
            <w:r w:rsidRPr="00D97B31">
              <w:t xml:space="preserve">CRPC who are at high risk of developing distant metastases; with high risk defined as a PSADT </w:t>
            </w:r>
            <w:r w:rsidR="00977ACB" w:rsidRPr="00D97B31">
              <w:t>≤</w:t>
            </w:r>
            <w:r w:rsidR="0003120C" w:rsidRPr="00D97B31">
              <w:t xml:space="preserve"> </w:t>
            </w:r>
            <w:r w:rsidRPr="00D97B31">
              <w:t>10 months</w:t>
            </w:r>
          </w:p>
        </w:tc>
      </w:tr>
      <w:tr w:rsidR="003E1877" w:rsidRPr="00D97B31" w:rsidTr="0028338E">
        <w:trPr>
          <w:cantSplit/>
        </w:trPr>
        <w:tc>
          <w:tcPr>
            <w:tcW w:w="862" w:type="pct"/>
            <w:shd w:val="clear" w:color="auto" w:fill="auto"/>
          </w:tcPr>
          <w:p w:rsidR="003E1877" w:rsidRPr="00D97B31" w:rsidRDefault="003E1877" w:rsidP="003E1877">
            <w:pPr>
              <w:pStyle w:val="TableText0"/>
            </w:pPr>
            <w:r w:rsidRPr="00D97B31">
              <w:t>Intervention</w:t>
            </w:r>
          </w:p>
        </w:tc>
        <w:tc>
          <w:tcPr>
            <w:tcW w:w="4138" w:type="pct"/>
            <w:shd w:val="clear" w:color="auto" w:fill="auto"/>
            <w:vAlign w:val="center"/>
          </w:tcPr>
          <w:p w:rsidR="003E1877" w:rsidRPr="00D97B31" w:rsidRDefault="003E1877" w:rsidP="00315A16">
            <w:pPr>
              <w:pStyle w:val="TableText0"/>
            </w:pPr>
            <w:r w:rsidRPr="00D97B31">
              <w:t xml:space="preserve">Darolutamide </w:t>
            </w:r>
            <w:r w:rsidR="00235BB8" w:rsidRPr="00D97B31">
              <w:t>600</w:t>
            </w:r>
            <w:r w:rsidR="0003120C" w:rsidRPr="00D97B31">
              <w:t xml:space="preserve"> </w:t>
            </w:r>
            <w:r w:rsidR="00235BB8" w:rsidRPr="00D97B31">
              <w:t>mg (</w:t>
            </w:r>
            <w:r w:rsidRPr="00D97B31">
              <w:t>2</w:t>
            </w:r>
            <w:r w:rsidR="0003120C" w:rsidRPr="00D97B31">
              <w:t xml:space="preserve"> </w:t>
            </w:r>
            <w:r w:rsidRPr="00D97B31">
              <w:t>×</w:t>
            </w:r>
            <w:r w:rsidR="0003120C" w:rsidRPr="00D97B31">
              <w:t xml:space="preserve"> </w:t>
            </w:r>
            <w:r w:rsidRPr="00D97B31">
              <w:t>300</w:t>
            </w:r>
            <w:r w:rsidR="0003120C" w:rsidRPr="00D97B31">
              <w:t xml:space="preserve"> </w:t>
            </w:r>
            <w:r w:rsidRPr="00D97B31">
              <w:t>mg</w:t>
            </w:r>
            <w:r w:rsidR="00235BB8" w:rsidRPr="00D97B31">
              <w:t>)</w:t>
            </w:r>
            <w:r w:rsidRPr="00D97B31">
              <w:t xml:space="preserve"> twice daily (total dose 1200</w:t>
            </w:r>
            <w:r w:rsidR="0003120C" w:rsidRPr="00D97B31">
              <w:t xml:space="preserve"> </w:t>
            </w:r>
            <w:r w:rsidRPr="00D97B31">
              <w:t>mg/day) with background ADT</w:t>
            </w:r>
          </w:p>
        </w:tc>
      </w:tr>
      <w:tr w:rsidR="003E1877" w:rsidRPr="00D97B31" w:rsidTr="0028338E">
        <w:trPr>
          <w:cantSplit/>
        </w:trPr>
        <w:tc>
          <w:tcPr>
            <w:tcW w:w="862" w:type="pct"/>
            <w:shd w:val="clear" w:color="auto" w:fill="auto"/>
          </w:tcPr>
          <w:p w:rsidR="003E1877" w:rsidRPr="00D97B31" w:rsidRDefault="003E1877" w:rsidP="003E1877">
            <w:pPr>
              <w:pStyle w:val="TableText0"/>
            </w:pPr>
            <w:r w:rsidRPr="00D97B31">
              <w:t>Comparator</w:t>
            </w:r>
          </w:p>
        </w:tc>
        <w:tc>
          <w:tcPr>
            <w:tcW w:w="4138" w:type="pct"/>
            <w:shd w:val="clear" w:color="auto" w:fill="auto"/>
            <w:vAlign w:val="center"/>
          </w:tcPr>
          <w:p w:rsidR="003E1877" w:rsidRPr="00D97B31" w:rsidRDefault="003E1877" w:rsidP="003E1877">
            <w:pPr>
              <w:pStyle w:val="TableText0"/>
            </w:pPr>
            <w:r w:rsidRPr="00D97B31">
              <w:t>Main comparator: watchful waiting (SOC) with ongoing ADT</w:t>
            </w:r>
          </w:p>
          <w:p w:rsidR="003E1877" w:rsidRPr="00D97B31" w:rsidRDefault="003E1877" w:rsidP="003E1877">
            <w:pPr>
              <w:pStyle w:val="TableText0"/>
            </w:pPr>
            <w:r w:rsidRPr="00D97B31">
              <w:t>Near-market comparators: apalutamide 240</w:t>
            </w:r>
            <w:r w:rsidR="0003120C" w:rsidRPr="00D97B31">
              <w:t xml:space="preserve"> </w:t>
            </w:r>
            <w:r w:rsidRPr="00D97B31">
              <w:t>mg/day; enzalutamide 160</w:t>
            </w:r>
            <w:r w:rsidR="0003120C" w:rsidRPr="00D97B31">
              <w:t xml:space="preserve"> </w:t>
            </w:r>
            <w:r w:rsidRPr="00D97B31">
              <w:t xml:space="preserve">mg/day </w:t>
            </w:r>
          </w:p>
        </w:tc>
      </w:tr>
      <w:tr w:rsidR="003E1877" w:rsidRPr="00D97B31" w:rsidTr="0028338E">
        <w:trPr>
          <w:cantSplit/>
        </w:trPr>
        <w:tc>
          <w:tcPr>
            <w:tcW w:w="862" w:type="pct"/>
            <w:tcBorders>
              <w:bottom w:val="single" w:sz="4" w:space="0" w:color="auto"/>
            </w:tcBorders>
            <w:shd w:val="clear" w:color="auto" w:fill="auto"/>
          </w:tcPr>
          <w:p w:rsidR="003E1877" w:rsidRPr="00D97B31" w:rsidRDefault="003E1877" w:rsidP="003E1877">
            <w:pPr>
              <w:pStyle w:val="TableText0"/>
            </w:pPr>
            <w:r w:rsidRPr="00D97B31">
              <w:t>Outcomes</w:t>
            </w:r>
          </w:p>
        </w:tc>
        <w:tc>
          <w:tcPr>
            <w:tcW w:w="4138" w:type="pct"/>
            <w:tcBorders>
              <w:bottom w:val="single" w:sz="4" w:space="0" w:color="auto"/>
            </w:tcBorders>
            <w:shd w:val="clear" w:color="auto" w:fill="auto"/>
            <w:vAlign w:val="center"/>
          </w:tcPr>
          <w:p w:rsidR="003E1877" w:rsidRPr="00D97B31" w:rsidRDefault="003E1877" w:rsidP="003E1877">
            <w:pPr>
              <w:pStyle w:val="TableText0"/>
              <w:rPr>
                <w:rFonts w:eastAsia="Times New Roman" w:cs="Arial"/>
                <w:bCs w:val="0"/>
                <w:snapToGrid w:val="0"/>
                <w:szCs w:val="20"/>
              </w:rPr>
            </w:pPr>
            <w:r w:rsidRPr="00D97B31">
              <w:t>MFS, OS, time to pain progression, time to initiation of first cytotoxic chemotherapy, time to first symptomatic skeletal event, patient-reported outcomes, safety</w:t>
            </w:r>
          </w:p>
        </w:tc>
      </w:tr>
      <w:tr w:rsidR="003E1877" w:rsidRPr="00D97B31" w:rsidTr="0028338E">
        <w:trPr>
          <w:cantSplit/>
        </w:trPr>
        <w:tc>
          <w:tcPr>
            <w:tcW w:w="862" w:type="pct"/>
            <w:tcBorders>
              <w:bottom w:val="single" w:sz="4" w:space="0" w:color="auto"/>
            </w:tcBorders>
            <w:shd w:val="clear" w:color="auto" w:fill="auto"/>
          </w:tcPr>
          <w:p w:rsidR="003E1877" w:rsidRPr="00D97B31" w:rsidRDefault="003E1877" w:rsidP="003E1877">
            <w:pPr>
              <w:pStyle w:val="TableText0"/>
            </w:pPr>
            <w:r w:rsidRPr="00D97B31">
              <w:t>Clinical claim</w:t>
            </w:r>
          </w:p>
        </w:tc>
        <w:tc>
          <w:tcPr>
            <w:tcW w:w="4138" w:type="pct"/>
            <w:tcBorders>
              <w:bottom w:val="single" w:sz="4" w:space="0" w:color="auto"/>
            </w:tcBorders>
            <w:shd w:val="clear" w:color="auto" w:fill="auto"/>
            <w:vAlign w:val="center"/>
          </w:tcPr>
          <w:p w:rsidR="001A41A1" w:rsidRPr="00D97B31" w:rsidRDefault="003E1877" w:rsidP="003E1877">
            <w:pPr>
              <w:pStyle w:val="TableText0"/>
            </w:pPr>
            <w:r w:rsidRPr="00D97B31">
              <w:t xml:space="preserve">Superior efficacy and inferior safety vs. watchful waiting (SOC) </w:t>
            </w:r>
          </w:p>
          <w:p w:rsidR="003E1877" w:rsidRPr="00D97B31" w:rsidRDefault="001A41A1" w:rsidP="001A41A1">
            <w:pPr>
              <w:pStyle w:val="TableText0"/>
              <w:rPr>
                <w:rFonts w:eastAsia="Times New Roman" w:cs="Arial"/>
                <w:bCs w:val="0"/>
                <w:snapToGrid w:val="0"/>
                <w:szCs w:val="20"/>
              </w:rPr>
            </w:pPr>
            <w:r w:rsidRPr="00D97B31">
              <w:t>N</w:t>
            </w:r>
            <w:r w:rsidR="003E1877" w:rsidRPr="00D97B31">
              <w:t>on-inferior efficacy and superior safety vs. apalutamide and vs. enzalutamide</w:t>
            </w:r>
          </w:p>
        </w:tc>
      </w:tr>
    </w:tbl>
    <w:p w:rsidR="003E1877" w:rsidRPr="00D97B31" w:rsidRDefault="003E1877" w:rsidP="003E1877">
      <w:pPr>
        <w:pStyle w:val="TableFigureFooter"/>
      </w:pPr>
      <w:r w:rsidRPr="00D97B31">
        <w:t>Source: Table 1-1, p5 of the submission.</w:t>
      </w:r>
    </w:p>
    <w:p w:rsidR="004E43B2" w:rsidRPr="00D97B31" w:rsidRDefault="003E1877" w:rsidP="003E1877">
      <w:pPr>
        <w:pStyle w:val="TableFigureFooter"/>
        <w:rPr>
          <w:sz w:val="20"/>
        </w:rPr>
      </w:pPr>
      <w:r w:rsidRPr="00D97B31">
        <w:t xml:space="preserve">ADT=androgen deprivation therapy; </w:t>
      </w:r>
      <w:r w:rsidR="0003120C" w:rsidRPr="00D97B31">
        <w:t>m0</w:t>
      </w:r>
      <w:r w:rsidRPr="00D97B31">
        <w:t>CRPC=</w:t>
      </w:r>
      <w:r w:rsidR="0003120C" w:rsidRPr="00D97B31">
        <w:t xml:space="preserve">non-metastatic </w:t>
      </w:r>
      <w:r w:rsidRPr="00D97B31">
        <w:t>castration-resistant prostate cancer; MFS=metastasis-free survival; OS=overall survival; PSADT=prostate-specific antigen doubling time; SOC=standard of care</w:t>
      </w:r>
    </w:p>
    <w:p w:rsidR="005C25FF" w:rsidRPr="00D97B31" w:rsidRDefault="005C25FF" w:rsidP="004A6040">
      <w:pPr>
        <w:pStyle w:val="2-SectionHeading"/>
      </w:pPr>
      <w:bookmarkStart w:id="3" w:name="_Toc40744324"/>
      <w:r w:rsidRPr="00D97B31">
        <w:t>Background</w:t>
      </w:r>
      <w:bookmarkEnd w:id="3"/>
    </w:p>
    <w:p w:rsidR="005C25FF" w:rsidRPr="00D97B31" w:rsidRDefault="005C25FF" w:rsidP="004A6040">
      <w:pPr>
        <w:pStyle w:val="4-SubsectionHeading"/>
      </w:pPr>
      <w:bookmarkStart w:id="4" w:name="_Toc22897638"/>
      <w:bookmarkStart w:id="5" w:name="_Toc40744325"/>
      <w:r w:rsidRPr="00D97B31">
        <w:t>Registration status</w:t>
      </w:r>
      <w:bookmarkEnd w:id="4"/>
      <w:bookmarkEnd w:id="5"/>
    </w:p>
    <w:p w:rsidR="003A04B4" w:rsidRPr="00D97B31" w:rsidRDefault="003A04B4" w:rsidP="004E18E9">
      <w:pPr>
        <w:pStyle w:val="3-BodyText"/>
      </w:pPr>
      <w:r w:rsidRPr="00D97B31">
        <w:t xml:space="preserve">Darolutamide </w:t>
      </w:r>
      <w:r w:rsidR="00A8324F" w:rsidRPr="00D97B31">
        <w:t>was TGA</w:t>
      </w:r>
      <w:r w:rsidRPr="00D97B31">
        <w:t xml:space="preserve"> </w:t>
      </w:r>
      <w:r w:rsidR="00A8324F" w:rsidRPr="00D97B31">
        <w:t xml:space="preserve">registered </w:t>
      </w:r>
      <w:r w:rsidRPr="00D97B31">
        <w:t>on 26 February 2020.</w:t>
      </w:r>
      <w:r w:rsidR="007D6522" w:rsidRPr="00D97B31">
        <w:t xml:space="preserve"> </w:t>
      </w:r>
      <w:r w:rsidR="00315A16" w:rsidRPr="00D97B31">
        <w:t>I</w:t>
      </w:r>
      <w:r w:rsidR="00E35D93" w:rsidRPr="00D97B31">
        <w:t xml:space="preserve">t was </w:t>
      </w:r>
      <w:r w:rsidR="00AB1990" w:rsidRPr="00D97B31">
        <w:t xml:space="preserve">evaluated </w:t>
      </w:r>
      <w:r w:rsidR="00E35D93" w:rsidRPr="00D97B31">
        <w:t>by the TGA under a work-sharing initiative with Health Canada.</w:t>
      </w:r>
      <w:r w:rsidR="007D6522" w:rsidRPr="00D97B31">
        <w:t xml:space="preserve"> </w:t>
      </w:r>
      <w:r w:rsidR="00FC3440" w:rsidRPr="00D97B31">
        <w:t>The</w:t>
      </w:r>
      <w:r w:rsidR="00D067F8" w:rsidRPr="00D97B31">
        <w:t xml:space="preserve"> TGA </w:t>
      </w:r>
      <w:r w:rsidR="00E35D93" w:rsidRPr="00D97B31">
        <w:t xml:space="preserve">Delegate’s </w:t>
      </w:r>
      <w:r w:rsidR="00D067F8" w:rsidRPr="00D97B31">
        <w:t>O</w:t>
      </w:r>
      <w:r w:rsidR="00E35D93" w:rsidRPr="00D97B31">
        <w:t>verview</w:t>
      </w:r>
      <w:r w:rsidR="00D067F8" w:rsidRPr="00D97B31">
        <w:t xml:space="preserve"> was provided in the submission</w:t>
      </w:r>
      <w:r w:rsidR="00650797" w:rsidRPr="00D97B31">
        <w:t>;</w:t>
      </w:r>
      <w:r w:rsidR="00D067F8" w:rsidRPr="00D97B31">
        <w:t xml:space="preserve"> however</w:t>
      </w:r>
      <w:r w:rsidR="00CB0B58" w:rsidRPr="00D97B31">
        <w:t xml:space="preserve">, </w:t>
      </w:r>
      <w:r w:rsidR="00AB1990" w:rsidRPr="00D97B31">
        <w:t xml:space="preserve">a </w:t>
      </w:r>
      <w:r w:rsidR="00D30B35">
        <w:t>Cl</w:t>
      </w:r>
      <w:r w:rsidR="00E35D93" w:rsidRPr="00D97B31">
        <w:t xml:space="preserve">inical </w:t>
      </w:r>
      <w:r w:rsidR="00D30B35">
        <w:t>Evaluation R</w:t>
      </w:r>
      <w:r w:rsidR="00E35D93" w:rsidRPr="00D97B31">
        <w:t xml:space="preserve">eport </w:t>
      </w:r>
      <w:r w:rsidR="00AB1990" w:rsidRPr="00D97B31">
        <w:t>was not produced under the work-sharing initiative.</w:t>
      </w:r>
      <w:r w:rsidR="00D067F8" w:rsidRPr="00D97B31">
        <w:t xml:space="preserve"> </w:t>
      </w:r>
      <w:r w:rsidR="00CB0B58" w:rsidRPr="00D97B31">
        <w:t xml:space="preserve">Darolutamide </w:t>
      </w:r>
      <w:r w:rsidR="00E35D93" w:rsidRPr="00D97B31">
        <w:t>was not considered at an A</w:t>
      </w:r>
      <w:r w:rsidR="00D774F4" w:rsidRPr="00D97B31">
        <w:t xml:space="preserve">dvisory Committee on Medicines </w:t>
      </w:r>
      <w:r w:rsidR="00E35D93" w:rsidRPr="00D97B31">
        <w:t>meeting.</w:t>
      </w:r>
    </w:p>
    <w:p w:rsidR="005C25FF" w:rsidRPr="00D97B31" w:rsidRDefault="005C25FF" w:rsidP="004E18E9">
      <w:pPr>
        <w:pStyle w:val="4-SubsectionHeading"/>
      </w:pPr>
      <w:bookmarkStart w:id="6" w:name="_Toc22897639"/>
      <w:bookmarkStart w:id="7" w:name="_Toc40744326"/>
      <w:r w:rsidRPr="00D97B31">
        <w:t>Previous PBAC consideration</w:t>
      </w:r>
      <w:bookmarkEnd w:id="6"/>
      <w:bookmarkEnd w:id="7"/>
    </w:p>
    <w:p w:rsidR="007B15FC" w:rsidRPr="00D97B31" w:rsidRDefault="00B67A2B" w:rsidP="008D430B">
      <w:pPr>
        <w:pStyle w:val="3-BodyText"/>
      </w:pPr>
      <w:r w:rsidRPr="00D97B31">
        <w:t xml:space="preserve">While there has been no previous consideration of darolutamide by the PBAC, there have been two considerations of apalutamide for the treatment of </w:t>
      </w:r>
      <w:r w:rsidR="009A3E8C" w:rsidRPr="00D97B31">
        <w:t>m0CRPC</w:t>
      </w:r>
      <w:r w:rsidR="007F7949">
        <w:t>. Table 2</w:t>
      </w:r>
      <w:r w:rsidRPr="00D97B31">
        <w:t xml:space="preserve"> </w:t>
      </w:r>
      <w:r w:rsidRPr="00D97B31">
        <w:lastRenderedPageBreak/>
        <w:t>provides a summary of PBAC concerns around the clinical and economic evidence for apalutamide, including comments describing the approach adopted for darolutamide.</w:t>
      </w:r>
    </w:p>
    <w:p w:rsidR="005C25FF" w:rsidRPr="00D97B31" w:rsidRDefault="005C25FF" w:rsidP="0028338E">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2</w:t>
      </w:r>
      <w:r w:rsidRPr="00D97B31">
        <w:rPr>
          <w:rStyle w:val="CommentReference"/>
          <w:b/>
          <w:szCs w:val="24"/>
        </w:rPr>
        <w:t xml:space="preserve">: </w:t>
      </w:r>
      <w:r w:rsidR="00DB5CF8" w:rsidRPr="00D97B31">
        <w:rPr>
          <w:rStyle w:val="CommentReference"/>
          <w:b/>
        </w:rPr>
        <w:t xml:space="preserve">Summary of PBAC concerns </w:t>
      </w:r>
      <w:r w:rsidR="00771B5B" w:rsidRPr="00D97B31">
        <w:rPr>
          <w:rStyle w:val="CommentReference"/>
          <w:b/>
        </w:rPr>
        <w:t>with</w:t>
      </w:r>
      <w:r w:rsidR="00DB5CF8" w:rsidRPr="00D97B31">
        <w:rPr>
          <w:rStyle w:val="CommentReference"/>
          <w:b/>
        </w:rPr>
        <w:t xml:space="preserve"> apalutamide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7"/>
        <w:gridCol w:w="7410"/>
      </w:tblGrid>
      <w:tr w:rsidR="00DB5CF8" w:rsidRPr="00D97B31" w:rsidTr="007953F2">
        <w:trPr>
          <w:cantSplit/>
          <w:tblHeader/>
        </w:trPr>
        <w:tc>
          <w:tcPr>
            <w:tcW w:w="1657" w:type="dxa"/>
            <w:vAlign w:val="center"/>
          </w:tcPr>
          <w:p w:rsidR="00DB5CF8" w:rsidRPr="00D97B31" w:rsidRDefault="00DB5CF8" w:rsidP="0028338E">
            <w:pPr>
              <w:pStyle w:val="Tabletext"/>
              <w:keepNext/>
              <w:jc w:val="center"/>
              <w:rPr>
                <w:b/>
              </w:rPr>
            </w:pPr>
            <w:r w:rsidRPr="00D97B31">
              <w:rPr>
                <w:b/>
              </w:rPr>
              <w:t>Paragraph/date (apalutamide PSD)</w:t>
            </w:r>
          </w:p>
        </w:tc>
        <w:tc>
          <w:tcPr>
            <w:tcW w:w="7410" w:type="dxa"/>
            <w:vAlign w:val="center"/>
          </w:tcPr>
          <w:p w:rsidR="00DB5CF8" w:rsidRPr="00D97B31" w:rsidRDefault="00DB5CF8" w:rsidP="0028338E">
            <w:pPr>
              <w:pStyle w:val="Tabletext"/>
              <w:keepNext/>
              <w:jc w:val="center"/>
              <w:rPr>
                <w:b/>
              </w:rPr>
            </w:pPr>
            <w:r w:rsidRPr="00D97B31">
              <w:rPr>
                <w:b/>
              </w:rPr>
              <w:t xml:space="preserve">Matter of concern </w:t>
            </w:r>
          </w:p>
        </w:tc>
      </w:tr>
      <w:tr w:rsidR="00DB5CF8" w:rsidRPr="00D97B31" w:rsidTr="007953F2">
        <w:trPr>
          <w:cantSplit/>
        </w:trPr>
        <w:tc>
          <w:tcPr>
            <w:tcW w:w="1657" w:type="dxa"/>
            <w:vAlign w:val="center"/>
          </w:tcPr>
          <w:p w:rsidR="00DB5CF8" w:rsidRPr="00D97B31" w:rsidRDefault="00DB5CF8" w:rsidP="0028338E">
            <w:pPr>
              <w:pStyle w:val="Tabletext"/>
              <w:keepNext/>
            </w:pPr>
            <w:r w:rsidRPr="00D97B31">
              <w:t>Paragraph 7.8 November 2018</w:t>
            </w:r>
          </w:p>
        </w:tc>
        <w:tc>
          <w:tcPr>
            <w:tcW w:w="7410" w:type="dxa"/>
            <w:vAlign w:val="center"/>
          </w:tcPr>
          <w:p w:rsidR="00DB5CF8" w:rsidRPr="00D97B31" w:rsidRDefault="00DB5CF8" w:rsidP="0028338E">
            <w:pPr>
              <w:pStyle w:val="Tabletext"/>
              <w:keepNext/>
            </w:pPr>
            <w:r w:rsidRPr="00D97B31">
              <w:t>PBAC considered that the claim of improvement in OS was not adequately supported by the clinical data.</w:t>
            </w:r>
            <w:r w:rsidR="007D6522" w:rsidRPr="00D97B31">
              <w:t xml:space="preserve"> </w:t>
            </w:r>
            <w:r w:rsidRPr="00D97B31">
              <w:t>PBAC considered that the claim of improvement in MFS, rPFS and sPFS was reasonable but the magnitude of benefit was highly uncertain given the immaturity of the data.</w:t>
            </w:r>
          </w:p>
        </w:tc>
      </w:tr>
      <w:tr w:rsidR="00DB5CF8" w:rsidRPr="00D97B31" w:rsidTr="007953F2">
        <w:trPr>
          <w:cantSplit/>
        </w:trPr>
        <w:tc>
          <w:tcPr>
            <w:tcW w:w="1657" w:type="dxa"/>
            <w:vAlign w:val="center"/>
          </w:tcPr>
          <w:p w:rsidR="00DB5CF8" w:rsidRPr="00D97B31" w:rsidRDefault="00DB5CF8" w:rsidP="0028338E">
            <w:pPr>
              <w:pStyle w:val="Tabletext"/>
              <w:keepNext/>
            </w:pPr>
            <w:r w:rsidRPr="00D97B31">
              <w:t>Paragraph 7.3</w:t>
            </w:r>
          </w:p>
          <w:p w:rsidR="00DB5CF8" w:rsidRPr="00D97B31" w:rsidRDefault="00DB5CF8" w:rsidP="0028338E">
            <w:pPr>
              <w:pStyle w:val="Tabletext"/>
              <w:keepNext/>
            </w:pPr>
            <w:r w:rsidRPr="00D97B31">
              <w:t>July 2019</w:t>
            </w:r>
          </w:p>
        </w:tc>
        <w:tc>
          <w:tcPr>
            <w:tcW w:w="7410" w:type="dxa"/>
            <w:vAlign w:val="center"/>
          </w:tcPr>
          <w:p w:rsidR="00DB5CF8" w:rsidRPr="00D97B31" w:rsidRDefault="00DB5CF8" w:rsidP="0028338E">
            <w:pPr>
              <w:pStyle w:val="NormalWeb"/>
              <w:keepNext/>
              <w:spacing w:beforeAutospacing="1" w:afterAutospacing="1"/>
              <w:rPr>
                <w:rFonts w:ascii="Arial Narrow" w:hAnsi="Arial Narrow"/>
                <w:sz w:val="20"/>
                <w:szCs w:val="20"/>
                <w:lang w:val="en-AU"/>
              </w:rPr>
            </w:pPr>
            <w:r w:rsidRPr="00D97B31">
              <w:rPr>
                <w:rFonts w:ascii="Arial Narrow" w:hAnsi="Arial Narrow" w:cs="Calibri"/>
                <w:sz w:val="20"/>
                <w:szCs w:val="20"/>
                <w:lang w:val="en-AU"/>
              </w:rPr>
              <w:t>The resubmission proposed that the PBS restrictions should allow abiraterone to be used after apalutamide, and presented longer-term PFS2 data from the SPARTAN trial.</w:t>
            </w:r>
            <w:r w:rsidR="007D6522" w:rsidRPr="00D97B31">
              <w:rPr>
                <w:rFonts w:ascii="Arial Narrow" w:hAnsi="Arial Narrow" w:cs="Calibri"/>
                <w:sz w:val="20"/>
                <w:szCs w:val="20"/>
                <w:lang w:val="en-AU"/>
              </w:rPr>
              <w:t xml:space="preserve"> </w:t>
            </w:r>
            <w:r w:rsidRPr="00D97B31">
              <w:rPr>
                <w:rFonts w:ascii="Arial Narrow" w:hAnsi="Arial Narrow" w:cs="Calibri"/>
                <w:sz w:val="20"/>
                <w:szCs w:val="20"/>
                <w:lang w:val="en-AU"/>
              </w:rPr>
              <w:t xml:space="preserve">Overall, the PBAC considered that the PFS2 data do not provide information as to whether the magnitude of the benefit of abiraterone versus placebo would remain unchanged with prior use of apalutamide. The PBAC advised that the PBS restrictions should not allow abiraterone to be used after apalutamide. </w:t>
            </w:r>
          </w:p>
        </w:tc>
      </w:tr>
      <w:tr w:rsidR="00DB5CF8" w:rsidRPr="00D97B31" w:rsidTr="007953F2">
        <w:trPr>
          <w:cantSplit/>
        </w:trPr>
        <w:tc>
          <w:tcPr>
            <w:tcW w:w="1657" w:type="dxa"/>
            <w:vAlign w:val="center"/>
          </w:tcPr>
          <w:p w:rsidR="00DB5CF8" w:rsidRPr="00D97B31" w:rsidRDefault="00DB5CF8" w:rsidP="0028338E">
            <w:pPr>
              <w:pStyle w:val="Tabletext"/>
              <w:keepNext/>
            </w:pPr>
            <w:r w:rsidRPr="00D97B31">
              <w:t>Paragraph 7.4</w:t>
            </w:r>
          </w:p>
          <w:p w:rsidR="00DB5CF8" w:rsidRPr="00D97B31" w:rsidRDefault="00DB5CF8" w:rsidP="0028338E">
            <w:pPr>
              <w:pStyle w:val="Tabletext"/>
              <w:keepNext/>
            </w:pPr>
            <w:r w:rsidRPr="00D97B31">
              <w:t>July 2019</w:t>
            </w:r>
          </w:p>
        </w:tc>
        <w:tc>
          <w:tcPr>
            <w:tcW w:w="7410" w:type="dxa"/>
            <w:vAlign w:val="center"/>
          </w:tcPr>
          <w:p w:rsidR="00DB5CF8" w:rsidRPr="00D97B31" w:rsidRDefault="00DB5CF8" w:rsidP="0028338E">
            <w:pPr>
              <w:pStyle w:val="NormalWeb"/>
              <w:keepNext/>
              <w:spacing w:before="0" w:after="0"/>
              <w:rPr>
                <w:rFonts w:ascii="Arial Narrow" w:hAnsi="Arial Narrow"/>
                <w:sz w:val="20"/>
                <w:szCs w:val="20"/>
                <w:lang w:val="en-AU"/>
              </w:rPr>
            </w:pPr>
            <w:r w:rsidRPr="00D97B31">
              <w:rPr>
                <w:rFonts w:ascii="Arial Narrow" w:hAnsi="Arial Narrow"/>
                <w:sz w:val="20"/>
                <w:szCs w:val="20"/>
                <w:lang w:val="en-AU"/>
              </w:rPr>
              <w:t>The resubmission stated that it may be reasonable to preclude the use of PBS-subsidised enzalutamide after apalutamide, as there is potential for cross-resistance and it is unlikely that enzalutamide would demonstrate efficacy following progression on apalutamide given their pharmacological similarity. The PBAC agreed, and advised that that the PBS restrictions should not allow enzalutamide to be used after apalutamide.</w:t>
            </w:r>
          </w:p>
          <w:p w:rsidR="00DB5CF8" w:rsidRPr="00D97B31" w:rsidRDefault="00DB5CF8" w:rsidP="0028338E">
            <w:pPr>
              <w:pStyle w:val="NormalWeb"/>
              <w:keepNext/>
              <w:spacing w:before="0" w:after="0"/>
              <w:rPr>
                <w:rFonts w:ascii="Arial Narrow" w:hAnsi="Arial Narrow"/>
                <w:iCs/>
                <w:sz w:val="20"/>
                <w:szCs w:val="20"/>
                <w:lang w:val="en-AU"/>
              </w:rPr>
            </w:pPr>
            <w:r w:rsidRPr="00D97B31">
              <w:rPr>
                <w:rFonts w:ascii="Arial Narrow" w:hAnsi="Arial Narrow"/>
                <w:iCs/>
                <w:sz w:val="20"/>
                <w:szCs w:val="20"/>
                <w:lang w:val="en-AU"/>
              </w:rPr>
              <w:t xml:space="preserve">The darolutamide submission assumed that neither abiraterone </w:t>
            </w:r>
            <w:r w:rsidR="00B628F2" w:rsidRPr="00D97B31">
              <w:rPr>
                <w:rFonts w:ascii="Arial Narrow" w:hAnsi="Arial Narrow"/>
                <w:iCs/>
                <w:sz w:val="20"/>
                <w:szCs w:val="20"/>
                <w:lang w:val="en-AU"/>
              </w:rPr>
              <w:t>n</w:t>
            </w:r>
            <w:r w:rsidRPr="00D97B31">
              <w:rPr>
                <w:rFonts w:ascii="Arial Narrow" w:hAnsi="Arial Narrow"/>
                <w:iCs/>
                <w:sz w:val="20"/>
                <w:szCs w:val="20"/>
                <w:lang w:val="en-AU"/>
              </w:rPr>
              <w:t>or enzalutamide will be permitted to be used following darolutamide treatment and this approach was reflected in the economic model and financial estimates.</w:t>
            </w:r>
          </w:p>
        </w:tc>
      </w:tr>
      <w:tr w:rsidR="00DB5CF8" w:rsidRPr="00D97B31" w:rsidTr="007953F2">
        <w:trPr>
          <w:cantSplit/>
        </w:trPr>
        <w:tc>
          <w:tcPr>
            <w:tcW w:w="1657" w:type="dxa"/>
            <w:vAlign w:val="center"/>
          </w:tcPr>
          <w:p w:rsidR="00DB5CF8" w:rsidRPr="00D97B31" w:rsidRDefault="00DB5CF8" w:rsidP="0028338E">
            <w:pPr>
              <w:pStyle w:val="Tabletext"/>
              <w:keepNext/>
            </w:pPr>
            <w:r w:rsidRPr="00D97B31">
              <w:t xml:space="preserve">Paragraph 7.7 </w:t>
            </w:r>
          </w:p>
          <w:p w:rsidR="00DB5CF8" w:rsidRPr="00D97B31" w:rsidRDefault="00DB5CF8" w:rsidP="0028338E">
            <w:pPr>
              <w:pStyle w:val="Tabletext"/>
              <w:keepNext/>
              <w:rPr>
                <w:u w:val="single"/>
              </w:rPr>
            </w:pPr>
            <w:r w:rsidRPr="00D97B31">
              <w:t>July 2019</w:t>
            </w:r>
          </w:p>
        </w:tc>
        <w:tc>
          <w:tcPr>
            <w:tcW w:w="7410" w:type="dxa"/>
            <w:vAlign w:val="center"/>
          </w:tcPr>
          <w:p w:rsidR="00DB5CF8" w:rsidRPr="00D97B31" w:rsidRDefault="00BE55C4" w:rsidP="00745857">
            <w:pPr>
              <w:pStyle w:val="Tabletext"/>
              <w:keepNext/>
            </w:pPr>
            <w:r w:rsidRPr="00D97B31">
              <w:rPr>
                <w:rFonts w:cs="Calibri"/>
              </w:rPr>
              <w:t>The PSCR presented updated OS data from ‘interim analysis 2’ of the SPARTAN trial…..however</w:t>
            </w:r>
            <w:r w:rsidR="00016734" w:rsidRPr="00D97B31">
              <w:rPr>
                <w:rFonts w:cs="Calibri"/>
              </w:rPr>
              <w:t>,</w:t>
            </w:r>
            <w:r w:rsidRPr="00D97B31">
              <w:rPr>
                <w:rFonts w:cs="Calibri"/>
              </w:rPr>
              <w:t xml:space="preserve"> the magnitude of </w:t>
            </w:r>
            <w:r w:rsidR="00745857" w:rsidRPr="00D97B31">
              <w:rPr>
                <w:rFonts w:cs="Calibri"/>
              </w:rPr>
              <w:t xml:space="preserve">the </w:t>
            </w:r>
            <w:r w:rsidRPr="00D97B31">
              <w:rPr>
                <w:rFonts w:cs="Calibri"/>
              </w:rPr>
              <w:t>benefit remain</w:t>
            </w:r>
            <w:r w:rsidR="00745857" w:rsidRPr="00D97B31">
              <w:rPr>
                <w:rFonts w:cs="Calibri"/>
              </w:rPr>
              <w:t>ed</w:t>
            </w:r>
            <w:r w:rsidRPr="00D97B31">
              <w:rPr>
                <w:rFonts w:cs="Calibri"/>
              </w:rPr>
              <w:t xml:space="preserve"> uncertain as the data were immature (median OS was not yet reached in either arm)</w:t>
            </w:r>
            <w:r w:rsidR="00DB5CF8" w:rsidRPr="00D97B31">
              <w:rPr>
                <w:rFonts w:cs="Calibri"/>
              </w:rPr>
              <w:t>.</w:t>
            </w:r>
          </w:p>
        </w:tc>
      </w:tr>
      <w:tr w:rsidR="00771B5B" w:rsidRPr="00D97B31" w:rsidTr="007953F2">
        <w:trPr>
          <w:cantSplit/>
        </w:trPr>
        <w:tc>
          <w:tcPr>
            <w:tcW w:w="1657" w:type="dxa"/>
            <w:vAlign w:val="center"/>
          </w:tcPr>
          <w:p w:rsidR="00771B5B" w:rsidRPr="00D97B31" w:rsidRDefault="00771B5B" w:rsidP="009D0D05">
            <w:pPr>
              <w:pStyle w:val="Tabletext"/>
            </w:pPr>
            <w:r w:rsidRPr="00D97B31">
              <w:t xml:space="preserve">Paragraph 7.1 </w:t>
            </w:r>
            <w:r w:rsidRPr="00D97B31">
              <w:br/>
              <w:t>July 2019</w:t>
            </w:r>
          </w:p>
        </w:tc>
        <w:tc>
          <w:tcPr>
            <w:tcW w:w="7410" w:type="dxa"/>
            <w:vAlign w:val="center"/>
          </w:tcPr>
          <w:p w:rsidR="00771B5B" w:rsidRPr="00D97B31" w:rsidRDefault="00771B5B" w:rsidP="007953F2">
            <w:pPr>
              <w:pStyle w:val="Tabletext"/>
              <w:rPr>
                <w:rFonts w:cs="Calibri"/>
              </w:rPr>
            </w:pPr>
            <w:r w:rsidRPr="00D97B31">
              <w:rPr>
                <w:rFonts w:cs="Calibri"/>
              </w:rPr>
              <w:t>The PBAC considered that the incremental cost-effectiveness ratio (ICER) was high and uncertain, and that a price reduction would be required to bring the ICER into an acceptable range.</w:t>
            </w:r>
          </w:p>
        </w:tc>
      </w:tr>
      <w:tr w:rsidR="009D0D05" w:rsidRPr="00D97B31" w:rsidTr="007953F2">
        <w:trPr>
          <w:cantSplit/>
        </w:trPr>
        <w:tc>
          <w:tcPr>
            <w:tcW w:w="1657" w:type="dxa"/>
            <w:vAlign w:val="center"/>
          </w:tcPr>
          <w:p w:rsidR="009D0D05" w:rsidRPr="00D97B31" w:rsidRDefault="009D0D05" w:rsidP="009D0D05">
            <w:pPr>
              <w:pStyle w:val="Tabletext"/>
            </w:pPr>
            <w:r w:rsidRPr="00D97B31">
              <w:t>Paragraph 7.13</w:t>
            </w:r>
          </w:p>
          <w:p w:rsidR="009D0D05" w:rsidRPr="00D97B31" w:rsidRDefault="009D0D05" w:rsidP="009D0D05">
            <w:pPr>
              <w:pStyle w:val="Tabletext"/>
            </w:pPr>
            <w:r w:rsidRPr="00D97B31">
              <w:t>July 2019</w:t>
            </w:r>
          </w:p>
        </w:tc>
        <w:tc>
          <w:tcPr>
            <w:tcW w:w="7410" w:type="dxa"/>
            <w:vAlign w:val="center"/>
          </w:tcPr>
          <w:p w:rsidR="009D0D05" w:rsidRPr="00D97B31" w:rsidRDefault="009D0D05" w:rsidP="007953F2">
            <w:pPr>
              <w:pStyle w:val="Tabletext"/>
              <w:rPr>
                <w:rFonts w:cs="Calibri"/>
              </w:rPr>
            </w:pPr>
            <w:r w:rsidRPr="00D97B31">
              <w:rPr>
                <w:rFonts w:cs="Calibri"/>
              </w:rPr>
              <w:t>The PBAC advised that the base case of the economic model should include the following revisions: use BICR-assessed MFS; use a 10-year time horizon; include updated TTD data if available; use unadjusted OS results (</w:t>
            </w:r>
            <w:r w:rsidR="00E93DF7" w:rsidRPr="00D97B31">
              <w:rPr>
                <w:rFonts w:cs="Calibri"/>
              </w:rPr>
              <w:t>i.e.</w:t>
            </w:r>
            <w:r w:rsidRPr="00D97B31">
              <w:rPr>
                <w:rFonts w:cs="Calibri"/>
              </w:rPr>
              <w:t xml:space="preserve"> do not include any adjustments for treatment switching) given the uncertain magnitude of the OS gains.</w:t>
            </w:r>
            <w:r w:rsidR="007D6522" w:rsidRPr="00D97B31">
              <w:rPr>
                <w:rFonts w:cs="Calibri"/>
              </w:rPr>
              <w:t xml:space="preserve"> </w:t>
            </w:r>
            <w:r w:rsidRPr="00D97B31">
              <w:rPr>
                <w:rFonts w:cs="Calibri"/>
                <w:iCs/>
              </w:rPr>
              <w:t>The darolutamide model applied these recommendations.</w:t>
            </w:r>
          </w:p>
        </w:tc>
      </w:tr>
    </w:tbl>
    <w:p w:rsidR="00DB5CF8" w:rsidRPr="00D97B31" w:rsidRDefault="00DB5CF8" w:rsidP="00DB5CF8">
      <w:pPr>
        <w:pStyle w:val="TableFooter"/>
      </w:pPr>
      <w:r w:rsidRPr="00D97B31">
        <w:t>Source: November 2018 and July 2019 apalutamide PSDs.</w:t>
      </w:r>
    </w:p>
    <w:p w:rsidR="005C25FF" w:rsidRPr="00D97B31" w:rsidRDefault="00DB5CF8" w:rsidP="009D0D05">
      <w:pPr>
        <w:pStyle w:val="TableFigureFooter"/>
      </w:pPr>
      <w:r w:rsidRPr="00D97B31">
        <w:t>MFS=metastasis-free survival; OS=overall survival; PFS2=progression-free survival for first subsequent therapy; rPFS=radiographic progression-free survival; PSCR=Pre-Subcommittee Response; PSD=public summary document; sPFS=symptomatic progression-free survival</w:t>
      </w:r>
      <w:r w:rsidR="0011221C" w:rsidRPr="00D97B31">
        <w:t>; TTD = time to treatment discontinuation</w:t>
      </w:r>
    </w:p>
    <w:p w:rsidR="00B60939" w:rsidRPr="00D97B31" w:rsidRDefault="00B50DB8" w:rsidP="00655260">
      <w:pPr>
        <w:pStyle w:val="2-SectionHeading"/>
      </w:pPr>
      <w:bookmarkStart w:id="8" w:name="_Toc40744327"/>
      <w:r w:rsidRPr="00D97B31">
        <w:t>Requested listing</w:t>
      </w:r>
      <w:bookmarkEnd w:id="8"/>
    </w:p>
    <w:p w:rsidR="0028338E" w:rsidRPr="00D97B31" w:rsidRDefault="0028338E" w:rsidP="00242FFC"/>
    <w:tbl>
      <w:tblPr>
        <w:tblW w:w="4934" w:type="pct"/>
        <w:tblInd w:w="28" w:type="dxa"/>
        <w:tblCellMar>
          <w:left w:w="28" w:type="dxa"/>
          <w:right w:w="28" w:type="dxa"/>
        </w:tblCellMar>
        <w:tblLook w:val="0000" w:firstRow="0" w:lastRow="0" w:firstColumn="0" w:lastColumn="0" w:noHBand="0" w:noVBand="0"/>
      </w:tblPr>
      <w:tblGrid>
        <w:gridCol w:w="1674"/>
        <w:gridCol w:w="1119"/>
        <w:gridCol w:w="864"/>
        <w:gridCol w:w="1135"/>
        <w:gridCol w:w="1985"/>
        <w:gridCol w:w="2131"/>
      </w:tblGrid>
      <w:tr w:rsidR="009D0D05" w:rsidRPr="00D97B31" w:rsidTr="006E7371">
        <w:trPr>
          <w:cantSplit/>
          <w:trHeight w:val="463"/>
        </w:trPr>
        <w:tc>
          <w:tcPr>
            <w:tcW w:w="1568" w:type="pct"/>
            <w:gridSpan w:val="2"/>
            <w:tcBorders>
              <w:top w:val="single" w:sz="4" w:space="0" w:color="auto"/>
              <w:bottom w:val="single" w:sz="4" w:space="0" w:color="auto"/>
            </w:tcBorders>
            <w:vAlign w:val="center"/>
          </w:tcPr>
          <w:p w:rsidR="009D0D05" w:rsidRPr="00D97B31" w:rsidRDefault="009D0D05" w:rsidP="00655260">
            <w:pPr>
              <w:keepNext/>
              <w:jc w:val="left"/>
              <w:rPr>
                <w:rFonts w:ascii="Arial Narrow" w:hAnsi="Arial Narrow"/>
                <w:b/>
                <w:sz w:val="20"/>
              </w:rPr>
            </w:pPr>
            <w:r w:rsidRPr="00D97B31">
              <w:rPr>
                <w:rFonts w:ascii="Arial Narrow" w:hAnsi="Arial Narrow"/>
                <w:b/>
                <w:sz w:val="20"/>
              </w:rPr>
              <w:t>Name, Restriction,</w:t>
            </w:r>
          </w:p>
          <w:p w:rsidR="009D0D05" w:rsidRPr="00D97B31" w:rsidRDefault="009D0D05" w:rsidP="00655260">
            <w:pPr>
              <w:keepNext/>
              <w:jc w:val="left"/>
              <w:rPr>
                <w:rFonts w:ascii="Arial Narrow" w:hAnsi="Arial Narrow"/>
                <w:b/>
                <w:sz w:val="20"/>
              </w:rPr>
            </w:pPr>
            <w:r w:rsidRPr="00D97B31">
              <w:rPr>
                <w:rFonts w:ascii="Arial Narrow" w:hAnsi="Arial Narrow"/>
                <w:b/>
                <w:sz w:val="20"/>
              </w:rPr>
              <w:t>Manner of administration and form</w:t>
            </w:r>
          </w:p>
        </w:tc>
        <w:tc>
          <w:tcPr>
            <w:tcW w:w="485" w:type="pct"/>
            <w:tcBorders>
              <w:top w:val="single" w:sz="4" w:space="0" w:color="auto"/>
              <w:bottom w:val="single" w:sz="4" w:space="0" w:color="auto"/>
            </w:tcBorders>
            <w:vAlign w:val="center"/>
          </w:tcPr>
          <w:p w:rsidR="009D0D05" w:rsidRPr="00D97B31" w:rsidRDefault="009D0D05" w:rsidP="00655260">
            <w:pPr>
              <w:keepNext/>
              <w:jc w:val="center"/>
              <w:rPr>
                <w:rFonts w:ascii="Arial Narrow" w:hAnsi="Arial Narrow"/>
                <w:b/>
                <w:sz w:val="20"/>
              </w:rPr>
            </w:pPr>
            <w:r w:rsidRPr="00D97B31">
              <w:rPr>
                <w:rFonts w:ascii="Arial Narrow" w:hAnsi="Arial Narrow"/>
                <w:b/>
                <w:sz w:val="20"/>
              </w:rPr>
              <w:t>Max.</w:t>
            </w:r>
            <w:r w:rsidR="006E7371" w:rsidRPr="00D97B31">
              <w:rPr>
                <w:rFonts w:ascii="Arial Narrow" w:hAnsi="Arial Narrow"/>
                <w:b/>
                <w:sz w:val="20"/>
              </w:rPr>
              <w:t xml:space="preserve"> </w:t>
            </w:r>
            <w:r w:rsidRPr="00D97B31">
              <w:rPr>
                <w:rFonts w:ascii="Arial Narrow" w:hAnsi="Arial Narrow"/>
                <w:b/>
                <w:sz w:val="20"/>
              </w:rPr>
              <w:t>Qty</w:t>
            </w:r>
          </w:p>
        </w:tc>
        <w:tc>
          <w:tcPr>
            <w:tcW w:w="637" w:type="pct"/>
            <w:tcBorders>
              <w:top w:val="single" w:sz="4" w:space="0" w:color="auto"/>
              <w:bottom w:val="single" w:sz="4" w:space="0" w:color="auto"/>
            </w:tcBorders>
            <w:vAlign w:val="center"/>
          </w:tcPr>
          <w:p w:rsidR="009D0D05" w:rsidRPr="00D97B31" w:rsidRDefault="009D0D05" w:rsidP="00655260">
            <w:pPr>
              <w:keepNext/>
              <w:jc w:val="center"/>
              <w:rPr>
                <w:rFonts w:ascii="Arial Narrow" w:hAnsi="Arial Narrow"/>
                <w:b/>
                <w:sz w:val="20"/>
              </w:rPr>
            </w:pPr>
            <w:r w:rsidRPr="00D97B31">
              <w:rPr>
                <w:rFonts w:ascii="Arial Narrow" w:hAnsi="Arial Narrow"/>
                <w:b/>
                <w:sz w:val="20"/>
              </w:rPr>
              <w:t>№.of</w:t>
            </w:r>
            <w:r w:rsidR="006E7371" w:rsidRPr="00D97B31">
              <w:rPr>
                <w:rFonts w:ascii="Arial Narrow" w:hAnsi="Arial Narrow"/>
                <w:b/>
                <w:sz w:val="20"/>
              </w:rPr>
              <w:t xml:space="preserve"> </w:t>
            </w:r>
            <w:r w:rsidRPr="00D97B31">
              <w:rPr>
                <w:rFonts w:ascii="Arial Narrow" w:hAnsi="Arial Narrow"/>
                <w:b/>
                <w:sz w:val="20"/>
              </w:rPr>
              <w:t>Rpts</w:t>
            </w:r>
          </w:p>
        </w:tc>
        <w:tc>
          <w:tcPr>
            <w:tcW w:w="1114" w:type="pct"/>
            <w:tcBorders>
              <w:top w:val="single" w:sz="4" w:space="0" w:color="auto"/>
              <w:bottom w:val="single" w:sz="4" w:space="0" w:color="auto"/>
            </w:tcBorders>
            <w:vAlign w:val="center"/>
          </w:tcPr>
          <w:p w:rsidR="009D0D05" w:rsidRPr="00D97B31" w:rsidRDefault="006E7371" w:rsidP="00655260">
            <w:pPr>
              <w:keepNext/>
              <w:jc w:val="center"/>
              <w:rPr>
                <w:rFonts w:ascii="Arial Narrow" w:hAnsi="Arial Narrow"/>
                <w:b/>
                <w:sz w:val="20"/>
              </w:rPr>
            </w:pPr>
            <w:r w:rsidRPr="00D97B31">
              <w:rPr>
                <w:rFonts w:ascii="Arial Narrow" w:hAnsi="Arial Narrow"/>
                <w:b/>
                <w:sz w:val="20"/>
              </w:rPr>
              <w:t>DPMQ</w:t>
            </w:r>
          </w:p>
        </w:tc>
        <w:tc>
          <w:tcPr>
            <w:tcW w:w="1196" w:type="pct"/>
            <w:tcBorders>
              <w:top w:val="single" w:sz="4" w:space="0" w:color="auto"/>
              <w:bottom w:val="single" w:sz="4" w:space="0" w:color="auto"/>
            </w:tcBorders>
            <w:vAlign w:val="center"/>
          </w:tcPr>
          <w:p w:rsidR="009D0D05" w:rsidRPr="00D97B31" w:rsidRDefault="009D0D05" w:rsidP="00655260">
            <w:pPr>
              <w:keepNext/>
              <w:jc w:val="center"/>
              <w:rPr>
                <w:rFonts w:ascii="Arial Narrow" w:hAnsi="Arial Narrow"/>
                <w:b/>
                <w:sz w:val="20"/>
              </w:rPr>
            </w:pPr>
            <w:r w:rsidRPr="00D97B31">
              <w:rPr>
                <w:rFonts w:ascii="Arial Narrow" w:hAnsi="Arial Narrow"/>
                <w:b/>
                <w:sz w:val="20"/>
              </w:rPr>
              <w:t>Proprietary Name and Manufacturer</w:t>
            </w:r>
          </w:p>
        </w:tc>
      </w:tr>
      <w:tr w:rsidR="009D0D05" w:rsidRPr="00D97B31" w:rsidTr="006E7371">
        <w:trPr>
          <w:cantSplit/>
          <w:trHeight w:val="567"/>
        </w:trPr>
        <w:tc>
          <w:tcPr>
            <w:tcW w:w="1568" w:type="pct"/>
            <w:gridSpan w:val="2"/>
            <w:tcBorders>
              <w:top w:val="single" w:sz="4" w:space="0" w:color="auto"/>
              <w:bottom w:val="single" w:sz="4" w:space="0" w:color="auto"/>
            </w:tcBorders>
          </w:tcPr>
          <w:p w:rsidR="009D0D05" w:rsidRPr="00D97B31" w:rsidRDefault="009D0D05" w:rsidP="006E7371">
            <w:pPr>
              <w:pStyle w:val="Tabletext"/>
              <w:keepNext/>
              <w:rPr>
                <w:szCs w:val="20"/>
              </w:rPr>
            </w:pPr>
            <w:r w:rsidRPr="00D97B31">
              <w:rPr>
                <w:szCs w:val="20"/>
              </w:rPr>
              <w:t>DAROLUTAMIDE</w:t>
            </w:r>
          </w:p>
          <w:p w:rsidR="009D0D05" w:rsidRPr="00D97B31" w:rsidRDefault="009D0D05" w:rsidP="006E7371">
            <w:pPr>
              <w:keepNext/>
              <w:jc w:val="left"/>
              <w:rPr>
                <w:rFonts w:ascii="Arial Narrow" w:hAnsi="Arial Narrow"/>
                <w:sz w:val="20"/>
              </w:rPr>
            </w:pPr>
            <w:r w:rsidRPr="00D97B31">
              <w:rPr>
                <w:rFonts w:ascii="Arial Narrow" w:hAnsi="Arial Narrow"/>
                <w:sz w:val="20"/>
                <w:szCs w:val="20"/>
              </w:rPr>
              <w:t>Tablet, 300 mg</w:t>
            </w:r>
          </w:p>
        </w:tc>
        <w:tc>
          <w:tcPr>
            <w:tcW w:w="485" w:type="pct"/>
            <w:tcBorders>
              <w:top w:val="single" w:sz="4" w:space="0" w:color="auto"/>
              <w:bottom w:val="single" w:sz="4" w:space="0" w:color="auto"/>
            </w:tcBorders>
          </w:tcPr>
          <w:p w:rsidR="009D0D05" w:rsidRPr="00D97B31" w:rsidRDefault="009D0D05" w:rsidP="006E7371">
            <w:pPr>
              <w:keepNext/>
              <w:jc w:val="center"/>
              <w:rPr>
                <w:rFonts w:ascii="Arial Narrow" w:hAnsi="Arial Narrow"/>
                <w:sz w:val="20"/>
              </w:rPr>
            </w:pPr>
            <w:r w:rsidRPr="00D97B31">
              <w:rPr>
                <w:rFonts w:ascii="Arial Narrow" w:hAnsi="Arial Narrow"/>
                <w:sz w:val="20"/>
              </w:rPr>
              <w:t>112</w:t>
            </w:r>
          </w:p>
        </w:tc>
        <w:tc>
          <w:tcPr>
            <w:tcW w:w="637" w:type="pct"/>
            <w:tcBorders>
              <w:top w:val="single" w:sz="4" w:space="0" w:color="auto"/>
              <w:bottom w:val="single" w:sz="4" w:space="0" w:color="auto"/>
            </w:tcBorders>
          </w:tcPr>
          <w:p w:rsidR="009D0D05" w:rsidRPr="00D97B31" w:rsidRDefault="009D0D05" w:rsidP="006E7371">
            <w:pPr>
              <w:keepNext/>
              <w:jc w:val="center"/>
              <w:rPr>
                <w:rFonts w:ascii="Arial Narrow" w:hAnsi="Arial Narrow"/>
                <w:sz w:val="20"/>
                <w:szCs w:val="20"/>
              </w:rPr>
            </w:pPr>
            <w:r w:rsidRPr="00D97B31">
              <w:rPr>
                <w:rFonts w:ascii="Arial Narrow" w:hAnsi="Arial Narrow"/>
                <w:sz w:val="20"/>
                <w:szCs w:val="20"/>
              </w:rPr>
              <w:t>5</w:t>
            </w:r>
          </w:p>
        </w:tc>
        <w:tc>
          <w:tcPr>
            <w:tcW w:w="1114" w:type="pct"/>
            <w:tcBorders>
              <w:top w:val="single" w:sz="4" w:space="0" w:color="auto"/>
              <w:bottom w:val="single" w:sz="4" w:space="0" w:color="auto"/>
            </w:tcBorders>
          </w:tcPr>
          <w:p w:rsidR="009D0D05" w:rsidRPr="00D97B31" w:rsidRDefault="006E7371" w:rsidP="006E7371">
            <w:pPr>
              <w:pStyle w:val="Tabletext"/>
              <w:keepNext/>
              <w:jc w:val="center"/>
              <w:rPr>
                <w:szCs w:val="20"/>
              </w:rPr>
            </w:pPr>
            <w:r w:rsidRPr="00D97B31">
              <w:rPr>
                <w:szCs w:val="20"/>
              </w:rPr>
              <w:t xml:space="preserve">Published: </w:t>
            </w:r>
            <w:r w:rsidR="009D0D05" w:rsidRPr="00D97B31">
              <w:rPr>
                <w:szCs w:val="20"/>
              </w:rPr>
              <w:t>$</w:t>
            </w:r>
            <w:r w:rsidR="003B5BDD">
              <w:rPr>
                <w:noProof/>
                <w:color w:val="000000"/>
                <w:szCs w:val="20"/>
                <w:highlight w:val="black"/>
              </w:rPr>
              <w:t>''''''''''''''''''''</w:t>
            </w:r>
          </w:p>
          <w:p w:rsidR="00655260" w:rsidRPr="00D97B31" w:rsidRDefault="006E7371" w:rsidP="006E7371">
            <w:pPr>
              <w:keepNext/>
              <w:jc w:val="center"/>
              <w:rPr>
                <w:rFonts w:ascii="Arial Narrow" w:hAnsi="Arial Narrow"/>
                <w:sz w:val="20"/>
                <w:szCs w:val="20"/>
              </w:rPr>
            </w:pPr>
            <w:r w:rsidRPr="00D97B31">
              <w:rPr>
                <w:rFonts w:ascii="Arial Narrow" w:hAnsi="Arial Narrow"/>
                <w:sz w:val="20"/>
                <w:szCs w:val="20"/>
              </w:rPr>
              <w:t xml:space="preserve">Effective: </w:t>
            </w:r>
            <w:r w:rsidR="009D0D05" w:rsidRPr="00D97B31">
              <w:rPr>
                <w:rFonts w:ascii="Arial Narrow" w:hAnsi="Arial Narrow"/>
                <w:sz w:val="20"/>
                <w:szCs w:val="20"/>
              </w:rPr>
              <w:t>$</w:t>
            </w:r>
            <w:r w:rsidR="003B5BDD">
              <w:rPr>
                <w:rFonts w:ascii="Arial Narrow" w:hAnsi="Arial Narrow"/>
                <w:noProof/>
                <w:color w:val="000000"/>
                <w:sz w:val="20"/>
                <w:szCs w:val="20"/>
                <w:highlight w:val="black"/>
              </w:rPr>
              <w:t>'''''''''''''''''''''</w:t>
            </w:r>
          </w:p>
        </w:tc>
        <w:tc>
          <w:tcPr>
            <w:tcW w:w="1196" w:type="pct"/>
            <w:tcBorders>
              <w:top w:val="single" w:sz="4" w:space="0" w:color="auto"/>
              <w:bottom w:val="single" w:sz="4" w:space="0" w:color="auto"/>
            </w:tcBorders>
          </w:tcPr>
          <w:p w:rsidR="009D0D05" w:rsidRPr="00D97B31" w:rsidRDefault="009D0D05" w:rsidP="006E7371">
            <w:pPr>
              <w:keepNext/>
              <w:jc w:val="center"/>
              <w:rPr>
                <w:rFonts w:ascii="Arial Narrow" w:hAnsi="Arial Narrow"/>
                <w:sz w:val="20"/>
                <w:szCs w:val="20"/>
              </w:rPr>
            </w:pPr>
            <w:r w:rsidRPr="00D97B31">
              <w:rPr>
                <w:rFonts w:ascii="Arial Narrow" w:hAnsi="Arial Narrow"/>
                <w:sz w:val="20"/>
                <w:szCs w:val="20"/>
              </w:rPr>
              <w:t>NUBEQA</w:t>
            </w:r>
            <w:r w:rsidRPr="00D97B31">
              <w:rPr>
                <w:rFonts w:ascii="Arial Narrow" w:hAnsi="Arial Narrow"/>
                <w:sz w:val="20"/>
                <w:szCs w:val="20"/>
                <w:vertAlign w:val="superscript"/>
              </w:rPr>
              <w:t>®</w:t>
            </w:r>
            <w:r w:rsidRPr="00D97B31">
              <w:rPr>
                <w:rFonts w:ascii="Arial Narrow" w:hAnsi="Arial Narrow"/>
                <w:sz w:val="20"/>
                <w:szCs w:val="20"/>
              </w:rPr>
              <w:t>,</w:t>
            </w:r>
          </w:p>
          <w:p w:rsidR="009D0D05" w:rsidRPr="00D97B31" w:rsidRDefault="009D0D05" w:rsidP="006E7371">
            <w:pPr>
              <w:keepNext/>
              <w:jc w:val="center"/>
              <w:rPr>
                <w:rFonts w:ascii="Arial Narrow" w:hAnsi="Arial Narrow"/>
                <w:sz w:val="20"/>
                <w:szCs w:val="20"/>
              </w:rPr>
            </w:pPr>
            <w:r w:rsidRPr="00D97B31">
              <w:rPr>
                <w:rFonts w:ascii="Arial Narrow" w:hAnsi="Arial Narrow"/>
                <w:sz w:val="20"/>
                <w:szCs w:val="20"/>
              </w:rPr>
              <w:t>Bayer</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keepNext/>
              <w:rPr>
                <w:b/>
              </w:rPr>
            </w:pPr>
            <w:r w:rsidRPr="00D97B31">
              <w:rPr>
                <w:rFonts w:eastAsia="Calibri"/>
                <w:b/>
                <w:szCs w:val="20"/>
              </w:rPr>
              <w:t>Category/ Program:</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0D05" w:rsidRPr="00D97B31" w:rsidRDefault="009D0D05" w:rsidP="00655260">
            <w:pPr>
              <w:pStyle w:val="Tabletext"/>
              <w:keepNext/>
            </w:pPr>
            <w:r w:rsidRPr="00D97B31">
              <w:rPr>
                <w:rFonts w:eastAsia="Calibri"/>
                <w:szCs w:val="20"/>
              </w:rPr>
              <w:t>GENERAL – General Schedule (GE)</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keepNext/>
              <w:rPr>
                <w:b/>
              </w:rPr>
            </w:pPr>
            <w:r w:rsidRPr="00D97B31">
              <w:rPr>
                <w:rFonts w:eastAsia="Calibri"/>
                <w:b/>
                <w:szCs w:val="20"/>
              </w:rPr>
              <w:t>Prescriber type:</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0D05" w:rsidRPr="00D97B31" w:rsidRDefault="009D0D05" w:rsidP="00CD4D5D">
            <w:pPr>
              <w:pStyle w:val="Tabletext"/>
              <w:keepNext/>
            </w:pPr>
            <w:r w:rsidRPr="00D97B31">
              <w:fldChar w:fldCharType="begin">
                <w:ffData>
                  <w:name w:val=""/>
                  <w:enabled/>
                  <w:calcOnExit w:val="0"/>
                  <w:checkBox>
                    <w:sizeAuto/>
                    <w:default w:val="1"/>
                  </w:checkBox>
                </w:ffData>
              </w:fldChar>
            </w:r>
            <w:r w:rsidRPr="00D97B31">
              <w:instrText xml:space="preserve"> FORMCHECKBOX </w:instrText>
            </w:r>
            <w:r w:rsidR="006B0ADF">
              <w:fldChar w:fldCharType="separate"/>
            </w:r>
            <w:r w:rsidRPr="00D97B31">
              <w:fldChar w:fldCharType="end"/>
            </w:r>
            <w:r w:rsidR="007D6522" w:rsidRPr="00D97B31">
              <w:t xml:space="preserve">  </w:t>
            </w:r>
            <w:r w:rsidRPr="00D97B31">
              <w:t>Medical Practitioners</w:t>
            </w:r>
            <w:r w:rsidR="007D6522" w:rsidRPr="00D97B31">
              <w:t xml:space="preserve"> </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keepNext/>
              <w:rPr>
                <w:b/>
              </w:rPr>
            </w:pPr>
            <w:r w:rsidRPr="00D97B31">
              <w:rPr>
                <w:rFonts w:eastAsia="Calibri"/>
                <w:b/>
                <w:szCs w:val="20"/>
              </w:rPr>
              <w:t>Condition:</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0D05" w:rsidRPr="00D97B31" w:rsidRDefault="009D0D05" w:rsidP="00655260">
            <w:pPr>
              <w:pStyle w:val="Tabletext"/>
              <w:keepNext/>
            </w:pPr>
            <w:r w:rsidRPr="00D97B31">
              <w:rPr>
                <w:rFonts w:eastAsia="Calibri"/>
                <w:szCs w:val="20"/>
              </w:rPr>
              <w:t>Castration resistant carcinoma of the prostate</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keepNext/>
              <w:rPr>
                <w:b/>
              </w:rPr>
            </w:pPr>
            <w:r w:rsidRPr="00D97B31">
              <w:rPr>
                <w:rFonts w:eastAsia="Calibri"/>
                <w:b/>
                <w:szCs w:val="20"/>
              </w:rPr>
              <w:t>PBS indication:</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D0D05" w:rsidRPr="00D97B31" w:rsidRDefault="009D0D05" w:rsidP="00655260">
            <w:pPr>
              <w:pStyle w:val="Tabletext"/>
              <w:keepNext/>
            </w:pPr>
            <w:r w:rsidRPr="00D97B31">
              <w:rPr>
                <w:rFonts w:eastAsia="Calibri"/>
                <w:szCs w:val="20"/>
              </w:rPr>
              <w:t>Castration resistant carcinoma of the prostate</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keepNext/>
              <w:rPr>
                <w:b/>
              </w:rPr>
            </w:pPr>
            <w:r w:rsidRPr="00D97B31">
              <w:rPr>
                <w:b/>
              </w:rPr>
              <w:t>Treatment phase:</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655260">
            <w:pPr>
              <w:pStyle w:val="Tabletext"/>
              <w:keepNext/>
            </w:pPr>
            <w:r w:rsidRPr="00D97B31">
              <w:t>Initial</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b/>
              </w:rPr>
            </w:pPr>
            <w:r w:rsidRPr="00D97B31">
              <w:rPr>
                <w:b/>
              </w:rPr>
              <w:t>Restriction:</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11221C">
            <w:pPr>
              <w:pStyle w:val="TableText0"/>
            </w:pPr>
            <w:r w:rsidRPr="00D97B31">
              <w:fldChar w:fldCharType="begin">
                <w:ffData>
                  <w:name w:val=""/>
                  <w:enabled/>
                  <w:calcOnExit w:val="0"/>
                  <w:checkBox>
                    <w:sizeAuto/>
                    <w:default w:val="1"/>
                  </w:checkBox>
                </w:ffData>
              </w:fldChar>
            </w:r>
            <w:r w:rsidRPr="00D97B31">
              <w:instrText xml:space="preserve"> FORMCHECKBOX </w:instrText>
            </w:r>
            <w:r w:rsidR="006B0ADF">
              <w:fldChar w:fldCharType="separate"/>
            </w:r>
            <w:r w:rsidRPr="00D97B31">
              <w:fldChar w:fldCharType="end"/>
            </w:r>
            <w:r w:rsidRPr="00D97B31">
              <w:t>Authority Required – Telephone</w:t>
            </w:r>
            <w:r w:rsidR="00CD4D5D" w:rsidRPr="00D97B31">
              <w:t>/Online</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i/>
              </w:rPr>
            </w:pPr>
            <w:r w:rsidRPr="00D97B31">
              <w:rPr>
                <w:b/>
              </w:rPr>
              <w:t>Clinical criteria:</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7953F2">
            <w:pPr>
              <w:pStyle w:val="TableText0"/>
            </w:pPr>
            <w:r w:rsidRPr="00D97B31">
              <w:t>Patient must not have distant metastasis on conventional imaging</w:t>
            </w:r>
          </w:p>
          <w:p w:rsidR="009D0D05" w:rsidRPr="00D97B31" w:rsidRDefault="009D0D05" w:rsidP="007953F2">
            <w:pPr>
              <w:pStyle w:val="TableText0"/>
            </w:pPr>
            <w:r w:rsidRPr="00D97B31">
              <w:t>AND</w:t>
            </w:r>
          </w:p>
          <w:p w:rsidR="009D0D05" w:rsidRPr="00D97B31" w:rsidRDefault="009D0D05" w:rsidP="007953F2">
            <w:pPr>
              <w:pStyle w:val="TableText0"/>
            </w:pPr>
            <w:r w:rsidRPr="00D97B31">
              <w:t>Treatment must be used in combination with androgen deprivation therapy</w:t>
            </w:r>
          </w:p>
          <w:p w:rsidR="009D0D05" w:rsidRPr="00D97B31" w:rsidRDefault="009D0D05" w:rsidP="007953F2">
            <w:pPr>
              <w:pStyle w:val="TableText0"/>
            </w:pPr>
            <w:r w:rsidRPr="00D97B31">
              <w:t>AND</w:t>
            </w:r>
          </w:p>
          <w:p w:rsidR="009D0D05" w:rsidRPr="00D97B31" w:rsidRDefault="009D0D05" w:rsidP="007953F2">
            <w:pPr>
              <w:pStyle w:val="TableText0"/>
            </w:pPr>
            <w:r w:rsidRPr="00D97B31">
              <w:t>Patient must have a PSA doubling time of 10 months or less</w:t>
            </w:r>
          </w:p>
          <w:p w:rsidR="009D0D05" w:rsidRPr="00D97B31" w:rsidRDefault="009D0D05" w:rsidP="007953F2">
            <w:pPr>
              <w:pStyle w:val="TableText0"/>
            </w:pPr>
            <w:r w:rsidRPr="00D97B31">
              <w:t>AND</w:t>
            </w:r>
          </w:p>
          <w:p w:rsidR="009D0D05" w:rsidRPr="00D97B31" w:rsidRDefault="009D0D05" w:rsidP="007953F2">
            <w:pPr>
              <w:pStyle w:val="TableText0"/>
            </w:pPr>
            <w:r w:rsidRPr="00D97B31">
              <w:t>Patient must have a WHO performance score of 0 or 1</w:t>
            </w:r>
          </w:p>
          <w:p w:rsidR="009D0D05" w:rsidRPr="00D97B31" w:rsidRDefault="009D0D05" w:rsidP="007953F2">
            <w:pPr>
              <w:pStyle w:val="TableText0"/>
            </w:pPr>
            <w:r w:rsidRPr="00D97B31">
              <w:t>AND</w:t>
            </w:r>
          </w:p>
          <w:p w:rsidR="009D0D05" w:rsidRPr="00D97B31" w:rsidRDefault="009D0D05" w:rsidP="007953F2">
            <w:pPr>
              <w:pStyle w:val="Tabletext"/>
            </w:pPr>
            <w:r w:rsidRPr="00D97B31">
              <w:t>Patients who have progressive disease while on this drug are no longer eligible for PBS-subsidised treatment with this drug</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b/>
              </w:rPr>
            </w:pPr>
            <w:r w:rsidRPr="00D97B31">
              <w:rPr>
                <w:b/>
              </w:rPr>
              <w:t>Treatment phase:</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7953F2">
            <w:pPr>
              <w:pStyle w:val="Tabletext"/>
            </w:pPr>
            <w:r w:rsidRPr="00D97B31">
              <w:t>Continuing</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b/>
              </w:rPr>
            </w:pPr>
            <w:r w:rsidRPr="00D97B31">
              <w:rPr>
                <w:b/>
              </w:rPr>
              <w:t>Clinical criteria:</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7953F2">
            <w:pPr>
              <w:pStyle w:val="TableText0"/>
            </w:pPr>
            <w:r w:rsidRPr="00D97B31">
              <w:t>Patient must have previously received PBS-subsidised treatment with this drug for this condition</w:t>
            </w:r>
          </w:p>
          <w:p w:rsidR="009D0D05" w:rsidRPr="00D97B31" w:rsidRDefault="009D0D05" w:rsidP="007953F2">
            <w:pPr>
              <w:pStyle w:val="TableText0"/>
            </w:pPr>
            <w:r w:rsidRPr="00D97B31">
              <w:t>AND</w:t>
            </w:r>
          </w:p>
          <w:p w:rsidR="009D0D05" w:rsidRPr="00D97B31" w:rsidRDefault="009D0D05" w:rsidP="007953F2">
            <w:pPr>
              <w:pStyle w:val="TableText0"/>
            </w:pPr>
            <w:r w:rsidRPr="00D97B31">
              <w:t>Treatment must be used in combination with androgen deprivation therapy</w:t>
            </w:r>
          </w:p>
          <w:p w:rsidR="009D0D05" w:rsidRPr="00D97B31" w:rsidRDefault="009D0D05" w:rsidP="007953F2">
            <w:pPr>
              <w:pStyle w:val="TableText0"/>
            </w:pPr>
            <w:r w:rsidRPr="00D97B31">
              <w:t>AND</w:t>
            </w:r>
          </w:p>
          <w:p w:rsidR="009D0D05" w:rsidRPr="00D97B31" w:rsidRDefault="009D0D05" w:rsidP="007953F2">
            <w:pPr>
              <w:pStyle w:val="Tabletext"/>
            </w:pPr>
            <w:r w:rsidRPr="00D97B31">
              <w:t>Patients who have progressive disease while on this drug are no longer eligible for PBS-subsidised treatment with this drug</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b/>
              </w:rPr>
            </w:pPr>
            <w:r w:rsidRPr="00D97B31">
              <w:rPr>
                <w:b/>
              </w:rPr>
              <w:t>Prescriber Instructions:</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7953F2">
            <w:pPr>
              <w:keepNext/>
              <w:rPr>
                <w:rFonts w:ascii="Arial Narrow" w:hAnsi="Arial Narrow"/>
                <w:sz w:val="20"/>
                <w:szCs w:val="20"/>
              </w:rPr>
            </w:pPr>
            <w:r w:rsidRPr="00D97B31">
              <w:rPr>
                <w:rFonts w:ascii="Arial Narrow" w:hAnsi="Arial Narrow"/>
                <w:sz w:val="20"/>
                <w:szCs w:val="20"/>
              </w:rPr>
              <w:t>The PSA doubling time must have been calculated using at least three PSA values obtained during androgen deprivation therapy</w:t>
            </w:r>
          </w:p>
        </w:tc>
      </w:tr>
      <w:tr w:rsidR="009D0D05" w:rsidRPr="00D97B31" w:rsidTr="006E7371">
        <w:tblPrEx>
          <w:tblCellMar>
            <w:left w:w="108" w:type="dxa"/>
            <w:right w:w="108" w:type="dxa"/>
          </w:tblCellMar>
        </w:tblPrEx>
        <w:trPr>
          <w:cantSplit/>
        </w:trPr>
        <w:tc>
          <w:tcPr>
            <w:tcW w:w="940" w:type="pct"/>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28338E">
            <w:pPr>
              <w:pStyle w:val="Tabletext"/>
              <w:rPr>
                <w:b/>
              </w:rPr>
            </w:pPr>
            <w:r w:rsidRPr="00D97B31">
              <w:rPr>
                <w:b/>
              </w:rPr>
              <w:t>Administrative Advice:</w:t>
            </w:r>
          </w:p>
        </w:tc>
        <w:tc>
          <w:tcPr>
            <w:tcW w:w="406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9D0D05" w:rsidRPr="00D97B31" w:rsidRDefault="009D0D05" w:rsidP="007953F2">
            <w:pPr>
              <w:pStyle w:val="Tabletext"/>
              <w:keepNext/>
            </w:pPr>
            <w:r w:rsidRPr="00D97B31">
              <w:t>Special Pricing Arrangements apply</w:t>
            </w:r>
          </w:p>
          <w:p w:rsidR="009D0D05" w:rsidRPr="00D97B31" w:rsidRDefault="009D0D05" w:rsidP="007953F2">
            <w:pPr>
              <w:pStyle w:val="Tabletext"/>
              <w:keepNext/>
            </w:pPr>
            <w:r w:rsidRPr="00D97B31">
              <w:t>No increase in the maximum quantity or number of units may be authorised</w:t>
            </w:r>
          </w:p>
          <w:p w:rsidR="009D0D05" w:rsidRPr="00D97B31" w:rsidRDefault="009D0D05" w:rsidP="007953F2">
            <w:pPr>
              <w:pStyle w:val="Tabletext"/>
            </w:pPr>
            <w:r w:rsidRPr="00D97B31">
              <w:rPr>
                <w:szCs w:val="20"/>
              </w:rPr>
              <w:t>No increase in the maximum number of repeats may be authorised</w:t>
            </w:r>
          </w:p>
        </w:tc>
      </w:tr>
    </w:tbl>
    <w:p w:rsidR="009D0D05" w:rsidRPr="00D97B31" w:rsidRDefault="009D0D05" w:rsidP="001E1E86">
      <w:pPr>
        <w:pStyle w:val="3-BodyText"/>
        <w:numPr>
          <w:ilvl w:val="0"/>
          <w:numId w:val="0"/>
        </w:numPr>
        <w:rPr>
          <w:color w:val="0066FF"/>
        </w:rPr>
      </w:pPr>
    </w:p>
    <w:p w:rsidR="0011221C" w:rsidRPr="00D97B31" w:rsidRDefault="0011221C" w:rsidP="00F56AB1">
      <w:pPr>
        <w:pStyle w:val="3-BodyText"/>
      </w:pPr>
      <w:r w:rsidRPr="00D97B31">
        <w:t>The requested restriction is similar to the restriction for apalutamide in the July 2019 P</w:t>
      </w:r>
      <w:r w:rsidR="00D30B35">
        <w:t>ublic Summary Document (P</w:t>
      </w:r>
      <w:r w:rsidRPr="00D97B31">
        <w:t>SD</w:t>
      </w:r>
      <w:r w:rsidR="00D30B35">
        <w:t>)</w:t>
      </w:r>
      <w:r w:rsidRPr="00D97B31">
        <w:t xml:space="preserve"> and includes modifications suggested by the PBAC Secretariat. </w:t>
      </w:r>
      <w:r w:rsidRPr="00D97B31">
        <w:rPr>
          <w:iCs/>
        </w:rPr>
        <w:t>Previous PBAC advice from the July 2019 apalutamide submission stated that the abiraterone and enzalutamide PBS restrictions would be updated to exclude abiraterone or enzalutamide use after apalutamide (paragraphs 7.3 and 7.4, July 2019 apalutamide PSD) had apalutamide been recommended. The PBAC considered this action would be appropriate to uphold for darolutamide, noting that there is limited evidence to support use of abiraterone or enzalutamide following darolutamide (only 3.2% of all darolutamide-treated trial patients received enzalutamide or abiraterone as subsequent therapy).</w:t>
      </w:r>
    </w:p>
    <w:p w:rsidR="00D31983" w:rsidRPr="00D97B31" w:rsidRDefault="00DD7BD2" w:rsidP="00F56AB1">
      <w:pPr>
        <w:pStyle w:val="3-BodyText"/>
      </w:pPr>
      <w:r w:rsidRPr="00D97B31">
        <w:t>Accounting for the price proposed in the submission and the efficacy results of the clinical trial evidence, t</w:t>
      </w:r>
      <w:r w:rsidR="00F56AB1" w:rsidRPr="00D97B31">
        <w:t>he</w:t>
      </w:r>
      <w:r w:rsidR="00D31983" w:rsidRPr="00D97B31">
        <w:t xml:space="preserve"> requested restriction limits use to patients</w:t>
      </w:r>
      <w:r w:rsidR="00F210B6" w:rsidRPr="00D97B31">
        <w:t xml:space="preserve"> who are</w:t>
      </w:r>
      <w:r w:rsidR="00D31983" w:rsidRPr="00D97B31">
        <w:t xml:space="preserve"> at high risk of distant metastases</w:t>
      </w:r>
      <w:r w:rsidR="00650797" w:rsidRPr="00D97B31">
        <w:t>,</w:t>
      </w:r>
      <w:r w:rsidR="00D957C0" w:rsidRPr="00D97B31">
        <w:t xml:space="preserve"> (</w:t>
      </w:r>
      <w:r w:rsidR="00650797" w:rsidRPr="00D97B31">
        <w:t>i.e.</w:t>
      </w:r>
      <w:r w:rsidR="00F56AB1" w:rsidRPr="00D97B31">
        <w:t xml:space="preserve"> patients with a prostate-specific antigen </w:t>
      </w:r>
      <w:r w:rsidR="00D30B35">
        <w:t xml:space="preserve">(PSA) </w:t>
      </w:r>
      <w:r w:rsidR="00F56AB1" w:rsidRPr="00D97B31">
        <w:t>doubling time of 10 months or less)</w:t>
      </w:r>
      <w:r w:rsidR="00D957C0" w:rsidRPr="00D97B31">
        <w:t xml:space="preserve"> in an attempt to target PBS subsidy to a patient population </w:t>
      </w:r>
      <w:r w:rsidR="008003F3" w:rsidRPr="00D97B31">
        <w:t xml:space="preserve">in which darolutamide would be </w:t>
      </w:r>
      <w:r w:rsidR="00D957C0" w:rsidRPr="00D97B31">
        <w:t>considered cost-effective</w:t>
      </w:r>
      <w:r w:rsidR="00D31983" w:rsidRPr="00D97B31">
        <w:t>.</w:t>
      </w:r>
      <w:r w:rsidR="00D91F43" w:rsidRPr="00D97B31">
        <w:t xml:space="preserve"> </w:t>
      </w:r>
      <w:r w:rsidR="00B13B08" w:rsidRPr="00D97B31">
        <w:t xml:space="preserve">The </w:t>
      </w:r>
      <w:r w:rsidR="00D957C0" w:rsidRPr="00D97B31">
        <w:t xml:space="preserve">PBAC considered </w:t>
      </w:r>
      <w:r w:rsidR="00B13B08" w:rsidRPr="00D97B31">
        <w:t xml:space="preserve">that </w:t>
      </w:r>
      <w:r w:rsidR="00D957C0" w:rsidRPr="00D97B31">
        <w:t xml:space="preserve">at the proposed price and claimed clinical benefits, </w:t>
      </w:r>
      <w:r w:rsidR="00B13B08" w:rsidRPr="00D97B31">
        <w:t xml:space="preserve">treatment should be </w:t>
      </w:r>
      <w:r w:rsidR="00D957C0" w:rsidRPr="00D97B31">
        <w:t xml:space="preserve">further </w:t>
      </w:r>
      <w:r w:rsidR="00B13B08" w:rsidRPr="00D97B31">
        <w:t>restricted to patients with a PSA level of at least 2 ng/mL</w:t>
      </w:r>
      <w:r w:rsidR="00C33B6D" w:rsidRPr="00D97B31">
        <w:t>,</w:t>
      </w:r>
      <w:r w:rsidR="00B13B08" w:rsidRPr="00D97B31">
        <w:t xml:space="preserve"> noting that PSA doubling time alone is not always an indicator of risk and a PSA level of at least 2 ng/mL was an inclusion criterion in the ARAMIS trial. In addition, the </w:t>
      </w:r>
      <w:r w:rsidR="0011221C" w:rsidRPr="00D97B31">
        <w:t xml:space="preserve">PBAC agreed with </w:t>
      </w:r>
      <w:r w:rsidR="00B13B08" w:rsidRPr="00D97B31">
        <w:t xml:space="preserve">ESC </w:t>
      </w:r>
      <w:r w:rsidR="0011221C" w:rsidRPr="00D97B31">
        <w:t xml:space="preserve">and </w:t>
      </w:r>
      <w:r w:rsidR="00B13B08" w:rsidRPr="00D97B31">
        <w:t>considered that restricting treatment to patients with a PSA level of at least 2 ng/mL</w:t>
      </w:r>
      <w:r w:rsidR="00B13B08" w:rsidRPr="00D97B31">
        <w:rPr>
          <w:i/>
        </w:rPr>
        <w:t xml:space="preserve"> </w:t>
      </w:r>
      <w:r w:rsidR="00B13B08" w:rsidRPr="00D97B31">
        <w:t xml:space="preserve">would help </w:t>
      </w:r>
      <w:r w:rsidR="006E7371" w:rsidRPr="00D97B31">
        <w:t>limit</w:t>
      </w:r>
      <w:r w:rsidR="00B13B08" w:rsidRPr="00D97B31">
        <w:t xml:space="preserve"> darolutamide </w:t>
      </w:r>
      <w:r w:rsidR="006E7371" w:rsidRPr="00D97B31">
        <w:t xml:space="preserve">use </w:t>
      </w:r>
      <w:r w:rsidR="00B13B08" w:rsidRPr="00D97B31">
        <w:t>to higher risk patients who are more likely to benefit from treatment.</w:t>
      </w:r>
    </w:p>
    <w:p w:rsidR="008F558B" w:rsidRPr="00D97B31" w:rsidRDefault="00EB48C6" w:rsidP="00EB48C6">
      <w:pPr>
        <w:pStyle w:val="3-BodyText"/>
      </w:pPr>
      <w:r w:rsidRPr="00D97B31">
        <w:t>The ESC considered that prostate-specific membrane antigen (PSMA) PET scanning, whilst not MBS subsidised, is an increasingly common staging modality for m0CRPC, and is standard of care in many centres in Australia</w:t>
      </w:r>
      <w:r w:rsidR="001463C2" w:rsidRPr="00D97B31">
        <w:t xml:space="preserve">. </w:t>
      </w:r>
      <w:r w:rsidR="003A2FE5" w:rsidRPr="00D97B31">
        <w:t xml:space="preserve">The ESC noted that PSMA </w:t>
      </w:r>
      <w:r w:rsidR="001463C2" w:rsidRPr="00D97B31">
        <w:t>screening</w:t>
      </w:r>
      <w:r w:rsidR="003A2FE5" w:rsidRPr="00D97B31">
        <w:t xml:space="preserve"> is more sensitive</w:t>
      </w:r>
      <w:r w:rsidR="00A22C29" w:rsidRPr="00D97B31">
        <w:t xml:space="preserve"> compared to conventional imaging </w:t>
      </w:r>
      <w:r w:rsidRPr="00D97B31">
        <w:t xml:space="preserve">which could </w:t>
      </w:r>
      <w:r w:rsidR="00B13B08" w:rsidRPr="00D97B31">
        <w:t xml:space="preserve">result in </w:t>
      </w:r>
      <w:r w:rsidR="003A2FE5" w:rsidRPr="00D97B31">
        <w:t>patients otherwise classified as m0CRPC</w:t>
      </w:r>
      <w:r w:rsidR="00B13B08" w:rsidRPr="00D97B31">
        <w:t xml:space="preserve"> being classified as having </w:t>
      </w:r>
      <w:r w:rsidR="003A2FE5" w:rsidRPr="00D97B31">
        <w:t>occult metastatic disease</w:t>
      </w:r>
      <w:r w:rsidR="00A22C29" w:rsidRPr="00D97B31">
        <w:t xml:space="preserve">. </w:t>
      </w:r>
      <w:r w:rsidR="00672FA6" w:rsidRPr="00D97B31">
        <w:t>As such, the</w:t>
      </w:r>
      <w:r w:rsidR="008002FC" w:rsidRPr="00D97B31">
        <w:t xml:space="preserve"> ESC considered that a lower risk patient population</w:t>
      </w:r>
      <w:r w:rsidR="00B13B08" w:rsidRPr="00D97B31">
        <w:t>,</w:t>
      </w:r>
      <w:r w:rsidR="008002FC" w:rsidRPr="00D97B31">
        <w:t xml:space="preserve"> </w:t>
      </w:r>
      <w:r w:rsidR="007838E3" w:rsidRPr="00D97B31">
        <w:t xml:space="preserve">as </w:t>
      </w:r>
      <w:r w:rsidR="00672FA6" w:rsidRPr="00D97B31">
        <w:t xml:space="preserve">compared </w:t>
      </w:r>
      <w:r w:rsidR="002146FC" w:rsidRPr="00D97B31">
        <w:t xml:space="preserve">to the ARAMIS trial population, </w:t>
      </w:r>
      <w:r w:rsidR="00672FA6" w:rsidRPr="00D97B31">
        <w:t>who may not benefit from treatment</w:t>
      </w:r>
      <w:r w:rsidR="002146FC" w:rsidRPr="00D97B31">
        <w:t xml:space="preserve"> could </w:t>
      </w:r>
      <w:r w:rsidR="008002FC" w:rsidRPr="00D97B31">
        <w:t xml:space="preserve">become eligible for </w:t>
      </w:r>
      <w:r w:rsidR="00672FA6" w:rsidRPr="00D97B31">
        <w:t xml:space="preserve">darolutamide if it was PBS listed. </w:t>
      </w:r>
      <w:r w:rsidR="004271AD">
        <w:t>The PBAC considered that the reference to conventional imaging was appropriate.</w:t>
      </w:r>
    </w:p>
    <w:p w:rsidR="00E60D9B" w:rsidRPr="00D97B31" w:rsidRDefault="00E60D9B" w:rsidP="00E60D9B">
      <w:pPr>
        <w:pStyle w:val="3-BodyText"/>
        <w:numPr>
          <w:ilvl w:val="0"/>
          <w:numId w:val="0"/>
        </w:numPr>
        <w:ind w:left="720"/>
        <w:rPr>
          <w:i/>
        </w:rPr>
      </w:pPr>
      <w:r w:rsidRPr="00D97B31">
        <w:rPr>
          <w:i/>
        </w:rPr>
        <w:t>For more detail on PBAC’s view, see section 7 PBAC outcome.</w:t>
      </w:r>
    </w:p>
    <w:p w:rsidR="00B50DB8" w:rsidRPr="00D97B31" w:rsidRDefault="00203181" w:rsidP="004E18E9">
      <w:pPr>
        <w:pStyle w:val="2-SectionHeading"/>
      </w:pPr>
      <w:bookmarkStart w:id="9" w:name="_Toc40744328"/>
      <w:r w:rsidRPr="00D97B31">
        <w:t xml:space="preserve">Population and </w:t>
      </w:r>
      <w:r w:rsidR="008E0D3C" w:rsidRPr="00D97B31">
        <w:t>d</w:t>
      </w:r>
      <w:r w:rsidRPr="00D97B31">
        <w:t>isease</w:t>
      </w:r>
      <w:bookmarkEnd w:id="9"/>
    </w:p>
    <w:p w:rsidR="00D31983" w:rsidRPr="00D97B31" w:rsidRDefault="009114E1" w:rsidP="004E18E9">
      <w:pPr>
        <w:pStyle w:val="3-BodyText"/>
      </w:pPr>
      <w:r w:rsidRPr="00D97B31">
        <w:t xml:space="preserve">In men with prostate cancer, biochemical </w:t>
      </w:r>
      <w:r w:rsidRPr="00D97B31">
        <w:rPr>
          <w:rFonts w:ascii="Calibri" w:hAnsi="Calibri" w:cs="Calibri"/>
        </w:rPr>
        <w:t xml:space="preserve">progression, as signified by rising serum </w:t>
      </w:r>
      <w:r w:rsidR="00D30B35">
        <w:rPr>
          <w:rFonts w:ascii="Calibri" w:hAnsi="Calibri" w:cs="Calibri"/>
        </w:rPr>
        <w:t>PSA</w:t>
      </w:r>
      <w:r w:rsidRPr="00D97B31">
        <w:rPr>
          <w:rFonts w:ascii="Calibri" w:hAnsi="Calibri" w:cs="Calibri"/>
        </w:rPr>
        <w:t xml:space="preserve"> despite androgen deprivation therapy (ADT), and in the absence of radiologically detectable metastases, defines the clinical state referred to as </w:t>
      </w:r>
      <w:r w:rsidR="009A3E8C" w:rsidRPr="00D97B31">
        <w:rPr>
          <w:rFonts w:ascii="Calibri" w:hAnsi="Calibri" w:cs="Calibri"/>
        </w:rPr>
        <w:t>m0CRPC</w:t>
      </w:r>
      <w:r w:rsidRPr="00D97B31">
        <w:rPr>
          <w:rFonts w:ascii="Calibri" w:hAnsi="Calibri" w:cs="Calibri"/>
        </w:rPr>
        <w:t xml:space="preserve">. Patients with </w:t>
      </w:r>
      <w:r w:rsidR="009A3E8C" w:rsidRPr="00D97B31">
        <w:rPr>
          <w:rFonts w:ascii="Calibri" w:hAnsi="Calibri" w:cs="Calibri"/>
        </w:rPr>
        <w:t>m0CRPC</w:t>
      </w:r>
      <w:r w:rsidRPr="00D97B31">
        <w:rPr>
          <w:rFonts w:ascii="Calibri" w:hAnsi="Calibri" w:cs="Calibri"/>
        </w:rPr>
        <w:t xml:space="preserve"> who have a PSA</w:t>
      </w:r>
      <w:r w:rsidR="00D30B35">
        <w:rPr>
          <w:rFonts w:ascii="Calibri" w:hAnsi="Calibri" w:cs="Calibri"/>
        </w:rPr>
        <w:t xml:space="preserve"> doubling time </w:t>
      </w:r>
      <w:r w:rsidR="00FA7228" w:rsidRPr="00D97B31">
        <w:rPr>
          <w:rFonts w:ascii="Calibri" w:hAnsi="Calibri" w:cs="Calibri"/>
        </w:rPr>
        <w:t>≤</w:t>
      </w:r>
      <w:r w:rsidR="0003120C" w:rsidRPr="00D97B31">
        <w:rPr>
          <w:rFonts w:ascii="Calibri" w:hAnsi="Calibri" w:cs="Calibri"/>
        </w:rPr>
        <w:t xml:space="preserve"> </w:t>
      </w:r>
      <w:r w:rsidRPr="00D97B31">
        <w:rPr>
          <w:rFonts w:ascii="Calibri" w:hAnsi="Calibri" w:cs="Calibri"/>
        </w:rPr>
        <w:t xml:space="preserve">10 </w:t>
      </w:r>
      <w:r w:rsidR="00844C9E" w:rsidRPr="00D97B31">
        <w:rPr>
          <w:rFonts w:ascii="Calibri" w:hAnsi="Calibri" w:cs="Calibri"/>
        </w:rPr>
        <w:t xml:space="preserve">months </w:t>
      </w:r>
      <w:r w:rsidRPr="00D97B31">
        <w:rPr>
          <w:rFonts w:ascii="Calibri" w:hAnsi="Calibri" w:cs="Calibri"/>
        </w:rPr>
        <w:t>are considered to be at high risk of developing metastases.</w:t>
      </w:r>
      <w:r w:rsidR="00BB04B1" w:rsidRPr="00D97B31">
        <w:rPr>
          <w:rFonts w:ascii="Calibri" w:hAnsi="Calibri" w:cs="Calibri"/>
        </w:rPr>
        <w:t xml:space="preserve"> These patients are currently managed with ADT with possible use of secondary hormonal therapies.</w:t>
      </w:r>
    </w:p>
    <w:p w:rsidR="003B1887" w:rsidRPr="00D97B31" w:rsidRDefault="003B1887" w:rsidP="004E18E9">
      <w:pPr>
        <w:pStyle w:val="3-BodyText"/>
      </w:pPr>
      <w:r w:rsidRPr="00D97B31">
        <w:t xml:space="preserve">It is expected that approximately one-third of all patients with </w:t>
      </w:r>
      <w:r w:rsidR="009A3E8C" w:rsidRPr="00D97B31">
        <w:t>m0CRPC</w:t>
      </w:r>
      <w:r w:rsidRPr="00D97B31">
        <w:t xml:space="preserve"> will develop metastases within two years, with more than half becoming metastatic within three years.</w:t>
      </w:r>
      <w:r w:rsidR="007D6522" w:rsidRPr="00D97B31">
        <w:t xml:space="preserve"> </w:t>
      </w:r>
      <w:r w:rsidRPr="00D97B31">
        <w:t>Once metastases occur, the disease becomes incurable and median survival has been estimated to be 16</w:t>
      </w:r>
      <w:r w:rsidR="0018115B" w:rsidRPr="00D97B31">
        <w:t xml:space="preserve"> to </w:t>
      </w:r>
      <w:r w:rsidRPr="00D97B31">
        <w:t>30 months.</w:t>
      </w:r>
      <w:r w:rsidR="007D6522" w:rsidRPr="00D97B31">
        <w:t xml:space="preserve"> </w:t>
      </w:r>
      <w:r w:rsidRPr="00D97B31">
        <w:t>The submission noted that many patients will require the initiation of cytotoxic chemotherapy to delay the occurrence of further metastasis, which can result in highly undesirable adverse events that further add to the treatment burden.</w:t>
      </w:r>
    </w:p>
    <w:p w:rsidR="003B1887" w:rsidRPr="00D97B31" w:rsidRDefault="003B1887" w:rsidP="004E18E9">
      <w:pPr>
        <w:pStyle w:val="3-BodyText"/>
      </w:pPr>
      <w:r w:rsidRPr="00D97B31">
        <w:t>The submission concluded that there is a need for effective therapies which can delay the onset of metastatic disease, avoid the need for cytotoxic therapy and preserve patients’ quality of life, as well as improving patient overall survival.</w:t>
      </w:r>
    </w:p>
    <w:p w:rsidR="00B50DB8" w:rsidRPr="00D97B31" w:rsidRDefault="00B50DB8" w:rsidP="004E18E9">
      <w:pPr>
        <w:pStyle w:val="2-SectionHeading"/>
      </w:pPr>
      <w:bookmarkStart w:id="10" w:name="_Toc40744329"/>
      <w:r w:rsidRPr="00D97B31">
        <w:t>Comparator</w:t>
      </w:r>
      <w:bookmarkEnd w:id="10"/>
    </w:p>
    <w:p w:rsidR="00DB5CF8" w:rsidRPr="00D97B31" w:rsidRDefault="00DB5CF8" w:rsidP="00DC619B">
      <w:pPr>
        <w:pStyle w:val="3-BodyText"/>
        <w:rPr>
          <w:snapToGrid/>
        </w:rPr>
      </w:pPr>
      <w:r w:rsidRPr="00D97B31">
        <w:t>The submission nominated watchful waiting/placebo as the main comparator</w:t>
      </w:r>
      <w:r w:rsidR="00DC619B" w:rsidRPr="00D97B31">
        <w:t xml:space="preserve"> where ‘watchful waiting’ is </w:t>
      </w:r>
      <w:r w:rsidR="0028186A" w:rsidRPr="00D97B31">
        <w:t>in addition to</w:t>
      </w:r>
      <w:r w:rsidR="00DC619B" w:rsidRPr="00D97B31">
        <w:t xml:space="preserve"> ongoing ADT with or without the addition of secondary hormonal therapies</w:t>
      </w:r>
      <w:r w:rsidR="006A3F1A" w:rsidRPr="00D97B31">
        <w:t xml:space="preserve"> (this is referred to as </w:t>
      </w:r>
      <w:r w:rsidRPr="00D97B31">
        <w:rPr>
          <w:iCs/>
        </w:rPr>
        <w:t>‘standard of care (SOC)’</w:t>
      </w:r>
      <w:r w:rsidR="006A3F1A" w:rsidRPr="00D97B31">
        <w:rPr>
          <w:iCs/>
        </w:rPr>
        <w:t>)</w:t>
      </w:r>
      <w:r w:rsidRPr="00D97B31">
        <w:rPr>
          <w:iCs/>
        </w:rPr>
        <w:t>.</w:t>
      </w:r>
      <w:r w:rsidR="007D6522" w:rsidRPr="00D97B31">
        <w:t xml:space="preserve"> </w:t>
      </w:r>
      <w:r w:rsidRPr="00D97B31">
        <w:t>The main arguments provided in support of this nomination were that there are currently no other PBS-funded treatment options available for the proposed patient</w:t>
      </w:r>
      <w:r w:rsidR="00F13BC4" w:rsidRPr="00D97B31">
        <w:t xml:space="preserve"> </w:t>
      </w:r>
      <w:r w:rsidRPr="00D97B31">
        <w:t>population, and that watchful waiting was accepted by the PBAC as the main comparator for apalutamide.</w:t>
      </w:r>
      <w:r w:rsidR="007D6522" w:rsidRPr="00D97B31">
        <w:t xml:space="preserve"> </w:t>
      </w:r>
      <w:r w:rsidR="00D63D23" w:rsidRPr="00D97B31">
        <w:t xml:space="preserve">The ESC considered that </w:t>
      </w:r>
      <w:r w:rsidRPr="00D97B31">
        <w:rPr>
          <w:iCs/>
        </w:rPr>
        <w:t>SOC as the main comparator was appropriate.</w:t>
      </w:r>
    </w:p>
    <w:p w:rsidR="00DB5CF8" w:rsidRPr="00D97B31" w:rsidRDefault="00DB5CF8" w:rsidP="00882E3C">
      <w:pPr>
        <w:pStyle w:val="3-BodyText"/>
        <w:rPr>
          <w:snapToGrid/>
        </w:rPr>
      </w:pPr>
      <w:r w:rsidRPr="00D97B31">
        <w:t>The submission also nominated two near-market comparators, apalutamide and enzalutamide</w:t>
      </w:r>
      <w:r w:rsidR="00F13BC4" w:rsidRPr="00D97B31">
        <w:t>. T</w:t>
      </w:r>
      <w:r w:rsidRPr="00D97B31">
        <w:t xml:space="preserve">he submission noted </w:t>
      </w:r>
      <w:r w:rsidR="00F13BC4" w:rsidRPr="00D97B31">
        <w:t xml:space="preserve">this </w:t>
      </w:r>
      <w:r w:rsidRPr="00D97B31">
        <w:t>was consistent with</w:t>
      </w:r>
      <w:r w:rsidR="0018115B" w:rsidRPr="00D97B31">
        <w:t xml:space="preserve"> the apalutamide </w:t>
      </w:r>
      <w:r w:rsidR="00D30B35">
        <w:t xml:space="preserve">PSD </w:t>
      </w:r>
      <w:r w:rsidRPr="00D97B31">
        <w:t>(paragraph 5.2, November 2018 apalutamide PSD).</w:t>
      </w:r>
      <w:r w:rsidR="007D6522" w:rsidRPr="00D97B31">
        <w:t xml:space="preserve"> </w:t>
      </w:r>
      <w:r w:rsidRPr="00D97B31">
        <w:rPr>
          <w:iCs/>
        </w:rPr>
        <w:t xml:space="preserve">The </w:t>
      </w:r>
      <w:r w:rsidR="006E7371" w:rsidRPr="00D97B31">
        <w:rPr>
          <w:iCs/>
        </w:rPr>
        <w:t xml:space="preserve">ESC considered that the </w:t>
      </w:r>
      <w:r w:rsidRPr="00D97B31">
        <w:rPr>
          <w:iCs/>
        </w:rPr>
        <w:t>nomination of apalutamide and enzalutamide as near market comparators was appropriate.</w:t>
      </w:r>
    </w:p>
    <w:p w:rsidR="00E60D9B" w:rsidRPr="00D97B31" w:rsidRDefault="00E60D9B" w:rsidP="00E60D9B">
      <w:pPr>
        <w:pStyle w:val="3-BodyText"/>
        <w:numPr>
          <w:ilvl w:val="0"/>
          <w:numId w:val="0"/>
        </w:numPr>
        <w:ind w:left="720"/>
        <w:rPr>
          <w:i/>
          <w:snapToGrid/>
        </w:rPr>
      </w:pPr>
      <w:r w:rsidRPr="00D97B31">
        <w:rPr>
          <w:i/>
          <w:snapToGrid/>
        </w:rPr>
        <w:t>For more detail on PBAC’s view, see section 7 PBAC outcome.</w:t>
      </w:r>
    </w:p>
    <w:p w:rsidR="00223D5A" w:rsidRPr="00D97B31" w:rsidRDefault="00223D5A" w:rsidP="00223D5A">
      <w:pPr>
        <w:pStyle w:val="2-SectionHeading"/>
      </w:pPr>
      <w:bookmarkStart w:id="11" w:name="_Toc40744330"/>
      <w:bookmarkStart w:id="12" w:name="_Toc22897640"/>
      <w:r w:rsidRPr="00D97B31">
        <w:t>Consideration of the evidence</w:t>
      </w:r>
      <w:bookmarkEnd w:id="11"/>
    </w:p>
    <w:p w:rsidR="00E60D9B" w:rsidRPr="00D97B31" w:rsidRDefault="00E60D9B" w:rsidP="00E60D9B">
      <w:pPr>
        <w:pStyle w:val="4-SubsectionHeading"/>
      </w:pPr>
      <w:bookmarkStart w:id="13" w:name="_Toc40744331"/>
      <w:r w:rsidRPr="00D97B31">
        <w:t>Sponsor hearing</w:t>
      </w:r>
    </w:p>
    <w:p w:rsidR="00E60D9B" w:rsidRPr="00D97B31" w:rsidRDefault="00E40692" w:rsidP="00E60D9B">
      <w:pPr>
        <w:pStyle w:val="3-BodyText"/>
        <w:rPr>
          <w:lang w:eastAsia="en-GB"/>
        </w:rPr>
      </w:pPr>
      <w:r w:rsidRPr="00D97B31">
        <w:rPr>
          <w:lang w:eastAsia="en-GB"/>
        </w:rPr>
        <w:t xml:space="preserve">There was no hearing for this item. </w:t>
      </w:r>
    </w:p>
    <w:p w:rsidR="00E60D9B" w:rsidRPr="00D97B31" w:rsidRDefault="00E60D9B" w:rsidP="00E60D9B">
      <w:pPr>
        <w:pStyle w:val="4-SubsectionHeading"/>
      </w:pPr>
      <w:r w:rsidRPr="00D97B31">
        <w:t>Consumer comments</w:t>
      </w:r>
    </w:p>
    <w:p w:rsidR="00430A65" w:rsidRPr="00D97B31" w:rsidRDefault="00E40692" w:rsidP="009B1972">
      <w:pPr>
        <w:pStyle w:val="3-BodyText"/>
      </w:pPr>
      <w:r w:rsidRPr="00D97B31">
        <w:t>The PBAC noted and welcomed the input from individuals (3), healthcare professionals (1) and organisations (3) via the Consumer Comments facility on the PBS website.</w:t>
      </w:r>
      <w:r w:rsidR="009D45C7" w:rsidRPr="00D97B31">
        <w:t xml:space="preserve"> The comments described a range of perceived benefits of treatment with darolutamide including better tolerability compared with other treatments, delay of metastases, improvement in quality of life </w:t>
      </w:r>
      <w:r w:rsidR="007211FB" w:rsidRPr="00D97B31">
        <w:t>and extension of survival. The Geelong Prostate Support Group</w:t>
      </w:r>
      <w:r w:rsidR="008C17AF" w:rsidRPr="00D97B31">
        <w:t xml:space="preserve"> (PSG)</w:t>
      </w:r>
      <w:r w:rsidR="007211FB" w:rsidRPr="00D97B31">
        <w:t xml:space="preserve"> </w:t>
      </w:r>
      <w:r w:rsidR="00737683" w:rsidRPr="00D97B31">
        <w:t xml:space="preserve">supported the application to </w:t>
      </w:r>
      <w:r w:rsidR="008C17AF" w:rsidRPr="00D97B31">
        <w:t>list darolutamide on the PBS for treatment</w:t>
      </w:r>
      <w:r w:rsidR="00311AC9" w:rsidRPr="00D97B31">
        <w:t xml:space="preserve"> of</w:t>
      </w:r>
      <w:r w:rsidR="008C17AF" w:rsidRPr="00D97B31">
        <w:t xml:space="preserve"> </w:t>
      </w:r>
      <w:r w:rsidR="0003120C" w:rsidRPr="00D97B31">
        <w:t>m0CRPC,</w:t>
      </w:r>
      <w:r w:rsidR="008C17AF" w:rsidRPr="00D97B31">
        <w:t xml:space="preserve"> </w:t>
      </w:r>
      <w:r w:rsidR="0003120C" w:rsidRPr="00D97B31">
        <w:t xml:space="preserve">noting </w:t>
      </w:r>
      <w:r w:rsidR="008C17AF" w:rsidRPr="00D97B31">
        <w:t xml:space="preserve">the importance </w:t>
      </w:r>
      <w:r w:rsidR="00AB5435" w:rsidRPr="00D97B31">
        <w:t>of effective treatments in the non-metastatic stage</w:t>
      </w:r>
      <w:r w:rsidR="004271AD">
        <w:t>,</w:t>
      </w:r>
      <w:r w:rsidR="00AB5435" w:rsidRPr="00D97B31">
        <w:t xml:space="preserve"> </w:t>
      </w:r>
      <w:r w:rsidR="0003120C" w:rsidRPr="00D97B31">
        <w:t>and</w:t>
      </w:r>
      <w:r w:rsidR="00F94A1D" w:rsidRPr="00D97B31">
        <w:t xml:space="preserve"> that results from the ARAMIS trial indicated that early intervention was effective. The Geelong PSG also considered that the potentially more tolerable side-effect profile of darolutamide</w:t>
      </w:r>
      <w:r w:rsidR="004271AD">
        <w:t xml:space="preserve"> compared to enzalutamide</w:t>
      </w:r>
      <w:r w:rsidR="0003120C" w:rsidRPr="00D97B31">
        <w:t>,</w:t>
      </w:r>
      <w:r w:rsidR="00F94A1D" w:rsidRPr="00D97B31">
        <w:t xml:space="preserve"> </w:t>
      </w:r>
      <w:r w:rsidR="009B1972" w:rsidRPr="00D97B31">
        <w:t xml:space="preserve">due its </w:t>
      </w:r>
      <w:r w:rsidR="0011221C" w:rsidRPr="00D97B31">
        <w:t>reduced</w:t>
      </w:r>
      <w:r w:rsidR="009B1972" w:rsidRPr="00D97B31">
        <w:t xml:space="preserve"> transport across the blood-brain barrier compared to existing treatments</w:t>
      </w:r>
      <w:r w:rsidR="0003120C" w:rsidRPr="00D97B31">
        <w:t>,</w:t>
      </w:r>
      <w:r w:rsidR="00F94A1D" w:rsidRPr="00D97B31">
        <w:t xml:space="preserve"> </w:t>
      </w:r>
      <w:r w:rsidR="009B1972" w:rsidRPr="00D97B31">
        <w:t>would offer important quality of life improvements for patients.</w:t>
      </w:r>
      <w:r w:rsidR="002461F8" w:rsidRPr="00D97B31">
        <w:t xml:space="preserve"> The Prostate Cancer Foundation of Australia also supported listing darolutamide on the PBS</w:t>
      </w:r>
      <w:r w:rsidR="004271AD">
        <w:t>,</w:t>
      </w:r>
      <w:r w:rsidR="002461F8" w:rsidRPr="00D97B31">
        <w:t xml:space="preserve"> noting there are currently few treatments for </w:t>
      </w:r>
      <w:r w:rsidR="00DA22D4" w:rsidRPr="00D97B31">
        <w:t>m0CRPC</w:t>
      </w:r>
      <w:r w:rsidR="002461F8" w:rsidRPr="00D97B31">
        <w:t xml:space="preserve"> in Australia</w:t>
      </w:r>
      <w:r w:rsidR="004271AD">
        <w:t>,</w:t>
      </w:r>
      <w:r w:rsidR="00E31A3E" w:rsidRPr="00D97B31">
        <w:t xml:space="preserve"> and </w:t>
      </w:r>
      <w:r w:rsidR="007F2AFB" w:rsidRPr="00D97B31">
        <w:t xml:space="preserve">the </w:t>
      </w:r>
      <w:r w:rsidR="00E31A3E" w:rsidRPr="00D97B31">
        <w:t>results from the ARAMIS trial which indicate that darolutamide may extend metasta</w:t>
      </w:r>
      <w:r w:rsidR="004271AD">
        <w:t>ses</w:t>
      </w:r>
      <w:r w:rsidR="00E31A3E" w:rsidRPr="00D97B31">
        <w:t>-free survival</w:t>
      </w:r>
      <w:r w:rsidR="002461F8" w:rsidRPr="00D97B31">
        <w:t xml:space="preserve">. </w:t>
      </w:r>
    </w:p>
    <w:p w:rsidR="007211FB" w:rsidRPr="00D97B31" w:rsidRDefault="00430A65" w:rsidP="009B1972">
      <w:pPr>
        <w:pStyle w:val="3-BodyText"/>
      </w:pPr>
      <w:r w:rsidRPr="00D97B31">
        <w:rPr>
          <w:bCs/>
        </w:rPr>
        <w:t>The Medical Oncology Group of Australia (MOGA) expressed its strong support for the darolutamide submission, categorising it as one of the therapies of “high priority for PBS listing” on the basis of the ARAMIS trial. The PBAC noted that the MOGA presented a European Society for Medical Oncology Magnitude of Clinical Benefit Scale (ESMO-MCBS) for darolutamide, which was limited to 3 (out of a maximum of 5, where 5 and 4 represent the grades with substantial improvement)</w:t>
      </w:r>
      <w:r w:rsidRPr="00D97B31">
        <w:rPr>
          <w:rStyle w:val="FootnoteReference"/>
          <w:bCs/>
        </w:rPr>
        <w:footnoteReference w:id="1"/>
      </w:r>
      <w:r w:rsidRPr="00D97B31">
        <w:rPr>
          <w:bCs/>
        </w:rPr>
        <w:t>, based on a comparison with placebo</w:t>
      </w:r>
      <w:r w:rsidR="00C33B6D" w:rsidRPr="00D97B31">
        <w:rPr>
          <w:bCs/>
        </w:rPr>
        <w:t xml:space="preserve"> </w:t>
      </w:r>
      <w:r w:rsidRPr="00D97B31">
        <w:rPr>
          <w:bCs/>
        </w:rPr>
        <w:t>+ ADT.</w:t>
      </w:r>
    </w:p>
    <w:p w:rsidR="00B60939" w:rsidRPr="00D97B31" w:rsidRDefault="00B60939" w:rsidP="002E4F02">
      <w:pPr>
        <w:pStyle w:val="4-SubsectionHeading"/>
      </w:pPr>
      <w:r w:rsidRPr="00D97B31">
        <w:t>Clinical trials</w:t>
      </w:r>
      <w:bookmarkEnd w:id="12"/>
      <w:bookmarkEnd w:id="13"/>
    </w:p>
    <w:p w:rsidR="00DB5CF8" w:rsidRPr="00D97B31" w:rsidRDefault="00096828" w:rsidP="008D430B">
      <w:pPr>
        <w:pStyle w:val="3-BodyText"/>
      </w:pPr>
      <w:r w:rsidRPr="00D97B31">
        <w:t xml:space="preserve">The submission was based on </w:t>
      </w:r>
      <w:r w:rsidR="00C33B6D" w:rsidRPr="00D97B31">
        <w:t xml:space="preserve">the ARAMIS trial, </w:t>
      </w:r>
      <w:r w:rsidRPr="00D97B31">
        <w:t>a direct comparison of darolutamide and SOC</w:t>
      </w:r>
      <w:r w:rsidR="008E7D70" w:rsidRPr="00D97B31">
        <w:t xml:space="preserve"> in patients with </w:t>
      </w:r>
      <w:r w:rsidR="009A3E8C" w:rsidRPr="00D97B31">
        <w:t>m0CRPC</w:t>
      </w:r>
      <w:r w:rsidR="008E7D70" w:rsidRPr="00D97B31">
        <w:t xml:space="preserve"> at high risk of developing distant metastases</w:t>
      </w:r>
      <w:r w:rsidRPr="00D97B31">
        <w:t>, as well as two indirect comparisons versus the near market comparators apalutamide</w:t>
      </w:r>
      <w:r w:rsidR="00EA54E0" w:rsidRPr="00D97B31">
        <w:t xml:space="preserve"> (</w:t>
      </w:r>
      <w:r w:rsidRPr="00D97B31">
        <w:t>using the SPARTAN trial</w:t>
      </w:r>
      <w:r w:rsidR="00EA54E0" w:rsidRPr="00D97B31">
        <w:t>)</w:t>
      </w:r>
      <w:r w:rsidRPr="00D97B31">
        <w:t xml:space="preserve"> and enzalutamide</w:t>
      </w:r>
      <w:r w:rsidR="00EA54E0" w:rsidRPr="00D97B31">
        <w:t xml:space="preserve"> (</w:t>
      </w:r>
      <w:r w:rsidRPr="00D97B31">
        <w:t>using the PROSPER trial</w:t>
      </w:r>
      <w:r w:rsidR="00EA54E0" w:rsidRPr="00D97B31">
        <w:t>),</w:t>
      </w:r>
      <w:r w:rsidRPr="00D97B31">
        <w:t xml:space="preserve"> with SOC as the common reference.</w:t>
      </w:r>
      <w:r w:rsidR="00EA54E0" w:rsidRPr="00D97B31">
        <w:t xml:space="preserve"> </w:t>
      </w:r>
      <w:r w:rsidR="00EA54E0" w:rsidRPr="00D97B31">
        <w:rPr>
          <w:snapToGrid/>
        </w:rPr>
        <w:t>Details of the trials presented in the submission</w:t>
      </w:r>
      <w:r w:rsidR="007F7949">
        <w:rPr>
          <w:snapToGrid/>
        </w:rPr>
        <w:t xml:space="preserve"> are provided in Table 3</w:t>
      </w:r>
      <w:r w:rsidR="00EA54E0" w:rsidRPr="00D97B31">
        <w:rPr>
          <w:snapToGrid/>
        </w:rPr>
        <w:t>.</w:t>
      </w:r>
    </w:p>
    <w:p w:rsidR="008E0D3C" w:rsidRPr="00D97B31" w:rsidRDefault="008E0D3C" w:rsidP="00E87C6E">
      <w:pPr>
        <w:pStyle w:val="TableFigureHeading"/>
        <w:keepNext w:val="0"/>
        <w:rPr>
          <w:rStyle w:val="CommentReference"/>
          <w:b/>
          <w:szCs w:val="24"/>
        </w:rPr>
      </w:pPr>
      <w:r w:rsidRPr="00D97B31">
        <w:rPr>
          <w:rStyle w:val="CommentReference"/>
          <w:b/>
          <w:szCs w:val="24"/>
        </w:rPr>
        <w:t xml:space="preserve">Table </w:t>
      </w:r>
      <w:r w:rsidR="003813D7" w:rsidRPr="00D97B31">
        <w:rPr>
          <w:rStyle w:val="CommentReference"/>
          <w:b/>
          <w:szCs w:val="24"/>
        </w:rPr>
        <w:t>3</w:t>
      </w:r>
      <w:r w:rsidRPr="00D97B31">
        <w:rPr>
          <w:rStyle w:val="CommentReference"/>
          <w:b/>
          <w:szCs w:val="24"/>
        </w:rPr>
        <w:t>:</w:t>
      </w:r>
      <w:r w:rsidR="00BC591F" w:rsidRPr="00D97B31">
        <w:rPr>
          <w:rStyle w:val="CommentReference"/>
          <w:b/>
          <w:szCs w:val="24"/>
        </w:rPr>
        <w:t xml:space="preserve"> </w:t>
      </w:r>
      <w:r w:rsidRPr="00D97B31">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623"/>
        <w:gridCol w:w="2123"/>
      </w:tblGrid>
      <w:tr w:rsidR="00B72254" w:rsidRPr="00D97B31" w:rsidTr="001E7B21">
        <w:trPr>
          <w:tblHeader/>
        </w:trPr>
        <w:tc>
          <w:tcPr>
            <w:tcW w:w="705" w:type="pct"/>
            <w:tcBorders>
              <w:bottom w:val="single" w:sz="4" w:space="0" w:color="auto"/>
            </w:tcBorders>
            <w:vAlign w:val="center"/>
          </w:tcPr>
          <w:p w:rsidR="00B72254" w:rsidRPr="00D97B31" w:rsidRDefault="00B72254" w:rsidP="00E87C6E">
            <w:pPr>
              <w:pStyle w:val="Tabletext"/>
              <w:rPr>
                <w:b/>
              </w:rPr>
            </w:pPr>
            <w:r w:rsidRPr="00D97B31">
              <w:rPr>
                <w:b/>
              </w:rPr>
              <w:t>Trial ID</w:t>
            </w:r>
          </w:p>
        </w:tc>
        <w:tc>
          <w:tcPr>
            <w:tcW w:w="3118" w:type="pct"/>
            <w:tcBorders>
              <w:bottom w:val="single" w:sz="4" w:space="0" w:color="auto"/>
            </w:tcBorders>
            <w:vAlign w:val="center"/>
          </w:tcPr>
          <w:p w:rsidR="00B72254" w:rsidRPr="00D97B31" w:rsidRDefault="00B72254" w:rsidP="00E87C6E">
            <w:pPr>
              <w:pStyle w:val="Tabletext"/>
              <w:jc w:val="center"/>
              <w:rPr>
                <w:b/>
              </w:rPr>
            </w:pPr>
            <w:r w:rsidRPr="00D97B31">
              <w:rPr>
                <w:b/>
              </w:rPr>
              <w:t>Protocol title/ Publication title</w:t>
            </w:r>
          </w:p>
        </w:tc>
        <w:tc>
          <w:tcPr>
            <w:tcW w:w="1177" w:type="pct"/>
            <w:tcBorders>
              <w:bottom w:val="single" w:sz="4" w:space="0" w:color="auto"/>
            </w:tcBorders>
            <w:vAlign w:val="center"/>
          </w:tcPr>
          <w:p w:rsidR="00B72254" w:rsidRPr="00D97B31" w:rsidRDefault="00B72254" w:rsidP="00E87C6E">
            <w:pPr>
              <w:pStyle w:val="Tabletext"/>
              <w:jc w:val="center"/>
              <w:rPr>
                <w:b/>
              </w:rPr>
            </w:pPr>
            <w:r w:rsidRPr="00D97B31">
              <w:rPr>
                <w:b/>
              </w:rPr>
              <w:t>Publication citation</w:t>
            </w:r>
          </w:p>
        </w:tc>
      </w:tr>
      <w:tr w:rsidR="00B72254" w:rsidRPr="00D97B31" w:rsidTr="001E7B21">
        <w:tc>
          <w:tcPr>
            <w:tcW w:w="705" w:type="pct"/>
            <w:tcBorders>
              <w:bottom w:val="nil"/>
            </w:tcBorders>
            <w:vAlign w:val="center"/>
          </w:tcPr>
          <w:p w:rsidR="00B72254" w:rsidRPr="00D97B31" w:rsidRDefault="00B72254" w:rsidP="00E87C6E">
            <w:pPr>
              <w:pStyle w:val="Tabletext"/>
            </w:pPr>
          </w:p>
        </w:tc>
        <w:tc>
          <w:tcPr>
            <w:tcW w:w="3118" w:type="pct"/>
            <w:tcBorders>
              <w:bottom w:val="nil"/>
            </w:tcBorders>
            <w:vAlign w:val="center"/>
          </w:tcPr>
          <w:p w:rsidR="00B72254" w:rsidRPr="00D97B31" w:rsidRDefault="00B72254" w:rsidP="00E87C6E">
            <w:pPr>
              <w:pStyle w:val="Tabletext"/>
              <w:rPr>
                <w:szCs w:val="18"/>
              </w:rPr>
            </w:pPr>
            <w:r w:rsidRPr="00D97B31">
              <w:rPr>
                <w:szCs w:val="18"/>
              </w:rPr>
              <w:t>A multi-national, randomised, double blind, placebo-controlled, Phase III efficacy and safety study of darolutamide (ODM-201) in men with high risk non-metastatic-castration-resistant prostate cancer.</w:t>
            </w:r>
          </w:p>
        </w:tc>
        <w:tc>
          <w:tcPr>
            <w:tcW w:w="1177" w:type="pct"/>
            <w:tcBorders>
              <w:bottom w:val="nil"/>
            </w:tcBorders>
          </w:tcPr>
          <w:p w:rsidR="00B72254" w:rsidRPr="00D97B31" w:rsidRDefault="00B72254" w:rsidP="00E87C6E">
            <w:pPr>
              <w:pStyle w:val="Tabletext"/>
            </w:pPr>
            <w:r w:rsidRPr="00D97B31">
              <w:t>February 2019</w:t>
            </w:r>
          </w:p>
        </w:tc>
      </w:tr>
      <w:tr w:rsidR="00B72254" w:rsidRPr="00D97B31" w:rsidTr="001E7B21">
        <w:tc>
          <w:tcPr>
            <w:tcW w:w="705" w:type="pct"/>
            <w:tcBorders>
              <w:top w:val="nil"/>
              <w:bottom w:val="nil"/>
            </w:tcBorders>
            <w:vAlign w:val="center"/>
          </w:tcPr>
          <w:p w:rsidR="00B72254" w:rsidRPr="00D97B31" w:rsidRDefault="00B72254" w:rsidP="00E87C6E">
            <w:pPr>
              <w:pStyle w:val="Tabletext"/>
            </w:pPr>
            <w:r w:rsidRPr="00D97B31">
              <w:t>ARAMIS</w:t>
            </w:r>
          </w:p>
        </w:tc>
        <w:tc>
          <w:tcPr>
            <w:tcW w:w="3118" w:type="pct"/>
            <w:tcBorders>
              <w:top w:val="nil"/>
              <w:bottom w:val="nil"/>
            </w:tcBorders>
            <w:vAlign w:val="center"/>
          </w:tcPr>
          <w:p w:rsidR="00B72254" w:rsidRPr="00D97B31" w:rsidRDefault="00B72254" w:rsidP="00E87C6E">
            <w:pPr>
              <w:pStyle w:val="Tabletext"/>
              <w:rPr>
                <w:szCs w:val="18"/>
              </w:rPr>
            </w:pPr>
            <w:r w:rsidRPr="00D97B31">
              <w:rPr>
                <w:rFonts w:cs="Arial"/>
                <w:szCs w:val="20"/>
              </w:rPr>
              <w:t>Fizazi K, Shore N, Tammela TL, et al. Darolutamide in non-metastatic castration-resistant prostate cancer.</w:t>
            </w:r>
          </w:p>
        </w:tc>
        <w:tc>
          <w:tcPr>
            <w:tcW w:w="1177" w:type="pct"/>
            <w:tcBorders>
              <w:top w:val="nil"/>
              <w:bottom w:val="nil"/>
            </w:tcBorders>
          </w:tcPr>
          <w:p w:rsidR="00B72254" w:rsidRPr="00D97B31" w:rsidRDefault="00B72254" w:rsidP="00E87C6E">
            <w:pPr>
              <w:pStyle w:val="Tabletext"/>
            </w:pPr>
            <w:r w:rsidRPr="00D97B31">
              <w:rPr>
                <w:i/>
                <w:szCs w:val="18"/>
              </w:rPr>
              <w:t xml:space="preserve">NEJM </w:t>
            </w:r>
            <w:r w:rsidRPr="00D97B31">
              <w:rPr>
                <w:szCs w:val="18"/>
              </w:rPr>
              <w:t>2019; 380(13): 1235-1246</w:t>
            </w:r>
          </w:p>
        </w:tc>
      </w:tr>
      <w:tr w:rsidR="00B72254" w:rsidRPr="00D97B31" w:rsidTr="001E7B21">
        <w:tc>
          <w:tcPr>
            <w:tcW w:w="705" w:type="pct"/>
            <w:tcBorders>
              <w:top w:val="nil"/>
              <w:bottom w:val="single" w:sz="4" w:space="0" w:color="auto"/>
            </w:tcBorders>
            <w:vAlign w:val="center"/>
          </w:tcPr>
          <w:p w:rsidR="00B72254" w:rsidRPr="00D97B31" w:rsidRDefault="00B72254" w:rsidP="00E87C6E">
            <w:pPr>
              <w:pStyle w:val="NormalWeb"/>
              <w:rPr>
                <w:rFonts w:ascii="Arial Narrow" w:hAnsi="Arial Narrow"/>
                <w:sz w:val="20"/>
                <w:szCs w:val="20"/>
                <w:lang w:val="en-AU"/>
              </w:rPr>
            </w:pPr>
          </w:p>
        </w:tc>
        <w:tc>
          <w:tcPr>
            <w:tcW w:w="3118" w:type="pct"/>
            <w:tcBorders>
              <w:top w:val="nil"/>
              <w:bottom w:val="single" w:sz="4" w:space="0" w:color="auto"/>
            </w:tcBorders>
            <w:vAlign w:val="center"/>
          </w:tcPr>
          <w:p w:rsidR="00B72254" w:rsidRPr="00D97B31" w:rsidRDefault="00B72254" w:rsidP="00E87C6E">
            <w:pPr>
              <w:pStyle w:val="Tabletext"/>
              <w:rPr>
                <w:szCs w:val="18"/>
              </w:rPr>
            </w:pPr>
            <w:r w:rsidRPr="00D97B31">
              <w:rPr>
                <w:szCs w:val="18"/>
              </w:rPr>
              <w:t>Shore N, Zurth C, Fricke R, et al.</w:t>
            </w:r>
            <w:r w:rsidR="007D6522" w:rsidRPr="00D97B31">
              <w:rPr>
                <w:szCs w:val="18"/>
              </w:rPr>
              <w:t xml:space="preserve"> </w:t>
            </w:r>
            <w:r w:rsidRPr="00D97B31">
              <w:rPr>
                <w:szCs w:val="18"/>
              </w:rPr>
              <w:t>Evaluation of clinically relevant drug-drug-interactions and population pharmacokinetics of darolutamide in patients with non-metastatic castration-resistant prostate cancer: Results of pre-specified and post hoc analyses of the Phase III ARAMIS trial.</w:t>
            </w:r>
          </w:p>
        </w:tc>
        <w:tc>
          <w:tcPr>
            <w:tcW w:w="1177" w:type="pct"/>
            <w:tcBorders>
              <w:top w:val="nil"/>
              <w:bottom w:val="single" w:sz="4" w:space="0" w:color="auto"/>
            </w:tcBorders>
          </w:tcPr>
          <w:p w:rsidR="00B72254" w:rsidRPr="00D97B31" w:rsidRDefault="00B72254" w:rsidP="00E87C6E">
            <w:pPr>
              <w:pStyle w:val="Tabletext"/>
            </w:pPr>
            <w:r w:rsidRPr="00D97B31">
              <w:rPr>
                <w:i/>
                <w:iCs/>
              </w:rPr>
              <w:t>Target Oncol</w:t>
            </w:r>
            <w:r w:rsidRPr="00D97B31">
              <w:t xml:space="preserve"> 2019; 14(5): 527-539</w:t>
            </w:r>
          </w:p>
        </w:tc>
      </w:tr>
      <w:tr w:rsidR="00B72254" w:rsidRPr="00D97B31" w:rsidTr="001E7B21">
        <w:tc>
          <w:tcPr>
            <w:tcW w:w="705" w:type="pct"/>
            <w:tcBorders>
              <w:top w:val="single" w:sz="4" w:space="0" w:color="auto"/>
              <w:bottom w:val="nil"/>
            </w:tcBorders>
            <w:vAlign w:val="center"/>
          </w:tcPr>
          <w:p w:rsidR="00B72254" w:rsidRPr="00D97B31" w:rsidRDefault="00B72254" w:rsidP="00E87C6E">
            <w:pPr>
              <w:pStyle w:val="Tabletext"/>
              <w:rPr>
                <w:rFonts w:ascii="Times" w:hAnsi="Times"/>
              </w:rPr>
            </w:pPr>
          </w:p>
        </w:tc>
        <w:tc>
          <w:tcPr>
            <w:tcW w:w="3118" w:type="pct"/>
            <w:tcBorders>
              <w:top w:val="single" w:sz="4" w:space="0" w:color="auto"/>
              <w:bottom w:val="nil"/>
            </w:tcBorders>
            <w:vAlign w:val="center"/>
          </w:tcPr>
          <w:p w:rsidR="00B72254" w:rsidRPr="00D97B31" w:rsidRDefault="00B72254" w:rsidP="00E87C6E">
            <w:pPr>
              <w:pStyle w:val="Tabletext"/>
              <w:rPr>
                <w:szCs w:val="18"/>
              </w:rPr>
            </w:pPr>
            <w:r w:rsidRPr="00D97B31">
              <w:t>Smith MR, Saad F, Chowdhury S</w:t>
            </w:r>
            <w:r w:rsidR="0028338E" w:rsidRPr="00D97B31">
              <w:t>,</w:t>
            </w:r>
            <w:r w:rsidRPr="00D97B31">
              <w:t xml:space="preserve"> et al.</w:t>
            </w:r>
            <w:r w:rsidR="007D6522" w:rsidRPr="00D97B31">
              <w:t xml:space="preserve"> </w:t>
            </w:r>
            <w:r w:rsidRPr="00D97B31">
              <w:t>Apalutamide treatment and metastasis-free survival in prostate cancer.</w:t>
            </w:r>
          </w:p>
        </w:tc>
        <w:tc>
          <w:tcPr>
            <w:tcW w:w="1177" w:type="pct"/>
            <w:tcBorders>
              <w:top w:val="single" w:sz="4" w:space="0" w:color="auto"/>
              <w:bottom w:val="nil"/>
            </w:tcBorders>
          </w:tcPr>
          <w:p w:rsidR="00B72254" w:rsidRPr="00D97B31" w:rsidRDefault="00B72254" w:rsidP="00E87C6E">
            <w:pPr>
              <w:pStyle w:val="Tabletext"/>
              <w:rPr>
                <w:rFonts w:ascii="Times" w:hAnsi="Times"/>
              </w:rPr>
            </w:pPr>
            <w:r w:rsidRPr="00D97B31">
              <w:rPr>
                <w:i/>
                <w:szCs w:val="18"/>
                <w:lang w:eastAsia="en-AU"/>
              </w:rPr>
              <w:t>NEJM</w:t>
            </w:r>
            <w:r w:rsidRPr="00D97B31">
              <w:rPr>
                <w:szCs w:val="18"/>
                <w:lang w:eastAsia="en-AU"/>
              </w:rPr>
              <w:t xml:space="preserve"> 2018; 378:1408-1418</w:t>
            </w:r>
          </w:p>
        </w:tc>
      </w:tr>
      <w:tr w:rsidR="00B72254" w:rsidRPr="00D97B31" w:rsidTr="001E7B21">
        <w:tc>
          <w:tcPr>
            <w:tcW w:w="705" w:type="pct"/>
            <w:tcBorders>
              <w:top w:val="nil"/>
              <w:bottom w:val="single" w:sz="4" w:space="0" w:color="auto"/>
            </w:tcBorders>
          </w:tcPr>
          <w:p w:rsidR="00B72254" w:rsidRPr="00D97B31" w:rsidRDefault="00B72254" w:rsidP="00E87C6E">
            <w:pPr>
              <w:pStyle w:val="Tabletext"/>
            </w:pPr>
            <w:r w:rsidRPr="00D97B31">
              <w:t>SPARTAN</w:t>
            </w:r>
          </w:p>
        </w:tc>
        <w:tc>
          <w:tcPr>
            <w:tcW w:w="3118" w:type="pct"/>
            <w:tcBorders>
              <w:top w:val="nil"/>
              <w:bottom w:val="single" w:sz="4" w:space="0" w:color="auto"/>
            </w:tcBorders>
            <w:vAlign w:val="center"/>
          </w:tcPr>
          <w:p w:rsidR="00B72254" w:rsidRPr="00D97B31" w:rsidRDefault="00B72254" w:rsidP="00E87C6E">
            <w:pPr>
              <w:pStyle w:val="Tabletext"/>
              <w:rPr>
                <w:szCs w:val="18"/>
                <w:lang w:eastAsia="en-AU"/>
              </w:rPr>
            </w:pPr>
            <w:r w:rsidRPr="00D97B31">
              <w:rPr>
                <w:szCs w:val="18"/>
                <w:lang w:eastAsia="en-AU"/>
              </w:rPr>
              <w:t>Small EJ, Saad F, Chowdhury S, et al.</w:t>
            </w:r>
            <w:r w:rsidR="007D6522" w:rsidRPr="00D97B31">
              <w:rPr>
                <w:szCs w:val="18"/>
                <w:lang w:eastAsia="en-AU"/>
              </w:rPr>
              <w:t xml:space="preserve"> </w:t>
            </w:r>
            <w:r w:rsidRPr="00D97B31">
              <w:rPr>
                <w:szCs w:val="18"/>
                <w:lang w:eastAsia="en-AU"/>
              </w:rPr>
              <w:t>Apalutamide and overall survival in non-metastatic castration-resistant prostate cancer.</w:t>
            </w:r>
          </w:p>
        </w:tc>
        <w:tc>
          <w:tcPr>
            <w:tcW w:w="1177" w:type="pct"/>
            <w:tcBorders>
              <w:top w:val="nil"/>
              <w:bottom w:val="single" w:sz="4" w:space="0" w:color="auto"/>
            </w:tcBorders>
          </w:tcPr>
          <w:p w:rsidR="00B72254" w:rsidRPr="00D97B31" w:rsidRDefault="00B72254" w:rsidP="00E87C6E">
            <w:pPr>
              <w:pStyle w:val="Tabletext"/>
              <w:rPr>
                <w:szCs w:val="18"/>
                <w:lang w:eastAsia="en-AU"/>
              </w:rPr>
            </w:pPr>
            <w:r w:rsidRPr="00D97B31">
              <w:rPr>
                <w:i/>
                <w:iCs/>
                <w:szCs w:val="18"/>
                <w:lang w:eastAsia="en-AU"/>
              </w:rPr>
              <w:t>Ann Oncol</w:t>
            </w:r>
            <w:r w:rsidRPr="00D97B31">
              <w:rPr>
                <w:szCs w:val="18"/>
                <w:lang w:eastAsia="en-AU"/>
              </w:rPr>
              <w:t xml:space="preserve"> 2019; 30(11): 1813-1820</w:t>
            </w:r>
          </w:p>
        </w:tc>
      </w:tr>
      <w:tr w:rsidR="00B72254" w:rsidRPr="00D97B31" w:rsidTr="001E7B21">
        <w:tc>
          <w:tcPr>
            <w:tcW w:w="705" w:type="pct"/>
            <w:tcBorders>
              <w:bottom w:val="nil"/>
            </w:tcBorders>
          </w:tcPr>
          <w:p w:rsidR="00B72254" w:rsidRPr="00D97B31" w:rsidRDefault="00B72254" w:rsidP="00E87C6E">
            <w:pPr>
              <w:pStyle w:val="Tabletext"/>
              <w:rPr>
                <w:szCs w:val="20"/>
              </w:rPr>
            </w:pPr>
          </w:p>
        </w:tc>
        <w:tc>
          <w:tcPr>
            <w:tcW w:w="3118" w:type="pct"/>
            <w:tcBorders>
              <w:bottom w:val="nil"/>
            </w:tcBorders>
            <w:vAlign w:val="center"/>
          </w:tcPr>
          <w:p w:rsidR="00B72254" w:rsidRPr="00D97B31" w:rsidRDefault="00B72254" w:rsidP="00E87C6E">
            <w:pPr>
              <w:pStyle w:val="Tabletext"/>
              <w:rPr>
                <w:rFonts w:ascii="Times" w:hAnsi="Times"/>
                <w:szCs w:val="20"/>
              </w:rPr>
            </w:pPr>
            <w:r w:rsidRPr="00D97B31">
              <w:rPr>
                <w:rFonts w:cs="Arial"/>
                <w:szCs w:val="20"/>
              </w:rPr>
              <w:t>Hussain M, Fizazi K, Saad F, et al.</w:t>
            </w:r>
            <w:r w:rsidR="007D6522" w:rsidRPr="00D97B31">
              <w:rPr>
                <w:rFonts w:cs="Arial"/>
                <w:szCs w:val="20"/>
              </w:rPr>
              <w:t xml:space="preserve"> </w:t>
            </w:r>
            <w:r w:rsidRPr="00D97B31">
              <w:rPr>
                <w:rFonts w:cs="Arial"/>
                <w:szCs w:val="20"/>
              </w:rPr>
              <w:t>Enzalutamide in men with non-metastatic, castration-resistant prostate cancer.</w:t>
            </w:r>
          </w:p>
        </w:tc>
        <w:tc>
          <w:tcPr>
            <w:tcW w:w="1177" w:type="pct"/>
            <w:tcBorders>
              <w:bottom w:val="nil"/>
            </w:tcBorders>
          </w:tcPr>
          <w:p w:rsidR="00B72254" w:rsidRPr="00D97B31" w:rsidRDefault="00B72254" w:rsidP="00E87C6E">
            <w:pPr>
              <w:pStyle w:val="Tabletext"/>
            </w:pPr>
            <w:r w:rsidRPr="00D97B31">
              <w:rPr>
                <w:i/>
                <w:szCs w:val="18"/>
                <w:lang w:eastAsia="en-AU"/>
              </w:rPr>
              <w:t>NEJM</w:t>
            </w:r>
            <w:r w:rsidRPr="00D97B31">
              <w:rPr>
                <w:szCs w:val="18"/>
                <w:lang w:eastAsia="en-AU"/>
              </w:rPr>
              <w:t xml:space="preserve"> 2018; 378(26): 2465-2474</w:t>
            </w:r>
          </w:p>
        </w:tc>
      </w:tr>
      <w:tr w:rsidR="00B72254" w:rsidRPr="00D97B31" w:rsidTr="001E7B21">
        <w:tc>
          <w:tcPr>
            <w:tcW w:w="705" w:type="pct"/>
            <w:tcBorders>
              <w:top w:val="nil"/>
              <w:bottom w:val="single" w:sz="4" w:space="0" w:color="auto"/>
            </w:tcBorders>
          </w:tcPr>
          <w:p w:rsidR="00B72254" w:rsidRPr="00D97B31" w:rsidRDefault="00B72254" w:rsidP="00E87C6E">
            <w:pPr>
              <w:pStyle w:val="Tabletext"/>
              <w:rPr>
                <w:szCs w:val="20"/>
              </w:rPr>
            </w:pPr>
            <w:r w:rsidRPr="00D97B31">
              <w:rPr>
                <w:szCs w:val="20"/>
              </w:rPr>
              <w:t>PROSPER</w:t>
            </w:r>
          </w:p>
        </w:tc>
        <w:tc>
          <w:tcPr>
            <w:tcW w:w="3118" w:type="pct"/>
            <w:tcBorders>
              <w:top w:val="nil"/>
              <w:bottom w:val="single" w:sz="4" w:space="0" w:color="auto"/>
            </w:tcBorders>
            <w:vAlign w:val="center"/>
          </w:tcPr>
          <w:p w:rsidR="00B72254" w:rsidRPr="00D97B31" w:rsidRDefault="00B72254" w:rsidP="00E87C6E">
            <w:pPr>
              <w:pStyle w:val="Tabletext"/>
              <w:rPr>
                <w:rFonts w:cs="Arial"/>
                <w:szCs w:val="20"/>
              </w:rPr>
            </w:pPr>
            <w:r w:rsidRPr="00D97B31">
              <w:rPr>
                <w:rFonts w:cs="Arial"/>
                <w:szCs w:val="20"/>
              </w:rPr>
              <w:t>Tombal B, Saad F, Penson D, et al. Patient-reported outcomes following enzalutamide or placebo in men with non-metastatic, castration-resistant prostate cancer (PRO</w:t>
            </w:r>
            <w:r w:rsidR="00E93DF7" w:rsidRPr="00D97B31">
              <w:rPr>
                <w:rFonts w:cs="Arial"/>
                <w:szCs w:val="20"/>
              </w:rPr>
              <w:t>SPER)</w:t>
            </w:r>
            <w:r w:rsidRPr="00D97B31">
              <w:rPr>
                <w:rFonts w:cs="Arial"/>
                <w:szCs w:val="20"/>
              </w:rPr>
              <w:t>: a multicentre, randomised, double-blind phase 3 trial.</w:t>
            </w:r>
          </w:p>
        </w:tc>
        <w:tc>
          <w:tcPr>
            <w:tcW w:w="1177" w:type="pct"/>
            <w:tcBorders>
              <w:top w:val="nil"/>
              <w:bottom w:val="single" w:sz="4" w:space="0" w:color="auto"/>
            </w:tcBorders>
          </w:tcPr>
          <w:p w:rsidR="00B72254" w:rsidRPr="00D97B31" w:rsidRDefault="00B72254" w:rsidP="00E87C6E">
            <w:pPr>
              <w:pStyle w:val="Tabletext"/>
              <w:rPr>
                <w:iCs/>
                <w:szCs w:val="18"/>
                <w:lang w:eastAsia="en-AU"/>
              </w:rPr>
            </w:pPr>
            <w:r w:rsidRPr="00D97B31">
              <w:rPr>
                <w:i/>
                <w:szCs w:val="18"/>
                <w:lang w:eastAsia="en-AU"/>
              </w:rPr>
              <w:t>Lancet Oncol</w:t>
            </w:r>
            <w:r w:rsidRPr="00D97B31">
              <w:rPr>
                <w:iCs/>
                <w:szCs w:val="18"/>
                <w:lang w:eastAsia="en-AU"/>
              </w:rPr>
              <w:t xml:space="preserve"> 2019; 20(4): 556-569</w:t>
            </w:r>
          </w:p>
        </w:tc>
      </w:tr>
    </w:tbl>
    <w:p w:rsidR="008E0D3C" w:rsidRPr="00D97B31" w:rsidRDefault="00B72254" w:rsidP="00E87C6E">
      <w:pPr>
        <w:spacing w:after="120"/>
        <w:rPr>
          <w:rFonts w:ascii="Arial Narrow" w:hAnsi="Arial Narrow"/>
          <w:sz w:val="18"/>
          <w:szCs w:val="18"/>
        </w:rPr>
      </w:pPr>
      <w:r w:rsidRPr="00D97B31">
        <w:rPr>
          <w:rFonts w:ascii="Arial Narrow" w:hAnsi="Arial Narrow"/>
          <w:sz w:val="18"/>
          <w:szCs w:val="18"/>
        </w:rPr>
        <w:t>Source: Table 2-6, p46 of the submission.</w:t>
      </w:r>
    </w:p>
    <w:p w:rsidR="007F1017" w:rsidRPr="00D97B31" w:rsidRDefault="008F120A" w:rsidP="008D430B">
      <w:pPr>
        <w:pStyle w:val="3-BodyText"/>
      </w:pPr>
      <w:r w:rsidRPr="00D97B31">
        <w:t xml:space="preserve">The key features of the </w:t>
      </w:r>
      <w:r w:rsidR="00621ADA" w:rsidRPr="00D97B31">
        <w:t>included evidence</w:t>
      </w:r>
      <w:r w:rsidR="00EA54E0" w:rsidRPr="00D97B31">
        <w:t xml:space="preserve"> and the comparisons made</w:t>
      </w:r>
      <w:r w:rsidRPr="00D97B31">
        <w:t xml:space="preserve"> are summarised in </w:t>
      </w:r>
      <w:r w:rsidR="009C12B7">
        <w:t>Table 4</w:t>
      </w:r>
      <w:r w:rsidRPr="00D97B31">
        <w:t>.</w:t>
      </w:r>
      <w:r w:rsidR="00BC591F" w:rsidRPr="00D97B31">
        <w:t xml:space="preserve"> </w:t>
      </w:r>
    </w:p>
    <w:p w:rsidR="007F1017" w:rsidRPr="00D97B31" w:rsidRDefault="007F1017" w:rsidP="00655260">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4</w:t>
      </w:r>
      <w:r w:rsidRPr="00D97B31">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9"/>
        <w:gridCol w:w="1265"/>
        <w:gridCol w:w="1134"/>
        <w:gridCol w:w="849"/>
        <w:gridCol w:w="1277"/>
        <w:gridCol w:w="2124"/>
        <w:gridCol w:w="1509"/>
      </w:tblGrid>
      <w:tr w:rsidR="00721051" w:rsidRPr="00D97B31" w:rsidTr="00721051">
        <w:trPr>
          <w:tblHeader/>
        </w:trPr>
        <w:tc>
          <w:tcPr>
            <w:tcW w:w="476" w:type="pct"/>
            <w:shd w:val="clear" w:color="auto" w:fill="auto"/>
            <w:vAlign w:val="center"/>
          </w:tcPr>
          <w:p w:rsidR="00721051" w:rsidRPr="00D97B31" w:rsidRDefault="00721051" w:rsidP="00655260">
            <w:pPr>
              <w:pStyle w:val="Tabletext"/>
              <w:keepNext/>
              <w:rPr>
                <w:b/>
              </w:rPr>
            </w:pPr>
            <w:r w:rsidRPr="00D97B31">
              <w:rPr>
                <w:b/>
              </w:rPr>
              <w:t>Trial</w:t>
            </w:r>
          </w:p>
        </w:tc>
        <w:tc>
          <w:tcPr>
            <w:tcW w:w="701" w:type="pct"/>
            <w:vAlign w:val="center"/>
          </w:tcPr>
          <w:p w:rsidR="00721051" w:rsidRPr="00D97B31" w:rsidRDefault="00721051" w:rsidP="00655260">
            <w:pPr>
              <w:pStyle w:val="Tabletext"/>
              <w:keepNext/>
              <w:jc w:val="center"/>
              <w:rPr>
                <w:b/>
              </w:rPr>
            </w:pPr>
            <w:r w:rsidRPr="00D97B31">
              <w:rPr>
                <w:b/>
              </w:rPr>
              <w:t>N</w:t>
            </w:r>
          </w:p>
        </w:tc>
        <w:tc>
          <w:tcPr>
            <w:tcW w:w="629" w:type="pct"/>
            <w:shd w:val="clear" w:color="auto" w:fill="auto"/>
            <w:vAlign w:val="center"/>
          </w:tcPr>
          <w:p w:rsidR="00721051" w:rsidRPr="00D97B31" w:rsidRDefault="00721051" w:rsidP="00655260">
            <w:pPr>
              <w:pStyle w:val="Tabletext"/>
              <w:keepNext/>
              <w:jc w:val="center"/>
              <w:rPr>
                <w:b/>
              </w:rPr>
            </w:pPr>
            <w:r w:rsidRPr="00D97B31">
              <w:rPr>
                <w:b/>
              </w:rPr>
              <w:t>Design</w:t>
            </w:r>
          </w:p>
        </w:tc>
        <w:tc>
          <w:tcPr>
            <w:tcW w:w="471" w:type="pct"/>
            <w:shd w:val="clear" w:color="auto" w:fill="auto"/>
            <w:vAlign w:val="center"/>
          </w:tcPr>
          <w:p w:rsidR="00721051" w:rsidRPr="00D97B31" w:rsidRDefault="00721051" w:rsidP="00655260">
            <w:pPr>
              <w:pStyle w:val="Tabletext"/>
              <w:keepNext/>
              <w:jc w:val="center"/>
              <w:rPr>
                <w:b/>
              </w:rPr>
            </w:pPr>
            <w:r w:rsidRPr="00D97B31">
              <w:rPr>
                <w:b/>
              </w:rPr>
              <w:t>Risk of bias</w:t>
            </w:r>
          </w:p>
        </w:tc>
        <w:tc>
          <w:tcPr>
            <w:tcW w:w="708" w:type="pct"/>
            <w:shd w:val="clear" w:color="auto" w:fill="auto"/>
            <w:vAlign w:val="center"/>
          </w:tcPr>
          <w:p w:rsidR="00721051" w:rsidRPr="00D97B31" w:rsidRDefault="00721051" w:rsidP="00655260">
            <w:pPr>
              <w:pStyle w:val="Tabletext"/>
              <w:keepNext/>
              <w:jc w:val="center"/>
              <w:rPr>
                <w:b/>
              </w:rPr>
            </w:pPr>
            <w:r w:rsidRPr="00D97B31">
              <w:rPr>
                <w:b/>
              </w:rPr>
              <w:t>Patient population</w:t>
            </w:r>
          </w:p>
        </w:tc>
        <w:tc>
          <w:tcPr>
            <w:tcW w:w="1178" w:type="pct"/>
            <w:shd w:val="clear" w:color="auto" w:fill="auto"/>
            <w:vAlign w:val="center"/>
          </w:tcPr>
          <w:p w:rsidR="00721051" w:rsidRPr="00D97B31" w:rsidRDefault="00721051" w:rsidP="00655260">
            <w:pPr>
              <w:pStyle w:val="Tabletext"/>
              <w:keepNext/>
              <w:jc w:val="center"/>
              <w:rPr>
                <w:b/>
              </w:rPr>
            </w:pPr>
            <w:r w:rsidRPr="00D97B31">
              <w:rPr>
                <w:b/>
              </w:rPr>
              <w:t>Outcomes</w:t>
            </w:r>
          </w:p>
        </w:tc>
        <w:tc>
          <w:tcPr>
            <w:tcW w:w="837" w:type="pct"/>
            <w:vAlign w:val="center"/>
          </w:tcPr>
          <w:p w:rsidR="00721051" w:rsidRPr="00D97B31" w:rsidRDefault="00721051" w:rsidP="00655260">
            <w:pPr>
              <w:pStyle w:val="Tabletext"/>
              <w:keepNext/>
              <w:jc w:val="center"/>
              <w:rPr>
                <w:b/>
              </w:rPr>
            </w:pPr>
            <w:r w:rsidRPr="00D97B31">
              <w:rPr>
                <w:b/>
              </w:rPr>
              <w:t>Comparisons</w:t>
            </w:r>
          </w:p>
        </w:tc>
      </w:tr>
      <w:tr w:rsidR="00721051" w:rsidRPr="00D97B31" w:rsidTr="0028338E">
        <w:tc>
          <w:tcPr>
            <w:tcW w:w="476" w:type="pct"/>
            <w:shd w:val="clear" w:color="auto" w:fill="auto"/>
          </w:tcPr>
          <w:p w:rsidR="00721051" w:rsidRPr="00D97B31" w:rsidRDefault="00721051" w:rsidP="0028338E">
            <w:pPr>
              <w:pStyle w:val="Tabletext"/>
              <w:keepNext/>
            </w:pPr>
            <w:r w:rsidRPr="00D97B31">
              <w:t>ARAMIS</w:t>
            </w:r>
          </w:p>
        </w:tc>
        <w:tc>
          <w:tcPr>
            <w:tcW w:w="701" w:type="pct"/>
          </w:tcPr>
          <w:p w:rsidR="00721051" w:rsidRPr="00D97B31" w:rsidRDefault="00721051" w:rsidP="0028338E">
            <w:pPr>
              <w:pStyle w:val="Tabletext"/>
              <w:keepNext/>
              <w:jc w:val="center"/>
            </w:pPr>
            <w:r w:rsidRPr="00D97B31">
              <w:t>Darolutamide: N=955</w:t>
            </w:r>
          </w:p>
          <w:p w:rsidR="00721051" w:rsidRPr="00D97B31" w:rsidRDefault="00721051" w:rsidP="0028338E">
            <w:pPr>
              <w:pStyle w:val="Tabletext"/>
              <w:keepNext/>
              <w:jc w:val="center"/>
            </w:pPr>
            <w:r w:rsidRPr="00D97B31">
              <w:t>SOC: N=554</w:t>
            </w:r>
          </w:p>
          <w:p w:rsidR="00721051" w:rsidRPr="00D97B31" w:rsidRDefault="00721051" w:rsidP="0028338E">
            <w:pPr>
              <w:pStyle w:val="Tabletext"/>
              <w:keepNext/>
              <w:jc w:val="center"/>
            </w:pPr>
            <w:r w:rsidRPr="00D97B31">
              <w:t>Total: N=1,509</w:t>
            </w:r>
          </w:p>
        </w:tc>
        <w:tc>
          <w:tcPr>
            <w:tcW w:w="629" w:type="pct"/>
            <w:shd w:val="clear" w:color="auto" w:fill="auto"/>
          </w:tcPr>
          <w:p w:rsidR="00721051" w:rsidRPr="00D97B31" w:rsidRDefault="00721051" w:rsidP="0028338E">
            <w:pPr>
              <w:pStyle w:val="Tabletext"/>
              <w:keepNext/>
              <w:jc w:val="center"/>
            </w:pPr>
            <w:r w:rsidRPr="00D97B31">
              <w:t>R, DB, MC darolutamide+ADT vs. SOC+ADT</w:t>
            </w:r>
          </w:p>
        </w:tc>
        <w:tc>
          <w:tcPr>
            <w:tcW w:w="471" w:type="pct"/>
            <w:shd w:val="clear" w:color="auto" w:fill="auto"/>
          </w:tcPr>
          <w:p w:rsidR="00721051" w:rsidRPr="00D97B31" w:rsidRDefault="00721051" w:rsidP="0028338E">
            <w:pPr>
              <w:pStyle w:val="Tabletext"/>
              <w:keepNext/>
              <w:jc w:val="center"/>
            </w:pPr>
            <w:r w:rsidRPr="00D97B31">
              <w:t>Moderate</w:t>
            </w:r>
          </w:p>
        </w:tc>
        <w:tc>
          <w:tcPr>
            <w:tcW w:w="708" w:type="pct"/>
            <w:vMerge w:val="restart"/>
            <w:shd w:val="clear" w:color="auto" w:fill="auto"/>
          </w:tcPr>
          <w:p w:rsidR="00721051" w:rsidRPr="00D97B31" w:rsidRDefault="00721051" w:rsidP="0028338E">
            <w:pPr>
              <w:pStyle w:val="Tabletext"/>
              <w:keepNext/>
              <w:jc w:val="center"/>
            </w:pPr>
            <w:r w:rsidRPr="00D97B31">
              <w:t>m0CRPC with high risk of distant metastases</w:t>
            </w:r>
          </w:p>
          <w:p w:rsidR="00721051" w:rsidRPr="00D97B31" w:rsidRDefault="00721051" w:rsidP="0028338E">
            <w:pPr>
              <w:pStyle w:val="Tabletext"/>
              <w:keepNext/>
              <w:jc w:val="center"/>
            </w:pPr>
            <w:r w:rsidRPr="00D97B31">
              <w:t>(PSADT ≤</w:t>
            </w:r>
            <w:r w:rsidR="0028338E" w:rsidRPr="00D97B31">
              <w:t xml:space="preserve"> </w:t>
            </w:r>
            <w:r w:rsidRPr="00D97B31">
              <w:t>10 months)</w:t>
            </w:r>
          </w:p>
        </w:tc>
        <w:tc>
          <w:tcPr>
            <w:tcW w:w="1178" w:type="pct"/>
            <w:shd w:val="clear" w:color="auto" w:fill="auto"/>
          </w:tcPr>
          <w:p w:rsidR="00721051" w:rsidRPr="00D97B31" w:rsidRDefault="00721051" w:rsidP="0028338E">
            <w:pPr>
              <w:pStyle w:val="Tabletext"/>
              <w:keepNext/>
            </w:pPr>
            <w:r w:rsidRPr="00D97B31">
              <w:t xml:space="preserve">Primary: MFS </w:t>
            </w:r>
          </w:p>
          <w:p w:rsidR="00721051" w:rsidRPr="00D97B31" w:rsidRDefault="00721051" w:rsidP="0028338E">
            <w:pPr>
              <w:pStyle w:val="Tabletext"/>
              <w:keepNext/>
            </w:pPr>
            <w:r w:rsidRPr="00D97B31">
              <w:t>Secondary: OS, PFS, time to PSA progression, pain progression, first skeletal event, cytotoxic chemo, first use subsequent anti-neoplastic therapy</w:t>
            </w:r>
          </w:p>
        </w:tc>
        <w:tc>
          <w:tcPr>
            <w:tcW w:w="837" w:type="pct"/>
          </w:tcPr>
          <w:p w:rsidR="00721051" w:rsidRPr="00D97B31" w:rsidRDefault="00721051" w:rsidP="0028338E">
            <w:pPr>
              <w:pStyle w:val="Tabletext"/>
              <w:keepNext/>
            </w:pPr>
            <w:r w:rsidRPr="00D97B31">
              <w:t>Direct comparison vs. SOC</w:t>
            </w:r>
          </w:p>
          <w:p w:rsidR="00721051" w:rsidRPr="00D97B31" w:rsidRDefault="00721051" w:rsidP="0028338E">
            <w:pPr>
              <w:pStyle w:val="Tabletext"/>
              <w:keepNext/>
            </w:pPr>
            <w:r w:rsidRPr="00D97B31">
              <w:t>Indirect comparisons vs. apalutamide and vs. enzalutamide</w:t>
            </w:r>
          </w:p>
        </w:tc>
      </w:tr>
      <w:tr w:rsidR="00721051" w:rsidRPr="00D97B31" w:rsidTr="0028338E">
        <w:tc>
          <w:tcPr>
            <w:tcW w:w="476" w:type="pct"/>
            <w:shd w:val="clear" w:color="auto" w:fill="auto"/>
          </w:tcPr>
          <w:p w:rsidR="00721051" w:rsidRPr="00D97B31" w:rsidRDefault="00721051" w:rsidP="0028338E">
            <w:pPr>
              <w:pStyle w:val="Tabletext"/>
              <w:keepNext/>
            </w:pPr>
            <w:r w:rsidRPr="00D97B31">
              <w:t>SPARTAN</w:t>
            </w:r>
          </w:p>
        </w:tc>
        <w:tc>
          <w:tcPr>
            <w:tcW w:w="701" w:type="pct"/>
          </w:tcPr>
          <w:p w:rsidR="00721051" w:rsidRPr="00D97B31" w:rsidRDefault="00721051" w:rsidP="0028338E">
            <w:pPr>
              <w:pStyle w:val="Tabletext"/>
              <w:keepNext/>
              <w:jc w:val="center"/>
            </w:pPr>
            <w:r w:rsidRPr="00D97B31">
              <w:t>Apalutamide: N=806</w:t>
            </w:r>
          </w:p>
          <w:p w:rsidR="00721051" w:rsidRPr="00D97B31" w:rsidRDefault="00721051" w:rsidP="0028338E">
            <w:pPr>
              <w:pStyle w:val="Tabletext"/>
              <w:keepNext/>
              <w:jc w:val="center"/>
            </w:pPr>
            <w:r w:rsidRPr="00D97B31">
              <w:t>SOC N=401</w:t>
            </w:r>
          </w:p>
          <w:p w:rsidR="00721051" w:rsidRPr="00D97B31" w:rsidRDefault="00721051" w:rsidP="0028338E">
            <w:pPr>
              <w:pStyle w:val="Tabletext"/>
              <w:keepNext/>
              <w:jc w:val="center"/>
            </w:pPr>
            <w:r w:rsidRPr="00D97B31">
              <w:t>Total: N=1,207</w:t>
            </w:r>
          </w:p>
        </w:tc>
        <w:tc>
          <w:tcPr>
            <w:tcW w:w="629" w:type="pct"/>
            <w:shd w:val="clear" w:color="auto" w:fill="auto"/>
          </w:tcPr>
          <w:p w:rsidR="00721051" w:rsidRPr="00D97B31" w:rsidRDefault="00721051" w:rsidP="0028338E">
            <w:pPr>
              <w:pStyle w:val="Tabletext"/>
              <w:keepNext/>
              <w:jc w:val="center"/>
            </w:pPr>
            <w:r w:rsidRPr="00D97B31">
              <w:t>R, DB, MC apalutamide+ADT vs. SOC+ADT</w:t>
            </w:r>
          </w:p>
        </w:tc>
        <w:tc>
          <w:tcPr>
            <w:tcW w:w="471" w:type="pct"/>
            <w:shd w:val="clear" w:color="auto" w:fill="auto"/>
          </w:tcPr>
          <w:p w:rsidR="00721051" w:rsidRPr="00D97B31" w:rsidRDefault="00721051" w:rsidP="0028338E">
            <w:pPr>
              <w:pStyle w:val="Tabletext"/>
              <w:keepNext/>
              <w:jc w:val="center"/>
            </w:pPr>
            <w:r w:rsidRPr="00D97B31">
              <w:t>Moderate</w:t>
            </w:r>
          </w:p>
        </w:tc>
        <w:tc>
          <w:tcPr>
            <w:tcW w:w="708" w:type="pct"/>
            <w:vMerge/>
            <w:shd w:val="clear" w:color="auto" w:fill="auto"/>
          </w:tcPr>
          <w:p w:rsidR="00721051" w:rsidRPr="00D97B31" w:rsidRDefault="00721051" w:rsidP="0028338E">
            <w:pPr>
              <w:pStyle w:val="Tabletext"/>
              <w:keepNext/>
            </w:pPr>
          </w:p>
        </w:tc>
        <w:tc>
          <w:tcPr>
            <w:tcW w:w="1178" w:type="pct"/>
            <w:shd w:val="clear" w:color="auto" w:fill="auto"/>
          </w:tcPr>
          <w:p w:rsidR="00721051" w:rsidRPr="00D97B31" w:rsidRDefault="00721051" w:rsidP="0028338E">
            <w:pPr>
              <w:pStyle w:val="Tabletext"/>
              <w:keepNext/>
            </w:pPr>
            <w:r w:rsidRPr="00D97B31">
              <w:t xml:space="preserve">Primary: MFS </w:t>
            </w:r>
          </w:p>
          <w:p w:rsidR="00721051" w:rsidRPr="00D97B31" w:rsidRDefault="00721051" w:rsidP="0028338E">
            <w:pPr>
              <w:pStyle w:val="Tabletext"/>
              <w:keepNext/>
            </w:pPr>
            <w:r w:rsidRPr="00D97B31">
              <w:t>Secondary: PFS, OS, time to PSA progression, symptomatic progression, cytotoxic chemo, metastasis</w:t>
            </w:r>
          </w:p>
        </w:tc>
        <w:tc>
          <w:tcPr>
            <w:tcW w:w="837" w:type="pct"/>
          </w:tcPr>
          <w:p w:rsidR="00721051" w:rsidRPr="00D97B31" w:rsidRDefault="00721051" w:rsidP="0028338E">
            <w:pPr>
              <w:pStyle w:val="Tabletext"/>
              <w:keepNext/>
            </w:pPr>
            <w:r w:rsidRPr="00D97B31">
              <w:t>Indirect comparison vs. darolutamide</w:t>
            </w:r>
          </w:p>
        </w:tc>
      </w:tr>
      <w:tr w:rsidR="00721051" w:rsidRPr="00D97B31" w:rsidTr="0028338E">
        <w:tc>
          <w:tcPr>
            <w:tcW w:w="476" w:type="pct"/>
            <w:shd w:val="clear" w:color="auto" w:fill="auto"/>
          </w:tcPr>
          <w:p w:rsidR="00721051" w:rsidRPr="00D97B31" w:rsidRDefault="00721051" w:rsidP="0028338E">
            <w:pPr>
              <w:pStyle w:val="Tabletext"/>
              <w:keepNext/>
            </w:pPr>
            <w:r w:rsidRPr="00D97B31">
              <w:t>PROSPER</w:t>
            </w:r>
          </w:p>
        </w:tc>
        <w:tc>
          <w:tcPr>
            <w:tcW w:w="701" w:type="pct"/>
          </w:tcPr>
          <w:p w:rsidR="00721051" w:rsidRPr="00D97B31" w:rsidRDefault="00721051" w:rsidP="0028338E">
            <w:pPr>
              <w:pStyle w:val="Tabletext"/>
              <w:keepNext/>
              <w:jc w:val="center"/>
            </w:pPr>
            <w:r w:rsidRPr="00D97B31">
              <w:t>Enzalutamide: N=933</w:t>
            </w:r>
          </w:p>
          <w:p w:rsidR="00721051" w:rsidRPr="00D97B31" w:rsidRDefault="00721051" w:rsidP="0028338E">
            <w:pPr>
              <w:pStyle w:val="Tabletext"/>
              <w:keepNext/>
              <w:jc w:val="center"/>
            </w:pPr>
            <w:r w:rsidRPr="00D97B31">
              <w:t>SOC: N=468</w:t>
            </w:r>
          </w:p>
          <w:p w:rsidR="00721051" w:rsidRPr="00D97B31" w:rsidRDefault="00721051" w:rsidP="0028338E">
            <w:pPr>
              <w:pStyle w:val="Tabletext"/>
              <w:keepNext/>
              <w:jc w:val="center"/>
            </w:pPr>
            <w:r w:rsidRPr="00D97B31">
              <w:t>Total: N=1,401</w:t>
            </w:r>
          </w:p>
        </w:tc>
        <w:tc>
          <w:tcPr>
            <w:tcW w:w="629" w:type="pct"/>
            <w:shd w:val="clear" w:color="auto" w:fill="auto"/>
          </w:tcPr>
          <w:p w:rsidR="00721051" w:rsidRPr="00D97B31" w:rsidRDefault="00721051" w:rsidP="0028338E">
            <w:pPr>
              <w:pStyle w:val="Tabletext"/>
              <w:keepNext/>
              <w:jc w:val="center"/>
            </w:pPr>
            <w:r w:rsidRPr="00D97B31">
              <w:t>R, DB, MC enzalutamide+ADT vs. SOC+ADT</w:t>
            </w:r>
          </w:p>
        </w:tc>
        <w:tc>
          <w:tcPr>
            <w:tcW w:w="471" w:type="pct"/>
            <w:shd w:val="clear" w:color="auto" w:fill="auto"/>
          </w:tcPr>
          <w:p w:rsidR="00721051" w:rsidRPr="00D97B31" w:rsidRDefault="00721051" w:rsidP="0028338E">
            <w:pPr>
              <w:pStyle w:val="Tabletext"/>
              <w:keepNext/>
              <w:jc w:val="center"/>
            </w:pPr>
            <w:r w:rsidRPr="00D97B31">
              <w:t>Moderate</w:t>
            </w:r>
          </w:p>
        </w:tc>
        <w:tc>
          <w:tcPr>
            <w:tcW w:w="708" w:type="pct"/>
            <w:vMerge/>
            <w:shd w:val="clear" w:color="auto" w:fill="auto"/>
          </w:tcPr>
          <w:p w:rsidR="00721051" w:rsidRPr="00D97B31" w:rsidRDefault="00721051" w:rsidP="0028338E">
            <w:pPr>
              <w:pStyle w:val="Tabletext"/>
              <w:keepNext/>
            </w:pPr>
          </w:p>
        </w:tc>
        <w:tc>
          <w:tcPr>
            <w:tcW w:w="1178" w:type="pct"/>
            <w:shd w:val="clear" w:color="auto" w:fill="auto"/>
          </w:tcPr>
          <w:p w:rsidR="00721051" w:rsidRPr="00D97B31" w:rsidRDefault="00721051" w:rsidP="0028338E">
            <w:pPr>
              <w:pStyle w:val="Tabletext"/>
              <w:keepNext/>
            </w:pPr>
            <w:r w:rsidRPr="00D97B31">
              <w:t xml:space="preserve">Primary: MFS </w:t>
            </w:r>
          </w:p>
          <w:p w:rsidR="00721051" w:rsidRPr="00D97B31" w:rsidRDefault="00721051" w:rsidP="0028338E">
            <w:pPr>
              <w:pStyle w:val="Tabletext"/>
              <w:keepNext/>
            </w:pPr>
            <w:r w:rsidRPr="00D97B31">
              <w:t>Secondary: OS, time to PSA progression, pain progression, first use subsequent anti-neoplastic therapy</w:t>
            </w:r>
          </w:p>
        </w:tc>
        <w:tc>
          <w:tcPr>
            <w:tcW w:w="837" w:type="pct"/>
          </w:tcPr>
          <w:p w:rsidR="00721051" w:rsidRPr="00D97B31" w:rsidRDefault="00721051" w:rsidP="0028338E">
            <w:pPr>
              <w:pStyle w:val="Tabletext"/>
              <w:keepNext/>
            </w:pPr>
            <w:r w:rsidRPr="00D97B31">
              <w:t>Indirect comparison vs. darolutamide</w:t>
            </w:r>
          </w:p>
        </w:tc>
      </w:tr>
    </w:tbl>
    <w:p w:rsidR="00EA54E0" w:rsidRPr="00D97B31" w:rsidRDefault="00EA54E0" w:rsidP="00655260">
      <w:pPr>
        <w:pStyle w:val="TableFooter"/>
        <w:keepNext/>
      </w:pPr>
      <w:r w:rsidRPr="00D97B31">
        <w:t>Source:</w:t>
      </w:r>
      <w:r w:rsidR="007D6522" w:rsidRPr="00D97B31">
        <w:t xml:space="preserve"> </w:t>
      </w:r>
      <w:r w:rsidRPr="00D97B31">
        <w:t>Table 2-7, p49 of the submission.</w:t>
      </w:r>
    </w:p>
    <w:p w:rsidR="00620C25" w:rsidRPr="00D97B31" w:rsidRDefault="00EA54E0" w:rsidP="00EA54E0">
      <w:pPr>
        <w:pStyle w:val="TableFigureFooter"/>
        <w:rPr>
          <w:sz w:val="20"/>
        </w:rPr>
      </w:pPr>
      <w:r w:rsidRPr="00D97B31">
        <w:t xml:space="preserve">ADT=androgen deprivation therapy; chemo=chemotherapy; DB=double blind; MC=multi-centre; </w:t>
      </w:r>
      <w:r w:rsidR="00DF5288" w:rsidRPr="00D97B31">
        <w:t xml:space="preserve">m0CRPC=non-metastatic castration resistant prostate cancer; </w:t>
      </w:r>
      <w:r w:rsidRPr="00D97B31">
        <w:t>MFS=metastasis-free survival; OS=overall survival; PSA=prostate specific antigen; R=randomised; PFS=progression-free survival; SOC=standard of care</w:t>
      </w:r>
    </w:p>
    <w:p w:rsidR="007F1017" w:rsidRPr="00D97B31" w:rsidRDefault="009C0514" w:rsidP="00744367">
      <w:pPr>
        <w:pStyle w:val="3-BodyText"/>
      </w:pPr>
      <w:r w:rsidRPr="00D97B31">
        <w:t>The submission indicated that the risk of bias across the three trials was low.</w:t>
      </w:r>
      <w:r w:rsidR="007D6522" w:rsidRPr="00D97B31">
        <w:t xml:space="preserve"> </w:t>
      </w:r>
      <w:r w:rsidRPr="00D97B31">
        <w:rPr>
          <w:iCs/>
        </w:rPr>
        <w:t xml:space="preserve">In its consideration of apalutamide in November 2018, the PBAC considered </w:t>
      </w:r>
      <w:r w:rsidRPr="00D97B31">
        <w:t xml:space="preserve">the risk of bias in SPARTAN was moderate due to the potential for unblinding based on the presence of prominent </w:t>
      </w:r>
      <w:r w:rsidR="001439FC" w:rsidRPr="00D97B31">
        <w:t>adverse events (</w:t>
      </w:r>
      <w:r w:rsidRPr="00D97B31">
        <w:t>AEs</w:t>
      </w:r>
      <w:r w:rsidR="001439FC" w:rsidRPr="00D97B31">
        <w:t>)</w:t>
      </w:r>
      <w:r w:rsidRPr="00D97B31">
        <w:t xml:space="preserve"> such as skin rash (paragraphs 6.9 and 6.17, November 2018 PSD).</w:t>
      </w:r>
      <w:r w:rsidR="007D6522" w:rsidRPr="00D97B31">
        <w:t xml:space="preserve"> </w:t>
      </w:r>
      <w:r w:rsidR="00D30B35">
        <w:rPr>
          <w:iCs/>
        </w:rPr>
        <w:t>AE</w:t>
      </w:r>
      <w:r w:rsidRPr="00D97B31">
        <w:rPr>
          <w:iCs/>
        </w:rPr>
        <w:t xml:space="preserve"> data presented in the submission for ARAMIS demonstrated statistically significantly greater occurrence of AEs such as rash, fatigue and cardiovascular disorders with darolutamide compared to SOC.</w:t>
      </w:r>
      <w:r w:rsidR="007D6522" w:rsidRPr="00D97B31">
        <w:rPr>
          <w:iCs/>
        </w:rPr>
        <w:t xml:space="preserve"> </w:t>
      </w:r>
      <w:r w:rsidRPr="00D97B31">
        <w:rPr>
          <w:iCs/>
        </w:rPr>
        <w:t xml:space="preserve">As such, there may be a similar potential for unblinding with darolutamide, and the </w:t>
      </w:r>
      <w:r w:rsidR="00C33B6D" w:rsidRPr="00D97B31">
        <w:rPr>
          <w:iCs/>
        </w:rPr>
        <w:t xml:space="preserve">PBAC considered the </w:t>
      </w:r>
      <w:r w:rsidRPr="00D97B31">
        <w:rPr>
          <w:iCs/>
        </w:rPr>
        <w:t xml:space="preserve">risk of bias </w:t>
      </w:r>
      <w:r w:rsidR="00C33B6D" w:rsidRPr="00D97B31">
        <w:rPr>
          <w:iCs/>
        </w:rPr>
        <w:t>was</w:t>
      </w:r>
      <w:r w:rsidR="00721051" w:rsidRPr="00D97B31">
        <w:rPr>
          <w:iCs/>
        </w:rPr>
        <w:t xml:space="preserve"> moderate</w:t>
      </w:r>
      <w:r w:rsidRPr="00D97B31">
        <w:rPr>
          <w:iCs/>
        </w:rPr>
        <w:t>.</w:t>
      </w:r>
      <w:r w:rsidR="007D6522" w:rsidRPr="00D97B31">
        <w:t xml:space="preserve"> </w:t>
      </w:r>
    </w:p>
    <w:p w:rsidR="009C0514" w:rsidRPr="00D97B31" w:rsidRDefault="009C0514" w:rsidP="00744367">
      <w:pPr>
        <w:pStyle w:val="3-BodyText"/>
      </w:pPr>
      <w:r w:rsidRPr="00D97B31">
        <w:t xml:space="preserve">Given </w:t>
      </w:r>
      <w:r w:rsidR="00FC3440" w:rsidRPr="00D97B31">
        <w:t xml:space="preserve">only published articles were </w:t>
      </w:r>
      <w:r w:rsidRPr="00D97B31">
        <w:t>available for the PROSPER trial</w:t>
      </w:r>
      <w:r w:rsidR="007E533D" w:rsidRPr="00D97B31">
        <w:t>,</w:t>
      </w:r>
      <w:r w:rsidRPr="00D97B31">
        <w:t xml:space="preserve"> the risk of bias cannot be </w:t>
      </w:r>
      <w:r w:rsidR="00C80B38" w:rsidRPr="00D97B31">
        <w:t>accurately determined</w:t>
      </w:r>
      <w:r w:rsidRPr="00D97B31">
        <w:t>.</w:t>
      </w:r>
      <w:r w:rsidR="007D6522" w:rsidRPr="00D97B31">
        <w:t xml:space="preserve"> </w:t>
      </w:r>
      <w:r w:rsidRPr="00D97B31">
        <w:t xml:space="preserve">However, based on the available information, the potential for risk of bias in PROSPER is likely to be no greater than the moderate risk of bias in </w:t>
      </w:r>
      <w:r w:rsidR="00E66A0F" w:rsidRPr="00D97B31">
        <w:t>ARAMIS</w:t>
      </w:r>
      <w:r w:rsidR="00E577AE" w:rsidRPr="00D97B31">
        <w:t xml:space="preserve"> and SPARTAN</w:t>
      </w:r>
      <w:r w:rsidRPr="00D97B31">
        <w:t>.</w:t>
      </w:r>
    </w:p>
    <w:p w:rsidR="00620C25" w:rsidRPr="00D97B31" w:rsidRDefault="00BC4E08" w:rsidP="00EC5836">
      <w:pPr>
        <w:pStyle w:val="3-BodyText"/>
      </w:pPr>
      <w:r>
        <w:rPr>
          <w:iCs/>
        </w:rPr>
        <w:t xml:space="preserve">The submission concluded, based on subgroup analyses of the ARAMIS trial, that none of the baseline variables were likely to be </w:t>
      </w:r>
      <w:r w:rsidR="00167D0F" w:rsidRPr="00D97B31">
        <w:rPr>
          <w:rFonts w:eastAsiaTheme="minorHAnsi"/>
          <w:szCs w:val="22"/>
        </w:rPr>
        <w:t xml:space="preserve">treatment effect modifiers for either </w:t>
      </w:r>
      <w:r w:rsidR="00D30B35">
        <w:rPr>
          <w:rFonts w:eastAsiaTheme="minorHAnsi"/>
          <w:szCs w:val="22"/>
        </w:rPr>
        <w:t>metastasis free survival (</w:t>
      </w:r>
      <w:r w:rsidR="00167D0F" w:rsidRPr="00D97B31">
        <w:rPr>
          <w:rFonts w:eastAsiaTheme="minorHAnsi"/>
          <w:szCs w:val="22"/>
        </w:rPr>
        <w:t>MFS</w:t>
      </w:r>
      <w:r w:rsidR="00D30B35">
        <w:rPr>
          <w:rFonts w:eastAsiaTheme="minorHAnsi"/>
          <w:szCs w:val="22"/>
        </w:rPr>
        <w:t>)</w:t>
      </w:r>
      <w:r w:rsidR="00167D0F" w:rsidRPr="00D97B31">
        <w:rPr>
          <w:rFonts w:eastAsiaTheme="minorHAnsi"/>
          <w:szCs w:val="22"/>
        </w:rPr>
        <w:t xml:space="preserve"> or </w:t>
      </w:r>
      <w:r w:rsidR="00D30B35">
        <w:rPr>
          <w:rFonts w:eastAsiaTheme="minorHAnsi"/>
          <w:szCs w:val="22"/>
        </w:rPr>
        <w:t>overall survival (</w:t>
      </w:r>
      <w:r w:rsidR="00167D0F" w:rsidRPr="00D97B31">
        <w:rPr>
          <w:rFonts w:eastAsiaTheme="minorHAnsi"/>
          <w:szCs w:val="22"/>
        </w:rPr>
        <w:t>OS</w:t>
      </w:r>
      <w:r w:rsidR="00D30B35">
        <w:rPr>
          <w:rFonts w:eastAsiaTheme="minorHAnsi"/>
          <w:szCs w:val="22"/>
        </w:rPr>
        <w:t>)</w:t>
      </w:r>
      <w:r>
        <w:rPr>
          <w:rFonts w:eastAsiaTheme="minorHAnsi"/>
          <w:szCs w:val="22"/>
        </w:rPr>
        <w:t>, and therefore, the indirect comparisons were not impacted by the differences across the trials for these variables</w:t>
      </w:r>
      <w:r w:rsidR="00167D0F" w:rsidRPr="00D97B31">
        <w:rPr>
          <w:rFonts w:eastAsiaTheme="minorHAnsi"/>
          <w:szCs w:val="22"/>
        </w:rPr>
        <w:t>.</w:t>
      </w:r>
      <w:r w:rsidR="007D6522" w:rsidRPr="00D97B31">
        <w:rPr>
          <w:rFonts w:eastAsiaTheme="minorHAnsi"/>
          <w:szCs w:val="22"/>
        </w:rPr>
        <w:t xml:space="preserve"> </w:t>
      </w:r>
      <w:r w:rsidR="00167D0F" w:rsidRPr="00D97B31">
        <w:rPr>
          <w:rFonts w:eastAsiaTheme="minorHAnsi"/>
          <w:iCs/>
          <w:szCs w:val="22"/>
        </w:rPr>
        <w:t xml:space="preserve">This conclusion differed from that made in the darolutamide application to </w:t>
      </w:r>
      <w:r w:rsidR="00915A65">
        <w:rPr>
          <w:rFonts w:eastAsiaTheme="minorHAnsi"/>
          <w:iCs/>
          <w:szCs w:val="22"/>
        </w:rPr>
        <w:t>Canadian Agency for Drugs and Technologies in Health (</w:t>
      </w:r>
      <w:r w:rsidR="00167D0F" w:rsidRPr="00D97B31">
        <w:rPr>
          <w:rFonts w:eastAsiaTheme="minorHAnsi"/>
          <w:iCs/>
          <w:szCs w:val="22"/>
        </w:rPr>
        <w:t>CADTH</w:t>
      </w:r>
      <w:r w:rsidR="00167D0F" w:rsidRPr="00D97B31">
        <w:rPr>
          <w:rStyle w:val="FootnoteReference"/>
          <w:rFonts w:eastAsiaTheme="minorHAnsi"/>
          <w:iCs/>
          <w:szCs w:val="22"/>
        </w:rPr>
        <w:footnoteReference w:id="2"/>
      </w:r>
      <w:r w:rsidR="00915A65">
        <w:rPr>
          <w:rFonts w:eastAsiaTheme="minorHAnsi"/>
          <w:iCs/>
          <w:szCs w:val="22"/>
        </w:rPr>
        <w:t>)</w:t>
      </w:r>
      <w:r w:rsidR="00167D0F" w:rsidRPr="00D97B31">
        <w:rPr>
          <w:rFonts w:eastAsiaTheme="minorHAnsi"/>
          <w:iCs/>
          <w:szCs w:val="22"/>
        </w:rPr>
        <w:t>, where the sponsor had identified several treatment effect modifiers across the trials included in the indirect comparisons.</w:t>
      </w:r>
      <w:r w:rsidR="007D6522" w:rsidRPr="00D97B31">
        <w:rPr>
          <w:rFonts w:eastAsiaTheme="minorHAnsi"/>
          <w:iCs/>
          <w:szCs w:val="22"/>
        </w:rPr>
        <w:t xml:space="preserve"> </w:t>
      </w:r>
      <w:r w:rsidR="00167D0F" w:rsidRPr="00D97B31">
        <w:rPr>
          <w:iCs/>
        </w:rPr>
        <w:t>The sponsor had stated that there were key fundamental design differences and heterogeneity among the ARAMIS, PROSPER and SPARTAN trials that could not be adjusted for analytically and the differences may make it difficult to compare the three trials included in the indirect comparisons</w:t>
      </w:r>
      <w:r w:rsidR="00BD6238" w:rsidRPr="00D97B31">
        <w:rPr>
          <w:iCs/>
        </w:rPr>
        <w:t xml:space="preserve"> (see paragraph </w:t>
      </w:r>
      <w:r w:rsidR="00BD6238" w:rsidRPr="00915A65">
        <w:rPr>
          <w:iCs/>
        </w:rPr>
        <w:t>6.1</w:t>
      </w:r>
      <w:r w:rsidR="00915A65" w:rsidRPr="00915A65">
        <w:rPr>
          <w:iCs/>
        </w:rPr>
        <w:t>8</w:t>
      </w:r>
      <w:r w:rsidR="00BD6238" w:rsidRPr="00D97B31">
        <w:rPr>
          <w:iCs/>
        </w:rPr>
        <w:t>)</w:t>
      </w:r>
      <w:r w:rsidR="00167D0F" w:rsidRPr="00D97B31">
        <w:rPr>
          <w:iCs/>
        </w:rPr>
        <w:t>.</w:t>
      </w:r>
      <w:r w:rsidR="007D6522" w:rsidRPr="00D97B31">
        <w:rPr>
          <w:rFonts w:eastAsiaTheme="minorHAnsi"/>
          <w:iCs/>
          <w:szCs w:val="22"/>
        </w:rPr>
        <w:t xml:space="preserve"> </w:t>
      </w:r>
    </w:p>
    <w:p w:rsidR="00B60939" w:rsidRPr="00D97B31" w:rsidRDefault="00B60939" w:rsidP="00543A1C">
      <w:pPr>
        <w:pStyle w:val="4-SubsectionHeading"/>
        <w:keepNext w:val="0"/>
      </w:pPr>
      <w:bookmarkStart w:id="14" w:name="_Toc22897641"/>
      <w:bookmarkStart w:id="15" w:name="_Toc40744332"/>
      <w:r w:rsidRPr="00D97B31">
        <w:t>Comparative effectiveness</w:t>
      </w:r>
      <w:bookmarkEnd w:id="14"/>
      <w:bookmarkEnd w:id="15"/>
    </w:p>
    <w:p w:rsidR="00310FF4" w:rsidRPr="00543A1C" w:rsidRDefault="008F5B0D" w:rsidP="00543A1C">
      <w:pPr>
        <w:pStyle w:val="3-BodyText"/>
      </w:pPr>
      <w:r>
        <w:t>Table 5</w:t>
      </w:r>
      <w:r w:rsidR="003B1887" w:rsidRPr="00D97B31">
        <w:t xml:space="preserve"> provides a summary of results for key time-to-event outcomes in ARAMIS.</w:t>
      </w:r>
      <w:r w:rsidR="007D6522" w:rsidRPr="00D97B31">
        <w:t xml:space="preserve"> </w:t>
      </w:r>
      <w:r w:rsidR="005355A6" w:rsidRPr="00D97B31">
        <w:t>Some patients (5.2% in the darolutamide arm and 7.0% in the SOC arm) had been misclassified at baseline as not having metastases and analysis of the primary outcome (MFS) was provided correcting for this misclassification.</w:t>
      </w:r>
      <w:r w:rsidR="007D6522" w:rsidRPr="00D97B31">
        <w:t xml:space="preserve"> </w:t>
      </w:r>
      <w:r w:rsidR="005355A6" w:rsidRPr="00D97B31">
        <w:t>The submission also provided interim and updated OS results.</w:t>
      </w:r>
      <w:r w:rsidR="007D6522" w:rsidRPr="00D97B31">
        <w:t xml:space="preserve"> </w:t>
      </w:r>
      <w:r w:rsidR="005355A6" w:rsidRPr="00D97B31">
        <w:t>Additional analyses adjusting for c</w:t>
      </w:r>
      <w:r w:rsidR="009E0F8A" w:rsidRPr="00D97B31">
        <w:t>rossover were provided (</w:t>
      </w:r>
      <w:r w:rsidR="00915A65">
        <w:t xml:space="preserve">see </w:t>
      </w:r>
      <w:r w:rsidR="009E0F8A" w:rsidRPr="00D97B31">
        <w:t xml:space="preserve">Table </w:t>
      </w:r>
      <w:r w:rsidR="00E03353" w:rsidRPr="00D97B31">
        <w:t>6</w:t>
      </w:r>
      <w:r w:rsidR="005355A6" w:rsidRPr="00D97B31">
        <w:t>).</w:t>
      </w:r>
    </w:p>
    <w:p w:rsidR="003B1887" w:rsidRPr="00D97B31" w:rsidRDefault="003B1887" w:rsidP="00543A1C">
      <w:pPr>
        <w:pStyle w:val="3-BodyText"/>
        <w:keepNext/>
        <w:keepLines/>
        <w:numPr>
          <w:ilvl w:val="0"/>
          <w:numId w:val="0"/>
        </w:numPr>
        <w:spacing w:after="0"/>
        <w:rPr>
          <w:rFonts w:ascii="Arial Narrow" w:hAnsi="Arial Narrow"/>
          <w:b/>
          <w:sz w:val="20"/>
          <w:szCs w:val="20"/>
        </w:rPr>
      </w:pPr>
      <w:r w:rsidRPr="00D97B31">
        <w:rPr>
          <w:rFonts w:ascii="Arial Narrow" w:hAnsi="Arial Narrow"/>
          <w:b/>
          <w:sz w:val="20"/>
          <w:szCs w:val="20"/>
        </w:rPr>
        <w:t xml:space="preserve">Table </w:t>
      </w:r>
      <w:r w:rsidR="003813D7" w:rsidRPr="00D97B31">
        <w:rPr>
          <w:rFonts w:ascii="Arial Narrow" w:hAnsi="Arial Narrow"/>
          <w:b/>
          <w:sz w:val="20"/>
          <w:szCs w:val="20"/>
        </w:rPr>
        <w:t>5</w:t>
      </w:r>
      <w:r w:rsidRPr="00D97B31">
        <w:rPr>
          <w:rFonts w:ascii="Arial Narrow" w:hAnsi="Arial Narrow"/>
          <w:b/>
          <w:sz w:val="20"/>
          <w:szCs w:val="20"/>
        </w:rPr>
        <w:t>:</w:t>
      </w:r>
      <w:r w:rsidR="007D6522" w:rsidRPr="00D97B31">
        <w:rPr>
          <w:rFonts w:ascii="Arial Narrow" w:hAnsi="Arial Narrow"/>
          <w:b/>
          <w:sz w:val="20"/>
          <w:szCs w:val="20"/>
        </w:rPr>
        <w:t xml:space="preserve"> </w:t>
      </w:r>
      <w:r w:rsidRPr="00D97B31">
        <w:rPr>
          <w:rFonts w:ascii="Arial Narrow" w:hAnsi="Arial Narrow"/>
          <w:b/>
          <w:sz w:val="20"/>
          <w:szCs w:val="20"/>
        </w:rPr>
        <w:t>Summary of time-to-event outcomes in ARAMIS</w:t>
      </w:r>
    </w:p>
    <w:tbl>
      <w:tblPr>
        <w:tblStyle w:val="TableGrid"/>
        <w:tblW w:w="9209" w:type="dxa"/>
        <w:tblCellMar>
          <w:left w:w="28" w:type="dxa"/>
          <w:right w:w="28" w:type="dxa"/>
        </w:tblCellMar>
        <w:tblLook w:val="04A0" w:firstRow="1" w:lastRow="0" w:firstColumn="1" w:lastColumn="0" w:noHBand="0" w:noVBand="1"/>
        <w:tblCaption w:val="Table 5: Summary of time-to-event outcomes in ARAMIS"/>
        <w:tblDescription w:val="Table 5: Summary of time-to-event outcomes in ARAMIS"/>
      </w:tblPr>
      <w:tblGrid>
        <w:gridCol w:w="3539"/>
        <w:gridCol w:w="1418"/>
        <w:gridCol w:w="1417"/>
        <w:gridCol w:w="1418"/>
        <w:gridCol w:w="1417"/>
      </w:tblGrid>
      <w:tr w:rsidR="003B1887" w:rsidRPr="00D97B31" w:rsidTr="0028338E">
        <w:trPr>
          <w:tblHeader/>
        </w:trPr>
        <w:tc>
          <w:tcPr>
            <w:tcW w:w="3539" w:type="dxa"/>
            <w:vMerge w:val="restart"/>
            <w:vAlign w:val="center"/>
          </w:tcPr>
          <w:p w:rsidR="003B1887" w:rsidRPr="00D97B31" w:rsidRDefault="003B1887" w:rsidP="00543A1C">
            <w:pPr>
              <w:keepNext/>
              <w:keepLines/>
              <w:tabs>
                <w:tab w:val="left" w:pos="142"/>
              </w:tabs>
              <w:jc w:val="left"/>
              <w:rPr>
                <w:rFonts w:ascii="Arial Narrow" w:hAnsi="Arial Narrow"/>
                <w:b/>
                <w:sz w:val="20"/>
                <w:szCs w:val="20"/>
              </w:rPr>
            </w:pPr>
            <w:r w:rsidRPr="00D97B31">
              <w:rPr>
                <w:rFonts w:ascii="Arial Narrow" w:hAnsi="Arial Narrow"/>
                <w:b/>
                <w:sz w:val="20"/>
                <w:szCs w:val="20"/>
              </w:rPr>
              <w:t>Outcome</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Interim analysis (17.9 months)</w:t>
            </w:r>
          </w:p>
        </w:tc>
        <w:tc>
          <w:tcPr>
            <w:tcW w:w="2835" w:type="dxa"/>
            <w:gridSpan w:val="2"/>
            <w:tcBorders>
              <w:lef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Updated analysis (29.1 months)</w:t>
            </w:r>
          </w:p>
        </w:tc>
      </w:tr>
      <w:tr w:rsidR="003B1887" w:rsidRPr="00D97B31" w:rsidTr="0028338E">
        <w:trPr>
          <w:tblHeader/>
        </w:trPr>
        <w:tc>
          <w:tcPr>
            <w:tcW w:w="3539" w:type="dxa"/>
            <w:vMerge/>
            <w:vAlign w:val="center"/>
          </w:tcPr>
          <w:p w:rsidR="003B1887" w:rsidRPr="00D97B31" w:rsidRDefault="003B1887" w:rsidP="00543A1C">
            <w:pPr>
              <w:keepNext/>
              <w:keepLines/>
              <w:tabs>
                <w:tab w:val="left" w:pos="142"/>
              </w:tabs>
              <w:jc w:val="left"/>
              <w:rPr>
                <w:rFonts w:ascii="Arial Narrow" w:hAnsi="Arial Narrow"/>
                <w:b/>
                <w:sz w:val="20"/>
                <w:szCs w:val="20"/>
              </w:rPr>
            </w:pPr>
          </w:p>
        </w:tc>
        <w:tc>
          <w:tcPr>
            <w:tcW w:w="1418" w:type="dxa"/>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Darolutamide (N=955)</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 xml:space="preserve">SOC </w:t>
            </w:r>
          </w:p>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(N=554)</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Darolutamide (N=955)</w:t>
            </w:r>
          </w:p>
        </w:tc>
        <w:tc>
          <w:tcPr>
            <w:tcW w:w="1417" w:type="dxa"/>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 xml:space="preserve">SOC </w:t>
            </w:r>
          </w:p>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(N=554)</w:t>
            </w:r>
          </w:p>
        </w:tc>
      </w:tr>
      <w:tr w:rsidR="00557D6F" w:rsidRPr="00D97B31" w:rsidTr="00D30B35">
        <w:tc>
          <w:tcPr>
            <w:tcW w:w="9209" w:type="dxa"/>
            <w:gridSpan w:val="5"/>
            <w:vAlign w:val="center"/>
          </w:tcPr>
          <w:p w:rsidR="00557D6F" w:rsidRPr="00D97B31" w:rsidRDefault="00557D6F" w:rsidP="00543A1C">
            <w:pPr>
              <w:keepNext/>
              <w:keepLines/>
              <w:jc w:val="left"/>
              <w:rPr>
                <w:rFonts w:ascii="Arial Narrow" w:hAnsi="Arial Narrow"/>
                <w:sz w:val="20"/>
                <w:szCs w:val="20"/>
              </w:rPr>
            </w:pPr>
            <w:r w:rsidRPr="00D97B31">
              <w:rPr>
                <w:rFonts w:ascii="Arial Narrow" w:hAnsi="Arial Narrow"/>
                <w:b/>
                <w:sz w:val="20"/>
                <w:szCs w:val="20"/>
              </w:rPr>
              <w:t>Metastasis-free survival (MFS)</w:t>
            </w:r>
          </w:p>
        </w:tc>
      </w:tr>
      <w:tr w:rsidR="00557D6F" w:rsidRPr="00D97B31" w:rsidTr="0028338E">
        <w:tc>
          <w:tcPr>
            <w:tcW w:w="3539" w:type="dxa"/>
            <w:vAlign w:val="center"/>
          </w:tcPr>
          <w:p w:rsidR="00557D6F" w:rsidRPr="00D97B31" w:rsidRDefault="00557D6F"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Event n (%)</w:t>
            </w:r>
          </w:p>
        </w:tc>
        <w:tc>
          <w:tcPr>
            <w:tcW w:w="1418" w:type="dxa"/>
            <w:vAlign w:val="center"/>
          </w:tcPr>
          <w:p w:rsidR="00557D6F" w:rsidRPr="00D97B31" w:rsidRDefault="00557D6F" w:rsidP="00543A1C">
            <w:pPr>
              <w:keepNext/>
              <w:keepLines/>
              <w:jc w:val="center"/>
              <w:rPr>
                <w:rFonts w:ascii="Arial Narrow" w:hAnsi="Arial Narrow"/>
                <w:sz w:val="20"/>
                <w:szCs w:val="20"/>
              </w:rPr>
            </w:pPr>
            <w:r w:rsidRPr="00D97B31">
              <w:rPr>
                <w:rFonts w:ascii="Arial Narrow" w:hAnsi="Arial Narrow"/>
                <w:sz w:val="20"/>
                <w:szCs w:val="20"/>
              </w:rPr>
              <w:t>221 (23.1%)</w:t>
            </w:r>
          </w:p>
        </w:tc>
        <w:tc>
          <w:tcPr>
            <w:tcW w:w="1417" w:type="dxa"/>
            <w:tcBorders>
              <w:right w:val="double" w:sz="4" w:space="0" w:color="auto"/>
            </w:tcBorders>
            <w:vAlign w:val="center"/>
          </w:tcPr>
          <w:p w:rsidR="00557D6F" w:rsidRPr="00D97B31" w:rsidRDefault="00557D6F" w:rsidP="00543A1C">
            <w:pPr>
              <w:keepNext/>
              <w:keepLines/>
              <w:jc w:val="center"/>
              <w:rPr>
                <w:rFonts w:ascii="Arial Narrow" w:hAnsi="Arial Narrow"/>
                <w:sz w:val="20"/>
                <w:szCs w:val="20"/>
              </w:rPr>
            </w:pPr>
            <w:r w:rsidRPr="00D97B31">
              <w:rPr>
                <w:rFonts w:ascii="Arial Narrow" w:hAnsi="Arial Narrow"/>
                <w:sz w:val="20"/>
                <w:szCs w:val="20"/>
              </w:rPr>
              <w:t>206 (39.0%)</w:t>
            </w:r>
          </w:p>
        </w:tc>
        <w:tc>
          <w:tcPr>
            <w:tcW w:w="2835" w:type="dxa"/>
            <w:gridSpan w:val="2"/>
            <w:vMerge w:val="restart"/>
            <w:tcBorders>
              <w:left w:val="double" w:sz="4" w:space="0" w:color="auto"/>
            </w:tcBorders>
            <w:vAlign w:val="center"/>
          </w:tcPr>
          <w:p w:rsidR="00557D6F" w:rsidRPr="00D97B31" w:rsidRDefault="00557D6F" w:rsidP="00543A1C">
            <w:pPr>
              <w:keepNext/>
              <w:keepLines/>
              <w:jc w:val="center"/>
              <w:rPr>
                <w:rFonts w:ascii="Arial Narrow" w:hAnsi="Arial Narrow"/>
                <w:sz w:val="20"/>
                <w:szCs w:val="20"/>
              </w:rPr>
            </w:pPr>
            <w:r w:rsidRPr="00D97B31">
              <w:rPr>
                <w:rFonts w:ascii="Arial Narrow" w:hAnsi="Arial Narrow"/>
                <w:sz w:val="20"/>
                <w:szCs w:val="20"/>
              </w:rPr>
              <w:t>Not reported</w:t>
            </w:r>
          </w:p>
        </w:tc>
      </w:tr>
      <w:tr w:rsidR="00557D6F" w:rsidRPr="00D97B31" w:rsidTr="0028338E">
        <w:tc>
          <w:tcPr>
            <w:tcW w:w="3539" w:type="dxa"/>
            <w:vAlign w:val="center"/>
          </w:tcPr>
          <w:p w:rsidR="00557D6F" w:rsidRPr="00D97B31" w:rsidRDefault="00557D6F"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to metastasis (95% CI) </w:t>
            </w:r>
          </w:p>
        </w:tc>
        <w:tc>
          <w:tcPr>
            <w:tcW w:w="1418" w:type="dxa"/>
            <w:vAlign w:val="center"/>
          </w:tcPr>
          <w:p w:rsidR="00557D6F" w:rsidRPr="00D97B31" w:rsidRDefault="00557D6F" w:rsidP="00543A1C">
            <w:pPr>
              <w:keepNext/>
              <w:keepLines/>
              <w:jc w:val="center"/>
              <w:rPr>
                <w:rFonts w:ascii="Arial Narrow" w:hAnsi="Arial Narrow"/>
                <w:sz w:val="20"/>
                <w:szCs w:val="20"/>
              </w:rPr>
            </w:pPr>
            <w:r w:rsidRPr="00D97B31">
              <w:rPr>
                <w:rFonts w:ascii="Arial Narrow" w:hAnsi="Arial Narrow"/>
                <w:sz w:val="20"/>
                <w:szCs w:val="20"/>
              </w:rPr>
              <w:t>40.4 (34.3, NR)</w:t>
            </w:r>
          </w:p>
        </w:tc>
        <w:tc>
          <w:tcPr>
            <w:tcW w:w="1417" w:type="dxa"/>
            <w:tcBorders>
              <w:right w:val="double" w:sz="4" w:space="0" w:color="auto"/>
            </w:tcBorders>
            <w:vAlign w:val="center"/>
          </w:tcPr>
          <w:p w:rsidR="00557D6F" w:rsidRPr="00D97B31" w:rsidRDefault="00557D6F" w:rsidP="00543A1C">
            <w:pPr>
              <w:keepNext/>
              <w:keepLines/>
              <w:jc w:val="center"/>
              <w:rPr>
                <w:rFonts w:ascii="Arial Narrow" w:hAnsi="Arial Narrow"/>
                <w:sz w:val="20"/>
                <w:szCs w:val="20"/>
              </w:rPr>
            </w:pPr>
            <w:r w:rsidRPr="00D97B31">
              <w:rPr>
                <w:rFonts w:ascii="Arial Narrow" w:hAnsi="Arial Narrow"/>
                <w:sz w:val="20"/>
                <w:szCs w:val="20"/>
              </w:rPr>
              <w:t>18.4 (15.5, 22.3)</w:t>
            </w:r>
          </w:p>
        </w:tc>
        <w:tc>
          <w:tcPr>
            <w:tcW w:w="2835" w:type="dxa"/>
            <w:gridSpan w:val="2"/>
            <w:vMerge/>
            <w:tcBorders>
              <w:left w:val="double" w:sz="4" w:space="0" w:color="auto"/>
            </w:tcBorders>
            <w:vAlign w:val="center"/>
          </w:tcPr>
          <w:p w:rsidR="00557D6F" w:rsidRPr="00D97B31" w:rsidRDefault="00557D6F" w:rsidP="00543A1C">
            <w:pPr>
              <w:keepNext/>
              <w:keepLines/>
              <w:jc w:val="center"/>
              <w:rPr>
                <w:rFonts w:ascii="Arial Narrow" w:hAnsi="Arial Narrow"/>
                <w:sz w:val="20"/>
                <w:szCs w:val="20"/>
              </w:rPr>
            </w:pPr>
          </w:p>
        </w:tc>
      </w:tr>
      <w:tr w:rsidR="00557D6F" w:rsidRPr="00D97B31" w:rsidTr="0028338E">
        <w:tc>
          <w:tcPr>
            <w:tcW w:w="3539" w:type="dxa"/>
            <w:vAlign w:val="center"/>
          </w:tcPr>
          <w:p w:rsidR="00557D6F" w:rsidRPr="00D97B31" w:rsidRDefault="00557D6F"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557D6F" w:rsidRPr="00D97B31" w:rsidRDefault="00557D6F" w:rsidP="00543A1C">
            <w:pPr>
              <w:keepNext/>
              <w:keepLines/>
              <w:jc w:val="center"/>
              <w:rPr>
                <w:rFonts w:ascii="Arial Narrow" w:hAnsi="Arial Narrow"/>
                <w:b/>
                <w:sz w:val="20"/>
                <w:szCs w:val="20"/>
              </w:rPr>
            </w:pPr>
            <w:r w:rsidRPr="00D97B31">
              <w:rPr>
                <w:rFonts w:ascii="Arial Narrow" w:hAnsi="Arial Narrow"/>
                <w:b/>
                <w:sz w:val="20"/>
                <w:szCs w:val="20"/>
              </w:rPr>
              <w:t>0.413 (0.341, 0.500)</w:t>
            </w:r>
          </w:p>
        </w:tc>
        <w:tc>
          <w:tcPr>
            <w:tcW w:w="2835" w:type="dxa"/>
            <w:gridSpan w:val="2"/>
            <w:vMerge/>
            <w:tcBorders>
              <w:left w:val="double" w:sz="4" w:space="0" w:color="auto"/>
            </w:tcBorders>
            <w:vAlign w:val="center"/>
          </w:tcPr>
          <w:p w:rsidR="00557D6F" w:rsidRPr="00D97B31" w:rsidRDefault="00557D6F" w:rsidP="00543A1C">
            <w:pPr>
              <w:keepNext/>
              <w:keepLines/>
              <w:jc w:val="center"/>
              <w:rPr>
                <w:rFonts w:ascii="Arial Narrow" w:hAnsi="Arial Narrow"/>
                <w:b/>
                <w:sz w:val="20"/>
                <w:szCs w:val="20"/>
              </w:rPr>
            </w:pPr>
          </w:p>
        </w:tc>
      </w:tr>
      <w:tr w:rsidR="003B1887" w:rsidRPr="00D97B31" w:rsidTr="007953F2">
        <w:tc>
          <w:tcPr>
            <w:tcW w:w="9209" w:type="dxa"/>
            <w:gridSpan w:val="5"/>
            <w:vAlign w:val="center"/>
          </w:tcPr>
          <w:p w:rsidR="003B1887" w:rsidRPr="00D97B31" w:rsidRDefault="003B1887" w:rsidP="00543A1C">
            <w:pPr>
              <w:keepNext/>
              <w:keepLines/>
              <w:jc w:val="left"/>
              <w:rPr>
                <w:rFonts w:ascii="Arial Narrow" w:hAnsi="Arial Narrow"/>
                <w:sz w:val="20"/>
                <w:szCs w:val="20"/>
              </w:rPr>
            </w:pPr>
            <w:r w:rsidRPr="00D97B31">
              <w:rPr>
                <w:rFonts w:ascii="Arial Narrow" w:hAnsi="Arial Narrow"/>
                <w:b/>
                <w:sz w:val="20"/>
                <w:szCs w:val="20"/>
              </w:rPr>
              <w:t>Metastasis-free survival (MFS) – censored (corrected for misclassification of patients)</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Event n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171 (17.9%)</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177 (31.9%)</w:t>
            </w:r>
          </w:p>
        </w:tc>
        <w:tc>
          <w:tcPr>
            <w:tcW w:w="2835" w:type="dxa"/>
            <w:gridSpan w:val="2"/>
            <w:vMerge w:val="restart"/>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Not reported</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to metastasis (95% CI)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40.5 (35.8, NR)</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22.1 (18.3, 25.8)</w:t>
            </w:r>
          </w:p>
        </w:tc>
        <w:tc>
          <w:tcPr>
            <w:tcW w:w="2835" w:type="dxa"/>
            <w:gridSpan w:val="2"/>
            <w:vMerge/>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0.3</w:t>
            </w:r>
            <w:r w:rsidR="007838E3" w:rsidRPr="00D97B31">
              <w:rPr>
                <w:rFonts w:ascii="Arial Narrow" w:hAnsi="Arial Narrow"/>
                <w:b/>
                <w:sz w:val="20"/>
                <w:szCs w:val="20"/>
              </w:rPr>
              <w:t>5</w:t>
            </w:r>
            <w:r w:rsidRPr="00D97B31">
              <w:rPr>
                <w:rFonts w:ascii="Arial Narrow" w:hAnsi="Arial Narrow"/>
                <w:b/>
                <w:sz w:val="20"/>
                <w:szCs w:val="20"/>
              </w:rPr>
              <w:t>6 (0.29, 0.44)</w:t>
            </w:r>
          </w:p>
        </w:tc>
        <w:tc>
          <w:tcPr>
            <w:tcW w:w="2835" w:type="dxa"/>
            <w:gridSpan w:val="2"/>
            <w:vMerge/>
            <w:tcBorders>
              <w:left w:val="double" w:sz="4" w:space="0" w:color="auto"/>
            </w:tcBorders>
            <w:vAlign w:val="center"/>
          </w:tcPr>
          <w:p w:rsidR="003B1887" w:rsidRPr="00D97B31" w:rsidRDefault="003B1887" w:rsidP="00543A1C">
            <w:pPr>
              <w:keepNext/>
              <w:keepLines/>
              <w:jc w:val="center"/>
              <w:rPr>
                <w:rFonts w:ascii="Arial Narrow" w:hAnsi="Arial Narrow"/>
                <w:b/>
                <w:sz w:val="20"/>
                <w:szCs w:val="20"/>
              </w:rPr>
            </w:pPr>
          </w:p>
        </w:tc>
      </w:tr>
      <w:tr w:rsidR="003B1887" w:rsidRPr="00D97B31" w:rsidTr="007953F2">
        <w:tc>
          <w:tcPr>
            <w:tcW w:w="9209" w:type="dxa"/>
            <w:gridSpan w:val="5"/>
            <w:vAlign w:val="center"/>
          </w:tcPr>
          <w:p w:rsidR="003B1887" w:rsidRPr="00D97B31" w:rsidRDefault="003B1887" w:rsidP="00543A1C">
            <w:pPr>
              <w:keepNext/>
              <w:keepLines/>
              <w:jc w:val="left"/>
              <w:rPr>
                <w:rFonts w:ascii="Arial Narrow" w:hAnsi="Arial Narrow"/>
                <w:sz w:val="20"/>
                <w:szCs w:val="20"/>
              </w:rPr>
            </w:pPr>
            <w:r w:rsidRPr="00D97B31">
              <w:rPr>
                <w:rFonts w:ascii="Arial Narrow" w:hAnsi="Arial Narrow"/>
                <w:b/>
                <w:sz w:val="20"/>
                <w:szCs w:val="20"/>
              </w:rPr>
              <w:t>Overall survival (OS)</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Died n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78 (8.2%)</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58 (10.5%)</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148 (15.5%)</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106 (19.1%)</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to death (95% CI)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0.706 (0.501, 0.994)</w:t>
            </w:r>
            <w:r w:rsidRPr="00D97B31">
              <w:rPr>
                <w:rFonts w:ascii="Arial Narrow" w:hAnsi="Arial Narrow"/>
                <w:sz w:val="20"/>
                <w:szCs w:val="20"/>
                <w:vertAlign w:val="superscript"/>
              </w:rPr>
              <w:t>a</w:t>
            </w:r>
          </w:p>
        </w:tc>
        <w:tc>
          <w:tcPr>
            <w:tcW w:w="2835" w:type="dxa"/>
            <w:gridSpan w:val="2"/>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b/>
                <w:sz w:val="20"/>
                <w:szCs w:val="20"/>
              </w:rPr>
              <w:t>0.685 (0.533, 0.881)</w:t>
            </w:r>
          </w:p>
        </w:tc>
      </w:tr>
      <w:tr w:rsidR="003B1887" w:rsidRPr="00D97B31" w:rsidTr="007953F2">
        <w:tc>
          <w:tcPr>
            <w:tcW w:w="9209" w:type="dxa"/>
            <w:gridSpan w:val="5"/>
            <w:vAlign w:val="center"/>
          </w:tcPr>
          <w:p w:rsidR="003B1887" w:rsidRPr="00D97B31" w:rsidRDefault="003B1887" w:rsidP="00543A1C">
            <w:pPr>
              <w:keepNext/>
              <w:keepLines/>
              <w:jc w:val="left"/>
              <w:rPr>
                <w:rFonts w:ascii="Arial Narrow" w:hAnsi="Arial Narrow"/>
                <w:sz w:val="20"/>
                <w:szCs w:val="20"/>
              </w:rPr>
            </w:pPr>
            <w:r w:rsidRPr="00D97B31">
              <w:rPr>
                <w:rFonts w:ascii="Arial Narrow" w:hAnsi="Arial Narrow"/>
                <w:b/>
                <w:sz w:val="20"/>
                <w:szCs w:val="20"/>
              </w:rPr>
              <w:t>Time to first symptomatic skeletal event (SSE)</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Event n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16 (1.7%)</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18 (3.2%)</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29 (3.0%)</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28 (5.1%)</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to SSE (95% CI)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bCs/>
                <w:sz w:val="20"/>
                <w:szCs w:val="20"/>
              </w:rPr>
            </w:pPr>
            <w:r w:rsidRPr="00D97B31">
              <w:rPr>
                <w:rFonts w:ascii="Arial Narrow" w:hAnsi="Arial Narrow"/>
                <w:bCs/>
                <w:sz w:val="20"/>
                <w:szCs w:val="20"/>
              </w:rPr>
              <w:t>0.428 (0.218, 0.842)</w:t>
            </w:r>
            <w:r w:rsidRPr="00D97B31">
              <w:rPr>
                <w:rFonts w:ascii="Arial Narrow" w:hAnsi="Arial Narrow"/>
                <w:sz w:val="20"/>
                <w:szCs w:val="20"/>
                <w:vertAlign w:val="superscript"/>
              </w:rPr>
              <w:t>a</w:t>
            </w:r>
          </w:p>
        </w:tc>
        <w:tc>
          <w:tcPr>
            <w:tcW w:w="2835" w:type="dxa"/>
            <w:gridSpan w:val="2"/>
            <w:tcBorders>
              <w:left w:val="double" w:sz="4" w:space="0" w:color="auto"/>
            </w:tcBorders>
            <w:vAlign w:val="center"/>
          </w:tcPr>
          <w:p w:rsidR="003B1887" w:rsidRPr="00D97B31" w:rsidRDefault="003B1887" w:rsidP="00543A1C">
            <w:pPr>
              <w:keepNext/>
              <w:keepLines/>
              <w:jc w:val="center"/>
              <w:rPr>
                <w:rFonts w:ascii="Arial Narrow" w:hAnsi="Arial Narrow"/>
                <w:bCs/>
                <w:sz w:val="20"/>
                <w:szCs w:val="20"/>
              </w:rPr>
            </w:pPr>
            <w:r w:rsidRPr="00D97B31">
              <w:rPr>
                <w:rFonts w:ascii="Arial Narrow" w:hAnsi="Arial Narrow"/>
                <w:bCs/>
                <w:sz w:val="20"/>
                <w:szCs w:val="20"/>
              </w:rPr>
              <w:t>0.484 (0.287, 0.815)</w:t>
            </w:r>
            <w:r w:rsidRPr="00D97B31">
              <w:rPr>
                <w:rFonts w:ascii="Arial Narrow" w:hAnsi="Arial Narrow"/>
                <w:sz w:val="20"/>
                <w:szCs w:val="20"/>
                <w:vertAlign w:val="superscript"/>
              </w:rPr>
              <w:t>a</w:t>
            </w:r>
          </w:p>
        </w:tc>
      </w:tr>
      <w:tr w:rsidR="003B1887" w:rsidRPr="00D97B31" w:rsidTr="007953F2">
        <w:tc>
          <w:tcPr>
            <w:tcW w:w="9209" w:type="dxa"/>
            <w:gridSpan w:val="5"/>
            <w:vAlign w:val="center"/>
          </w:tcPr>
          <w:p w:rsidR="003B1887" w:rsidRPr="00D97B31" w:rsidRDefault="003B1887" w:rsidP="00543A1C">
            <w:pPr>
              <w:keepNext/>
              <w:keepLines/>
              <w:jc w:val="left"/>
              <w:rPr>
                <w:rFonts w:ascii="Arial Narrow" w:hAnsi="Arial Narrow"/>
                <w:sz w:val="20"/>
                <w:szCs w:val="20"/>
              </w:rPr>
            </w:pPr>
            <w:r w:rsidRPr="00D97B31">
              <w:rPr>
                <w:rFonts w:ascii="Arial Narrow" w:hAnsi="Arial Narrow"/>
                <w:b/>
                <w:sz w:val="20"/>
                <w:szCs w:val="20"/>
              </w:rPr>
              <w:t>Time to initiation of cytotoxic chemotherapy</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Event n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73 (7.6%)</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79 (14.3%)</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127 (13.3%)</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98 (17.7%)</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chemotherapy (95% CI) </w:t>
            </w:r>
          </w:p>
        </w:tc>
        <w:tc>
          <w:tcPr>
            <w:tcW w:w="1418"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38.2 (22.4, 35.6)</w:t>
            </w:r>
          </w:p>
        </w:tc>
        <w:tc>
          <w:tcPr>
            <w:tcW w:w="1418" w:type="dxa"/>
            <w:tcBorders>
              <w:left w:val="double" w:sz="4" w:space="0" w:color="auto"/>
            </w:tcBorders>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c>
          <w:tcPr>
            <w:tcW w:w="1417" w:type="dxa"/>
            <w:vAlign w:val="center"/>
          </w:tcPr>
          <w:p w:rsidR="003B1887" w:rsidRPr="00D97B31" w:rsidRDefault="003B1887" w:rsidP="00543A1C">
            <w:pPr>
              <w:keepNext/>
              <w:keepLines/>
              <w:jc w:val="center"/>
              <w:rPr>
                <w:rFonts w:ascii="Arial Narrow" w:hAnsi="Arial Narrow"/>
                <w:sz w:val="20"/>
                <w:szCs w:val="20"/>
              </w:rPr>
            </w:pPr>
            <w:r w:rsidRPr="00D97B31">
              <w:rPr>
                <w:rFonts w:ascii="Arial Narrow" w:hAnsi="Arial Narrow"/>
                <w:sz w:val="20"/>
                <w:szCs w:val="20"/>
              </w:rPr>
              <w:t>NE</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cs="Arial"/>
                <w:sz w:val="20"/>
                <w:szCs w:val="20"/>
              </w:rPr>
              <w:t>0.43 (0.31, 0.60)</w:t>
            </w:r>
            <w:r w:rsidRPr="00D97B31">
              <w:rPr>
                <w:rFonts w:ascii="Arial Narrow" w:hAnsi="Arial Narrow"/>
                <w:sz w:val="20"/>
                <w:szCs w:val="20"/>
                <w:vertAlign w:val="superscript"/>
              </w:rPr>
              <w:t>a</w:t>
            </w:r>
          </w:p>
        </w:tc>
        <w:tc>
          <w:tcPr>
            <w:tcW w:w="2835" w:type="dxa"/>
            <w:gridSpan w:val="2"/>
            <w:tcBorders>
              <w:left w:val="double" w:sz="4" w:space="0" w:color="auto"/>
            </w:tcBorders>
            <w:vAlign w:val="center"/>
          </w:tcPr>
          <w:p w:rsidR="003B1887" w:rsidRPr="00D97B31" w:rsidRDefault="003B1887" w:rsidP="00543A1C">
            <w:pPr>
              <w:keepNext/>
              <w:keepLines/>
              <w:jc w:val="center"/>
              <w:rPr>
                <w:rFonts w:ascii="Arial Narrow" w:hAnsi="Arial Narrow" w:cs="Arial"/>
                <w:bCs/>
                <w:sz w:val="20"/>
                <w:szCs w:val="20"/>
              </w:rPr>
            </w:pPr>
            <w:r w:rsidRPr="00D97B31">
              <w:rPr>
                <w:rFonts w:ascii="Arial Narrow" w:hAnsi="Arial Narrow" w:cs="Arial"/>
                <w:bCs/>
                <w:sz w:val="20"/>
                <w:szCs w:val="20"/>
              </w:rPr>
              <w:t>0.579 (0.444, 0.755)</w:t>
            </w:r>
            <w:r w:rsidRPr="00D97B31">
              <w:rPr>
                <w:rFonts w:ascii="Arial Narrow" w:hAnsi="Arial Narrow"/>
                <w:sz w:val="20"/>
                <w:szCs w:val="20"/>
                <w:vertAlign w:val="superscript"/>
              </w:rPr>
              <w:t>a</w:t>
            </w:r>
          </w:p>
        </w:tc>
      </w:tr>
      <w:tr w:rsidR="003B1887" w:rsidRPr="00D97B31" w:rsidTr="007953F2">
        <w:tc>
          <w:tcPr>
            <w:tcW w:w="9209" w:type="dxa"/>
            <w:gridSpan w:val="5"/>
            <w:vAlign w:val="center"/>
          </w:tcPr>
          <w:p w:rsidR="003B1887" w:rsidRPr="00D97B31" w:rsidRDefault="003B1887" w:rsidP="00543A1C">
            <w:pPr>
              <w:keepNext/>
              <w:keepLines/>
              <w:jc w:val="left"/>
              <w:rPr>
                <w:rFonts w:ascii="Arial Narrow" w:hAnsi="Arial Narrow" w:cs="Arial"/>
                <w:sz w:val="20"/>
                <w:szCs w:val="20"/>
              </w:rPr>
            </w:pPr>
            <w:r w:rsidRPr="00D97B31">
              <w:rPr>
                <w:rFonts w:ascii="Arial Narrow" w:hAnsi="Arial Narrow"/>
                <w:b/>
                <w:bCs/>
                <w:sz w:val="20"/>
                <w:szCs w:val="20"/>
              </w:rPr>
              <w:t>Time to pain progression</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Event n (%)</w:t>
            </w:r>
          </w:p>
        </w:tc>
        <w:tc>
          <w:tcPr>
            <w:tcW w:w="1418" w:type="dxa"/>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cs="Arial"/>
                <w:sz w:val="20"/>
                <w:szCs w:val="20"/>
              </w:rPr>
              <w:t>251 (26.3%)</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cs="Arial"/>
                <w:sz w:val="20"/>
                <w:szCs w:val="20"/>
              </w:rPr>
              <w:t>178 (32.1%)</w:t>
            </w:r>
          </w:p>
        </w:tc>
        <w:tc>
          <w:tcPr>
            <w:tcW w:w="2835" w:type="dxa"/>
            <w:gridSpan w:val="2"/>
            <w:vMerge w:val="restart"/>
            <w:tcBorders>
              <w:left w:val="double" w:sz="4" w:space="0" w:color="auto"/>
            </w:tcBorders>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sz w:val="20"/>
                <w:szCs w:val="20"/>
              </w:rPr>
              <w:t>Not reported</w:t>
            </w: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 xml:space="preserve">Median months pain progression (95% CI) </w:t>
            </w:r>
          </w:p>
        </w:tc>
        <w:tc>
          <w:tcPr>
            <w:tcW w:w="1418" w:type="dxa"/>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cs="Arial"/>
                <w:sz w:val="20"/>
                <w:szCs w:val="20"/>
              </w:rPr>
              <w:t>40.3 (33.2, 41.2)</w:t>
            </w:r>
          </w:p>
        </w:tc>
        <w:tc>
          <w:tcPr>
            <w:tcW w:w="1417" w:type="dxa"/>
            <w:tcBorders>
              <w:right w:val="double" w:sz="4" w:space="0" w:color="auto"/>
            </w:tcBorders>
            <w:vAlign w:val="center"/>
          </w:tcPr>
          <w:p w:rsidR="003B1887" w:rsidRPr="00D97B31" w:rsidRDefault="003B1887" w:rsidP="00543A1C">
            <w:pPr>
              <w:keepNext/>
              <w:keepLines/>
              <w:jc w:val="center"/>
              <w:rPr>
                <w:rFonts w:ascii="Arial Narrow" w:hAnsi="Arial Narrow" w:cs="Arial"/>
                <w:sz w:val="20"/>
                <w:szCs w:val="20"/>
              </w:rPr>
            </w:pPr>
            <w:r w:rsidRPr="00D97B31">
              <w:rPr>
                <w:rFonts w:ascii="Arial Narrow" w:hAnsi="Arial Narrow" w:cs="Arial"/>
                <w:sz w:val="20"/>
                <w:szCs w:val="20"/>
              </w:rPr>
              <w:t>25.4 (19.1, 29.6)</w:t>
            </w:r>
          </w:p>
        </w:tc>
        <w:tc>
          <w:tcPr>
            <w:tcW w:w="2835" w:type="dxa"/>
            <w:gridSpan w:val="2"/>
            <w:vMerge/>
            <w:tcBorders>
              <w:left w:val="double" w:sz="4" w:space="0" w:color="auto"/>
            </w:tcBorders>
            <w:vAlign w:val="center"/>
          </w:tcPr>
          <w:p w:rsidR="003B1887" w:rsidRPr="00D97B31" w:rsidRDefault="003B1887" w:rsidP="00543A1C">
            <w:pPr>
              <w:keepNext/>
              <w:keepLines/>
              <w:jc w:val="center"/>
              <w:rPr>
                <w:rFonts w:ascii="Arial Narrow" w:hAnsi="Arial Narrow" w:cs="Arial"/>
                <w:sz w:val="20"/>
                <w:szCs w:val="20"/>
              </w:rPr>
            </w:pPr>
          </w:p>
        </w:tc>
      </w:tr>
      <w:tr w:rsidR="003B1887" w:rsidRPr="00D97B31" w:rsidTr="0028338E">
        <w:tc>
          <w:tcPr>
            <w:tcW w:w="3539" w:type="dxa"/>
            <w:vAlign w:val="center"/>
          </w:tcPr>
          <w:p w:rsidR="003B1887" w:rsidRPr="00D97B31" w:rsidRDefault="003B1887" w:rsidP="00543A1C">
            <w:pPr>
              <w:keepNext/>
              <w:keepLines/>
              <w:tabs>
                <w:tab w:val="left" w:pos="142"/>
              </w:tabs>
              <w:jc w:val="left"/>
              <w:rPr>
                <w:rFonts w:ascii="Arial Narrow" w:hAnsi="Arial Narrow"/>
                <w:sz w:val="20"/>
                <w:szCs w:val="20"/>
              </w:rPr>
            </w:pPr>
            <w:r w:rsidRPr="00D97B31">
              <w:rPr>
                <w:rFonts w:ascii="Arial Narrow" w:hAnsi="Arial Narrow"/>
                <w:sz w:val="20"/>
                <w:szCs w:val="20"/>
              </w:rPr>
              <w:tab/>
              <w:t>HR (95% CI)</w:t>
            </w:r>
          </w:p>
        </w:tc>
        <w:tc>
          <w:tcPr>
            <w:tcW w:w="2835" w:type="dxa"/>
            <w:gridSpan w:val="2"/>
            <w:tcBorders>
              <w:right w:val="double" w:sz="4" w:space="0" w:color="auto"/>
            </w:tcBorders>
            <w:vAlign w:val="center"/>
          </w:tcPr>
          <w:p w:rsidR="003B1887" w:rsidRPr="00D97B31" w:rsidRDefault="003B1887" w:rsidP="00543A1C">
            <w:pPr>
              <w:keepNext/>
              <w:keepLines/>
              <w:jc w:val="center"/>
              <w:rPr>
                <w:rFonts w:ascii="Arial Narrow" w:hAnsi="Arial Narrow"/>
                <w:b/>
                <w:sz w:val="20"/>
                <w:szCs w:val="20"/>
              </w:rPr>
            </w:pPr>
            <w:r w:rsidRPr="00D97B31">
              <w:rPr>
                <w:rFonts w:ascii="Arial Narrow" w:hAnsi="Arial Narrow"/>
                <w:b/>
                <w:sz w:val="20"/>
                <w:szCs w:val="20"/>
              </w:rPr>
              <w:t>0.65 (0.53, 0.79)</w:t>
            </w:r>
          </w:p>
        </w:tc>
        <w:tc>
          <w:tcPr>
            <w:tcW w:w="2835" w:type="dxa"/>
            <w:gridSpan w:val="2"/>
            <w:vMerge/>
            <w:tcBorders>
              <w:left w:val="double" w:sz="4" w:space="0" w:color="auto"/>
            </w:tcBorders>
            <w:vAlign w:val="center"/>
          </w:tcPr>
          <w:p w:rsidR="003B1887" w:rsidRPr="00D97B31" w:rsidRDefault="003B1887" w:rsidP="00543A1C">
            <w:pPr>
              <w:keepNext/>
              <w:keepLines/>
              <w:jc w:val="center"/>
              <w:rPr>
                <w:rFonts w:ascii="Arial Narrow" w:hAnsi="Arial Narrow"/>
                <w:bCs/>
                <w:sz w:val="20"/>
                <w:szCs w:val="20"/>
              </w:rPr>
            </w:pPr>
          </w:p>
        </w:tc>
      </w:tr>
    </w:tbl>
    <w:p w:rsidR="003B1887" w:rsidRPr="00D97B31" w:rsidRDefault="003B1887" w:rsidP="00543A1C">
      <w:pPr>
        <w:pStyle w:val="TableFooter"/>
        <w:keepNext/>
        <w:keepLines/>
        <w:ind w:left="165" w:hanging="165"/>
      </w:pPr>
      <w:r w:rsidRPr="00D97B31">
        <w:t>Source:</w:t>
      </w:r>
      <w:r w:rsidR="007D6522" w:rsidRPr="00D97B31">
        <w:t xml:space="preserve"> </w:t>
      </w:r>
      <w:r w:rsidRPr="00D97B31">
        <w:t>Table 2-18, p79 of the submission.</w:t>
      </w:r>
    </w:p>
    <w:p w:rsidR="00A772DC" w:rsidRPr="00D97B31" w:rsidRDefault="003B1887" w:rsidP="00543A1C">
      <w:pPr>
        <w:pStyle w:val="TableFooter"/>
        <w:keepNext/>
        <w:keepLines/>
      </w:pPr>
      <w:r w:rsidRPr="00D97B31">
        <w:t xml:space="preserve">CI=confidence interval; HR=hazard ratio; MFS=metastasis-free survival; OS=overall survival; NE=not estimable; SOC=standard of care; </w:t>
      </w:r>
      <w:r w:rsidRPr="00D97B31">
        <w:rPr>
          <w:b/>
        </w:rPr>
        <w:t>bold</w:t>
      </w:r>
      <w:r w:rsidRPr="00D97B31">
        <w:t>=statistically significant</w:t>
      </w:r>
    </w:p>
    <w:p w:rsidR="003B1887" w:rsidRPr="00D97B31" w:rsidRDefault="003B1887" w:rsidP="00543A1C">
      <w:pPr>
        <w:pStyle w:val="3-BodyText"/>
        <w:keepNext/>
        <w:keepLines/>
        <w:numPr>
          <w:ilvl w:val="0"/>
          <w:numId w:val="0"/>
        </w:numPr>
        <w:tabs>
          <w:tab w:val="left" w:pos="142"/>
        </w:tabs>
        <w:rPr>
          <w:rFonts w:ascii="Arial Narrow" w:hAnsi="Arial Narrow"/>
          <w:sz w:val="18"/>
          <w:szCs w:val="18"/>
        </w:rPr>
      </w:pPr>
      <w:r w:rsidRPr="00D97B31">
        <w:rPr>
          <w:rFonts w:ascii="Arial Narrow" w:hAnsi="Arial Narrow"/>
          <w:sz w:val="18"/>
          <w:szCs w:val="18"/>
          <w:vertAlign w:val="superscript"/>
        </w:rPr>
        <w:t>a</w:t>
      </w:r>
      <w:r w:rsidRPr="00D97B31">
        <w:rPr>
          <w:rFonts w:ascii="Arial Narrow" w:hAnsi="Arial Narrow"/>
          <w:sz w:val="18"/>
          <w:szCs w:val="18"/>
        </w:rPr>
        <w:tab/>
        <w:t>Not statistically significant given the pre-specified alpha significance level for the analysis was 0.0005.</w:t>
      </w:r>
    </w:p>
    <w:p w:rsidR="003B1887" w:rsidRPr="00D97B31" w:rsidRDefault="005355A6" w:rsidP="00543A1C">
      <w:pPr>
        <w:pStyle w:val="3-BodyText"/>
      </w:pPr>
      <w:r w:rsidRPr="00D97B31">
        <w:t xml:space="preserve">The </w:t>
      </w:r>
      <w:r w:rsidR="007838E3" w:rsidRPr="00D97B31">
        <w:t xml:space="preserve">censored </w:t>
      </w:r>
      <w:r w:rsidRPr="00D97B31">
        <w:t>analysis of MFS</w:t>
      </w:r>
      <w:r w:rsidR="007838E3" w:rsidRPr="00D97B31">
        <w:t xml:space="preserve">, corrected for misclassification, </w:t>
      </w:r>
      <w:r w:rsidRPr="00D97B31">
        <w:t xml:space="preserve">showed a statistically significant improvement for darolutamide compared to SOC, demonstrating a </w:t>
      </w:r>
      <w:r w:rsidR="007838E3" w:rsidRPr="00D97B31">
        <w:t>64</w:t>
      </w:r>
      <w:r w:rsidRPr="00D97B31">
        <w:t>% reduction in the risk of developing distant metastasis or death (HR=</w:t>
      </w:r>
      <w:r w:rsidR="007838E3" w:rsidRPr="00D97B31">
        <w:t>0.356; 95% CI: 0.29, 0.44</w:t>
      </w:r>
      <w:r w:rsidRPr="00D97B31">
        <w:t>).</w:t>
      </w:r>
      <w:r w:rsidR="007D6522" w:rsidRPr="00D97B31">
        <w:t xml:space="preserve"> </w:t>
      </w:r>
      <w:r w:rsidRPr="00D97B31">
        <w:t xml:space="preserve">The median months to metastasis was approximately </w:t>
      </w:r>
      <w:r w:rsidR="008D5B40" w:rsidRPr="00D97B31">
        <w:t>18</w:t>
      </w:r>
      <w:r w:rsidRPr="00D97B31">
        <w:t xml:space="preserve"> months </w:t>
      </w:r>
      <w:r w:rsidR="00704C5A" w:rsidRPr="00D97B31">
        <w:t xml:space="preserve">longer </w:t>
      </w:r>
      <w:r w:rsidRPr="00D97B31">
        <w:t>for darolutamide</w:t>
      </w:r>
      <w:r w:rsidR="00704C5A" w:rsidRPr="00D97B31">
        <w:t xml:space="preserve"> compared to SOC</w:t>
      </w:r>
      <w:r w:rsidRPr="00D97B31">
        <w:t>.</w:t>
      </w:r>
      <w:r w:rsidR="007D6522" w:rsidRPr="00D97B31">
        <w:t xml:space="preserve"> </w:t>
      </w:r>
    </w:p>
    <w:p w:rsidR="00744367" w:rsidRPr="00D97B31" w:rsidRDefault="006666D0" w:rsidP="00543A1C">
      <w:pPr>
        <w:pStyle w:val="3-BodyText"/>
      </w:pPr>
      <w:r w:rsidRPr="00D97B31">
        <w:t xml:space="preserve">The Kaplan Meier plots for MFS, for both the uncensored and censored analyses (correcting for patient misclassification) are provided </w:t>
      </w:r>
      <w:r w:rsidR="008F5B0D">
        <w:t>in Figure 1</w:t>
      </w:r>
      <w:r w:rsidRPr="00D97B31">
        <w:t>.</w:t>
      </w:r>
    </w:p>
    <w:p w:rsidR="006666D0" w:rsidRPr="00D97B31" w:rsidRDefault="006666D0" w:rsidP="00B70D74">
      <w:pPr>
        <w:pStyle w:val="3-BodyText"/>
        <w:keepNext/>
        <w:keepLines/>
        <w:numPr>
          <w:ilvl w:val="0"/>
          <w:numId w:val="0"/>
        </w:numPr>
        <w:spacing w:after="0"/>
        <w:rPr>
          <w:rFonts w:ascii="Arial Narrow" w:hAnsi="Arial Narrow"/>
          <w:b/>
          <w:bCs/>
        </w:rPr>
      </w:pPr>
      <w:r w:rsidRPr="00D97B31">
        <w:rPr>
          <w:rFonts w:ascii="Arial Narrow" w:hAnsi="Arial Narrow"/>
          <w:b/>
          <w:bCs/>
          <w:sz w:val="20"/>
          <w:szCs w:val="20"/>
        </w:rPr>
        <w:t xml:space="preserve">Figure </w:t>
      </w:r>
      <w:r w:rsidR="003813D7" w:rsidRPr="00D97B31">
        <w:rPr>
          <w:rFonts w:ascii="Arial Narrow" w:hAnsi="Arial Narrow"/>
          <w:b/>
          <w:bCs/>
          <w:sz w:val="20"/>
          <w:szCs w:val="20"/>
        </w:rPr>
        <w:t>1</w:t>
      </w:r>
      <w:r w:rsidRPr="00D97B31">
        <w:rPr>
          <w:rFonts w:ascii="Arial Narrow" w:hAnsi="Arial Narrow"/>
          <w:b/>
          <w:bCs/>
          <w:sz w:val="20"/>
          <w:szCs w:val="20"/>
        </w:rPr>
        <w:t>:</w:t>
      </w:r>
      <w:r w:rsidR="007D6522" w:rsidRPr="00D97B31">
        <w:rPr>
          <w:rFonts w:ascii="Arial Narrow" w:hAnsi="Arial Narrow"/>
          <w:b/>
          <w:bCs/>
          <w:sz w:val="20"/>
          <w:szCs w:val="20"/>
        </w:rPr>
        <w:t xml:space="preserve"> </w:t>
      </w:r>
      <w:r w:rsidRPr="00D97B31">
        <w:rPr>
          <w:rFonts w:ascii="Arial Narrow" w:hAnsi="Arial Narrow"/>
          <w:b/>
          <w:bCs/>
          <w:sz w:val="20"/>
          <w:szCs w:val="20"/>
        </w:rPr>
        <w:t>Kaplan Meier curves for MFS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Figure 1: Kaplan Meier curves for MFS"/>
        <w:tblDescription w:val="Figure 1: Kaplan Meier curves for MFS"/>
      </w:tblPr>
      <w:tblGrid>
        <w:gridCol w:w="4564"/>
        <w:gridCol w:w="4274"/>
      </w:tblGrid>
      <w:tr w:rsidR="00F423CF" w:rsidRPr="00D97B31" w:rsidTr="00E134F7">
        <w:tc>
          <w:tcPr>
            <w:tcW w:w="4564" w:type="dxa"/>
          </w:tcPr>
          <w:p w:rsidR="00F423CF" w:rsidRPr="00D97B31" w:rsidRDefault="00F423CF" w:rsidP="00B70D74">
            <w:pPr>
              <w:keepNext/>
              <w:keepLines/>
              <w:widowControl w:val="0"/>
            </w:pPr>
            <w:r w:rsidRPr="00D97B31">
              <w:rPr>
                <w:rFonts w:ascii="Arial Narrow" w:hAnsi="Arial Narrow"/>
                <w:b/>
                <w:sz w:val="20"/>
                <w:szCs w:val="20"/>
              </w:rPr>
              <w:t>A: Uncensored</w:t>
            </w:r>
          </w:p>
        </w:tc>
        <w:tc>
          <w:tcPr>
            <w:tcW w:w="4274" w:type="dxa"/>
          </w:tcPr>
          <w:p w:rsidR="00F423CF" w:rsidRPr="00D97B31" w:rsidRDefault="00F423CF" w:rsidP="00B70D74">
            <w:pPr>
              <w:keepNext/>
              <w:keepLines/>
              <w:widowControl w:val="0"/>
            </w:pPr>
            <w:r w:rsidRPr="00D97B31">
              <w:rPr>
                <w:rFonts w:ascii="Arial Narrow" w:hAnsi="Arial Narrow"/>
                <w:b/>
                <w:sz w:val="20"/>
                <w:szCs w:val="20"/>
              </w:rPr>
              <w:t>B: Censored (corrected for patient misclassification)</w:t>
            </w:r>
          </w:p>
        </w:tc>
      </w:tr>
      <w:tr w:rsidR="00F423CF" w:rsidRPr="00D97B31" w:rsidTr="00E134F7">
        <w:tc>
          <w:tcPr>
            <w:tcW w:w="4564" w:type="dxa"/>
          </w:tcPr>
          <w:p w:rsidR="00F423CF" w:rsidRPr="00D97B31" w:rsidRDefault="00F423CF" w:rsidP="00B70D74">
            <w:pPr>
              <w:keepNext/>
              <w:keepLines/>
            </w:pPr>
            <w:r w:rsidRPr="00D97B31">
              <w:rPr>
                <w:noProof/>
                <w:lang w:eastAsia="en-AU"/>
              </w:rPr>
              <w:drawing>
                <wp:inline distT="0" distB="0" distL="0" distR="0" wp14:anchorId="2700F613" wp14:editId="6AECFA43">
                  <wp:extent cx="2720051" cy="1863090"/>
                  <wp:effectExtent l="0" t="0" r="4445" b="3810"/>
                  <wp:docPr id="15" name="Picture 15" title="A: Uncens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2774742" cy="1900550"/>
                          </a:xfrm>
                          <a:prstGeom prst="rect">
                            <a:avLst/>
                          </a:prstGeom>
                        </pic:spPr>
                      </pic:pic>
                    </a:graphicData>
                  </a:graphic>
                </wp:inline>
              </w:drawing>
            </w:r>
          </w:p>
        </w:tc>
        <w:tc>
          <w:tcPr>
            <w:tcW w:w="4274" w:type="dxa"/>
          </w:tcPr>
          <w:p w:rsidR="00F423CF" w:rsidRPr="00D97B31" w:rsidRDefault="00F423CF" w:rsidP="00B70D74">
            <w:pPr>
              <w:keepNext/>
              <w:keepLines/>
            </w:pPr>
            <w:r w:rsidRPr="00D97B31">
              <w:rPr>
                <w:noProof/>
                <w:lang w:eastAsia="en-AU"/>
              </w:rPr>
              <w:drawing>
                <wp:inline distT="0" distB="0" distL="0" distR="0" wp14:anchorId="2049C17F" wp14:editId="4890E101">
                  <wp:extent cx="2533734" cy="1863090"/>
                  <wp:effectExtent l="0" t="0" r="0" b="3810"/>
                  <wp:docPr id="21" name="Picture 21" title="B: Censored (corrected for patient mis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580396" cy="1897401"/>
                          </a:xfrm>
                          <a:prstGeom prst="rect">
                            <a:avLst/>
                          </a:prstGeom>
                        </pic:spPr>
                      </pic:pic>
                    </a:graphicData>
                  </a:graphic>
                </wp:inline>
              </w:drawing>
            </w:r>
          </w:p>
        </w:tc>
      </w:tr>
      <w:tr w:rsidR="00F423CF" w:rsidRPr="00D97B31" w:rsidTr="00E134F7">
        <w:tc>
          <w:tcPr>
            <w:tcW w:w="4564" w:type="dxa"/>
          </w:tcPr>
          <w:p w:rsidR="00F423CF" w:rsidRPr="00D97B31" w:rsidRDefault="00F423CF" w:rsidP="00B70D74">
            <w:pPr>
              <w:pStyle w:val="TableFooter"/>
              <w:keepNext/>
              <w:keepLines/>
              <w:widowControl w:val="0"/>
            </w:pPr>
            <w:r w:rsidRPr="00D97B31">
              <w:t>Source:</w:t>
            </w:r>
            <w:r w:rsidR="007D6522" w:rsidRPr="00D97B31">
              <w:t xml:space="preserve"> </w:t>
            </w:r>
            <w:r w:rsidRPr="00D97B31">
              <w:t>Figure 2.8, p75 of the submission.</w:t>
            </w:r>
          </w:p>
        </w:tc>
        <w:tc>
          <w:tcPr>
            <w:tcW w:w="4274" w:type="dxa"/>
          </w:tcPr>
          <w:p w:rsidR="00F423CF" w:rsidRPr="00D97B31" w:rsidRDefault="00F423CF" w:rsidP="00B70D74">
            <w:pPr>
              <w:pStyle w:val="TableFooter"/>
              <w:keepNext/>
              <w:keepLines/>
              <w:widowControl w:val="0"/>
            </w:pPr>
            <w:r w:rsidRPr="00D97B31">
              <w:t>Source: Figure 2-32, p130 of the submission.</w:t>
            </w:r>
          </w:p>
        </w:tc>
      </w:tr>
    </w:tbl>
    <w:p w:rsidR="006666D0" w:rsidRPr="00D97B31" w:rsidRDefault="006666D0" w:rsidP="006666D0">
      <w:pPr>
        <w:pStyle w:val="3-BodyText"/>
        <w:numPr>
          <w:ilvl w:val="0"/>
          <w:numId w:val="0"/>
        </w:numPr>
      </w:pPr>
    </w:p>
    <w:p w:rsidR="002C2775" w:rsidRPr="00D97B31" w:rsidRDefault="008607B6" w:rsidP="00EC5836">
      <w:pPr>
        <w:pStyle w:val="3-BodyText"/>
      </w:pPr>
      <w:r w:rsidRPr="00D97B31">
        <w:t xml:space="preserve">The ESC noted that </w:t>
      </w:r>
      <w:r w:rsidR="007A348A" w:rsidRPr="00D97B31">
        <w:t xml:space="preserve">the interim analysis for OS (median follow-up of 17.9 months) indicated no statistically significant advantage for darolutamide as the pre-specified alpha significance level </w:t>
      </w:r>
      <w:r w:rsidR="00492072" w:rsidRPr="00D97B31">
        <w:t>of</w:t>
      </w:r>
      <w:r w:rsidR="007A348A" w:rsidRPr="00D97B31">
        <w:t xml:space="preserve"> 0.0005 (to take into account alpha spent with multiple comparisons)</w:t>
      </w:r>
      <w:r w:rsidR="00492072" w:rsidRPr="00D97B31">
        <w:t xml:space="preserve"> was not met</w:t>
      </w:r>
      <w:r w:rsidR="0004361E" w:rsidRPr="00D97B31">
        <w:t xml:space="preserve">. In </w:t>
      </w:r>
      <w:r w:rsidR="007A348A" w:rsidRPr="00D97B31">
        <w:t xml:space="preserve">the updated analysis (median follow-up </w:t>
      </w:r>
      <w:r w:rsidR="00DA22D4" w:rsidRPr="00D97B31">
        <w:t xml:space="preserve">of </w:t>
      </w:r>
      <w:r w:rsidR="007A348A" w:rsidRPr="00D97B31">
        <w:t xml:space="preserve">29.1 months) the </w:t>
      </w:r>
      <w:r w:rsidR="0004361E" w:rsidRPr="00D97B31">
        <w:t xml:space="preserve">planned </w:t>
      </w:r>
      <w:r w:rsidR="007A348A" w:rsidRPr="00D97B31">
        <w:t>number of events</w:t>
      </w:r>
      <w:r w:rsidR="00492072" w:rsidRPr="00D97B31">
        <w:t xml:space="preserve"> (</w:t>
      </w:r>
      <w:r w:rsidR="007A348A" w:rsidRPr="00D97B31">
        <w:t>240</w:t>
      </w:r>
      <w:r w:rsidR="00492072" w:rsidRPr="00D97B31">
        <w:t>) was reached</w:t>
      </w:r>
      <w:r w:rsidR="007A348A" w:rsidRPr="00D97B31">
        <w:t xml:space="preserve"> and the pre-specified significance level </w:t>
      </w:r>
      <w:r w:rsidR="00492072" w:rsidRPr="00D97B31">
        <w:t xml:space="preserve">of </w:t>
      </w:r>
      <w:r w:rsidR="0004361E" w:rsidRPr="00D97B31">
        <w:t>0.05</w:t>
      </w:r>
      <w:r w:rsidR="00492072" w:rsidRPr="00D97B31">
        <w:t xml:space="preserve"> </w:t>
      </w:r>
      <w:r w:rsidR="007A348A" w:rsidRPr="00D97B31">
        <w:t>was met (HR=0.685; 95% CI: 0.533, 0.881; p=0.003).</w:t>
      </w:r>
      <w:r w:rsidR="007D6522" w:rsidRPr="00D97B31">
        <w:t xml:space="preserve"> </w:t>
      </w:r>
      <w:r w:rsidR="00F423CF" w:rsidRPr="00D97B31">
        <w:t xml:space="preserve">The Kaplan Meier plot for the updated analysis is provided </w:t>
      </w:r>
      <w:r w:rsidR="00BC78B4">
        <w:t>in Figure 2</w:t>
      </w:r>
      <w:r w:rsidR="00F423CF" w:rsidRPr="00D97B31">
        <w:t>.</w:t>
      </w:r>
    </w:p>
    <w:p w:rsidR="00F423CF" w:rsidRPr="00D97B31" w:rsidRDefault="00F423CF" w:rsidP="00E87C6E">
      <w:pPr>
        <w:pStyle w:val="3-BodyText"/>
        <w:numPr>
          <w:ilvl w:val="0"/>
          <w:numId w:val="0"/>
        </w:numPr>
        <w:spacing w:after="0"/>
        <w:rPr>
          <w:rFonts w:ascii="Arial Narrow" w:hAnsi="Arial Narrow"/>
          <w:b/>
          <w:bCs/>
        </w:rPr>
      </w:pPr>
      <w:r w:rsidRPr="00D97B31">
        <w:rPr>
          <w:rFonts w:ascii="Arial Narrow" w:hAnsi="Arial Narrow"/>
          <w:b/>
          <w:bCs/>
          <w:sz w:val="20"/>
          <w:szCs w:val="20"/>
        </w:rPr>
        <w:t xml:space="preserve">Figure </w:t>
      </w:r>
      <w:r w:rsidR="003813D7" w:rsidRPr="00D97B31">
        <w:rPr>
          <w:rFonts w:ascii="Arial Narrow" w:hAnsi="Arial Narrow"/>
          <w:b/>
          <w:bCs/>
          <w:sz w:val="20"/>
          <w:szCs w:val="20"/>
        </w:rPr>
        <w:t>2</w:t>
      </w:r>
      <w:r w:rsidRPr="00D97B31">
        <w:rPr>
          <w:rFonts w:ascii="Arial Narrow" w:hAnsi="Arial Narrow"/>
          <w:b/>
          <w:bCs/>
          <w:sz w:val="20"/>
          <w:szCs w:val="20"/>
        </w:rPr>
        <w:t>:</w:t>
      </w:r>
      <w:r w:rsidR="007D6522" w:rsidRPr="00D97B31">
        <w:rPr>
          <w:rFonts w:ascii="Arial Narrow" w:hAnsi="Arial Narrow"/>
          <w:b/>
          <w:bCs/>
          <w:sz w:val="20"/>
          <w:szCs w:val="20"/>
        </w:rPr>
        <w:t xml:space="preserve"> </w:t>
      </w:r>
      <w:r w:rsidRPr="00D97B31">
        <w:rPr>
          <w:rFonts w:ascii="Arial Narrow" w:hAnsi="Arial Narrow"/>
          <w:b/>
          <w:bCs/>
          <w:sz w:val="20"/>
          <w:szCs w:val="20"/>
        </w:rPr>
        <w:t>Kaplan Meier curve for OS – updated analysis</w:t>
      </w:r>
    </w:p>
    <w:p w:rsidR="00F423CF" w:rsidRPr="00D97B31" w:rsidRDefault="00F423CF" w:rsidP="00E87C6E">
      <w:pPr>
        <w:pStyle w:val="3-BodyText"/>
        <w:numPr>
          <w:ilvl w:val="0"/>
          <w:numId w:val="0"/>
        </w:numPr>
        <w:spacing w:after="0"/>
      </w:pPr>
      <w:r w:rsidRPr="00D97B31">
        <w:rPr>
          <w:noProof/>
        </w:rPr>
        <w:drawing>
          <wp:inline distT="0" distB="0" distL="0" distR="0" wp14:anchorId="7914C238" wp14:editId="2C6BDCE6">
            <wp:extent cx="5143500" cy="3295650"/>
            <wp:effectExtent l="0" t="0" r="0" b="0"/>
            <wp:docPr id="23" name="Image 1" descr="f_14_2_2_f1_adtte_os_key21"/>
            <wp:cNvGraphicFramePr/>
            <a:graphic xmlns:a="http://schemas.openxmlformats.org/drawingml/2006/main">
              <a:graphicData uri="http://schemas.openxmlformats.org/drawingml/2006/picture">
                <pic:pic xmlns:pic="http://schemas.openxmlformats.org/drawingml/2006/picture">
                  <pic:nvPicPr>
                    <pic:cNvPr id="1" name="Image 1" descr="f_14_2_2_f1_adtte_os_key2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50017" cy="3299826"/>
                    </a:xfrm>
                    <a:prstGeom prst="rect">
                      <a:avLst/>
                    </a:prstGeom>
                    <a:noFill/>
                    <a:ln>
                      <a:noFill/>
                    </a:ln>
                  </pic:spPr>
                </pic:pic>
              </a:graphicData>
            </a:graphic>
          </wp:inline>
        </w:drawing>
      </w:r>
    </w:p>
    <w:p w:rsidR="00F423CF" w:rsidRPr="00D97B31" w:rsidRDefault="00F423CF" w:rsidP="00E87C6E">
      <w:pPr>
        <w:pStyle w:val="TableFooter"/>
      </w:pPr>
      <w:r w:rsidRPr="00D97B31">
        <w:t>Source: Figure 2.11, p77 of the submission.</w:t>
      </w:r>
    </w:p>
    <w:p w:rsidR="00DA3167" w:rsidRPr="00D97B31" w:rsidRDefault="007A348A" w:rsidP="00EC5836">
      <w:pPr>
        <w:pStyle w:val="3-BodyText"/>
      </w:pPr>
      <w:r w:rsidRPr="00D97B31">
        <w:t xml:space="preserve">Patients in the SOC arm </w:t>
      </w:r>
      <w:r w:rsidR="00C977AC" w:rsidRPr="00D97B31">
        <w:t xml:space="preserve">who experienced progression </w:t>
      </w:r>
      <w:r w:rsidRPr="00D97B31">
        <w:t>were allowed to crossover to the darolutamide arm</w:t>
      </w:r>
      <w:r w:rsidR="00C977AC" w:rsidRPr="00D97B31">
        <w:t>. A</w:t>
      </w:r>
      <w:r w:rsidRPr="00D97B31">
        <w:t>t the time of the updated analysis</w:t>
      </w:r>
      <w:r w:rsidR="00C977AC" w:rsidRPr="00D97B31">
        <w:t>,</w:t>
      </w:r>
      <w:r w:rsidRPr="00D97B31">
        <w:t xml:space="preserve"> 170</w:t>
      </w:r>
      <w:r w:rsidR="00996B7C" w:rsidRPr="00D97B31">
        <w:t>/</w:t>
      </w:r>
      <w:r w:rsidRPr="00D97B31">
        <w:t xml:space="preserve">554 SOC-treated patients (30.7%) had </w:t>
      </w:r>
      <w:r w:rsidR="003C0E7E" w:rsidRPr="00D97B31">
        <w:t>crossed over</w:t>
      </w:r>
      <w:r w:rsidRPr="00D97B31">
        <w:t>.</w:t>
      </w:r>
      <w:r w:rsidR="007D6522" w:rsidRPr="00D97B31">
        <w:t xml:space="preserve"> </w:t>
      </w:r>
      <w:r w:rsidRPr="00D97B31">
        <w:t>To account for potential confounding, the submission provided adjusted analyses, using iterative parameter estimation (IPE) and rank preserving structural failure time (RPSFT) analyses.</w:t>
      </w:r>
      <w:r w:rsidR="007D6522" w:rsidRPr="00D97B31">
        <w:t xml:space="preserve"> </w:t>
      </w:r>
      <w:r w:rsidRPr="00D97B31">
        <w:t xml:space="preserve">Results for the crossover adjusted </w:t>
      </w:r>
      <w:r w:rsidR="004903EB" w:rsidRPr="00D97B31">
        <w:t>analyses are</w:t>
      </w:r>
      <w:r w:rsidRPr="00D97B31">
        <w:t xml:space="preserve"> provided in </w:t>
      </w:r>
      <w:r w:rsidR="00A26D31">
        <w:t>Table 6</w:t>
      </w:r>
      <w:r w:rsidRPr="00D97B31">
        <w:t>.</w:t>
      </w:r>
    </w:p>
    <w:p w:rsidR="007A348A" w:rsidRPr="00D97B31" w:rsidRDefault="00657B87" w:rsidP="00F423CF">
      <w:pPr>
        <w:pStyle w:val="3-BodyText"/>
        <w:keepNext/>
        <w:numPr>
          <w:ilvl w:val="0"/>
          <w:numId w:val="0"/>
        </w:numPr>
        <w:spacing w:after="0"/>
        <w:rPr>
          <w:rFonts w:ascii="Arial Narrow" w:hAnsi="Arial Narrow"/>
          <w:b/>
          <w:sz w:val="20"/>
          <w:szCs w:val="20"/>
        </w:rPr>
      </w:pPr>
      <w:r w:rsidRPr="00D97B31">
        <w:rPr>
          <w:rFonts w:ascii="Arial Narrow" w:hAnsi="Arial Narrow"/>
          <w:b/>
          <w:sz w:val="20"/>
          <w:szCs w:val="20"/>
        </w:rPr>
        <w:t xml:space="preserve">Table </w:t>
      </w:r>
      <w:r w:rsidR="003813D7" w:rsidRPr="00D97B31">
        <w:rPr>
          <w:rFonts w:ascii="Arial Narrow" w:hAnsi="Arial Narrow"/>
          <w:b/>
          <w:sz w:val="20"/>
          <w:szCs w:val="20"/>
        </w:rPr>
        <w:t>6</w:t>
      </w:r>
      <w:r w:rsidRPr="00D97B31">
        <w:rPr>
          <w:rFonts w:ascii="Arial Narrow" w:hAnsi="Arial Narrow"/>
          <w:b/>
          <w:sz w:val="20"/>
          <w:szCs w:val="20"/>
        </w:rPr>
        <w:t>:</w:t>
      </w:r>
      <w:r w:rsidR="007D6522" w:rsidRPr="00D97B31">
        <w:rPr>
          <w:rFonts w:ascii="Arial Narrow" w:hAnsi="Arial Narrow"/>
          <w:b/>
          <w:sz w:val="20"/>
          <w:szCs w:val="20"/>
        </w:rPr>
        <w:t xml:space="preserve"> </w:t>
      </w:r>
      <w:r w:rsidRPr="00D97B31">
        <w:rPr>
          <w:rFonts w:ascii="Arial Narrow" w:hAnsi="Arial Narrow"/>
          <w:b/>
          <w:sz w:val="20"/>
          <w:szCs w:val="20"/>
        </w:rPr>
        <w:t>Crossover adjusted OS analyses in ARAMIS</w:t>
      </w:r>
    </w:p>
    <w:tbl>
      <w:tblPr>
        <w:tblStyle w:val="TableGrid"/>
        <w:tblW w:w="9067" w:type="dxa"/>
        <w:tblCellMar>
          <w:left w:w="28" w:type="dxa"/>
          <w:right w:w="28" w:type="dxa"/>
        </w:tblCellMar>
        <w:tblLook w:val="04A0" w:firstRow="1" w:lastRow="0" w:firstColumn="1" w:lastColumn="0" w:noHBand="0" w:noVBand="1"/>
        <w:tblCaption w:val="Table 6: Crossover adjusted OS analyses in ARAMIS"/>
      </w:tblPr>
      <w:tblGrid>
        <w:gridCol w:w="3964"/>
        <w:gridCol w:w="2552"/>
        <w:gridCol w:w="2551"/>
      </w:tblGrid>
      <w:tr w:rsidR="00657B87" w:rsidRPr="00D97B31" w:rsidTr="0028338E">
        <w:trPr>
          <w:tblHeader/>
        </w:trPr>
        <w:tc>
          <w:tcPr>
            <w:tcW w:w="3964" w:type="dxa"/>
            <w:tcBorders>
              <w:bottom w:val="single" w:sz="4" w:space="0" w:color="auto"/>
            </w:tcBorders>
            <w:vAlign w:val="center"/>
          </w:tcPr>
          <w:p w:rsidR="00657B87" w:rsidRPr="00D97B31" w:rsidRDefault="00657B87" w:rsidP="00F423CF">
            <w:pPr>
              <w:keepNext/>
              <w:tabs>
                <w:tab w:val="left" w:pos="142"/>
              </w:tabs>
              <w:jc w:val="left"/>
              <w:rPr>
                <w:rFonts w:ascii="Arial Narrow" w:hAnsi="Arial Narrow"/>
                <w:b/>
                <w:sz w:val="20"/>
                <w:szCs w:val="20"/>
              </w:rPr>
            </w:pPr>
          </w:p>
        </w:tc>
        <w:tc>
          <w:tcPr>
            <w:tcW w:w="2552" w:type="dxa"/>
            <w:tcBorders>
              <w:bottom w:val="single" w:sz="4" w:space="0" w:color="auto"/>
            </w:tcBorders>
            <w:vAlign w:val="center"/>
          </w:tcPr>
          <w:p w:rsidR="00657B87" w:rsidRPr="00D97B31" w:rsidRDefault="00657B87" w:rsidP="00F423CF">
            <w:pPr>
              <w:keepNext/>
              <w:jc w:val="center"/>
              <w:rPr>
                <w:rFonts w:ascii="Arial Narrow" w:hAnsi="Arial Narrow"/>
                <w:b/>
                <w:sz w:val="20"/>
                <w:szCs w:val="20"/>
              </w:rPr>
            </w:pPr>
            <w:r w:rsidRPr="00D97B31">
              <w:rPr>
                <w:rFonts w:ascii="Arial Narrow" w:hAnsi="Arial Narrow"/>
                <w:b/>
                <w:sz w:val="20"/>
                <w:szCs w:val="20"/>
              </w:rPr>
              <w:t>Darolutamide (N=955)</w:t>
            </w:r>
          </w:p>
        </w:tc>
        <w:tc>
          <w:tcPr>
            <w:tcW w:w="2551" w:type="dxa"/>
            <w:tcBorders>
              <w:bottom w:val="single" w:sz="4" w:space="0" w:color="auto"/>
              <w:right w:val="single" w:sz="4" w:space="0" w:color="auto"/>
            </w:tcBorders>
            <w:vAlign w:val="center"/>
          </w:tcPr>
          <w:p w:rsidR="00657B87" w:rsidRPr="00D97B31" w:rsidRDefault="00657B87" w:rsidP="00F423CF">
            <w:pPr>
              <w:keepNext/>
              <w:jc w:val="center"/>
              <w:rPr>
                <w:rFonts w:ascii="Arial Narrow" w:hAnsi="Arial Narrow"/>
                <w:b/>
                <w:sz w:val="20"/>
                <w:szCs w:val="20"/>
              </w:rPr>
            </w:pPr>
            <w:r w:rsidRPr="00D97B31">
              <w:rPr>
                <w:rFonts w:ascii="Arial Narrow" w:hAnsi="Arial Narrow"/>
                <w:b/>
                <w:sz w:val="20"/>
                <w:szCs w:val="20"/>
              </w:rPr>
              <w:t>SOC (N=554)</w:t>
            </w:r>
          </w:p>
        </w:tc>
      </w:tr>
      <w:tr w:rsidR="00657B87" w:rsidRPr="00D97B31" w:rsidTr="0028338E">
        <w:tc>
          <w:tcPr>
            <w:tcW w:w="3964" w:type="dxa"/>
            <w:vAlign w:val="center"/>
          </w:tcPr>
          <w:p w:rsidR="00657B87" w:rsidRPr="00D97B31" w:rsidRDefault="00657B87" w:rsidP="007953F2">
            <w:pPr>
              <w:tabs>
                <w:tab w:val="left" w:pos="142"/>
              </w:tabs>
              <w:jc w:val="left"/>
              <w:rPr>
                <w:rFonts w:ascii="Arial Narrow" w:hAnsi="Arial Narrow"/>
                <w:b/>
                <w:bCs/>
                <w:sz w:val="20"/>
                <w:szCs w:val="20"/>
              </w:rPr>
            </w:pPr>
            <w:r w:rsidRPr="00D97B31">
              <w:rPr>
                <w:rFonts w:ascii="Arial Narrow" w:hAnsi="Arial Narrow"/>
                <w:b/>
                <w:bCs/>
                <w:sz w:val="20"/>
                <w:szCs w:val="20"/>
              </w:rPr>
              <w:t xml:space="preserve">IPE </w:t>
            </w:r>
            <w:r w:rsidRPr="00D97B31">
              <w:rPr>
                <w:rFonts w:ascii="Arial Narrow" w:hAnsi="Arial Narrow"/>
                <w:b/>
                <w:sz w:val="20"/>
                <w:szCs w:val="20"/>
              </w:rPr>
              <w:t>(</w:t>
            </w:r>
            <w:r w:rsidRPr="00D97B31">
              <w:rPr>
                <w:rFonts w:ascii="Arial Narrow" w:hAnsi="Arial Narrow"/>
                <w:b/>
                <w:bCs/>
                <w:sz w:val="20"/>
                <w:szCs w:val="20"/>
              </w:rPr>
              <w:t>median follow-up 29.1 months)</w:t>
            </w:r>
          </w:p>
        </w:tc>
        <w:tc>
          <w:tcPr>
            <w:tcW w:w="2552" w:type="dxa"/>
            <w:tcBorders>
              <w:right w:val="single" w:sz="4" w:space="0" w:color="auto"/>
            </w:tcBorders>
            <w:vAlign w:val="center"/>
          </w:tcPr>
          <w:p w:rsidR="00657B87" w:rsidRPr="00D97B31" w:rsidRDefault="00657B87" w:rsidP="007953F2">
            <w:pPr>
              <w:jc w:val="center"/>
              <w:rPr>
                <w:rFonts w:ascii="Arial Narrow" w:hAnsi="Arial Narrow"/>
                <w:sz w:val="20"/>
                <w:szCs w:val="20"/>
              </w:rPr>
            </w:pPr>
          </w:p>
        </w:tc>
        <w:tc>
          <w:tcPr>
            <w:tcW w:w="2551" w:type="dxa"/>
            <w:tcBorders>
              <w:right w:val="single" w:sz="4" w:space="0" w:color="auto"/>
            </w:tcBorders>
            <w:vAlign w:val="center"/>
          </w:tcPr>
          <w:p w:rsidR="00657B87" w:rsidRPr="00D97B31" w:rsidRDefault="00657B87" w:rsidP="007953F2">
            <w:pPr>
              <w:jc w:val="center"/>
              <w:rPr>
                <w:rFonts w:ascii="Arial Narrow" w:hAnsi="Arial Narrow"/>
                <w:sz w:val="20"/>
                <w:szCs w:val="20"/>
              </w:rPr>
            </w:pPr>
          </w:p>
        </w:tc>
      </w:tr>
      <w:tr w:rsidR="00657B87" w:rsidRPr="00D97B31" w:rsidTr="0028338E">
        <w:tc>
          <w:tcPr>
            <w:tcW w:w="3964" w:type="dxa"/>
            <w:vAlign w:val="center"/>
          </w:tcPr>
          <w:p w:rsidR="00657B87" w:rsidRPr="00D97B31" w:rsidRDefault="00657B87" w:rsidP="007953F2">
            <w:pPr>
              <w:tabs>
                <w:tab w:val="left" w:pos="142"/>
              </w:tabs>
              <w:jc w:val="left"/>
              <w:rPr>
                <w:rFonts w:ascii="Arial Narrow" w:hAnsi="Arial Narrow"/>
                <w:sz w:val="20"/>
                <w:szCs w:val="20"/>
              </w:rPr>
            </w:pPr>
            <w:r w:rsidRPr="00D97B31">
              <w:rPr>
                <w:rFonts w:ascii="Arial Narrow" w:hAnsi="Arial Narrow"/>
                <w:sz w:val="20"/>
                <w:szCs w:val="20"/>
              </w:rPr>
              <w:tab/>
              <w:t>Died n (%)</w:t>
            </w:r>
          </w:p>
        </w:tc>
        <w:tc>
          <w:tcPr>
            <w:tcW w:w="2552" w:type="dxa"/>
            <w:tcBorders>
              <w:right w:val="single" w:sz="4" w:space="0" w:color="auto"/>
            </w:tcBorders>
            <w:vAlign w:val="center"/>
          </w:tcPr>
          <w:p w:rsidR="00657B87" w:rsidRPr="00D97B31" w:rsidRDefault="00657B87" w:rsidP="007953F2">
            <w:pPr>
              <w:jc w:val="center"/>
              <w:rPr>
                <w:rFonts w:ascii="Arial Narrow" w:hAnsi="Arial Narrow"/>
                <w:sz w:val="20"/>
                <w:szCs w:val="20"/>
              </w:rPr>
            </w:pPr>
            <w:r w:rsidRPr="00D97B31">
              <w:rPr>
                <w:rFonts w:ascii="Arial Narrow" w:hAnsi="Arial Narrow"/>
                <w:sz w:val="20"/>
                <w:szCs w:val="20"/>
              </w:rPr>
              <w:t>148 (15.5%)</w:t>
            </w:r>
          </w:p>
        </w:tc>
        <w:tc>
          <w:tcPr>
            <w:tcW w:w="2551" w:type="dxa"/>
            <w:tcBorders>
              <w:right w:val="single" w:sz="4" w:space="0" w:color="auto"/>
            </w:tcBorders>
            <w:vAlign w:val="center"/>
          </w:tcPr>
          <w:p w:rsidR="00657B87" w:rsidRPr="00D97B31" w:rsidRDefault="00657B87" w:rsidP="007953F2">
            <w:pPr>
              <w:jc w:val="center"/>
              <w:rPr>
                <w:rFonts w:ascii="Arial Narrow" w:hAnsi="Arial Narrow"/>
                <w:sz w:val="20"/>
                <w:szCs w:val="20"/>
              </w:rPr>
            </w:pPr>
            <w:r w:rsidRPr="00D97B31">
              <w:rPr>
                <w:rFonts w:ascii="Arial Narrow" w:hAnsi="Arial Narrow"/>
                <w:sz w:val="20"/>
                <w:szCs w:val="20"/>
              </w:rPr>
              <w:t>106 (19.1%)</w:t>
            </w:r>
          </w:p>
        </w:tc>
      </w:tr>
      <w:tr w:rsidR="00657B87" w:rsidRPr="00D97B31" w:rsidTr="0028338E">
        <w:tc>
          <w:tcPr>
            <w:tcW w:w="3964" w:type="dxa"/>
            <w:tcBorders>
              <w:bottom w:val="single" w:sz="4" w:space="0" w:color="auto"/>
            </w:tcBorders>
            <w:vAlign w:val="center"/>
          </w:tcPr>
          <w:p w:rsidR="00657B87" w:rsidRPr="008A4455" w:rsidRDefault="00657B87" w:rsidP="007953F2">
            <w:pPr>
              <w:tabs>
                <w:tab w:val="left" w:pos="142"/>
              </w:tabs>
              <w:jc w:val="left"/>
              <w:rPr>
                <w:rFonts w:ascii="Arial Narrow" w:hAnsi="Arial Narrow"/>
                <w:sz w:val="20"/>
                <w:szCs w:val="20"/>
              </w:rPr>
            </w:pPr>
            <w:r w:rsidRPr="008A4455">
              <w:rPr>
                <w:rFonts w:ascii="Arial Narrow" w:hAnsi="Arial Narrow"/>
                <w:sz w:val="20"/>
                <w:szCs w:val="20"/>
              </w:rPr>
              <w:tab/>
              <w:t xml:space="preserve">Median months to death (95% CI) </w:t>
            </w:r>
          </w:p>
        </w:tc>
        <w:tc>
          <w:tcPr>
            <w:tcW w:w="2552" w:type="dxa"/>
            <w:tcBorders>
              <w:bottom w:val="single" w:sz="4" w:space="0" w:color="auto"/>
              <w:right w:val="single" w:sz="4" w:space="0" w:color="auto"/>
            </w:tcBorders>
            <w:vAlign w:val="center"/>
          </w:tcPr>
          <w:p w:rsidR="00657B87" w:rsidRPr="00F671C3" w:rsidRDefault="00F671C3" w:rsidP="007953F2">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551" w:type="dxa"/>
            <w:tcBorders>
              <w:bottom w:val="single" w:sz="4" w:space="0" w:color="auto"/>
              <w:right w:val="single" w:sz="4" w:space="0" w:color="auto"/>
            </w:tcBorders>
            <w:vAlign w:val="center"/>
          </w:tcPr>
          <w:p w:rsidR="00657B87" w:rsidRPr="00F671C3" w:rsidRDefault="00F671C3" w:rsidP="007953F2">
            <w:pPr>
              <w:jc w:val="center"/>
              <w:rPr>
                <w:rFonts w:ascii="Arial Narrow" w:hAnsi="Arial Narrow"/>
                <w:sz w:val="20"/>
                <w:szCs w:val="20"/>
                <w:highlight w:val="black"/>
              </w:rPr>
            </w:pPr>
            <w:r>
              <w:rPr>
                <w:rFonts w:ascii="Arial Narrow" w:hAnsi="Arial Narrow"/>
                <w:noProof/>
                <w:color w:val="000000"/>
                <w:sz w:val="20"/>
                <w:szCs w:val="20"/>
                <w:highlight w:val="black"/>
              </w:rPr>
              <w:t>''''''' ''''''''''''''''' '''''''''</w:t>
            </w:r>
          </w:p>
        </w:tc>
      </w:tr>
      <w:tr w:rsidR="00657B87" w:rsidRPr="00D97B31" w:rsidTr="007953F2">
        <w:tc>
          <w:tcPr>
            <w:tcW w:w="3964" w:type="dxa"/>
            <w:vAlign w:val="center"/>
          </w:tcPr>
          <w:p w:rsidR="00657B87" w:rsidRPr="00D97B31" w:rsidRDefault="00657B87" w:rsidP="007953F2">
            <w:pPr>
              <w:tabs>
                <w:tab w:val="left" w:pos="142"/>
              </w:tabs>
              <w:jc w:val="left"/>
              <w:rPr>
                <w:rFonts w:ascii="Arial Narrow" w:hAnsi="Arial Narrow"/>
                <w:sz w:val="20"/>
                <w:szCs w:val="20"/>
              </w:rPr>
            </w:pPr>
            <w:r w:rsidRPr="00D97B31">
              <w:rPr>
                <w:rFonts w:ascii="Arial Narrow" w:hAnsi="Arial Narrow"/>
                <w:sz w:val="20"/>
                <w:szCs w:val="20"/>
              </w:rPr>
              <w:tab/>
              <w:t>HR (95% CI)</w:t>
            </w:r>
          </w:p>
        </w:tc>
        <w:tc>
          <w:tcPr>
            <w:tcW w:w="5103" w:type="dxa"/>
            <w:gridSpan w:val="2"/>
            <w:tcBorders>
              <w:right w:val="single" w:sz="4" w:space="0" w:color="auto"/>
            </w:tcBorders>
            <w:vAlign w:val="center"/>
          </w:tcPr>
          <w:p w:rsidR="00657B87" w:rsidRPr="00F671C3" w:rsidRDefault="00F671C3" w:rsidP="007953F2">
            <w:pPr>
              <w:jc w:val="center"/>
              <w:rPr>
                <w:rFonts w:ascii="Arial Narrow" w:hAnsi="Arial Narrow"/>
                <w:b/>
                <w:bCs/>
                <w:sz w:val="20"/>
                <w:szCs w:val="20"/>
                <w:highlight w:val="black"/>
              </w:rPr>
            </w:pPr>
            <w:r>
              <w:rPr>
                <w:rFonts w:ascii="Arial Narrow" w:hAnsi="Arial Narrow"/>
                <w:b/>
                <w:bCs/>
                <w:noProof/>
                <w:color w:val="000000"/>
                <w:sz w:val="20"/>
                <w:szCs w:val="20"/>
                <w:highlight w:val="black"/>
              </w:rPr>
              <w:t>''''''''' '''''''''''' ''''''''''</w:t>
            </w:r>
          </w:p>
        </w:tc>
      </w:tr>
      <w:tr w:rsidR="00602761" w:rsidRPr="00D97B31" w:rsidTr="00091C7A">
        <w:tc>
          <w:tcPr>
            <w:tcW w:w="3964" w:type="dxa"/>
            <w:tcBorders>
              <w:top w:val="single" w:sz="4" w:space="0" w:color="auto"/>
            </w:tcBorders>
            <w:vAlign w:val="center"/>
          </w:tcPr>
          <w:p w:rsidR="00602761" w:rsidRPr="00D97B31" w:rsidRDefault="00602761" w:rsidP="00091C7A">
            <w:pPr>
              <w:jc w:val="left"/>
              <w:rPr>
                <w:rFonts w:ascii="Arial Narrow" w:hAnsi="Arial Narrow"/>
                <w:b/>
                <w:sz w:val="20"/>
                <w:szCs w:val="20"/>
              </w:rPr>
            </w:pPr>
            <w:r w:rsidRPr="00D97B31">
              <w:rPr>
                <w:rFonts w:ascii="Arial Narrow" w:hAnsi="Arial Narrow"/>
                <w:b/>
                <w:sz w:val="20"/>
                <w:szCs w:val="20"/>
              </w:rPr>
              <w:t>RPSFT (</w:t>
            </w:r>
            <w:r w:rsidRPr="00D97B31">
              <w:rPr>
                <w:rFonts w:ascii="Arial Narrow" w:hAnsi="Arial Narrow"/>
                <w:b/>
                <w:bCs/>
                <w:sz w:val="20"/>
                <w:szCs w:val="20"/>
              </w:rPr>
              <w:t>median follow-up 29.1 months)</w:t>
            </w:r>
          </w:p>
        </w:tc>
        <w:tc>
          <w:tcPr>
            <w:tcW w:w="5103" w:type="dxa"/>
            <w:gridSpan w:val="2"/>
            <w:tcBorders>
              <w:top w:val="single" w:sz="4" w:space="0" w:color="auto"/>
            </w:tcBorders>
            <w:vAlign w:val="center"/>
          </w:tcPr>
          <w:p w:rsidR="00602761" w:rsidRPr="00D97B31" w:rsidRDefault="00602761" w:rsidP="00091C7A">
            <w:pPr>
              <w:jc w:val="left"/>
              <w:rPr>
                <w:rFonts w:ascii="Arial Narrow" w:hAnsi="Arial Narrow"/>
                <w:b/>
                <w:sz w:val="20"/>
                <w:szCs w:val="20"/>
              </w:rPr>
            </w:pPr>
          </w:p>
        </w:tc>
      </w:tr>
      <w:tr w:rsidR="00602761" w:rsidRPr="00D97B31" w:rsidTr="0028338E">
        <w:tc>
          <w:tcPr>
            <w:tcW w:w="3964" w:type="dxa"/>
            <w:vAlign w:val="center"/>
          </w:tcPr>
          <w:p w:rsidR="00602761" w:rsidRPr="00D97B31" w:rsidRDefault="00602761" w:rsidP="00091C7A">
            <w:pPr>
              <w:tabs>
                <w:tab w:val="left" w:pos="142"/>
              </w:tabs>
              <w:jc w:val="left"/>
              <w:rPr>
                <w:rFonts w:ascii="Arial Narrow" w:hAnsi="Arial Narrow"/>
                <w:sz w:val="20"/>
                <w:szCs w:val="20"/>
              </w:rPr>
            </w:pPr>
            <w:r w:rsidRPr="00D97B31">
              <w:rPr>
                <w:rFonts w:ascii="Arial Narrow" w:hAnsi="Arial Narrow"/>
                <w:sz w:val="20"/>
                <w:szCs w:val="20"/>
              </w:rPr>
              <w:tab/>
              <w:t>Died n (%)</w:t>
            </w:r>
          </w:p>
        </w:tc>
        <w:tc>
          <w:tcPr>
            <w:tcW w:w="2552" w:type="dxa"/>
            <w:vAlign w:val="center"/>
          </w:tcPr>
          <w:p w:rsidR="00602761" w:rsidRPr="00D97B31" w:rsidRDefault="00602761" w:rsidP="00091C7A">
            <w:pPr>
              <w:jc w:val="center"/>
              <w:rPr>
                <w:rFonts w:ascii="Arial Narrow" w:hAnsi="Arial Narrow"/>
                <w:sz w:val="20"/>
                <w:szCs w:val="20"/>
              </w:rPr>
            </w:pPr>
            <w:r w:rsidRPr="00D97B31">
              <w:rPr>
                <w:rFonts w:ascii="Arial Narrow" w:hAnsi="Arial Narrow"/>
                <w:sz w:val="20"/>
                <w:szCs w:val="20"/>
              </w:rPr>
              <w:t>148 (15.5%)</w:t>
            </w:r>
          </w:p>
        </w:tc>
        <w:tc>
          <w:tcPr>
            <w:tcW w:w="2551" w:type="dxa"/>
            <w:tcBorders>
              <w:right w:val="single" w:sz="4" w:space="0" w:color="auto"/>
            </w:tcBorders>
            <w:vAlign w:val="center"/>
          </w:tcPr>
          <w:p w:rsidR="00602761" w:rsidRPr="00F671C3" w:rsidRDefault="00F671C3" w:rsidP="00091C7A">
            <w:pPr>
              <w:jc w:val="center"/>
              <w:rPr>
                <w:rFonts w:ascii="Arial Narrow" w:hAnsi="Arial Narrow"/>
                <w:sz w:val="20"/>
                <w:szCs w:val="20"/>
                <w:highlight w:val="black"/>
              </w:rPr>
            </w:pPr>
            <w:r>
              <w:rPr>
                <w:rFonts w:ascii="Arial Narrow" w:hAnsi="Arial Narrow"/>
                <w:noProof/>
                <w:color w:val="000000"/>
                <w:sz w:val="20"/>
                <w:szCs w:val="20"/>
                <w:highlight w:val="black"/>
              </w:rPr>
              <w:t>'''''' ''''''''''''''''''''</w:t>
            </w:r>
          </w:p>
        </w:tc>
      </w:tr>
      <w:tr w:rsidR="00602761" w:rsidRPr="00D97B31" w:rsidTr="0028338E">
        <w:tc>
          <w:tcPr>
            <w:tcW w:w="3964" w:type="dxa"/>
            <w:vAlign w:val="center"/>
          </w:tcPr>
          <w:p w:rsidR="00602761" w:rsidRPr="00D97B31" w:rsidRDefault="00602761" w:rsidP="00091C7A">
            <w:pPr>
              <w:tabs>
                <w:tab w:val="left" w:pos="142"/>
              </w:tabs>
              <w:jc w:val="left"/>
              <w:rPr>
                <w:rFonts w:ascii="Arial Narrow" w:hAnsi="Arial Narrow"/>
                <w:sz w:val="20"/>
                <w:szCs w:val="20"/>
              </w:rPr>
            </w:pPr>
            <w:r w:rsidRPr="00D97B31">
              <w:rPr>
                <w:rFonts w:ascii="Arial Narrow" w:hAnsi="Arial Narrow"/>
                <w:sz w:val="20"/>
                <w:szCs w:val="20"/>
              </w:rPr>
              <w:tab/>
              <w:t xml:space="preserve">Median months to death (95% CI) </w:t>
            </w:r>
          </w:p>
        </w:tc>
        <w:tc>
          <w:tcPr>
            <w:tcW w:w="2552" w:type="dxa"/>
            <w:vAlign w:val="center"/>
          </w:tcPr>
          <w:p w:rsidR="00602761" w:rsidRPr="00F671C3" w:rsidRDefault="00F671C3" w:rsidP="00091C7A">
            <w:pPr>
              <w:jc w:val="center"/>
              <w:rPr>
                <w:rFonts w:ascii="Arial Narrow" w:hAnsi="Arial Narrow"/>
                <w:sz w:val="20"/>
                <w:szCs w:val="20"/>
                <w:highlight w:val="black"/>
              </w:rPr>
            </w:pPr>
            <w:r>
              <w:rPr>
                <w:rFonts w:ascii="Arial Narrow" w:hAnsi="Arial Narrow"/>
                <w:noProof/>
                <w:color w:val="000000"/>
                <w:sz w:val="20"/>
                <w:szCs w:val="20"/>
                <w:highlight w:val="black"/>
              </w:rPr>
              <w:t>''''''' '''''''''''''''''' '''''''''</w:t>
            </w:r>
          </w:p>
        </w:tc>
        <w:tc>
          <w:tcPr>
            <w:tcW w:w="2551" w:type="dxa"/>
            <w:tcBorders>
              <w:right w:val="single" w:sz="4" w:space="0" w:color="auto"/>
            </w:tcBorders>
            <w:vAlign w:val="center"/>
          </w:tcPr>
          <w:p w:rsidR="00602761" w:rsidRPr="00F671C3" w:rsidRDefault="00F671C3" w:rsidP="00091C7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02761" w:rsidRPr="00D97B31" w:rsidTr="00091C7A">
        <w:tc>
          <w:tcPr>
            <w:tcW w:w="3964" w:type="dxa"/>
            <w:vAlign w:val="center"/>
          </w:tcPr>
          <w:p w:rsidR="00602761" w:rsidRPr="00D97B31" w:rsidRDefault="00602761" w:rsidP="00091C7A">
            <w:pPr>
              <w:tabs>
                <w:tab w:val="left" w:pos="142"/>
              </w:tabs>
              <w:jc w:val="left"/>
              <w:rPr>
                <w:rFonts w:ascii="Arial Narrow" w:hAnsi="Arial Narrow"/>
                <w:sz w:val="20"/>
                <w:szCs w:val="20"/>
              </w:rPr>
            </w:pPr>
            <w:r w:rsidRPr="00D97B31">
              <w:rPr>
                <w:rFonts w:ascii="Arial Narrow" w:hAnsi="Arial Narrow"/>
                <w:sz w:val="20"/>
                <w:szCs w:val="20"/>
              </w:rPr>
              <w:tab/>
              <w:t>HR (95% CI)</w:t>
            </w:r>
          </w:p>
        </w:tc>
        <w:tc>
          <w:tcPr>
            <w:tcW w:w="5103" w:type="dxa"/>
            <w:gridSpan w:val="2"/>
            <w:tcBorders>
              <w:right w:val="single" w:sz="4" w:space="0" w:color="auto"/>
            </w:tcBorders>
            <w:vAlign w:val="center"/>
          </w:tcPr>
          <w:p w:rsidR="00602761" w:rsidRPr="00F671C3" w:rsidRDefault="00F671C3" w:rsidP="00091C7A">
            <w:pPr>
              <w:jc w:val="center"/>
              <w:rPr>
                <w:rFonts w:ascii="Arial Narrow" w:hAnsi="Arial Narrow"/>
                <w:b/>
                <w:bCs/>
                <w:sz w:val="20"/>
                <w:szCs w:val="20"/>
                <w:highlight w:val="black"/>
              </w:rPr>
            </w:pPr>
            <w:r>
              <w:rPr>
                <w:rFonts w:ascii="Arial Narrow" w:hAnsi="Arial Narrow"/>
                <w:b/>
                <w:bCs/>
                <w:noProof/>
                <w:color w:val="000000"/>
                <w:sz w:val="20"/>
                <w:szCs w:val="20"/>
                <w:highlight w:val="black"/>
              </w:rPr>
              <w:t>''''''''' '''''''''' ''''''''''</w:t>
            </w:r>
          </w:p>
        </w:tc>
      </w:tr>
    </w:tbl>
    <w:p w:rsidR="00657B87" w:rsidRPr="00D97B31" w:rsidRDefault="00657B87" w:rsidP="00657B87">
      <w:pPr>
        <w:rPr>
          <w:rFonts w:ascii="Arial Narrow" w:hAnsi="Arial Narrow"/>
          <w:sz w:val="18"/>
          <w:szCs w:val="18"/>
        </w:rPr>
      </w:pPr>
      <w:r w:rsidRPr="00D97B31">
        <w:rPr>
          <w:rFonts w:ascii="Arial Narrow" w:hAnsi="Arial Narrow"/>
          <w:sz w:val="18"/>
          <w:szCs w:val="18"/>
        </w:rPr>
        <w:t xml:space="preserve">Source, Table 1, p4 of Appendix A of the submission. </w:t>
      </w:r>
    </w:p>
    <w:p w:rsidR="00657B87" w:rsidRPr="00D97B31" w:rsidRDefault="00657B87" w:rsidP="00657B87">
      <w:pPr>
        <w:pStyle w:val="3-BodyText"/>
        <w:numPr>
          <w:ilvl w:val="0"/>
          <w:numId w:val="0"/>
        </w:numPr>
        <w:rPr>
          <w:rFonts w:ascii="Arial Narrow" w:hAnsi="Arial Narrow"/>
          <w:sz w:val="18"/>
          <w:szCs w:val="18"/>
        </w:rPr>
      </w:pPr>
      <w:r w:rsidRPr="00D97B31">
        <w:rPr>
          <w:rFonts w:ascii="Arial Narrow" w:hAnsi="Arial Narrow"/>
          <w:sz w:val="18"/>
          <w:szCs w:val="18"/>
        </w:rPr>
        <w:t>CI=confidence interval; HR=hazard ratio; IPE=iterative parameter estimation; OS=overall survival; NE=not estimable; RPSFT=rank preserving structural failure time; SOC=standard of care; bold=statistically significant</w:t>
      </w:r>
    </w:p>
    <w:p w:rsidR="007A348A" w:rsidRPr="00D97B31" w:rsidRDefault="00657B87" w:rsidP="00514F2C">
      <w:pPr>
        <w:pStyle w:val="3-BodyText"/>
      </w:pPr>
      <w:r w:rsidRPr="00D97B31">
        <w:t xml:space="preserve">The crossover adjusted analyses using IPE, </w:t>
      </w:r>
      <w:r w:rsidR="00602761" w:rsidRPr="00D97B31">
        <w:t xml:space="preserve">showed </w:t>
      </w:r>
      <w:r w:rsidR="004715A6" w:rsidRPr="00D97B31">
        <w:t xml:space="preserve">a </w:t>
      </w:r>
      <w:r w:rsidR="00F671C3">
        <w:rPr>
          <w:noProof/>
          <w:color w:val="000000"/>
          <w:highlight w:val="black"/>
        </w:rPr>
        <w:t>'''''</w:t>
      </w:r>
      <w:r w:rsidR="004715A6" w:rsidRPr="00D97B31">
        <w:t>% reduction in the risk of death</w:t>
      </w:r>
      <w:r w:rsidRPr="00D97B31">
        <w:t xml:space="preserve"> </w:t>
      </w:r>
      <w:r w:rsidR="00546BFC" w:rsidRPr="00D97B31">
        <w:rPr>
          <w:iCs/>
        </w:rPr>
        <w:t>(HR=</w:t>
      </w:r>
      <w:r w:rsidR="00F671C3">
        <w:rPr>
          <w:iCs/>
          <w:noProof/>
          <w:color w:val="000000"/>
          <w:highlight w:val="black"/>
        </w:rPr>
        <w:t>''''''''</w:t>
      </w:r>
      <w:r w:rsidR="00546BFC" w:rsidRPr="00D97B31">
        <w:rPr>
          <w:iCs/>
        </w:rPr>
        <w:t xml:space="preserve">; 95% CI: </w:t>
      </w:r>
      <w:r w:rsidR="00F671C3">
        <w:rPr>
          <w:iCs/>
          <w:noProof/>
          <w:color w:val="000000"/>
          <w:highlight w:val="black"/>
        </w:rPr>
        <w:t>''''''''</w:t>
      </w:r>
      <w:r w:rsidR="00546BFC" w:rsidRPr="00D97B31">
        <w:rPr>
          <w:iCs/>
        </w:rPr>
        <w:t xml:space="preserve">, </w:t>
      </w:r>
      <w:r w:rsidR="00F671C3">
        <w:rPr>
          <w:iCs/>
          <w:noProof/>
          <w:color w:val="000000"/>
          <w:highlight w:val="black"/>
        </w:rPr>
        <w:t>''''''''</w:t>
      </w:r>
      <w:r w:rsidR="00546BFC" w:rsidRPr="00D97B31">
        <w:rPr>
          <w:iCs/>
        </w:rPr>
        <w:t>)</w:t>
      </w:r>
      <w:r w:rsidR="00704C5A" w:rsidRPr="00D97B31">
        <w:rPr>
          <w:iCs/>
        </w:rPr>
        <w:t>,</w:t>
      </w:r>
      <w:r w:rsidR="0061567D" w:rsidRPr="00D97B31">
        <w:t xml:space="preserve"> a </w:t>
      </w:r>
      <w:r w:rsidR="00602761" w:rsidRPr="00D97B31">
        <w:t>slight</w:t>
      </w:r>
      <w:r w:rsidR="00704C5A" w:rsidRPr="00D97B31">
        <w:t>ly</w:t>
      </w:r>
      <w:r w:rsidR="00602761" w:rsidRPr="00D97B31">
        <w:t xml:space="preserve"> </w:t>
      </w:r>
      <w:r w:rsidR="00704C5A" w:rsidRPr="00D97B31">
        <w:t xml:space="preserve">larger reduction </w:t>
      </w:r>
      <w:r w:rsidR="00602761" w:rsidRPr="00D97B31">
        <w:t xml:space="preserve">compared to </w:t>
      </w:r>
      <w:r w:rsidRPr="00D97B31">
        <w:t xml:space="preserve">the unadjusted </w:t>
      </w:r>
      <w:r w:rsidR="008B0A89" w:rsidRPr="00D97B31">
        <w:t xml:space="preserve">updated </w:t>
      </w:r>
      <w:r w:rsidRPr="00D97B31">
        <w:t>analysis</w:t>
      </w:r>
      <w:r w:rsidR="008B0A89" w:rsidRPr="00D97B31">
        <w:t xml:space="preserve"> (</w:t>
      </w:r>
      <w:r w:rsidR="00704C5A" w:rsidRPr="00D97B31">
        <w:t xml:space="preserve">31.5%, </w:t>
      </w:r>
      <w:r w:rsidR="008B0A89" w:rsidRPr="00D97B31">
        <w:t>HR=0.685; 95% CI: 0.533, 0.881)</w:t>
      </w:r>
      <w:r w:rsidRPr="00D97B31">
        <w:t>.</w:t>
      </w:r>
      <w:r w:rsidR="007D6522" w:rsidRPr="00D97B31">
        <w:t xml:space="preserve"> </w:t>
      </w:r>
      <w:r w:rsidRPr="00D97B31">
        <w:t xml:space="preserve">The RPSFT analysis showed a </w:t>
      </w:r>
      <w:r w:rsidR="00F671C3">
        <w:rPr>
          <w:noProof/>
          <w:color w:val="000000"/>
          <w:highlight w:val="black"/>
        </w:rPr>
        <w:t>''''''</w:t>
      </w:r>
      <w:r w:rsidR="00514F2C" w:rsidRPr="00D97B31">
        <w:t xml:space="preserve">% </w:t>
      </w:r>
      <w:r w:rsidR="00EB628D" w:rsidRPr="00D97B31">
        <w:t>reduction in the risk of death</w:t>
      </w:r>
      <w:r w:rsidR="00704C5A" w:rsidRPr="00D97B31">
        <w:t>,</w:t>
      </w:r>
      <w:r w:rsidR="00514F2C" w:rsidRPr="00D97B31">
        <w:t xml:space="preserve"> similar to</w:t>
      </w:r>
      <w:r w:rsidR="00704C5A" w:rsidRPr="00D97B31">
        <w:t xml:space="preserve"> that for</w:t>
      </w:r>
      <w:r w:rsidR="00514F2C" w:rsidRPr="00D97B31">
        <w:t xml:space="preserve"> the unadjusted updated analysis</w:t>
      </w:r>
      <w:r w:rsidRPr="00D97B31">
        <w:t>.</w:t>
      </w:r>
      <w:r w:rsidR="007D6522" w:rsidRPr="00D97B31">
        <w:t xml:space="preserve"> </w:t>
      </w:r>
      <w:r w:rsidRPr="00D97B31">
        <w:t>In the economic model the submission applied the unadjusted updated OS data in the base case, with crossover adjusted data used in sensitivity analys</w:t>
      </w:r>
      <w:r w:rsidR="00602761" w:rsidRPr="00D97B31">
        <w:t>e</w:t>
      </w:r>
      <w:r w:rsidRPr="00D97B31">
        <w:t>s.</w:t>
      </w:r>
    </w:p>
    <w:p w:rsidR="00C65C73" w:rsidRPr="00D97B31" w:rsidRDefault="00C05A92" w:rsidP="008B0A89">
      <w:pPr>
        <w:pStyle w:val="3-BodyText"/>
      </w:pPr>
      <w:r w:rsidRPr="00D97B31">
        <w:t>For patient-reported outcomes, while there were statistically significant differences reported for some scales (BPI-SF, EORTC), these differences were not clinically meaningful, as the differences did not reach the minimally important difference thresholds.</w:t>
      </w:r>
      <w:r w:rsidR="007D6522" w:rsidRPr="00D97B31">
        <w:t xml:space="preserve"> </w:t>
      </w:r>
      <w:r w:rsidRPr="00D97B31">
        <w:t>There were no statistically significant, or clinically meaningful, differences between darolutamide and SOC observed for the EQ-5D.</w:t>
      </w:r>
      <w:r w:rsidR="007D6522" w:rsidRPr="00D97B31">
        <w:t xml:space="preserve"> </w:t>
      </w:r>
      <w:r w:rsidRPr="00D97B31">
        <w:t xml:space="preserve">The submission concluded that the </w:t>
      </w:r>
      <w:r w:rsidR="001A64B7" w:rsidRPr="00D97B31">
        <w:t xml:space="preserve">results for the </w:t>
      </w:r>
      <w:r w:rsidR="00721051" w:rsidRPr="00D97B31">
        <w:t>quality of life (</w:t>
      </w:r>
      <w:r w:rsidRPr="00D97B31">
        <w:t>QoL</w:t>
      </w:r>
      <w:r w:rsidR="00721051" w:rsidRPr="00D97B31">
        <w:t>)</w:t>
      </w:r>
      <w:r w:rsidRPr="00D97B31">
        <w:t xml:space="preserve"> outcome</w:t>
      </w:r>
      <w:r w:rsidR="001A64B7" w:rsidRPr="00D97B31">
        <w:t>s</w:t>
      </w:r>
      <w:r w:rsidRPr="00D97B31">
        <w:t xml:space="preserve"> impl</w:t>
      </w:r>
      <w:r w:rsidR="001A29CD" w:rsidRPr="00D97B31">
        <w:t>ied</w:t>
      </w:r>
      <w:r w:rsidRPr="00D97B31">
        <w:t xml:space="preserve"> that QoL was maintained while on treatment.</w:t>
      </w:r>
      <w:r w:rsidR="007D6522" w:rsidRPr="00D97B31">
        <w:t xml:space="preserve"> </w:t>
      </w:r>
      <w:r w:rsidRPr="00D97B31">
        <w:rPr>
          <w:iCs/>
        </w:rPr>
        <w:t xml:space="preserve">The results also demonstrate that </w:t>
      </w:r>
      <w:r w:rsidR="00004436" w:rsidRPr="00D97B31">
        <w:rPr>
          <w:iCs/>
        </w:rPr>
        <w:t xml:space="preserve">over the trial follow-up period </w:t>
      </w:r>
      <w:r w:rsidRPr="00D97B31">
        <w:rPr>
          <w:iCs/>
        </w:rPr>
        <w:t>darolutamide treatment did not improve the QoL of patients.</w:t>
      </w:r>
    </w:p>
    <w:p w:rsidR="00247925" w:rsidRPr="00D97B31" w:rsidRDefault="00070219" w:rsidP="00EC5836">
      <w:pPr>
        <w:pStyle w:val="3-BodyText"/>
      </w:pPr>
      <w:r w:rsidRPr="00D97B31">
        <w:t xml:space="preserve">The results of the indirect comparisons versus apalutamide and enzalutamide are provided in </w:t>
      </w:r>
      <w:r w:rsidR="002F2D80">
        <w:t>Table 7</w:t>
      </w:r>
      <w:r w:rsidRPr="00D97B31">
        <w:t>.</w:t>
      </w:r>
      <w:r w:rsidR="007D6522" w:rsidRPr="00D97B31">
        <w:t xml:space="preserve"> </w:t>
      </w:r>
    </w:p>
    <w:p w:rsidR="00D9179B" w:rsidRPr="00D97B31" w:rsidRDefault="00D9179B">
      <w:pPr>
        <w:jc w:val="left"/>
        <w:rPr>
          <w:rFonts w:ascii="Arial Narrow" w:hAnsi="Arial Narrow" w:cs="Arial"/>
          <w:b/>
          <w:snapToGrid w:val="0"/>
          <w:sz w:val="20"/>
          <w:szCs w:val="20"/>
          <w:lang w:eastAsia="en-AU"/>
        </w:rPr>
      </w:pPr>
      <w:r w:rsidRPr="00D97B31">
        <w:rPr>
          <w:rFonts w:ascii="Arial Narrow" w:hAnsi="Arial Narrow"/>
          <w:b/>
          <w:sz w:val="20"/>
          <w:szCs w:val="20"/>
        </w:rPr>
        <w:br w:type="page"/>
      </w:r>
    </w:p>
    <w:p w:rsidR="00070219" w:rsidRPr="00D97B31" w:rsidRDefault="00C44E4C" w:rsidP="00857A19">
      <w:pPr>
        <w:pStyle w:val="3-BodyText"/>
        <w:keepNext/>
        <w:numPr>
          <w:ilvl w:val="0"/>
          <w:numId w:val="0"/>
        </w:numPr>
        <w:spacing w:after="0"/>
      </w:pPr>
      <w:r w:rsidRPr="00D97B31">
        <w:rPr>
          <w:rFonts w:ascii="Arial Narrow" w:hAnsi="Arial Narrow"/>
          <w:b/>
          <w:sz w:val="20"/>
          <w:szCs w:val="20"/>
        </w:rPr>
        <w:t xml:space="preserve">Table </w:t>
      </w:r>
      <w:r w:rsidR="003813D7" w:rsidRPr="00D97B31">
        <w:rPr>
          <w:rFonts w:ascii="Arial Narrow" w:hAnsi="Arial Narrow"/>
          <w:b/>
          <w:sz w:val="20"/>
          <w:szCs w:val="20"/>
        </w:rPr>
        <w:t>7</w:t>
      </w:r>
      <w:r w:rsidRPr="00D97B31">
        <w:rPr>
          <w:rFonts w:ascii="Arial Narrow" w:hAnsi="Arial Narrow"/>
          <w:b/>
          <w:sz w:val="20"/>
          <w:szCs w:val="20"/>
        </w:rPr>
        <w:t>:</w:t>
      </w:r>
      <w:r w:rsidR="007D6522" w:rsidRPr="00D97B31">
        <w:rPr>
          <w:rFonts w:ascii="Arial Narrow" w:hAnsi="Arial Narrow"/>
          <w:b/>
          <w:sz w:val="20"/>
          <w:szCs w:val="20"/>
        </w:rPr>
        <w:t xml:space="preserve"> </w:t>
      </w:r>
      <w:r w:rsidR="005E6067" w:rsidRPr="00D97B31">
        <w:rPr>
          <w:rFonts w:ascii="Arial Narrow" w:hAnsi="Arial Narrow"/>
          <w:b/>
          <w:bCs/>
          <w:sz w:val="20"/>
          <w:szCs w:val="20"/>
        </w:rPr>
        <w:t>Results of indirect comparisons for darolutamide vs. apalutamide and darolutamide vs. enzalutamide – MFS and OS</w:t>
      </w:r>
    </w:p>
    <w:tbl>
      <w:tblPr>
        <w:tblStyle w:val="TableGrid"/>
        <w:tblW w:w="9067" w:type="dxa"/>
        <w:tblCellMar>
          <w:left w:w="28" w:type="dxa"/>
          <w:right w:w="28" w:type="dxa"/>
        </w:tblCellMar>
        <w:tblLook w:val="04A0" w:firstRow="1" w:lastRow="0" w:firstColumn="1" w:lastColumn="0" w:noHBand="0" w:noVBand="1"/>
        <w:tblCaption w:val="Table 7: Results of indirect comparisons for darolutamide vs. apalutamide and darolutamide vs. enzalutamide – MFS and OS"/>
      </w:tblPr>
      <w:tblGrid>
        <w:gridCol w:w="2518"/>
        <w:gridCol w:w="1730"/>
        <w:gridCol w:w="1559"/>
        <w:gridCol w:w="1559"/>
        <w:gridCol w:w="1701"/>
      </w:tblGrid>
      <w:tr w:rsidR="00857A19" w:rsidRPr="00D97B31" w:rsidTr="0028338E">
        <w:trPr>
          <w:tblHeader/>
        </w:trPr>
        <w:tc>
          <w:tcPr>
            <w:tcW w:w="2518" w:type="dxa"/>
            <w:vAlign w:val="center"/>
          </w:tcPr>
          <w:p w:rsidR="00857A19" w:rsidRPr="00D97B31" w:rsidRDefault="00857A19" w:rsidP="00857A19">
            <w:pPr>
              <w:pStyle w:val="TableText0"/>
              <w:widowControl w:val="0"/>
            </w:pPr>
            <w:r w:rsidRPr="00D97B31">
              <w:rPr>
                <w:b/>
                <w:szCs w:val="20"/>
              </w:rPr>
              <w:t xml:space="preserve">Trial/comparison </w:t>
            </w:r>
          </w:p>
        </w:tc>
        <w:tc>
          <w:tcPr>
            <w:tcW w:w="1730" w:type="dxa"/>
            <w:vAlign w:val="center"/>
          </w:tcPr>
          <w:p w:rsidR="00857A19" w:rsidRPr="00D97B31" w:rsidRDefault="00857A19" w:rsidP="00857A19">
            <w:pPr>
              <w:pStyle w:val="TableText0"/>
              <w:widowControl w:val="0"/>
              <w:jc w:val="center"/>
            </w:pPr>
            <w:r w:rsidRPr="00D97B31">
              <w:rPr>
                <w:b/>
                <w:szCs w:val="20"/>
              </w:rPr>
              <w:t>Outcome</w:t>
            </w:r>
          </w:p>
        </w:tc>
        <w:tc>
          <w:tcPr>
            <w:tcW w:w="1559" w:type="dxa"/>
            <w:vAlign w:val="center"/>
          </w:tcPr>
          <w:p w:rsidR="00857A19" w:rsidRPr="00D97B31" w:rsidRDefault="00857A19" w:rsidP="00857A19">
            <w:pPr>
              <w:pStyle w:val="TableText0"/>
              <w:widowControl w:val="0"/>
              <w:jc w:val="center"/>
              <w:rPr>
                <w:b/>
                <w:iCs/>
                <w:szCs w:val="20"/>
              </w:rPr>
            </w:pPr>
            <w:r w:rsidRPr="00D97B31">
              <w:rPr>
                <w:b/>
                <w:iCs/>
                <w:szCs w:val="20"/>
              </w:rPr>
              <w:t>Active trt</w:t>
            </w:r>
          </w:p>
          <w:p w:rsidR="00857A19" w:rsidRPr="00D97B31" w:rsidRDefault="00857A19" w:rsidP="00857A19">
            <w:pPr>
              <w:pStyle w:val="TableText0"/>
              <w:widowControl w:val="0"/>
              <w:jc w:val="center"/>
            </w:pPr>
            <w:r w:rsidRPr="00D97B31">
              <w:rPr>
                <w:b/>
                <w:iCs/>
                <w:szCs w:val="20"/>
              </w:rPr>
              <w:t>n/N (%)</w:t>
            </w:r>
          </w:p>
        </w:tc>
        <w:tc>
          <w:tcPr>
            <w:tcW w:w="1559" w:type="dxa"/>
            <w:vAlign w:val="center"/>
          </w:tcPr>
          <w:p w:rsidR="00857A19" w:rsidRPr="00D97B31" w:rsidRDefault="00857A19" w:rsidP="00857A19">
            <w:pPr>
              <w:pStyle w:val="TableText0"/>
              <w:widowControl w:val="0"/>
              <w:jc w:val="center"/>
              <w:rPr>
                <w:b/>
                <w:szCs w:val="20"/>
              </w:rPr>
            </w:pPr>
            <w:r w:rsidRPr="00D97B31">
              <w:rPr>
                <w:b/>
                <w:szCs w:val="20"/>
              </w:rPr>
              <w:t>SOC</w:t>
            </w:r>
          </w:p>
          <w:p w:rsidR="00857A19" w:rsidRPr="00D97B31" w:rsidRDefault="00857A19" w:rsidP="00857A19">
            <w:pPr>
              <w:pStyle w:val="TableText0"/>
              <w:widowControl w:val="0"/>
              <w:jc w:val="center"/>
            </w:pPr>
            <w:r w:rsidRPr="00D97B31">
              <w:rPr>
                <w:b/>
                <w:szCs w:val="20"/>
              </w:rPr>
              <w:t>n/N (%)</w:t>
            </w:r>
          </w:p>
        </w:tc>
        <w:tc>
          <w:tcPr>
            <w:tcW w:w="1701" w:type="dxa"/>
            <w:vAlign w:val="center"/>
          </w:tcPr>
          <w:p w:rsidR="00857A19" w:rsidRPr="00D97B31" w:rsidRDefault="00857A19" w:rsidP="00857A19">
            <w:pPr>
              <w:pStyle w:val="TableText0"/>
              <w:widowControl w:val="0"/>
              <w:jc w:val="center"/>
            </w:pPr>
            <w:r w:rsidRPr="00D97B31">
              <w:rPr>
                <w:b/>
                <w:szCs w:val="20"/>
              </w:rPr>
              <w:t>HR (95% CI)</w:t>
            </w:r>
          </w:p>
        </w:tc>
      </w:tr>
      <w:tr w:rsidR="00857A19" w:rsidRPr="00D97B31" w:rsidTr="00BD6238">
        <w:tc>
          <w:tcPr>
            <w:tcW w:w="9067" w:type="dxa"/>
            <w:gridSpan w:val="5"/>
            <w:vAlign w:val="center"/>
          </w:tcPr>
          <w:p w:rsidR="00857A19" w:rsidRPr="00D97B31" w:rsidRDefault="00857A19" w:rsidP="007953F2">
            <w:pPr>
              <w:pStyle w:val="TableText0"/>
              <w:keepNext w:val="0"/>
              <w:widowControl w:val="0"/>
            </w:pPr>
            <w:r w:rsidRPr="00D97B31">
              <w:rPr>
                <w:b/>
              </w:rPr>
              <w:t>MFS</w:t>
            </w:r>
            <w:r w:rsidR="0061567D" w:rsidRPr="00D97B31">
              <w:rPr>
                <w:b/>
              </w:rPr>
              <w:t xml:space="preserve"> </w:t>
            </w:r>
            <w:r w:rsidR="006F1813" w:rsidRPr="00D97B31">
              <w:rPr>
                <w:b/>
              </w:rPr>
              <w:t>(</w:t>
            </w:r>
            <w:r w:rsidR="00C84EBD" w:rsidRPr="00D97B31">
              <w:rPr>
                <w:b/>
                <w:szCs w:val="20"/>
              </w:rPr>
              <w:t xml:space="preserve">not corrected </w:t>
            </w:r>
            <w:r w:rsidR="0061567D" w:rsidRPr="00D97B31">
              <w:rPr>
                <w:b/>
                <w:szCs w:val="20"/>
              </w:rPr>
              <w:t>for misclassification of patients in ARAMIS)</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ARAMIS: darolutamide</w:t>
            </w:r>
          </w:p>
          <w:p w:rsidR="00857A19" w:rsidRPr="00D97B31" w:rsidRDefault="00857A19" w:rsidP="007953F2">
            <w:pPr>
              <w:pStyle w:val="TableText0"/>
              <w:keepNext w:val="0"/>
              <w:widowControl w:val="0"/>
            </w:pPr>
            <w:r w:rsidRPr="00D97B31">
              <w:t>(17.9 months median follow-up)</w:t>
            </w:r>
          </w:p>
        </w:tc>
        <w:tc>
          <w:tcPr>
            <w:tcW w:w="1730" w:type="dxa"/>
            <w:vAlign w:val="center"/>
          </w:tcPr>
          <w:p w:rsidR="00857A19" w:rsidRPr="00D97B31" w:rsidRDefault="00857A19" w:rsidP="007953F2">
            <w:pPr>
              <w:pStyle w:val="TableText0"/>
              <w:keepNext w:val="0"/>
              <w:widowControl w:val="0"/>
            </w:pPr>
            <w:r w:rsidRPr="00D97B31">
              <w:rPr>
                <w:szCs w:val="20"/>
              </w:rPr>
              <w:t>Events</w:t>
            </w:r>
          </w:p>
        </w:tc>
        <w:tc>
          <w:tcPr>
            <w:tcW w:w="1559" w:type="dxa"/>
            <w:vAlign w:val="center"/>
          </w:tcPr>
          <w:p w:rsidR="00857A19" w:rsidRPr="00D97B31" w:rsidRDefault="00857A19" w:rsidP="007953F2">
            <w:pPr>
              <w:pStyle w:val="TableText0"/>
              <w:keepNext w:val="0"/>
              <w:widowControl w:val="0"/>
              <w:jc w:val="center"/>
            </w:pPr>
            <w:r w:rsidRPr="00D97B31">
              <w:rPr>
                <w:szCs w:val="20"/>
              </w:rPr>
              <w:t>221/955 (23.1%)</w:t>
            </w:r>
          </w:p>
        </w:tc>
        <w:tc>
          <w:tcPr>
            <w:tcW w:w="1559" w:type="dxa"/>
            <w:vAlign w:val="center"/>
          </w:tcPr>
          <w:p w:rsidR="00857A19" w:rsidRPr="00D97B31" w:rsidRDefault="00857A19" w:rsidP="007953F2">
            <w:pPr>
              <w:pStyle w:val="TableText0"/>
              <w:keepNext w:val="0"/>
              <w:widowControl w:val="0"/>
              <w:jc w:val="center"/>
            </w:pPr>
            <w:r w:rsidRPr="00D97B31">
              <w:rPr>
                <w:szCs w:val="20"/>
              </w:rPr>
              <w:t>206/554 (39.0%)</w:t>
            </w:r>
          </w:p>
        </w:tc>
        <w:tc>
          <w:tcPr>
            <w:tcW w:w="1701" w:type="dxa"/>
            <w:vAlign w:val="center"/>
          </w:tcPr>
          <w:p w:rsidR="00857A19" w:rsidRPr="00D97B31" w:rsidRDefault="00857A19" w:rsidP="007953F2">
            <w:pPr>
              <w:pStyle w:val="TableText0"/>
              <w:keepNext w:val="0"/>
              <w:widowControl w:val="0"/>
              <w:jc w:val="center"/>
            </w:pP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pPr>
            <w:r w:rsidRPr="00D97B31">
              <w:rPr>
                <w:szCs w:val="20"/>
              </w:rPr>
              <w:t xml:space="preserve">40.4 </w:t>
            </w:r>
          </w:p>
        </w:tc>
        <w:tc>
          <w:tcPr>
            <w:tcW w:w="1559" w:type="dxa"/>
            <w:vAlign w:val="center"/>
          </w:tcPr>
          <w:p w:rsidR="00857A19" w:rsidRPr="00D97B31" w:rsidRDefault="00857A19" w:rsidP="007953F2">
            <w:pPr>
              <w:pStyle w:val="TableText0"/>
              <w:keepNext w:val="0"/>
              <w:widowControl w:val="0"/>
              <w:jc w:val="center"/>
            </w:pPr>
            <w:r w:rsidRPr="00D97B31">
              <w:rPr>
                <w:szCs w:val="20"/>
              </w:rPr>
              <w:t xml:space="preserve">18.4 </w:t>
            </w:r>
          </w:p>
        </w:tc>
        <w:tc>
          <w:tcPr>
            <w:tcW w:w="1701" w:type="dxa"/>
            <w:vAlign w:val="center"/>
          </w:tcPr>
          <w:p w:rsidR="00857A19" w:rsidRPr="00D97B31" w:rsidRDefault="00857A19" w:rsidP="007953F2">
            <w:pPr>
              <w:pStyle w:val="TableText0"/>
              <w:keepNext w:val="0"/>
              <w:widowControl w:val="0"/>
              <w:jc w:val="center"/>
            </w:pPr>
            <w:r w:rsidRPr="00D97B31">
              <w:rPr>
                <w:b/>
                <w:szCs w:val="20"/>
              </w:rPr>
              <w:t>0.413 (0.341, 0.500)</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 xml:space="preserve">SPARTAN: apalutamide </w:t>
            </w:r>
          </w:p>
          <w:p w:rsidR="00857A19" w:rsidRPr="00D97B31" w:rsidRDefault="00857A19" w:rsidP="007953F2">
            <w:pPr>
              <w:pStyle w:val="TableText0"/>
              <w:keepNext w:val="0"/>
              <w:widowControl w:val="0"/>
            </w:pPr>
            <w:r w:rsidRPr="00D97B31">
              <w:t>(20.3 months median follow-up)</w:t>
            </w:r>
          </w:p>
        </w:tc>
        <w:tc>
          <w:tcPr>
            <w:tcW w:w="1730" w:type="dxa"/>
            <w:vAlign w:val="center"/>
          </w:tcPr>
          <w:p w:rsidR="00857A19" w:rsidRPr="00D97B31" w:rsidRDefault="00857A19" w:rsidP="007953F2">
            <w:pPr>
              <w:pStyle w:val="TableText0"/>
              <w:keepNext w:val="0"/>
              <w:widowControl w:val="0"/>
            </w:pPr>
            <w:r w:rsidRPr="00D97B31">
              <w:rPr>
                <w:szCs w:val="20"/>
              </w:rPr>
              <w:t>Events</w:t>
            </w:r>
          </w:p>
        </w:tc>
        <w:tc>
          <w:tcPr>
            <w:tcW w:w="1559" w:type="dxa"/>
            <w:vAlign w:val="center"/>
          </w:tcPr>
          <w:p w:rsidR="00857A19" w:rsidRPr="00D97B31" w:rsidRDefault="00857A19" w:rsidP="007953F2">
            <w:pPr>
              <w:pStyle w:val="TableText0"/>
              <w:keepNext w:val="0"/>
              <w:widowControl w:val="0"/>
              <w:jc w:val="center"/>
            </w:pPr>
            <w:r w:rsidRPr="00D97B31">
              <w:t>184/806 (22.8%)</w:t>
            </w:r>
          </w:p>
        </w:tc>
        <w:tc>
          <w:tcPr>
            <w:tcW w:w="1559" w:type="dxa"/>
            <w:vAlign w:val="center"/>
          </w:tcPr>
          <w:p w:rsidR="00857A19" w:rsidRPr="00D97B31" w:rsidRDefault="00857A19" w:rsidP="007953F2">
            <w:pPr>
              <w:pStyle w:val="TableText0"/>
              <w:keepNext w:val="0"/>
              <w:widowControl w:val="0"/>
              <w:jc w:val="center"/>
            </w:pPr>
            <w:r w:rsidRPr="00D97B31">
              <w:t>228/401 (48.7%)</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pPr>
            <w:r w:rsidRPr="00D97B31">
              <w:t>40.5</w:t>
            </w:r>
          </w:p>
        </w:tc>
        <w:tc>
          <w:tcPr>
            <w:tcW w:w="1559" w:type="dxa"/>
            <w:vAlign w:val="center"/>
          </w:tcPr>
          <w:p w:rsidR="00857A19" w:rsidRPr="00D97B31" w:rsidRDefault="00857A19" w:rsidP="007953F2">
            <w:pPr>
              <w:pStyle w:val="TableText0"/>
              <w:keepNext w:val="0"/>
              <w:widowControl w:val="0"/>
              <w:jc w:val="center"/>
            </w:pPr>
            <w:r w:rsidRPr="00D97B31">
              <w:t>14.7</w:t>
            </w:r>
          </w:p>
        </w:tc>
        <w:tc>
          <w:tcPr>
            <w:tcW w:w="1701" w:type="dxa"/>
            <w:vAlign w:val="center"/>
          </w:tcPr>
          <w:p w:rsidR="00857A19" w:rsidRPr="00D97B31" w:rsidRDefault="00857A19" w:rsidP="007953F2">
            <w:pPr>
              <w:pStyle w:val="TableText0"/>
              <w:keepNext w:val="0"/>
              <w:widowControl w:val="0"/>
              <w:jc w:val="center"/>
            </w:pPr>
            <w:r w:rsidRPr="00D97B31">
              <w:rPr>
                <w:b/>
                <w:bCs w:val="0"/>
              </w:rPr>
              <w:t>0.28 (0.23, 0.35)</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PROSPER: enzalutamide</w:t>
            </w:r>
          </w:p>
          <w:p w:rsidR="00857A19" w:rsidRPr="00D97B31" w:rsidRDefault="00857A19" w:rsidP="007953F2">
            <w:pPr>
              <w:pStyle w:val="TableText0"/>
              <w:keepNext w:val="0"/>
              <w:widowControl w:val="0"/>
            </w:pPr>
            <w:r w:rsidRPr="00D97B31">
              <w:t>(18.5 months</w:t>
            </w:r>
            <w:r w:rsidRPr="00D97B31">
              <w:rPr>
                <w:vertAlign w:val="superscript"/>
              </w:rPr>
              <w:t>a</w:t>
            </w:r>
            <w:r w:rsidRPr="00D97B31">
              <w:t xml:space="preserve"> median follow-up)</w:t>
            </w:r>
          </w:p>
        </w:tc>
        <w:tc>
          <w:tcPr>
            <w:tcW w:w="1730" w:type="dxa"/>
            <w:vAlign w:val="center"/>
          </w:tcPr>
          <w:p w:rsidR="00857A19" w:rsidRPr="00D97B31" w:rsidRDefault="00857A19" w:rsidP="007953F2">
            <w:pPr>
              <w:pStyle w:val="TableText0"/>
              <w:keepNext w:val="0"/>
              <w:widowControl w:val="0"/>
              <w:rPr>
                <w:szCs w:val="20"/>
              </w:rPr>
            </w:pPr>
            <w:r w:rsidRPr="00D97B31">
              <w:rPr>
                <w:szCs w:val="20"/>
              </w:rPr>
              <w:t>Events</w:t>
            </w:r>
          </w:p>
        </w:tc>
        <w:tc>
          <w:tcPr>
            <w:tcW w:w="1559" w:type="dxa"/>
            <w:vAlign w:val="center"/>
          </w:tcPr>
          <w:p w:rsidR="00857A19" w:rsidRPr="00D97B31" w:rsidRDefault="00857A19" w:rsidP="007953F2">
            <w:pPr>
              <w:pStyle w:val="TableText0"/>
              <w:keepNext w:val="0"/>
              <w:widowControl w:val="0"/>
              <w:jc w:val="center"/>
            </w:pPr>
            <w:r w:rsidRPr="00D97B31">
              <w:t>219/933 (23.5%)</w:t>
            </w:r>
          </w:p>
        </w:tc>
        <w:tc>
          <w:tcPr>
            <w:tcW w:w="1559" w:type="dxa"/>
            <w:vAlign w:val="center"/>
          </w:tcPr>
          <w:p w:rsidR="00857A19" w:rsidRPr="00D97B31" w:rsidRDefault="00857A19" w:rsidP="007953F2">
            <w:pPr>
              <w:pStyle w:val="TableText0"/>
              <w:keepNext w:val="0"/>
              <w:widowControl w:val="0"/>
              <w:jc w:val="center"/>
              <w:rPr>
                <w:rFonts w:eastAsia="Times New Roman" w:cs="Times New Roman"/>
                <w:szCs w:val="20"/>
              </w:rPr>
            </w:pPr>
            <w:r w:rsidRPr="00D97B31">
              <w:rPr>
                <w:rFonts w:eastAsia="Times New Roman" w:cs="Times New Roman"/>
                <w:szCs w:val="20"/>
              </w:rPr>
              <w:t>228/468 (48.7%)</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rPr>
                <w:szCs w:val="20"/>
              </w:rPr>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pPr>
            <w:r w:rsidRPr="00D97B31">
              <w:t>36.6</w:t>
            </w:r>
          </w:p>
        </w:tc>
        <w:tc>
          <w:tcPr>
            <w:tcW w:w="1559" w:type="dxa"/>
            <w:vAlign w:val="center"/>
          </w:tcPr>
          <w:p w:rsidR="00857A19" w:rsidRPr="00D97B31" w:rsidRDefault="00857A19" w:rsidP="007953F2">
            <w:pPr>
              <w:pStyle w:val="TableText0"/>
              <w:keepNext w:val="0"/>
              <w:widowControl w:val="0"/>
              <w:jc w:val="center"/>
              <w:rPr>
                <w:rFonts w:eastAsia="Times New Roman" w:cs="Times New Roman"/>
                <w:szCs w:val="20"/>
              </w:rPr>
            </w:pPr>
            <w:r w:rsidRPr="00D97B31">
              <w:rPr>
                <w:rFonts w:eastAsia="Times New Roman" w:cs="Times New Roman"/>
                <w:szCs w:val="20"/>
              </w:rPr>
              <w:t>14.7</w:t>
            </w:r>
          </w:p>
        </w:tc>
        <w:tc>
          <w:tcPr>
            <w:tcW w:w="1701" w:type="dxa"/>
            <w:vAlign w:val="center"/>
          </w:tcPr>
          <w:p w:rsidR="00857A19" w:rsidRPr="00D97B31" w:rsidRDefault="00857A19" w:rsidP="007953F2">
            <w:pPr>
              <w:pStyle w:val="TableText0"/>
              <w:keepNext w:val="0"/>
              <w:widowControl w:val="0"/>
              <w:jc w:val="center"/>
              <w:rPr>
                <w:b/>
                <w:bCs w:val="0"/>
              </w:rPr>
            </w:pPr>
            <w:r w:rsidRPr="00D97B31">
              <w:rPr>
                <w:b/>
                <w:bCs w:val="0"/>
              </w:rPr>
              <w:t>0.29 (0.24, 0.35)</w:t>
            </w:r>
          </w:p>
        </w:tc>
      </w:tr>
      <w:tr w:rsidR="00857A19" w:rsidRPr="00D97B31" w:rsidTr="001A29CD">
        <w:tc>
          <w:tcPr>
            <w:tcW w:w="7366" w:type="dxa"/>
            <w:gridSpan w:val="4"/>
            <w:tcBorders>
              <w:bottom w:val="single" w:sz="4" w:space="0" w:color="auto"/>
            </w:tcBorders>
            <w:vAlign w:val="center"/>
          </w:tcPr>
          <w:p w:rsidR="00857A19" w:rsidRPr="00D97B31" w:rsidRDefault="00857A19" w:rsidP="007953F2">
            <w:pPr>
              <w:pStyle w:val="TableText0"/>
              <w:keepNext w:val="0"/>
              <w:widowControl w:val="0"/>
              <w:jc w:val="right"/>
              <w:rPr>
                <w:b/>
                <w:bCs w:val="0"/>
              </w:rPr>
            </w:pPr>
            <w:r w:rsidRPr="00D97B31">
              <w:rPr>
                <w:b/>
                <w:szCs w:val="20"/>
              </w:rPr>
              <w:t>indirect comparison darolutamide vs. apalutamide</w:t>
            </w:r>
          </w:p>
        </w:tc>
        <w:tc>
          <w:tcPr>
            <w:tcW w:w="1701" w:type="dxa"/>
            <w:tcBorders>
              <w:bottom w:val="single" w:sz="4" w:space="0" w:color="auto"/>
            </w:tcBorders>
            <w:vAlign w:val="center"/>
          </w:tcPr>
          <w:p w:rsidR="00857A19" w:rsidRPr="00D97B31" w:rsidRDefault="00857A19" w:rsidP="007953F2">
            <w:pPr>
              <w:pStyle w:val="TableText0"/>
              <w:keepNext w:val="0"/>
              <w:widowControl w:val="0"/>
              <w:jc w:val="center"/>
            </w:pPr>
            <w:r w:rsidRPr="00D97B31">
              <w:rPr>
                <w:b/>
                <w:bCs w:val="0"/>
              </w:rPr>
              <w:t>1.475 (1.11, 1.96)</w:t>
            </w:r>
          </w:p>
        </w:tc>
      </w:tr>
      <w:tr w:rsidR="00857A19" w:rsidRPr="00D97B31" w:rsidTr="001A29CD">
        <w:tc>
          <w:tcPr>
            <w:tcW w:w="7366" w:type="dxa"/>
            <w:gridSpan w:val="4"/>
            <w:tcBorders>
              <w:bottom w:val="single" w:sz="12" w:space="0" w:color="auto"/>
            </w:tcBorders>
            <w:vAlign w:val="center"/>
          </w:tcPr>
          <w:p w:rsidR="00857A19" w:rsidRPr="00D97B31" w:rsidRDefault="00857A19" w:rsidP="007953F2">
            <w:pPr>
              <w:pStyle w:val="TableText0"/>
              <w:keepNext w:val="0"/>
              <w:widowControl w:val="0"/>
              <w:jc w:val="right"/>
              <w:rPr>
                <w:b/>
                <w:szCs w:val="20"/>
              </w:rPr>
            </w:pPr>
            <w:r w:rsidRPr="00D97B31">
              <w:rPr>
                <w:b/>
                <w:szCs w:val="20"/>
              </w:rPr>
              <w:t>indirect comparison darolutamide vs. enzalutamide</w:t>
            </w:r>
          </w:p>
        </w:tc>
        <w:tc>
          <w:tcPr>
            <w:tcW w:w="1701" w:type="dxa"/>
            <w:tcBorders>
              <w:bottom w:val="single" w:sz="12" w:space="0" w:color="auto"/>
            </w:tcBorders>
            <w:vAlign w:val="center"/>
          </w:tcPr>
          <w:p w:rsidR="00857A19" w:rsidRPr="00D97B31" w:rsidRDefault="00857A19" w:rsidP="007953F2">
            <w:pPr>
              <w:pStyle w:val="TableText0"/>
              <w:keepNext w:val="0"/>
              <w:widowControl w:val="0"/>
              <w:jc w:val="center"/>
              <w:rPr>
                <w:rFonts w:eastAsia="Times New Roman" w:cs="Times New Roman"/>
                <w:szCs w:val="20"/>
              </w:rPr>
            </w:pPr>
            <w:r w:rsidRPr="00D97B31">
              <w:rPr>
                <w:b/>
              </w:rPr>
              <w:t>1.424 (1.089, 1.863)</w:t>
            </w:r>
          </w:p>
        </w:tc>
      </w:tr>
      <w:tr w:rsidR="00857A19" w:rsidRPr="00D97B31" w:rsidTr="001A29CD">
        <w:tc>
          <w:tcPr>
            <w:tcW w:w="9067" w:type="dxa"/>
            <w:gridSpan w:val="5"/>
            <w:tcBorders>
              <w:top w:val="single" w:sz="12" w:space="0" w:color="auto"/>
            </w:tcBorders>
            <w:vAlign w:val="center"/>
          </w:tcPr>
          <w:p w:rsidR="00857A19" w:rsidRPr="00D97B31" w:rsidRDefault="00857A19" w:rsidP="007953F2">
            <w:pPr>
              <w:pStyle w:val="TableText0"/>
              <w:keepNext w:val="0"/>
              <w:widowControl w:val="0"/>
              <w:rPr>
                <w:b/>
                <w:bCs w:val="0"/>
              </w:rPr>
            </w:pPr>
            <w:r w:rsidRPr="00D97B31">
              <w:rPr>
                <w:b/>
              </w:rPr>
              <w:t xml:space="preserve">MFS </w:t>
            </w:r>
            <w:r w:rsidRPr="00D97B31">
              <w:rPr>
                <w:b/>
                <w:szCs w:val="20"/>
              </w:rPr>
              <w:t>(corrected for misclassification of patients in ARAMIS)</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ARAMIS: darolutamide</w:t>
            </w:r>
          </w:p>
          <w:p w:rsidR="00857A19" w:rsidRPr="00D97B31" w:rsidRDefault="00857A19" w:rsidP="007953F2">
            <w:pPr>
              <w:pStyle w:val="TableText0"/>
              <w:keepNext w:val="0"/>
              <w:widowControl w:val="0"/>
            </w:pPr>
            <w:r w:rsidRPr="00D97B31">
              <w:t>(29.1 months median follow-up)</w:t>
            </w:r>
          </w:p>
        </w:tc>
        <w:tc>
          <w:tcPr>
            <w:tcW w:w="1730" w:type="dxa"/>
            <w:vAlign w:val="center"/>
          </w:tcPr>
          <w:p w:rsidR="00857A19" w:rsidRPr="00D97B31" w:rsidRDefault="00857A19" w:rsidP="007953F2">
            <w:pPr>
              <w:pStyle w:val="TableText0"/>
              <w:keepNext w:val="0"/>
              <w:widowControl w:val="0"/>
            </w:pPr>
            <w:r w:rsidRPr="00D97B31">
              <w:rPr>
                <w:szCs w:val="20"/>
              </w:rPr>
              <w:t>Events</w:t>
            </w:r>
          </w:p>
        </w:tc>
        <w:tc>
          <w:tcPr>
            <w:tcW w:w="1559" w:type="dxa"/>
            <w:vAlign w:val="center"/>
          </w:tcPr>
          <w:p w:rsidR="00857A19" w:rsidRPr="00D97B31" w:rsidRDefault="00857A19" w:rsidP="007953F2">
            <w:pPr>
              <w:pStyle w:val="TableText0"/>
              <w:keepNext w:val="0"/>
              <w:widowControl w:val="0"/>
              <w:jc w:val="center"/>
            </w:pPr>
            <w:r w:rsidRPr="00D97B31">
              <w:rPr>
                <w:szCs w:val="20"/>
              </w:rPr>
              <w:t>171 (17.9%)</w:t>
            </w:r>
          </w:p>
        </w:tc>
        <w:tc>
          <w:tcPr>
            <w:tcW w:w="1559" w:type="dxa"/>
            <w:vAlign w:val="center"/>
          </w:tcPr>
          <w:p w:rsidR="00857A19" w:rsidRPr="00D97B31" w:rsidRDefault="00857A19" w:rsidP="007953F2">
            <w:pPr>
              <w:pStyle w:val="TableText0"/>
              <w:keepNext w:val="0"/>
              <w:widowControl w:val="0"/>
              <w:jc w:val="center"/>
            </w:pPr>
            <w:r w:rsidRPr="00D97B31">
              <w:rPr>
                <w:szCs w:val="20"/>
              </w:rPr>
              <w:t>177 (31.9%)</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pPr>
            <w:r w:rsidRPr="00D97B31">
              <w:rPr>
                <w:szCs w:val="20"/>
              </w:rPr>
              <w:t xml:space="preserve">40.5 </w:t>
            </w:r>
          </w:p>
        </w:tc>
        <w:tc>
          <w:tcPr>
            <w:tcW w:w="1559" w:type="dxa"/>
            <w:vAlign w:val="center"/>
          </w:tcPr>
          <w:p w:rsidR="00857A19" w:rsidRPr="00D97B31" w:rsidRDefault="00857A19" w:rsidP="007953F2">
            <w:pPr>
              <w:pStyle w:val="TableText0"/>
              <w:keepNext w:val="0"/>
              <w:widowControl w:val="0"/>
              <w:jc w:val="center"/>
            </w:pPr>
            <w:r w:rsidRPr="00D97B31">
              <w:rPr>
                <w:szCs w:val="20"/>
              </w:rPr>
              <w:t xml:space="preserve">22.1 </w:t>
            </w:r>
          </w:p>
        </w:tc>
        <w:tc>
          <w:tcPr>
            <w:tcW w:w="1701" w:type="dxa"/>
            <w:vAlign w:val="center"/>
          </w:tcPr>
          <w:p w:rsidR="00857A19" w:rsidRPr="00D97B31" w:rsidRDefault="00857A19" w:rsidP="007953F2">
            <w:pPr>
              <w:pStyle w:val="TableText0"/>
              <w:keepNext w:val="0"/>
              <w:widowControl w:val="0"/>
              <w:jc w:val="center"/>
              <w:rPr>
                <w:b/>
                <w:bCs w:val="0"/>
              </w:rPr>
            </w:pPr>
            <w:r w:rsidRPr="00D97B31">
              <w:rPr>
                <w:b/>
                <w:bCs w:val="0"/>
              </w:rPr>
              <w:t>0.356 (0.287, 0.441)</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 xml:space="preserve">SPARTAN: apalutamide </w:t>
            </w:r>
          </w:p>
          <w:p w:rsidR="00857A19" w:rsidRPr="00D97B31" w:rsidRDefault="00857A19" w:rsidP="007953F2">
            <w:pPr>
              <w:pStyle w:val="TableText0"/>
              <w:keepNext w:val="0"/>
              <w:widowControl w:val="0"/>
            </w:pPr>
            <w:r w:rsidRPr="00D97B31">
              <w:t>(20.3 months median follow-up)</w:t>
            </w:r>
          </w:p>
        </w:tc>
        <w:tc>
          <w:tcPr>
            <w:tcW w:w="1730" w:type="dxa"/>
            <w:vAlign w:val="center"/>
          </w:tcPr>
          <w:p w:rsidR="00857A19" w:rsidRPr="00D97B31" w:rsidRDefault="00857A19" w:rsidP="007953F2">
            <w:pPr>
              <w:pStyle w:val="TableText0"/>
              <w:keepNext w:val="0"/>
              <w:widowControl w:val="0"/>
            </w:pPr>
            <w:r w:rsidRPr="00D97B31">
              <w:rPr>
                <w:szCs w:val="20"/>
              </w:rPr>
              <w:t>Events</w:t>
            </w:r>
          </w:p>
        </w:tc>
        <w:tc>
          <w:tcPr>
            <w:tcW w:w="1559" w:type="dxa"/>
            <w:vAlign w:val="center"/>
          </w:tcPr>
          <w:p w:rsidR="00857A19" w:rsidRPr="00D97B31" w:rsidRDefault="00857A19" w:rsidP="007953F2">
            <w:pPr>
              <w:pStyle w:val="TableText0"/>
              <w:keepNext w:val="0"/>
              <w:widowControl w:val="0"/>
              <w:jc w:val="center"/>
            </w:pPr>
            <w:r w:rsidRPr="00D97B31">
              <w:t>184/806 (22.8%)</w:t>
            </w:r>
          </w:p>
        </w:tc>
        <w:tc>
          <w:tcPr>
            <w:tcW w:w="1559" w:type="dxa"/>
            <w:vAlign w:val="center"/>
          </w:tcPr>
          <w:p w:rsidR="00857A19" w:rsidRPr="00D97B31" w:rsidRDefault="00857A19" w:rsidP="007953F2">
            <w:pPr>
              <w:pStyle w:val="TableText0"/>
              <w:keepNext w:val="0"/>
              <w:widowControl w:val="0"/>
              <w:jc w:val="center"/>
            </w:pPr>
            <w:r w:rsidRPr="00D97B31">
              <w:t>228/401 (48.7%)</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pPr>
            <w:r w:rsidRPr="00D97B31">
              <w:t>40.5</w:t>
            </w:r>
          </w:p>
        </w:tc>
        <w:tc>
          <w:tcPr>
            <w:tcW w:w="1559" w:type="dxa"/>
            <w:vAlign w:val="center"/>
          </w:tcPr>
          <w:p w:rsidR="00857A19" w:rsidRPr="00D97B31" w:rsidRDefault="00857A19" w:rsidP="007953F2">
            <w:pPr>
              <w:pStyle w:val="TableText0"/>
              <w:keepNext w:val="0"/>
              <w:widowControl w:val="0"/>
              <w:jc w:val="center"/>
            </w:pPr>
            <w:r w:rsidRPr="00D97B31">
              <w:t>14.7</w:t>
            </w:r>
          </w:p>
        </w:tc>
        <w:tc>
          <w:tcPr>
            <w:tcW w:w="1701" w:type="dxa"/>
            <w:vAlign w:val="center"/>
          </w:tcPr>
          <w:p w:rsidR="00857A19" w:rsidRPr="00D97B31" w:rsidRDefault="00857A19" w:rsidP="007953F2">
            <w:pPr>
              <w:pStyle w:val="TableText0"/>
              <w:keepNext w:val="0"/>
              <w:widowControl w:val="0"/>
              <w:jc w:val="center"/>
            </w:pPr>
            <w:r w:rsidRPr="00D97B31">
              <w:rPr>
                <w:b/>
                <w:bCs w:val="0"/>
              </w:rPr>
              <w:t>0.28 (0.23, 0.35)</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PROSPER: enzalutamide</w:t>
            </w:r>
          </w:p>
          <w:p w:rsidR="00857A19" w:rsidRPr="00D97B31" w:rsidRDefault="00857A19" w:rsidP="007953F2">
            <w:pPr>
              <w:pStyle w:val="TableText0"/>
              <w:keepNext w:val="0"/>
              <w:widowControl w:val="0"/>
            </w:pPr>
            <w:r w:rsidRPr="00D97B31">
              <w:t>(18.5 months</w:t>
            </w:r>
            <w:r w:rsidRPr="00D97B31">
              <w:rPr>
                <w:vertAlign w:val="superscript"/>
              </w:rPr>
              <w:t>a</w:t>
            </w:r>
            <w:r w:rsidRPr="00D97B31">
              <w:t xml:space="preserve"> median follow-up)</w:t>
            </w:r>
          </w:p>
        </w:tc>
        <w:tc>
          <w:tcPr>
            <w:tcW w:w="1730" w:type="dxa"/>
            <w:vAlign w:val="center"/>
          </w:tcPr>
          <w:p w:rsidR="00857A19" w:rsidRPr="00D97B31" w:rsidRDefault="00857A19" w:rsidP="007953F2">
            <w:pPr>
              <w:pStyle w:val="TableText0"/>
              <w:keepNext w:val="0"/>
              <w:widowControl w:val="0"/>
              <w:rPr>
                <w:szCs w:val="20"/>
              </w:rPr>
            </w:pPr>
            <w:r w:rsidRPr="00D97B31">
              <w:rPr>
                <w:szCs w:val="20"/>
              </w:rPr>
              <w:t>Events</w:t>
            </w:r>
          </w:p>
        </w:tc>
        <w:tc>
          <w:tcPr>
            <w:tcW w:w="1559" w:type="dxa"/>
            <w:vAlign w:val="center"/>
          </w:tcPr>
          <w:p w:rsidR="00857A19" w:rsidRPr="00D97B31" w:rsidRDefault="00857A19" w:rsidP="007953F2">
            <w:pPr>
              <w:pStyle w:val="TableText0"/>
              <w:keepNext w:val="0"/>
              <w:widowControl w:val="0"/>
              <w:jc w:val="center"/>
              <w:rPr>
                <w:szCs w:val="20"/>
              </w:rPr>
            </w:pPr>
            <w:r w:rsidRPr="00D97B31">
              <w:t>219/933 (23.5%)</w:t>
            </w:r>
          </w:p>
        </w:tc>
        <w:tc>
          <w:tcPr>
            <w:tcW w:w="1559" w:type="dxa"/>
            <w:vAlign w:val="center"/>
          </w:tcPr>
          <w:p w:rsidR="00857A19" w:rsidRPr="00D97B31" w:rsidRDefault="00857A19" w:rsidP="007953F2">
            <w:pPr>
              <w:pStyle w:val="TableText0"/>
              <w:keepNext w:val="0"/>
              <w:widowControl w:val="0"/>
              <w:jc w:val="center"/>
              <w:rPr>
                <w:szCs w:val="20"/>
              </w:rPr>
            </w:pPr>
            <w:r w:rsidRPr="00D97B31">
              <w:rPr>
                <w:rFonts w:eastAsia="Times New Roman" w:cs="Times New Roman"/>
                <w:szCs w:val="20"/>
              </w:rPr>
              <w:t>228/468 (48.7%)</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rPr>
                <w:szCs w:val="20"/>
              </w:rPr>
            </w:pPr>
            <w:r w:rsidRPr="00D97B31">
              <w:rPr>
                <w:szCs w:val="20"/>
              </w:rPr>
              <w:t>Median months MFS</w:t>
            </w:r>
          </w:p>
        </w:tc>
        <w:tc>
          <w:tcPr>
            <w:tcW w:w="1559" w:type="dxa"/>
            <w:vAlign w:val="center"/>
          </w:tcPr>
          <w:p w:rsidR="00857A19" w:rsidRPr="00D97B31" w:rsidRDefault="00857A19" w:rsidP="007953F2">
            <w:pPr>
              <w:pStyle w:val="TableText0"/>
              <w:keepNext w:val="0"/>
              <w:widowControl w:val="0"/>
              <w:jc w:val="center"/>
              <w:rPr>
                <w:szCs w:val="20"/>
              </w:rPr>
            </w:pPr>
            <w:r w:rsidRPr="00D97B31">
              <w:t>36.6</w:t>
            </w:r>
          </w:p>
        </w:tc>
        <w:tc>
          <w:tcPr>
            <w:tcW w:w="1559" w:type="dxa"/>
            <w:vAlign w:val="center"/>
          </w:tcPr>
          <w:p w:rsidR="00857A19" w:rsidRPr="00D97B31" w:rsidRDefault="00857A19" w:rsidP="007953F2">
            <w:pPr>
              <w:pStyle w:val="TableText0"/>
              <w:keepNext w:val="0"/>
              <w:widowControl w:val="0"/>
              <w:jc w:val="center"/>
              <w:rPr>
                <w:szCs w:val="20"/>
              </w:rPr>
            </w:pPr>
            <w:r w:rsidRPr="00D97B31">
              <w:rPr>
                <w:rFonts w:eastAsia="Times New Roman" w:cs="Times New Roman"/>
                <w:szCs w:val="20"/>
              </w:rPr>
              <w:t>14.7</w:t>
            </w:r>
          </w:p>
        </w:tc>
        <w:tc>
          <w:tcPr>
            <w:tcW w:w="1701" w:type="dxa"/>
            <w:vAlign w:val="center"/>
          </w:tcPr>
          <w:p w:rsidR="00857A19" w:rsidRPr="00D97B31" w:rsidRDefault="00857A19" w:rsidP="007953F2">
            <w:pPr>
              <w:pStyle w:val="TableText0"/>
              <w:keepNext w:val="0"/>
              <w:widowControl w:val="0"/>
              <w:jc w:val="center"/>
              <w:rPr>
                <w:b/>
                <w:bCs w:val="0"/>
              </w:rPr>
            </w:pPr>
            <w:r w:rsidRPr="00D97B31">
              <w:rPr>
                <w:b/>
                <w:bCs w:val="0"/>
                <w:lang w:eastAsia="en-GB"/>
              </w:rPr>
              <w:t>0.29 (0.24, 0.35)</w:t>
            </w:r>
          </w:p>
        </w:tc>
      </w:tr>
      <w:tr w:rsidR="00857A19" w:rsidRPr="00D97B31" w:rsidTr="001A29CD">
        <w:tc>
          <w:tcPr>
            <w:tcW w:w="7366" w:type="dxa"/>
            <w:gridSpan w:val="4"/>
            <w:tcBorders>
              <w:bottom w:val="single" w:sz="4" w:space="0" w:color="auto"/>
            </w:tcBorders>
            <w:vAlign w:val="center"/>
          </w:tcPr>
          <w:p w:rsidR="00857A19" w:rsidRPr="00D97B31" w:rsidRDefault="00857A19" w:rsidP="007953F2">
            <w:pPr>
              <w:pStyle w:val="TableText0"/>
              <w:keepNext w:val="0"/>
              <w:widowControl w:val="0"/>
              <w:jc w:val="right"/>
              <w:rPr>
                <w:szCs w:val="20"/>
              </w:rPr>
            </w:pPr>
            <w:r w:rsidRPr="00D97B31">
              <w:rPr>
                <w:b/>
                <w:szCs w:val="20"/>
              </w:rPr>
              <w:t>indirect comparison darolutamide vs. apalutamide</w:t>
            </w:r>
          </w:p>
        </w:tc>
        <w:tc>
          <w:tcPr>
            <w:tcW w:w="1701" w:type="dxa"/>
            <w:tcBorders>
              <w:bottom w:val="single" w:sz="4" w:space="0" w:color="auto"/>
            </w:tcBorders>
            <w:vAlign w:val="center"/>
          </w:tcPr>
          <w:p w:rsidR="00857A19" w:rsidRPr="00D97B31" w:rsidRDefault="00857A19" w:rsidP="007953F2">
            <w:pPr>
              <w:pStyle w:val="TableText0"/>
              <w:keepNext w:val="0"/>
              <w:widowControl w:val="0"/>
              <w:jc w:val="center"/>
            </w:pPr>
            <w:r w:rsidRPr="00D97B31">
              <w:t>1.271 (0.942, 1.717)</w:t>
            </w:r>
          </w:p>
        </w:tc>
      </w:tr>
      <w:tr w:rsidR="00857A19" w:rsidRPr="00D97B31" w:rsidTr="001A29CD">
        <w:tc>
          <w:tcPr>
            <w:tcW w:w="7366" w:type="dxa"/>
            <w:gridSpan w:val="4"/>
            <w:tcBorders>
              <w:bottom w:val="single" w:sz="12" w:space="0" w:color="auto"/>
            </w:tcBorders>
            <w:vAlign w:val="center"/>
          </w:tcPr>
          <w:p w:rsidR="00857A19" w:rsidRPr="00D97B31" w:rsidRDefault="00857A19" w:rsidP="007953F2">
            <w:pPr>
              <w:pStyle w:val="TableText0"/>
              <w:keepNext w:val="0"/>
              <w:widowControl w:val="0"/>
              <w:jc w:val="right"/>
              <w:rPr>
                <w:b/>
                <w:szCs w:val="20"/>
              </w:rPr>
            </w:pPr>
            <w:r w:rsidRPr="00D97B31">
              <w:rPr>
                <w:b/>
                <w:szCs w:val="20"/>
              </w:rPr>
              <w:t>indirect comparison darolutamide vs. enzalutamide</w:t>
            </w:r>
          </w:p>
        </w:tc>
        <w:tc>
          <w:tcPr>
            <w:tcW w:w="1701" w:type="dxa"/>
            <w:tcBorders>
              <w:bottom w:val="single" w:sz="12" w:space="0" w:color="auto"/>
            </w:tcBorders>
            <w:vAlign w:val="center"/>
          </w:tcPr>
          <w:p w:rsidR="00857A19" w:rsidRPr="00D97B31" w:rsidRDefault="00857A19" w:rsidP="007953F2">
            <w:pPr>
              <w:pStyle w:val="TableText0"/>
              <w:keepNext w:val="0"/>
              <w:widowControl w:val="0"/>
              <w:jc w:val="center"/>
            </w:pPr>
            <w:r w:rsidRPr="00D97B31">
              <w:t>1.228 (0.922, 1.634)</w:t>
            </w:r>
          </w:p>
        </w:tc>
      </w:tr>
      <w:tr w:rsidR="00857A19" w:rsidRPr="00D97B31" w:rsidTr="001A29CD">
        <w:tc>
          <w:tcPr>
            <w:tcW w:w="7366" w:type="dxa"/>
            <w:gridSpan w:val="4"/>
            <w:tcBorders>
              <w:top w:val="single" w:sz="12" w:space="0" w:color="auto"/>
            </w:tcBorders>
            <w:vAlign w:val="center"/>
          </w:tcPr>
          <w:p w:rsidR="00857A19" w:rsidRPr="00D97B31" w:rsidRDefault="00857A19" w:rsidP="007953F2">
            <w:pPr>
              <w:pStyle w:val="TableText0"/>
              <w:keepNext w:val="0"/>
              <w:widowControl w:val="0"/>
              <w:rPr>
                <w:b/>
                <w:bCs w:val="0"/>
                <w:szCs w:val="20"/>
              </w:rPr>
            </w:pPr>
            <w:r w:rsidRPr="00D97B31">
              <w:rPr>
                <w:b/>
              </w:rPr>
              <w:t>OS (updated)</w:t>
            </w:r>
          </w:p>
        </w:tc>
        <w:tc>
          <w:tcPr>
            <w:tcW w:w="1701" w:type="dxa"/>
            <w:tcBorders>
              <w:top w:val="single" w:sz="12" w:space="0" w:color="auto"/>
            </w:tcBorders>
            <w:vAlign w:val="center"/>
          </w:tcPr>
          <w:p w:rsidR="00857A19" w:rsidRPr="00D97B31" w:rsidRDefault="00857A19" w:rsidP="007953F2">
            <w:pPr>
              <w:pStyle w:val="TableText0"/>
              <w:keepNext w:val="0"/>
              <w:widowControl w:val="0"/>
              <w:jc w:val="center"/>
            </w:pP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ARAMIS: darolutamide</w:t>
            </w:r>
          </w:p>
          <w:p w:rsidR="00857A19" w:rsidRPr="00D97B31" w:rsidRDefault="00857A19" w:rsidP="007953F2">
            <w:pPr>
              <w:pStyle w:val="TableText0"/>
              <w:keepNext w:val="0"/>
              <w:widowControl w:val="0"/>
            </w:pPr>
            <w:r w:rsidRPr="00D97B31">
              <w:t>(29.1 months median follow-up)</w:t>
            </w:r>
          </w:p>
        </w:tc>
        <w:tc>
          <w:tcPr>
            <w:tcW w:w="1730" w:type="dxa"/>
            <w:vAlign w:val="center"/>
          </w:tcPr>
          <w:p w:rsidR="00857A19" w:rsidRPr="00D97B31" w:rsidRDefault="00857A19" w:rsidP="007953F2">
            <w:pPr>
              <w:pStyle w:val="TableText0"/>
              <w:keepNext w:val="0"/>
              <w:widowControl w:val="0"/>
              <w:rPr>
                <w:szCs w:val="20"/>
              </w:rPr>
            </w:pPr>
            <w:r w:rsidRPr="00D97B31">
              <w:rPr>
                <w:szCs w:val="20"/>
              </w:rPr>
              <w:t>Dead</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148/955 (15.5%)</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106/554 (19.1%)</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rPr>
                <w:szCs w:val="20"/>
              </w:rPr>
            </w:pPr>
            <w:r w:rsidRPr="00D97B31">
              <w:rPr>
                <w:szCs w:val="20"/>
              </w:rPr>
              <w:t>Median months OS</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NE</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NE</w:t>
            </w:r>
          </w:p>
        </w:tc>
        <w:tc>
          <w:tcPr>
            <w:tcW w:w="1701" w:type="dxa"/>
            <w:vAlign w:val="center"/>
          </w:tcPr>
          <w:p w:rsidR="00857A19" w:rsidRPr="00D97B31" w:rsidRDefault="00857A19" w:rsidP="007953F2">
            <w:pPr>
              <w:pStyle w:val="TableText0"/>
              <w:keepNext w:val="0"/>
              <w:widowControl w:val="0"/>
              <w:jc w:val="center"/>
            </w:pPr>
            <w:r w:rsidRPr="00D97B31">
              <w:rPr>
                <w:b/>
                <w:szCs w:val="20"/>
              </w:rPr>
              <w:t>0.685 (0.533, 0.881)</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 xml:space="preserve">SPARTAN: apalutamide </w:t>
            </w:r>
          </w:p>
          <w:p w:rsidR="00857A19" w:rsidRPr="00D97B31" w:rsidRDefault="00857A19" w:rsidP="007953F2">
            <w:pPr>
              <w:pStyle w:val="TableText0"/>
              <w:keepNext w:val="0"/>
              <w:widowControl w:val="0"/>
            </w:pPr>
            <w:r w:rsidRPr="00D97B31">
              <w:t>(41.0 months median follow-up)</w:t>
            </w:r>
          </w:p>
        </w:tc>
        <w:tc>
          <w:tcPr>
            <w:tcW w:w="1730" w:type="dxa"/>
            <w:vAlign w:val="center"/>
          </w:tcPr>
          <w:p w:rsidR="00857A19" w:rsidRPr="00D97B31" w:rsidRDefault="00857A19" w:rsidP="007953F2">
            <w:pPr>
              <w:pStyle w:val="TableText0"/>
              <w:keepNext w:val="0"/>
              <w:widowControl w:val="0"/>
              <w:rPr>
                <w:szCs w:val="20"/>
              </w:rPr>
            </w:pPr>
            <w:r w:rsidRPr="00D97B31">
              <w:rPr>
                <w:szCs w:val="20"/>
              </w:rPr>
              <w:t>Dead</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178/806 (22.1%)</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107/401 (26.7%)</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rPr>
                <w:szCs w:val="20"/>
              </w:rPr>
            </w:pPr>
            <w:r w:rsidRPr="00D97B31">
              <w:rPr>
                <w:szCs w:val="20"/>
              </w:rPr>
              <w:t>Median months OS</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NE</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NE</w:t>
            </w:r>
          </w:p>
        </w:tc>
        <w:tc>
          <w:tcPr>
            <w:tcW w:w="1701" w:type="dxa"/>
            <w:vAlign w:val="center"/>
          </w:tcPr>
          <w:p w:rsidR="00857A19" w:rsidRPr="00D97B31" w:rsidRDefault="00857A19" w:rsidP="007953F2">
            <w:pPr>
              <w:pStyle w:val="TableText0"/>
              <w:keepNext w:val="0"/>
              <w:widowControl w:val="0"/>
              <w:jc w:val="center"/>
              <w:rPr>
                <w:b/>
              </w:rPr>
            </w:pPr>
            <w:r w:rsidRPr="00D97B31">
              <w:rPr>
                <w:b/>
              </w:rPr>
              <w:t>0.75 (0.59, 0.96)</w:t>
            </w:r>
          </w:p>
        </w:tc>
      </w:tr>
      <w:tr w:rsidR="00857A19" w:rsidRPr="00D97B31" w:rsidTr="0028338E">
        <w:tc>
          <w:tcPr>
            <w:tcW w:w="2518" w:type="dxa"/>
            <w:vMerge w:val="restart"/>
            <w:vAlign w:val="center"/>
          </w:tcPr>
          <w:p w:rsidR="00857A19" w:rsidRPr="00D97B31" w:rsidRDefault="00857A19" w:rsidP="007953F2">
            <w:pPr>
              <w:pStyle w:val="TableText0"/>
              <w:keepNext w:val="0"/>
              <w:widowControl w:val="0"/>
            </w:pPr>
            <w:r w:rsidRPr="00D97B31">
              <w:t>PROSPER: enzalutamide</w:t>
            </w:r>
          </w:p>
          <w:p w:rsidR="00857A19" w:rsidRPr="00D97B31" w:rsidRDefault="00857A19" w:rsidP="007953F2">
            <w:pPr>
              <w:pStyle w:val="TableText0"/>
              <w:keepNext w:val="0"/>
              <w:widowControl w:val="0"/>
            </w:pPr>
            <w:r w:rsidRPr="00D97B31">
              <w:t>(NR median follow-up)</w:t>
            </w:r>
          </w:p>
        </w:tc>
        <w:tc>
          <w:tcPr>
            <w:tcW w:w="1730" w:type="dxa"/>
            <w:vAlign w:val="center"/>
          </w:tcPr>
          <w:p w:rsidR="00857A19" w:rsidRPr="00D97B31" w:rsidRDefault="00857A19" w:rsidP="007953F2">
            <w:pPr>
              <w:pStyle w:val="TableText0"/>
              <w:keepNext w:val="0"/>
              <w:widowControl w:val="0"/>
              <w:rPr>
                <w:szCs w:val="20"/>
              </w:rPr>
            </w:pPr>
            <w:r w:rsidRPr="00D97B31">
              <w:rPr>
                <w:szCs w:val="20"/>
              </w:rPr>
              <w:t>Dead</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NR</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NR</w:t>
            </w:r>
          </w:p>
        </w:tc>
        <w:tc>
          <w:tcPr>
            <w:tcW w:w="1701" w:type="dxa"/>
            <w:vAlign w:val="center"/>
          </w:tcPr>
          <w:p w:rsidR="00857A19" w:rsidRPr="00D97B31" w:rsidRDefault="00857A19" w:rsidP="007953F2">
            <w:pPr>
              <w:pStyle w:val="TableText0"/>
              <w:keepNext w:val="0"/>
              <w:widowControl w:val="0"/>
              <w:jc w:val="center"/>
            </w:pPr>
            <w:r w:rsidRPr="00D97B31">
              <w:t>-</w:t>
            </w:r>
          </w:p>
        </w:tc>
      </w:tr>
      <w:tr w:rsidR="00857A19" w:rsidRPr="00D97B31" w:rsidTr="0028338E">
        <w:tc>
          <w:tcPr>
            <w:tcW w:w="2518" w:type="dxa"/>
            <w:vMerge/>
            <w:vAlign w:val="center"/>
          </w:tcPr>
          <w:p w:rsidR="00857A19" w:rsidRPr="00D97B31" w:rsidRDefault="00857A19" w:rsidP="007953F2">
            <w:pPr>
              <w:pStyle w:val="TableText0"/>
              <w:keepNext w:val="0"/>
              <w:widowControl w:val="0"/>
            </w:pPr>
          </w:p>
        </w:tc>
        <w:tc>
          <w:tcPr>
            <w:tcW w:w="1730" w:type="dxa"/>
            <w:vAlign w:val="center"/>
          </w:tcPr>
          <w:p w:rsidR="00857A19" w:rsidRPr="00D97B31" w:rsidRDefault="00857A19" w:rsidP="007953F2">
            <w:pPr>
              <w:pStyle w:val="TableText0"/>
              <w:keepNext w:val="0"/>
              <w:widowControl w:val="0"/>
              <w:rPr>
                <w:szCs w:val="20"/>
              </w:rPr>
            </w:pPr>
            <w:r w:rsidRPr="00D97B31">
              <w:rPr>
                <w:szCs w:val="20"/>
              </w:rPr>
              <w:t>Median months OS</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NR</w:t>
            </w:r>
          </w:p>
        </w:tc>
        <w:tc>
          <w:tcPr>
            <w:tcW w:w="1559" w:type="dxa"/>
            <w:vAlign w:val="center"/>
          </w:tcPr>
          <w:p w:rsidR="00857A19" w:rsidRPr="00D97B31" w:rsidRDefault="00857A19" w:rsidP="007953F2">
            <w:pPr>
              <w:pStyle w:val="TableText0"/>
              <w:keepNext w:val="0"/>
              <w:widowControl w:val="0"/>
              <w:jc w:val="center"/>
              <w:rPr>
                <w:szCs w:val="20"/>
              </w:rPr>
            </w:pPr>
            <w:r w:rsidRPr="00D97B31">
              <w:rPr>
                <w:szCs w:val="20"/>
              </w:rPr>
              <w:t>NR</w:t>
            </w:r>
          </w:p>
        </w:tc>
        <w:tc>
          <w:tcPr>
            <w:tcW w:w="1701" w:type="dxa"/>
            <w:vAlign w:val="center"/>
          </w:tcPr>
          <w:p w:rsidR="00857A19" w:rsidRPr="00D97B31" w:rsidRDefault="00857A19" w:rsidP="007953F2">
            <w:pPr>
              <w:pStyle w:val="TableText0"/>
              <w:keepNext w:val="0"/>
              <w:widowControl w:val="0"/>
              <w:jc w:val="center"/>
            </w:pPr>
            <w:r w:rsidRPr="00D97B31">
              <w:t>0.83 (0.65, 1.06)</w:t>
            </w:r>
          </w:p>
        </w:tc>
      </w:tr>
      <w:tr w:rsidR="00857A19" w:rsidRPr="00D97B31" w:rsidTr="0028338E">
        <w:tc>
          <w:tcPr>
            <w:tcW w:w="7366" w:type="dxa"/>
            <w:gridSpan w:val="4"/>
            <w:tcBorders>
              <w:bottom w:val="single" w:sz="4" w:space="0" w:color="auto"/>
            </w:tcBorders>
            <w:vAlign w:val="center"/>
          </w:tcPr>
          <w:p w:rsidR="00857A19" w:rsidRPr="00D97B31" w:rsidRDefault="00857A19" w:rsidP="007953F2">
            <w:pPr>
              <w:pStyle w:val="TableText0"/>
              <w:keepNext w:val="0"/>
              <w:widowControl w:val="0"/>
              <w:jc w:val="right"/>
              <w:rPr>
                <w:b/>
                <w:bCs w:val="0"/>
                <w:szCs w:val="20"/>
              </w:rPr>
            </w:pPr>
            <w:r w:rsidRPr="00D97B31">
              <w:rPr>
                <w:b/>
                <w:szCs w:val="20"/>
              </w:rPr>
              <w:t>indirect comparison darolutamide vs. apalutamide</w:t>
            </w:r>
          </w:p>
        </w:tc>
        <w:tc>
          <w:tcPr>
            <w:tcW w:w="1701" w:type="dxa"/>
            <w:tcBorders>
              <w:bottom w:val="single" w:sz="4" w:space="0" w:color="auto"/>
            </w:tcBorders>
            <w:vAlign w:val="center"/>
          </w:tcPr>
          <w:p w:rsidR="00857A19" w:rsidRPr="00D97B31" w:rsidRDefault="00857A19" w:rsidP="007953F2">
            <w:pPr>
              <w:pStyle w:val="TableText0"/>
              <w:keepNext w:val="0"/>
              <w:widowControl w:val="0"/>
              <w:jc w:val="center"/>
            </w:pPr>
            <w:r w:rsidRPr="00D97B31">
              <w:t>0.913 (0.644, 1.296)</w:t>
            </w:r>
          </w:p>
        </w:tc>
      </w:tr>
      <w:tr w:rsidR="00857A19" w:rsidRPr="00D97B31" w:rsidTr="0028338E">
        <w:tc>
          <w:tcPr>
            <w:tcW w:w="7366" w:type="dxa"/>
            <w:gridSpan w:val="4"/>
            <w:vAlign w:val="center"/>
          </w:tcPr>
          <w:p w:rsidR="00857A19" w:rsidRPr="00D97B31" w:rsidRDefault="00857A19" w:rsidP="007953F2">
            <w:pPr>
              <w:pStyle w:val="TableText0"/>
              <w:keepNext w:val="0"/>
              <w:widowControl w:val="0"/>
              <w:jc w:val="right"/>
              <w:rPr>
                <w:b/>
                <w:szCs w:val="20"/>
              </w:rPr>
            </w:pPr>
            <w:r w:rsidRPr="00D97B31">
              <w:rPr>
                <w:b/>
                <w:szCs w:val="20"/>
              </w:rPr>
              <w:t>indirect comparison darolutamide vs. enzalutamide</w:t>
            </w:r>
          </w:p>
        </w:tc>
        <w:tc>
          <w:tcPr>
            <w:tcW w:w="1701" w:type="dxa"/>
            <w:vAlign w:val="center"/>
          </w:tcPr>
          <w:p w:rsidR="00857A19" w:rsidRPr="00D97B31" w:rsidRDefault="00857A19" w:rsidP="007953F2">
            <w:pPr>
              <w:pStyle w:val="TableText0"/>
              <w:keepNext w:val="0"/>
              <w:widowControl w:val="0"/>
              <w:jc w:val="center"/>
            </w:pPr>
            <w:r w:rsidRPr="00D97B31">
              <w:t>0.825 (0.581, 1.172)</w:t>
            </w:r>
          </w:p>
        </w:tc>
      </w:tr>
    </w:tbl>
    <w:p w:rsidR="00C44E4C" w:rsidRPr="00D97B31" w:rsidRDefault="00C44E4C" w:rsidP="00C44E4C">
      <w:pPr>
        <w:pStyle w:val="TableFooter"/>
        <w:keepNext/>
        <w:keepLines/>
      </w:pPr>
      <w:r w:rsidRPr="00D97B31">
        <w:t>Source: Table 2-18, p79; Table 2-20, p84; Table 2-21, p87; Table 2-32, p128; Table 2-33, p131 of the submission.</w:t>
      </w:r>
    </w:p>
    <w:p w:rsidR="00C44E4C" w:rsidRPr="00D97B31" w:rsidRDefault="00C44E4C" w:rsidP="00C44E4C">
      <w:pPr>
        <w:pStyle w:val="TableFooter"/>
        <w:keepNext/>
        <w:keepLines/>
      </w:pPr>
      <w:r w:rsidRPr="00D97B31">
        <w:t xml:space="preserve">CI=confidence interval; HR=hazard ratio; MFS=metastasis-free survival; OS=overall survival; NE=not estimable; NR=not reported; SOC=standard of care; trt=treatment; </w:t>
      </w:r>
      <w:r w:rsidRPr="00D97B31">
        <w:rPr>
          <w:b/>
        </w:rPr>
        <w:t>bold</w:t>
      </w:r>
      <w:r w:rsidRPr="00D97B31">
        <w:t>=statistically significant</w:t>
      </w:r>
    </w:p>
    <w:p w:rsidR="00C44E4C" w:rsidRPr="00D97B31" w:rsidRDefault="00C44E4C" w:rsidP="003D28F9">
      <w:pPr>
        <w:pStyle w:val="TableFooter"/>
        <w:keepNext/>
        <w:keepLines/>
        <w:tabs>
          <w:tab w:val="left" w:pos="142"/>
        </w:tabs>
        <w:spacing w:after="160"/>
      </w:pPr>
      <w:r w:rsidRPr="00D97B31">
        <w:rPr>
          <w:vertAlign w:val="superscript"/>
        </w:rPr>
        <w:t>a</w:t>
      </w:r>
      <w:r w:rsidRPr="00D97B31">
        <w:tab/>
        <w:t>Median-follow-up for the SOC arm in PROSPER was 15.1 months</w:t>
      </w:r>
    </w:p>
    <w:p w:rsidR="00F423CF" w:rsidRPr="00D97B31" w:rsidRDefault="003D28F9" w:rsidP="00D30B35">
      <w:pPr>
        <w:pStyle w:val="3-BodyText"/>
      </w:pPr>
      <w:r w:rsidRPr="00D97B31">
        <w:t xml:space="preserve">The indirect comparisons of OS </w:t>
      </w:r>
      <w:r w:rsidR="00C977AC" w:rsidRPr="00D97B31">
        <w:t xml:space="preserve">resulted in </w:t>
      </w:r>
      <w:r w:rsidRPr="00D97B31">
        <w:t>no statistically significant differences between darolutamide and apalutamide</w:t>
      </w:r>
      <w:r w:rsidR="00C977AC" w:rsidRPr="00D97B31">
        <w:t xml:space="preserve"> or</w:t>
      </w:r>
      <w:r w:rsidR="0019753C" w:rsidRPr="00D97B31">
        <w:t xml:space="preserve"> </w:t>
      </w:r>
      <w:r w:rsidRPr="00D97B31">
        <w:t>between darolutamide and enzalutamide.</w:t>
      </w:r>
      <w:r w:rsidR="007D6522" w:rsidRPr="00D97B31">
        <w:t xml:space="preserve"> </w:t>
      </w:r>
      <w:r w:rsidRPr="00D97B31">
        <w:t xml:space="preserve">The indirect comparisons of MFS </w:t>
      </w:r>
      <w:r w:rsidR="0061567D" w:rsidRPr="00D97B31">
        <w:t>(</w:t>
      </w:r>
      <w:r w:rsidR="00B934EA" w:rsidRPr="00D97B31">
        <w:t xml:space="preserve">not </w:t>
      </w:r>
      <w:r w:rsidR="0061567D" w:rsidRPr="00D97B31">
        <w:t xml:space="preserve">corrected) </w:t>
      </w:r>
      <w:r w:rsidR="00C977AC" w:rsidRPr="00D97B31">
        <w:t xml:space="preserve">resulted in a </w:t>
      </w:r>
      <w:r w:rsidRPr="00D97B31">
        <w:t>statistically significant advantage</w:t>
      </w:r>
      <w:r w:rsidR="00C977AC" w:rsidRPr="00D97B31">
        <w:t xml:space="preserve"> for both </w:t>
      </w:r>
      <w:r w:rsidRPr="00D97B31">
        <w:t>apalutamide and enzalutamide when compared to darolutamide.</w:t>
      </w:r>
      <w:r w:rsidR="0050733F" w:rsidRPr="00D97B31">
        <w:t xml:space="preserve"> However, </w:t>
      </w:r>
      <w:r w:rsidR="001B6AC9" w:rsidRPr="00D97B31">
        <w:t>w</w:t>
      </w:r>
      <w:r w:rsidR="0050733F" w:rsidRPr="00D97B31">
        <w:t>hen</w:t>
      </w:r>
      <w:r w:rsidRPr="00D97B31">
        <w:t xml:space="preserve"> the MFS comparisons were </w:t>
      </w:r>
      <w:r w:rsidR="00C977AC" w:rsidRPr="00D97B31">
        <w:t xml:space="preserve">performed </w:t>
      </w:r>
      <w:r w:rsidRPr="00D97B31">
        <w:t xml:space="preserve">correcting for the misclassification of ARAMIS patients who had baseline metastases, the </w:t>
      </w:r>
      <w:r w:rsidR="00F41BCD" w:rsidRPr="00D97B31">
        <w:t xml:space="preserve">differences </w:t>
      </w:r>
      <w:r w:rsidRPr="00D97B31">
        <w:t>were no</w:t>
      </w:r>
      <w:r w:rsidR="00F41BCD" w:rsidRPr="00D97B31">
        <w:t>t statistically significant</w:t>
      </w:r>
      <w:r w:rsidRPr="00D97B31">
        <w:t>.</w:t>
      </w:r>
      <w:r w:rsidR="001A29CD" w:rsidRPr="00D97B31">
        <w:t xml:space="preserve"> </w:t>
      </w:r>
      <w:r w:rsidR="00F423CF" w:rsidRPr="00D97B31">
        <w:t xml:space="preserve">The submission argued that </w:t>
      </w:r>
      <w:r w:rsidR="00FE5789" w:rsidRPr="00D97B31">
        <w:t xml:space="preserve">the inclusion of patients with </w:t>
      </w:r>
      <w:r w:rsidR="00F423CF" w:rsidRPr="00D97B31">
        <w:t>metastases</w:t>
      </w:r>
      <w:r w:rsidR="00FE5789" w:rsidRPr="00D97B31">
        <w:t xml:space="preserve"> at baseline</w:t>
      </w:r>
      <w:r w:rsidR="00F423CF" w:rsidRPr="00D97B31">
        <w:t xml:space="preserve"> </w:t>
      </w:r>
      <w:r w:rsidR="00602761" w:rsidRPr="00D97B31">
        <w:t>resulted in</w:t>
      </w:r>
      <w:r w:rsidR="00F423CF" w:rsidRPr="00D97B31">
        <w:t xml:space="preserve"> </w:t>
      </w:r>
      <w:r w:rsidR="00FE5789" w:rsidRPr="00D97B31">
        <w:t>an</w:t>
      </w:r>
      <w:r w:rsidR="00F423CF" w:rsidRPr="00D97B31">
        <w:t xml:space="preserve"> underestimation of the darolutamide treatment effect.</w:t>
      </w:r>
      <w:r w:rsidR="007D6522" w:rsidRPr="00D97B31">
        <w:t xml:space="preserve"> </w:t>
      </w:r>
    </w:p>
    <w:p w:rsidR="00C43A83" w:rsidRPr="00D97B31" w:rsidRDefault="001B6AC9" w:rsidP="00EC5836">
      <w:pPr>
        <w:pStyle w:val="3-BodyText"/>
      </w:pPr>
      <w:r w:rsidRPr="00D97B31">
        <w:rPr>
          <w:iCs/>
        </w:rPr>
        <w:t>In</w:t>
      </w:r>
      <w:r w:rsidR="00C43A83" w:rsidRPr="00D97B31">
        <w:rPr>
          <w:iCs/>
        </w:rPr>
        <w:t xml:space="preserve"> the CADTH application the sponsor had stated that given the heterogeneity among the trials that could not be adjusted for (i.e., the difference in number of patients who initiated new anti-cancer therapy prior to metastasis in ARAMIS, PSA being unblinded in ARAMIS, patients with metastasis at baseline, treatment effect modifiers, patients with a history of seizures), the comparative estimates from indirect comparisons should be considered unreliable.</w:t>
      </w:r>
    </w:p>
    <w:p w:rsidR="003D28F9" w:rsidRPr="00D97B31" w:rsidRDefault="003D28F9" w:rsidP="00EC5836">
      <w:pPr>
        <w:pStyle w:val="3-BodyText"/>
      </w:pPr>
      <w:r w:rsidRPr="00D97B31">
        <w:t>The submission provided an overlay of the MFS and OS curves from ARAMIS</w:t>
      </w:r>
      <w:r w:rsidR="00C977AC" w:rsidRPr="00D97B31">
        <w:t xml:space="preserve"> (darolutamide)</w:t>
      </w:r>
      <w:r w:rsidRPr="00D97B31">
        <w:t xml:space="preserve"> and SPARTAN</w:t>
      </w:r>
      <w:r w:rsidR="00C977AC" w:rsidRPr="00D97B31">
        <w:t xml:space="preserve"> (apalutamide) trials</w:t>
      </w:r>
      <w:r w:rsidR="002F2D80">
        <w:t xml:space="preserve"> (Figure 3)</w:t>
      </w:r>
      <w:r w:rsidRPr="00D97B31">
        <w:t>.</w:t>
      </w:r>
      <w:r w:rsidR="007D6522" w:rsidRPr="00D97B31">
        <w:t xml:space="preserve"> </w:t>
      </w:r>
    </w:p>
    <w:p w:rsidR="003D28F9" w:rsidRPr="00D97B31" w:rsidRDefault="003D28F9" w:rsidP="003D28F9">
      <w:pPr>
        <w:pStyle w:val="3-BodyText"/>
        <w:keepNext/>
        <w:numPr>
          <w:ilvl w:val="0"/>
          <w:numId w:val="0"/>
        </w:numPr>
        <w:spacing w:after="0"/>
        <w:rPr>
          <w:rFonts w:ascii="Arial Narrow" w:hAnsi="Arial Narrow"/>
          <w:b/>
          <w:sz w:val="20"/>
          <w:szCs w:val="20"/>
        </w:rPr>
      </w:pPr>
      <w:r w:rsidRPr="00D97B31">
        <w:rPr>
          <w:rFonts w:ascii="Arial Narrow" w:hAnsi="Arial Narrow"/>
          <w:b/>
          <w:sz w:val="20"/>
          <w:szCs w:val="20"/>
        </w:rPr>
        <w:t xml:space="preserve">Figure </w:t>
      </w:r>
      <w:r w:rsidR="003813D7" w:rsidRPr="00D97B31">
        <w:rPr>
          <w:rFonts w:ascii="Arial Narrow" w:hAnsi="Arial Narrow"/>
          <w:b/>
          <w:sz w:val="20"/>
          <w:szCs w:val="20"/>
        </w:rPr>
        <w:t>3</w:t>
      </w:r>
      <w:r w:rsidRPr="00D97B31">
        <w:rPr>
          <w:rFonts w:ascii="Arial Narrow" w:hAnsi="Arial Narrow"/>
          <w:b/>
          <w:sz w:val="20"/>
          <w:szCs w:val="20"/>
        </w:rPr>
        <w:t>:</w:t>
      </w:r>
      <w:r w:rsidR="007D6522" w:rsidRPr="00D97B31">
        <w:rPr>
          <w:rFonts w:ascii="Arial Narrow" w:hAnsi="Arial Narrow"/>
          <w:b/>
          <w:sz w:val="20"/>
          <w:szCs w:val="20"/>
        </w:rPr>
        <w:t xml:space="preserve"> </w:t>
      </w:r>
      <w:r w:rsidRPr="00D97B31">
        <w:rPr>
          <w:rFonts w:ascii="Arial Narrow" w:hAnsi="Arial Narrow"/>
          <w:b/>
          <w:sz w:val="20"/>
          <w:szCs w:val="20"/>
        </w:rPr>
        <w:t>Overlay of MFS and OS curves from ARAMIS and SPARTAN</w:t>
      </w:r>
    </w:p>
    <w:p w:rsidR="00B67A2B" w:rsidRPr="00D97B31" w:rsidRDefault="00B67A2B" w:rsidP="003D28F9">
      <w:pPr>
        <w:pStyle w:val="3-BodyText"/>
        <w:keepNext/>
        <w:numPr>
          <w:ilvl w:val="0"/>
          <w:numId w:val="0"/>
        </w:numPr>
        <w:spacing w:after="0"/>
      </w:pPr>
      <w:r w:rsidRPr="00D97B31">
        <w:rPr>
          <w:rFonts w:ascii="Arial Narrow" w:hAnsi="Arial Narrow"/>
          <w:b/>
          <w:sz w:val="20"/>
          <w:szCs w:val="20"/>
        </w:rPr>
        <w:t>A: MFS</w:t>
      </w:r>
      <w:r w:rsidRPr="00D97B31">
        <w:rPr>
          <w:rFonts w:ascii="Arial Narrow" w:hAnsi="Arial Narrow"/>
          <w:b/>
          <w:sz w:val="20"/>
          <w:szCs w:val="20"/>
        </w:rPr>
        <w:tab/>
      </w:r>
      <w:r w:rsidRPr="00D97B31">
        <w:rPr>
          <w:rFonts w:ascii="Arial Narrow" w:hAnsi="Arial Narrow"/>
          <w:b/>
          <w:sz w:val="20"/>
          <w:szCs w:val="20"/>
        </w:rPr>
        <w:tab/>
      </w:r>
      <w:r w:rsidRPr="00D97B31">
        <w:rPr>
          <w:rFonts w:ascii="Arial Narrow" w:hAnsi="Arial Narrow"/>
          <w:b/>
          <w:sz w:val="20"/>
          <w:szCs w:val="20"/>
        </w:rPr>
        <w:tab/>
      </w:r>
      <w:r w:rsidRPr="00D97B31">
        <w:rPr>
          <w:rFonts w:ascii="Arial Narrow" w:hAnsi="Arial Narrow"/>
          <w:b/>
          <w:sz w:val="20"/>
          <w:szCs w:val="20"/>
        </w:rPr>
        <w:tab/>
      </w:r>
      <w:r w:rsidRPr="00D97B31">
        <w:rPr>
          <w:rFonts w:ascii="Arial Narrow" w:hAnsi="Arial Narrow"/>
          <w:b/>
          <w:sz w:val="20"/>
          <w:szCs w:val="20"/>
        </w:rPr>
        <w:tab/>
      </w:r>
      <w:r w:rsidRPr="00D97B31">
        <w:rPr>
          <w:rFonts w:ascii="Arial Narrow" w:hAnsi="Arial Narrow"/>
          <w:b/>
          <w:sz w:val="20"/>
          <w:szCs w:val="20"/>
        </w:rPr>
        <w:tab/>
      </w:r>
      <w:r w:rsidRPr="00D97B31">
        <w:rPr>
          <w:rFonts w:ascii="Arial Narrow" w:hAnsi="Arial Narrow"/>
          <w:b/>
          <w:sz w:val="20"/>
          <w:szCs w:val="20"/>
        </w:rPr>
        <w:tab/>
        <w:t>B: OS</w:t>
      </w:r>
      <w:r w:rsidRPr="00D97B31">
        <w:rPr>
          <w:rFonts w:ascii="Arial Narrow" w:hAnsi="Arial Narrow"/>
          <w:b/>
          <w:sz w:val="20"/>
          <w:szCs w:val="20"/>
        </w:rPr>
        <w:tab/>
      </w:r>
      <w:r w:rsidRPr="00D97B31">
        <w:rPr>
          <w:b/>
          <w:sz w:val="20"/>
          <w:szCs w:val="20"/>
        </w:rPr>
        <w:tab/>
      </w:r>
      <w:r w:rsidRPr="00D97B31">
        <w:rPr>
          <w:b/>
          <w:sz w:val="20"/>
          <w:szCs w:val="20"/>
        </w:rPr>
        <w:tab/>
      </w:r>
    </w:p>
    <w:p w:rsidR="003D28F9" w:rsidRPr="00D97B31" w:rsidRDefault="003D28F9" w:rsidP="003D28F9">
      <w:pPr>
        <w:pStyle w:val="3-BodyText"/>
        <w:keepNext/>
        <w:numPr>
          <w:ilvl w:val="0"/>
          <w:numId w:val="0"/>
        </w:numPr>
      </w:pPr>
      <w:r w:rsidRPr="00D97B31">
        <w:rPr>
          <w:noProof/>
        </w:rPr>
        <w:drawing>
          <wp:inline distT="0" distB="0" distL="0" distR="0" wp14:anchorId="41063574" wp14:editId="263D6B13">
            <wp:extent cx="2916820" cy="1944370"/>
            <wp:effectExtent l="0" t="0" r="0" b="0"/>
            <wp:docPr id="27" name="Picture 27" title="Figure 3: Overlay of MFS and OS curves from ARAMIS and SPAR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0025" cy="1979837"/>
                    </a:xfrm>
                    <a:prstGeom prst="rect">
                      <a:avLst/>
                    </a:prstGeom>
                    <a:noFill/>
                  </pic:spPr>
                </pic:pic>
              </a:graphicData>
            </a:graphic>
          </wp:inline>
        </w:drawing>
      </w:r>
      <w:r w:rsidRPr="00D97B31">
        <w:rPr>
          <w:noProof/>
        </w:rPr>
        <w:drawing>
          <wp:inline distT="0" distB="0" distL="0" distR="0" wp14:anchorId="1D4179C4" wp14:editId="73E92114">
            <wp:extent cx="2743200" cy="1944370"/>
            <wp:effectExtent l="0" t="0" r="0" b="0"/>
            <wp:docPr id="28" name="Picture 28" title="Figure 3: Overlay of MFS and OS curves from ARAMIS and SPAR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4809" cy="1973862"/>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64"/>
        <w:gridCol w:w="4274"/>
      </w:tblGrid>
      <w:tr w:rsidR="003D28F9" w:rsidRPr="00D97B31" w:rsidTr="007953F2">
        <w:tc>
          <w:tcPr>
            <w:tcW w:w="4564" w:type="dxa"/>
          </w:tcPr>
          <w:p w:rsidR="003D28F9" w:rsidRPr="00D97B31" w:rsidRDefault="003D28F9" w:rsidP="003D28F9">
            <w:pPr>
              <w:pStyle w:val="TableFooter"/>
              <w:keepNext/>
              <w:keepLines/>
              <w:widowControl w:val="0"/>
              <w:spacing w:after="160"/>
            </w:pPr>
            <w:r w:rsidRPr="00D97B31">
              <w:t>Source:</w:t>
            </w:r>
            <w:r w:rsidR="007D6522" w:rsidRPr="00D97B31">
              <w:t xml:space="preserve"> </w:t>
            </w:r>
            <w:r w:rsidRPr="00D97B31">
              <w:t>Figure 2-31, p129 of the submission.</w:t>
            </w:r>
          </w:p>
        </w:tc>
        <w:tc>
          <w:tcPr>
            <w:tcW w:w="4274" w:type="dxa"/>
          </w:tcPr>
          <w:p w:rsidR="003D28F9" w:rsidRPr="00D97B31" w:rsidRDefault="003D28F9" w:rsidP="003D28F9">
            <w:pPr>
              <w:pStyle w:val="TableFooter"/>
              <w:keepNext/>
              <w:keepLines/>
              <w:widowControl w:val="0"/>
              <w:spacing w:after="160"/>
            </w:pPr>
            <w:r w:rsidRPr="00D97B31">
              <w:t>Source: Figure 2-32, p130 of the submission.</w:t>
            </w:r>
          </w:p>
        </w:tc>
      </w:tr>
    </w:tbl>
    <w:p w:rsidR="00D86231" w:rsidRPr="00D97B31" w:rsidRDefault="00B67A2B" w:rsidP="003B1887">
      <w:pPr>
        <w:pStyle w:val="3-BodyText"/>
        <w:rPr>
          <w:iCs/>
        </w:rPr>
      </w:pPr>
      <w:r w:rsidRPr="00D97B31">
        <w:rPr>
          <w:iCs/>
        </w:rPr>
        <w:t xml:space="preserve">While the </w:t>
      </w:r>
      <w:r w:rsidR="00C977AC" w:rsidRPr="00D97B31">
        <w:rPr>
          <w:iCs/>
        </w:rPr>
        <w:t xml:space="preserve">MFS and </w:t>
      </w:r>
      <w:r w:rsidRPr="00D97B31">
        <w:rPr>
          <w:iCs/>
        </w:rPr>
        <w:t xml:space="preserve">OS curves are reasonably similar </w:t>
      </w:r>
      <w:r w:rsidR="00C977AC" w:rsidRPr="00D97B31">
        <w:rPr>
          <w:iCs/>
        </w:rPr>
        <w:t xml:space="preserve">for the active treatment arms in both </w:t>
      </w:r>
      <w:r w:rsidRPr="00D97B31">
        <w:rPr>
          <w:iCs/>
        </w:rPr>
        <w:t>trials</w:t>
      </w:r>
      <w:r w:rsidR="00C977AC" w:rsidRPr="00D97B31">
        <w:rPr>
          <w:iCs/>
        </w:rPr>
        <w:t>,</w:t>
      </w:r>
      <w:r w:rsidRPr="00D97B31">
        <w:rPr>
          <w:iCs/>
        </w:rPr>
        <w:t xml:space="preserve"> the placebo arms appeared to </w:t>
      </w:r>
      <w:r w:rsidR="00C977AC" w:rsidRPr="00D97B31">
        <w:rPr>
          <w:iCs/>
        </w:rPr>
        <w:t>be less similar</w:t>
      </w:r>
      <w:r w:rsidRPr="00D97B31">
        <w:rPr>
          <w:iCs/>
        </w:rPr>
        <w:t>, particularly for MFS.</w:t>
      </w:r>
      <w:r w:rsidR="007D6522" w:rsidRPr="00D97B31">
        <w:rPr>
          <w:iCs/>
        </w:rPr>
        <w:t xml:space="preserve"> </w:t>
      </w:r>
      <w:r w:rsidRPr="00D97B31">
        <w:rPr>
          <w:iCs/>
        </w:rPr>
        <w:t xml:space="preserve">This suggests </w:t>
      </w:r>
      <w:r w:rsidR="00222FA2" w:rsidRPr="00D97B31">
        <w:rPr>
          <w:iCs/>
        </w:rPr>
        <w:t xml:space="preserve">patient </w:t>
      </w:r>
      <w:r w:rsidRPr="00D97B31">
        <w:rPr>
          <w:iCs/>
        </w:rPr>
        <w:t xml:space="preserve">differences between the trials, which had been noted by the CADTH application (see </w:t>
      </w:r>
      <w:r w:rsidR="00222FA2" w:rsidRPr="00D97B31">
        <w:rPr>
          <w:iCs/>
        </w:rPr>
        <w:t>paragraph 6</w:t>
      </w:r>
      <w:r w:rsidR="00222FA2" w:rsidRPr="00915A65">
        <w:rPr>
          <w:iCs/>
        </w:rPr>
        <w:t>.</w:t>
      </w:r>
      <w:r w:rsidR="00915A65" w:rsidRPr="00915A65">
        <w:rPr>
          <w:iCs/>
        </w:rPr>
        <w:t>18</w:t>
      </w:r>
      <w:r w:rsidRPr="00915A65">
        <w:rPr>
          <w:iCs/>
        </w:rPr>
        <w:t>).</w:t>
      </w:r>
    </w:p>
    <w:p w:rsidR="00B60939" w:rsidRPr="00D97B31" w:rsidRDefault="00B60939" w:rsidP="00D86231">
      <w:pPr>
        <w:pStyle w:val="4-SubsectionHeading"/>
      </w:pPr>
      <w:bookmarkStart w:id="16" w:name="_Toc22897642"/>
      <w:bookmarkStart w:id="17" w:name="_Toc40744333"/>
      <w:r w:rsidRPr="00D97B31">
        <w:t>Comparative harms</w:t>
      </w:r>
      <w:bookmarkEnd w:id="16"/>
      <w:bookmarkEnd w:id="17"/>
    </w:p>
    <w:p w:rsidR="009366CF" w:rsidRPr="00D97B31" w:rsidRDefault="002F2D80" w:rsidP="00D86231">
      <w:pPr>
        <w:pStyle w:val="3-BodyText"/>
      </w:pPr>
      <w:r>
        <w:t>Table 8</w:t>
      </w:r>
      <w:r w:rsidR="009366CF" w:rsidRPr="00D97B31">
        <w:t xml:space="preserve"> provides a summary of AEs of special interest in the ARAMIS trial.</w:t>
      </w:r>
      <w:r w:rsidR="007D6522" w:rsidRPr="00D97B31">
        <w:t xml:space="preserve"> </w:t>
      </w:r>
      <w:r w:rsidR="00493D56" w:rsidRPr="00D97B31">
        <w:t xml:space="preserve">These were defined as events/disorders representing potential or known risks associated with ADT or second-generation androgen receptor inhibitors, such as fracture, fall, seizure, rash, cardiovascular disorders and other events. </w:t>
      </w:r>
    </w:p>
    <w:p w:rsidR="009366CF" w:rsidRPr="00D97B31" w:rsidRDefault="009366CF" w:rsidP="00655260">
      <w:pPr>
        <w:pStyle w:val="3-BodyText"/>
        <w:keepNext/>
        <w:numPr>
          <w:ilvl w:val="0"/>
          <w:numId w:val="0"/>
        </w:numPr>
        <w:spacing w:after="0"/>
        <w:rPr>
          <w:bCs/>
        </w:rPr>
      </w:pPr>
      <w:r w:rsidRPr="00D97B31">
        <w:rPr>
          <w:rStyle w:val="CommentReference"/>
          <w:bCs/>
          <w:szCs w:val="24"/>
        </w:rPr>
        <w:t xml:space="preserve">Table </w:t>
      </w:r>
      <w:r w:rsidR="003813D7" w:rsidRPr="00D97B31">
        <w:rPr>
          <w:rStyle w:val="CommentReference"/>
          <w:bCs/>
          <w:szCs w:val="24"/>
        </w:rPr>
        <w:t>8</w:t>
      </w:r>
      <w:r w:rsidRPr="00D97B31">
        <w:rPr>
          <w:rStyle w:val="CommentReference"/>
          <w:bCs/>
          <w:szCs w:val="24"/>
        </w:rPr>
        <w:t xml:space="preserve">: </w:t>
      </w:r>
      <w:r w:rsidRPr="00D97B31">
        <w:rPr>
          <w:rFonts w:ascii="Arial Narrow" w:hAnsi="Arial Narrow"/>
          <w:b/>
          <w:bCs/>
          <w:sz w:val="20"/>
          <w:szCs w:val="20"/>
        </w:rPr>
        <w:t>Summary of adverse events of special interest in ARAMIS</w:t>
      </w:r>
    </w:p>
    <w:tbl>
      <w:tblPr>
        <w:tblStyle w:val="TableGrid"/>
        <w:tblW w:w="8967" w:type="dxa"/>
        <w:tblCellMar>
          <w:left w:w="28" w:type="dxa"/>
          <w:right w:w="28" w:type="dxa"/>
        </w:tblCellMar>
        <w:tblLook w:val="04A0" w:firstRow="1" w:lastRow="0" w:firstColumn="1" w:lastColumn="0" w:noHBand="0" w:noVBand="1"/>
        <w:tblCaption w:val="Table 8: Summary of adverse events of special interest in ARAMIS"/>
      </w:tblPr>
      <w:tblGrid>
        <w:gridCol w:w="1696"/>
        <w:gridCol w:w="993"/>
        <w:gridCol w:w="992"/>
        <w:gridCol w:w="1417"/>
        <w:gridCol w:w="1418"/>
        <w:gridCol w:w="850"/>
        <w:gridCol w:w="709"/>
        <w:gridCol w:w="892"/>
      </w:tblGrid>
      <w:tr w:rsidR="009366CF" w:rsidRPr="00D97B31" w:rsidTr="009F7F21">
        <w:trPr>
          <w:tblHeader/>
        </w:trPr>
        <w:tc>
          <w:tcPr>
            <w:tcW w:w="1696" w:type="dxa"/>
            <w:vMerge w:val="restart"/>
            <w:vAlign w:val="center"/>
          </w:tcPr>
          <w:p w:rsidR="009366CF" w:rsidRPr="00D97B31" w:rsidRDefault="009366CF" w:rsidP="00655260">
            <w:pPr>
              <w:keepNext/>
              <w:jc w:val="left"/>
              <w:rPr>
                <w:rFonts w:ascii="Arial Narrow" w:hAnsi="Arial Narrow"/>
                <w:b/>
                <w:bCs/>
                <w:sz w:val="20"/>
                <w:szCs w:val="20"/>
              </w:rPr>
            </w:pPr>
          </w:p>
        </w:tc>
        <w:tc>
          <w:tcPr>
            <w:tcW w:w="993" w:type="dxa"/>
            <w:vMerge w:val="restart"/>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D</w:t>
            </w:r>
            <w:r w:rsidR="009F7F21" w:rsidRPr="00D97B31">
              <w:rPr>
                <w:rFonts w:ascii="Arial Narrow" w:hAnsi="Arial Narrow"/>
                <w:b/>
                <w:bCs/>
                <w:sz w:val="20"/>
                <w:szCs w:val="20"/>
              </w:rPr>
              <w:t xml:space="preserve">ARO, </w:t>
            </w:r>
            <w:r w:rsidR="009F7F21" w:rsidRPr="00D97B31">
              <w:rPr>
                <w:rFonts w:ascii="Arial Narrow" w:hAnsi="Arial Narrow"/>
                <w:b/>
                <w:bCs/>
                <w:sz w:val="20"/>
                <w:szCs w:val="20"/>
              </w:rPr>
              <w:br/>
              <w:t xml:space="preserve">n (%) </w:t>
            </w:r>
            <w:r w:rsidR="009F7F21" w:rsidRPr="00D97B31">
              <w:rPr>
                <w:rFonts w:ascii="Arial Narrow" w:hAnsi="Arial Narrow"/>
                <w:b/>
                <w:bCs/>
                <w:sz w:val="20"/>
                <w:szCs w:val="20"/>
              </w:rPr>
              <w:br/>
            </w:r>
            <w:r w:rsidRPr="00D97B31">
              <w:rPr>
                <w:rFonts w:ascii="Arial Narrow" w:hAnsi="Arial Narrow"/>
                <w:b/>
                <w:bCs/>
                <w:sz w:val="20"/>
                <w:szCs w:val="20"/>
              </w:rPr>
              <w:t xml:space="preserve">(N=954) </w:t>
            </w:r>
          </w:p>
        </w:tc>
        <w:tc>
          <w:tcPr>
            <w:tcW w:w="992" w:type="dxa"/>
            <w:vMerge w:val="restart"/>
            <w:vAlign w:val="center"/>
          </w:tcPr>
          <w:p w:rsidR="009366CF" w:rsidRPr="00D97B31" w:rsidRDefault="009F7F21" w:rsidP="00655260">
            <w:pPr>
              <w:keepNext/>
              <w:jc w:val="center"/>
              <w:rPr>
                <w:rFonts w:ascii="Arial Narrow" w:hAnsi="Arial Narrow"/>
                <w:b/>
                <w:bCs/>
                <w:sz w:val="20"/>
                <w:szCs w:val="20"/>
              </w:rPr>
            </w:pPr>
            <w:r w:rsidRPr="00D97B31">
              <w:rPr>
                <w:rFonts w:ascii="Arial Narrow" w:hAnsi="Arial Narrow"/>
                <w:b/>
                <w:bCs/>
                <w:sz w:val="20"/>
                <w:szCs w:val="20"/>
              </w:rPr>
              <w:t>SOC,</w:t>
            </w:r>
          </w:p>
          <w:p w:rsidR="009F7F21" w:rsidRPr="00D97B31" w:rsidRDefault="009F7F21" w:rsidP="00655260">
            <w:pPr>
              <w:keepNext/>
              <w:jc w:val="center"/>
              <w:rPr>
                <w:rFonts w:ascii="Arial Narrow" w:hAnsi="Arial Narrow"/>
                <w:b/>
                <w:bCs/>
                <w:sz w:val="20"/>
                <w:szCs w:val="20"/>
              </w:rPr>
            </w:pPr>
            <w:r w:rsidRPr="00D97B31">
              <w:rPr>
                <w:rFonts w:ascii="Arial Narrow" w:hAnsi="Arial Narrow"/>
                <w:b/>
                <w:bCs/>
                <w:sz w:val="20"/>
                <w:szCs w:val="20"/>
              </w:rPr>
              <w:t>N (%)</w:t>
            </w:r>
          </w:p>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 xml:space="preserve">(N=554) </w:t>
            </w:r>
          </w:p>
        </w:tc>
        <w:tc>
          <w:tcPr>
            <w:tcW w:w="1417" w:type="dxa"/>
            <w:vMerge w:val="restart"/>
            <w:vAlign w:val="center"/>
          </w:tcPr>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 xml:space="preserve">RR </w:t>
            </w:r>
          </w:p>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(95% CI)</w:t>
            </w:r>
          </w:p>
        </w:tc>
        <w:tc>
          <w:tcPr>
            <w:tcW w:w="1418" w:type="dxa"/>
            <w:vMerge w:val="restart"/>
            <w:vAlign w:val="center"/>
          </w:tcPr>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 xml:space="preserve">RD </w:t>
            </w:r>
          </w:p>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(95% CI)</w:t>
            </w:r>
          </w:p>
        </w:tc>
        <w:tc>
          <w:tcPr>
            <w:tcW w:w="2451" w:type="dxa"/>
            <w:gridSpan w:val="3"/>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 xml:space="preserve">Exposure-adjusted incidence </w:t>
            </w:r>
            <w:r w:rsidR="009F7F21" w:rsidRPr="00D97B31">
              <w:rPr>
                <w:rFonts w:ascii="Arial Narrow" w:hAnsi="Arial Narrow"/>
                <w:b/>
                <w:bCs/>
                <w:sz w:val="20"/>
                <w:szCs w:val="20"/>
              </w:rPr>
              <w:br/>
            </w:r>
            <w:r w:rsidRPr="00D97B31">
              <w:rPr>
                <w:rFonts w:ascii="Arial Narrow" w:hAnsi="Arial Narrow"/>
                <w:b/>
                <w:bCs/>
                <w:sz w:val="20"/>
                <w:szCs w:val="20"/>
              </w:rPr>
              <w:t>rate</w:t>
            </w:r>
            <w:r w:rsidR="009F7F21" w:rsidRPr="00D97B31">
              <w:rPr>
                <w:rFonts w:ascii="Arial Narrow" w:hAnsi="Arial Narrow"/>
                <w:b/>
                <w:bCs/>
                <w:sz w:val="20"/>
                <w:szCs w:val="20"/>
              </w:rPr>
              <w:t xml:space="preserve"> </w:t>
            </w:r>
            <w:r w:rsidRPr="00D97B31">
              <w:rPr>
                <w:rFonts w:ascii="Arial Narrow" w:hAnsi="Arial Narrow"/>
                <w:b/>
                <w:bCs/>
                <w:sz w:val="20"/>
                <w:szCs w:val="20"/>
              </w:rPr>
              <w:t>per 100 patient years</w:t>
            </w:r>
          </w:p>
        </w:tc>
      </w:tr>
      <w:tr w:rsidR="009366CF" w:rsidRPr="00D97B31" w:rsidTr="009F7F21">
        <w:trPr>
          <w:tblHeader/>
        </w:trPr>
        <w:tc>
          <w:tcPr>
            <w:tcW w:w="1696" w:type="dxa"/>
            <w:vMerge/>
            <w:vAlign w:val="center"/>
          </w:tcPr>
          <w:p w:rsidR="009366CF" w:rsidRPr="00D97B31" w:rsidRDefault="009366CF" w:rsidP="00655260">
            <w:pPr>
              <w:keepNext/>
              <w:jc w:val="left"/>
              <w:rPr>
                <w:rFonts w:ascii="Arial Narrow" w:hAnsi="Arial Narrow"/>
                <w:b/>
                <w:bCs/>
                <w:sz w:val="20"/>
                <w:szCs w:val="20"/>
              </w:rPr>
            </w:pPr>
          </w:p>
        </w:tc>
        <w:tc>
          <w:tcPr>
            <w:tcW w:w="993" w:type="dxa"/>
            <w:vMerge/>
            <w:vAlign w:val="center"/>
          </w:tcPr>
          <w:p w:rsidR="009366CF" w:rsidRPr="00D97B31" w:rsidRDefault="009366CF" w:rsidP="00655260">
            <w:pPr>
              <w:keepNext/>
              <w:jc w:val="center"/>
              <w:rPr>
                <w:rFonts w:ascii="Arial Narrow" w:hAnsi="Arial Narrow"/>
                <w:b/>
                <w:bCs/>
                <w:sz w:val="20"/>
                <w:szCs w:val="20"/>
              </w:rPr>
            </w:pPr>
          </w:p>
        </w:tc>
        <w:tc>
          <w:tcPr>
            <w:tcW w:w="992" w:type="dxa"/>
            <w:vMerge/>
            <w:vAlign w:val="center"/>
          </w:tcPr>
          <w:p w:rsidR="009366CF" w:rsidRPr="00D97B31" w:rsidRDefault="009366CF" w:rsidP="00655260">
            <w:pPr>
              <w:keepNext/>
              <w:jc w:val="center"/>
              <w:rPr>
                <w:rFonts w:ascii="Arial Narrow" w:hAnsi="Arial Narrow"/>
                <w:b/>
                <w:bCs/>
                <w:sz w:val="20"/>
                <w:szCs w:val="20"/>
              </w:rPr>
            </w:pPr>
          </w:p>
        </w:tc>
        <w:tc>
          <w:tcPr>
            <w:tcW w:w="1417" w:type="dxa"/>
            <w:vMerge/>
            <w:vAlign w:val="center"/>
          </w:tcPr>
          <w:p w:rsidR="009366CF" w:rsidRPr="00D97B31" w:rsidRDefault="009366CF" w:rsidP="00655260">
            <w:pPr>
              <w:keepNext/>
              <w:jc w:val="center"/>
              <w:rPr>
                <w:rFonts w:ascii="Arial Narrow" w:hAnsi="Arial Narrow"/>
                <w:b/>
                <w:bCs/>
                <w:sz w:val="20"/>
                <w:szCs w:val="20"/>
              </w:rPr>
            </w:pPr>
          </w:p>
        </w:tc>
        <w:tc>
          <w:tcPr>
            <w:tcW w:w="1418" w:type="dxa"/>
            <w:vMerge/>
            <w:vAlign w:val="center"/>
          </w:tcPr>
          <w:p w:rsidR="009366CF" w:rsidRPr="00D97B31" w:rsidRDefault="009366CF" w:rsidP="00655260">
            <w:pPr>
              <w:keepNext/>
              <w:jc w:val="center"/>
              <w:rPr>
                <w:rFonts w:ascii="Arial Narrow" w:hAnsi="Arial Narrow"/>
                <w:b/>
                <w:bCs/>
                <w:sz w:val="20"/>
                <w:szCs w:val="20"/>
              </w:rPr>
            </w:pPr>
          </w:p>
        </w:tc>
        <w:tc>
          <w:tcPr>
            <w:tcW w:w="850"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D</w:t>
            </w:r>
            <w:r w:rsidR="009F7F21" w:rsidRPr="00D97B31">
              <w:rPr>
                <w:rFonts w:ascii="Arial Narrow" w:hAnsi="Arial Narrow"/>
                <w:b/>
                <w:bCs/>
                <w:sz w:val="20"/>
                <w:szCs w:val="20"/>
              </w:rPr>
              <w:t>ARO</w:t>
            </w:r>
          </w:p>
        </w:tc>
        <w:tc>
          <w:tcPr>
            <w:tcW w:w="709" w:type="dxa"/>
            <w:vAlign w:val="center"/>
          </w:tcPr>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SOC</w:t>
            </w:r>
          </w:p>
        </w:tc>
        <w:tc>
          <w:tcPr>
            <w:tcW w:w="892" w:type="dxa"/>
            <w:vAlign w:val="center"/>
          </w:tcPr>
          <w:p w:rsidR="009366CF" w:rsidRPr="00D97B31" w:rsidRDefault="009366CF" w:rsidP="00655260">
            <w:pPr>
              <w:keepNext/>
              <w:jc w:val="center"/>
              <w:rPr>
                <w:rFonts w:ascii="Arial Narrow" w:hAnsi="Arial Narrow"/>
                <w:b/>
                <w:bCs/>
                <w:sz w:val="20"/>
                <w:szCs w:val="20"/>
              </w:rPr>
            </w:pPr>
            <w:r w:rsidRPr="00D97B31">
              <w:rPr>
                <w:rFonts w:ascii="Arial Narrow" w:hAnsi="Arial Narrow"/>
                <w:b/>
                <w:bCs/>
                <w:sz w:val="20"/>
                <w:szCs w:val="20"/>
              </w:rPr>
              <w:t>Risk ratio</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Bone fracture</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40 (4.</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20 (3.6%)</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1.16 (0.69, 1.97)</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0.01 (-0.01, 0.03)</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3.0</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3.5</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0.9</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Fall</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40 (4.</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26 (4.</w:t>
            </w:r>
            <w:r w:rsidR="009F7F21" w:rsidRPr="00D97B31">
              <w:rPr>
                <w:rFonts w:ascii="Arial Narrow" w:hAnsi="Arial Narrow"/>
                <w:sz w:val="20"/>
                <w:szCs w:val="20"/>
                <w:lang w:eastAsia="en-AU"/>
              </w:rPr>
              <w:t>7</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0.89</w:t>
            </w:r>
            <w:r w:rsidR="009F7F21" w:rsidRPr="00D97B31">
              <w:rPr>
                <w:rFonts w:ascii="Arial Narrow" w:hAnsi="Arial Narrow"/>
                <w:sz w:val="20"/>
                <w:szCs w:val="20"/>
                <w:lang w:eastAsia="en-AU"/>
              </w:rPr>
              <w:t xml:space="preserve"> </w:t>
            </w:r>
            <w:r w:rsidRPr="00D97B31">
              <w:rPr>
                <w:rFonts w:ascii="Arial Narrow" w:hAnsi="Arial Narrow"/>
                <w:sz w:val="20"/>
                <w:szCs w:val="20"/>
                <w:lang w:eastAsia="en-AU"/>
              </w:rPr>
              <w:t>(0.55, 1.45)</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-0.01 (-0.03, 0.02)</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3.0</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4.6</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0.7</w:t>
            </w:r>
          </w:p>
        </w:tc>
      </w:tr>
      <w:tr w:rsidR="009366CF" w:rsidRPr="00D97B31" w:rsidTr="009F7F21">
        <w:tc>
          <w:tcPr>
            <w:tcW w:w="1696" w:type="dxa"/>
            <w:vAlign w:val="center"/>
          </w:tcPr>
          <w:p w:rsidR="009366CF" w:rsidRPr="00D97B31" w:rsidRDefault="009366CF" w:rsidP="00655260">
            <w:pPr>
              <w:pStyle w:val="Tabletext"/>
              <w:keepNext/>
              <w:widowControl w:val="0"/>
              <w:rPr>
                <w:szCs w:val="20"/>
                <w:lang w:eastAsia="en-AU"/>
              </w:rPr>
            </w:pPr>
            <w:r w:rsidRPr="00D97B31">
              <w:rPr>
                <w:szCs w:val="20"/>
                <w:lang w:eastAsia="en-AU"/>
              </w:rPr>
              <w:t>Fatigue/ asthenia</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151 (15.8%)</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63 (11.</w:t>
            </w:r>
            <w:r w:rsidR="009F7F21" w:rsidRPr="00D97B31">
              <w:rPr>
                <w:rFonts w:ascii="Arial Narrow" w:hAnsi="Arial Narrow"/>
                <w:sz w:val="20"/>
                <w:szCs w:val="20"/>
                <w:lang w:eastAsia="en-AU"/>
              </w:rPr>
              <w:t>4</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lang w:eastAsia="en-AU"/>
              </w:rPr>
              <w:t>1.39 (1.06, 1.83)</w:t>
            </w:r>
          </w:p>
        </w:tc>
        <w:tc>
          <w:tcPr>
            <w:tcW w:w="1418"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0.04 (0.01, 0.08)</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11.3</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11.1</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1.0</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Weight decreased</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34 (3.6%)</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12 (2.</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lang w:eastAsia="en-AU"/>
              </w:rPr>
            </w:pPr>
            <w:r w:rsidRPr="00D97B31">
              <w:rPr>
                <w:rFonts w:ascii="Arial Narrow" w:hAnsi="Arial Narrow"/>
                <w:sz w:val="20"/>
                <w:szCs w:val="20"/>
                <w:lang w:eastAsia="en-AU"/>
              </w:rPr>
              <w:t>1.65 (0.86, 3.15)</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0.01 (0.00, 0.03)</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2.5</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2.1</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1.2</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Seizure</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 (0.2%)</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 (0.</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1.16 (0.11, 12.78)</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0.00 (0.00, 0.00)</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0.1</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0.2</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0.5</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Rash</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28 (2.9%)</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5 (0.9%)</w:t>
            </w:r>
          </w:p>
        </w:tc>
        <w:tc>
          <w:tcPr>
            <w:tcW w:w="1417"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lang w:eastAsia="en-AU"/>
              </w:rPr>
              <w:t>3.25 (1.26, 8.37)</w:t>
            </w:r>
          </w:p>
        </w:tc>
        <w:tc>
          <w:tcPr>
            <w:tcW w:w="1418"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0.02 (0.01, 0.04)</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2.1</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0.9</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2.3</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Cardiovascular disorders</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113 (11.8%)</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41 (7.4%)</w:t>
            </w:r>
          </w:p>
        </w:tc>
        <w:tc>
          <w:tcPr>
            <w:tcW w:w="1417"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lang w:eastAsia="en-AU"/>
              </w:rPr>
              <w:t>1.60 (1.14, 2.25)</w:t>
            </w:r>
          </w:p>
        </w:tc>
        <w:tc>
          <w:tcPr>
            <w:tcW w:w="1418" w:type="dxa"/>
            <w:vAlign w:val="center"/>
          </w:tcPr>
          <w:p w:rsidR="009366CF" w:rsidRPr="00D97B31" w:rsidRDefault="009366CF" w:rsidP="009F7F21">
            <w:pPr>
              <w:keepNext/>
              <w:jc w:val="center"/>
              <w:rPr>
                <w:rFonts w:ascii="Arial Narrow" w:hAnsi="Arial Narrow"/>
                <w:b/>
                <w:bCs/>
                <w:sz w:val="20"/>
                <w:szCs w:val="20"/>
              </w:rPr>
            </w:pPr>
            <w:r w:rsidRPr="00D97B31">
              <w:rPr>
                <w:rFonts w:ascii="Arial Narrow" w:hAnsi="Arial Narrow"/>
                <w:b/>
                <w:bCs/>
                <w:sz w:val="20"/>
                <w:szCs w:val="20"/>
              </w:rPr>
              <w:t>0.04 (0.01, 0.08)</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NA</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NA</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NA</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CNS vascular disorders</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16 (1.</w:t>
            </w:r>
            <w:r w:rsidR="009F7F21" w:rsidRPr="00D97B31">
              <w:rPr>
                <w:rFonts w:ascii="Arial Narrow" w:hAnsi="Arial Narrow"/>
                <w:sz w:val="20"/>
                <w:szCs w:val="20"/>
                <w:lang w:eastAsia="en-AU"/>
              </w:rPr>
              <w:t>7</w:t>
            </w:r>
            <w:r w:rsidRPr="00D97B31">
              <w:rPr>
                <w:rFonts w:ascii="Arial Narrow" w:hAnsi="Arial Narrow"/>
                <w:sz w:val="20"/>
                <w:szCs w:val="20"/>
                <w:lang w:eastAsia="en-AU"/>
              </w:rPr>
              <w:t>%)</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10 (1.8%)</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0.93 (0.42, 2.03)</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0.00 (-0.01, 0.01)</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1.2</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1.7</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0.7</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Hypertension</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70 (7.3%)</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33 (</w:t>
            </w:r>
            <w:r w:rsidR="009F7F21" w:rsidRPr="00D97B31">
              <w:rPr>
                <w:rFonts w:ascii="Arial Narrow" w:hAnsi="Arial Narrow"/>
                <w:sz w:val="20"/>
                <w:szCs w:val="20"/>
                <w:lang w:eastAsia="en-AU"/>
              </w:rPr>
              <w:t>6.0%</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1.23 (0.83, 1.84)</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0.01 (-0.01, 0.04)</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5.2</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5.8</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0.9</w:t>
            </w:r>
          </w:p>
        </w:tc>
      </w:tr>
      <w:tr w:rsidR="009366CF" w:rsidRPr="00D97B31" w:rsidTr="009F7F21">
        <w:tc>
          <w:tcPr>
            <w:tcW w:w="1696" w:type="dxa"/>
            <w:vAlign w:val="center"/>
          </w:tcPr>
          <w:p w:rsidR="009366CF" w:rsidRPr="00D97B31" w:rsidRDefault="009366CF" w:rsidP="001A29CD">
            <w:pPr>
              <w:keepNext/>
              <w:jc w:val="left"/>
              <w:rPr>
                <w:rFonts w:ascii="Arial Narrow" w:hAnsi="Arial Narrow"/>
                <w:sz w:val="20"/>
                <w:szCs w:val="20"/>
              </w:rPr>
            </w:pPr>
            <w:r w:rsidRPr="00D97B31">
              <w:rPr>
                <w:rFonts w:ascii="Arial Narrow" w:hAnsi="Arial Narrow"/>
                <w:sz w:val="20"/>
                <w:szCs w:val="20"/>
                <w:lang w:eastAsia="en-AU"/>
              </w:rPr>
              <w:t>Vasodilatation and flushing</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54 (5.</w:t>
            </w:r>
            <w:r w:rsidR="009F7F21" w:rsidRPr="00D97B31">
              <w:rPr>
                <w:rFonts w:ascii="Arial Narrow" w:hAnsi="Arial Narrow"/>
                <w:sz w:val="20"/>
                <w:szCs w:val="20"/>
                <w:lang w:eastAsia="en-AU"/>
              </w:rPr>
              <w:t>7</w:t>
            </w:r>
            <w:r w:rsidRPr="00D97B31">
              <w:rPr>
                <w:rFonts w:ascii="Arial Narrow" w:hAnsi="Arial Narrow"/>
                <w:sz w:val="20"/>
                <w:szCs w:val="20"/>
                <w:lang w:eastAsia="en-AU"/>
              </w:rPr>
              <w:t>%)</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23 (4.</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1.36 (0.85, 2.20)</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0.02 (-0.01, 0.04)</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4.0</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4.1</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1.0</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Diabetes and hyperglycaemia</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22 (2.3%)</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12 (2.</w:t>
            </w:r>
            <w:r w:rsidR="009F7F21" w:rsidRPr="00D97B31">
              <w:rPr>
                <w:rFonts w:ascii="Arial Narrow" w:hAnsi="Arial Narrow"/>
                <w:sz w:val="20"/>
                <w:szCs w:val="20"/>
                <w:lang w:eastAsia="en-AU"/>
              </w:rPr>
              <w:t>2</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1.06 (0.53, 2.13)</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0.00 (-0.01, 0.02)</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1.6</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2.1</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0.8</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Mental-impairment disorders</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16 (1.</w:t>
            </w:r>
            <w:r w:rsidR="009F7F21" w:rsidRPr="00D97B31">
              <w:rPr>
                <w:rFonts w:ascii="Arial Narrow" w:hAnsi="Arial Narrow"/>
                <w:sz w:val="20"/>
                <w:szCs w:val="20"/>
                <w:lang w:eastAsia="en-AU"/>
              </w:rPr>
              <w:t>7</w:t>
            </w:r>
            <w:r w:rsidRPr="00D97B31">
              <w:rPr>
                <w:rFonts w:ascii="Arial Narrow" w:hAnsi="Arial Narrow"/>
                <w:sz w:val="20"/>
                <w:szCs w:val="20"/>
                <w:lang w:eastAsia="en-AU"/>
              </w:rPr>
              <w:t>%)</w:t>
            </w:r>
          </w:p>
        </w:tc>
        <w:tc>
          <w:tcPr>
            <w:tcW w:w="992"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10 (1.8%)</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0.93 (0.42, 2.03)</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0.00 (-0.01, 0.01)</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1.2</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1.7</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0.7</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Depressed mood disorders</w:t>
            </w:r>
          </w:p>
        </w:tc>
        <w:tc>
          <w:tcPr>
            <w:tcW w:w="993"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17 (1.8%)</w:t>
            </w:r>
          </w:p>
        </w:tc>
        <w:tc>
          <w:tcPr>
            <w:tcW w:w="9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lang w:eastAsia="en-AU"/>
              </w:rPr>
              <w:t>8</w:t>
            </w:r>
            <w:r w:rsidR="009F7F21" w:rsidRPr="00D97B31">
              <w:rPr>
                <w:rFonts w:ascii="Arial Narrow" w:hAnsi="Arial Narrow"/>
                <w:sz w:val="20"/>
                <w:szCs w:val="20"/>
                <w:lang w:eastAsia="en-AU"/>
              </w:rPr>
              <w:t xml:space="preserve"> (1.4</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1.23</w:t>
            </w:r>
            <w:r w:rsidR="009F7F21" w:rsidRPr="00D97B31">
              <w:rPr>
                <w:rFonts w:ascii="Arial Narrow" w:hAnsi="Arial Narrow"/>
                <w:sz w:val="20"/>
                <w:szCs w:val="20"/>
                <w:lang w:eastAsia="en-AU"/>
              </w:rPr>
              <w:t xml:space="preserve"> </w:t>
            </w:r>
            <w:r w:rsidRPr="00D97B31">
              <w:rPr>
                <w:rFonts w:ascii="Arial Narrow" w:hAnsi="Arial Narrow"/>
                <w:sz w:val="20"/>
                <w:szCs w:val="20"/>
                <w:lang w:eastAsia="en-AU"/>
              </w:rPr>
              <w:t>(0.54, 2.84)</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0.00 (-0.01, 0.02)</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1.3</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1.4</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0.9</w:t>
            </w:r>
          </w:p>
        </w:tc>
      </w:tr>
      <w:tr w:rsidR="009366CF" w:rsidRPr="00D97B31" w:rsidTr="009F7F21">
        <w:tc>
          <w:tcPr>
            <w:tcW w:w="1696" w:type="dxa"/>
            <w:vAlign w:val="center"/>
          </w:tcPr>
          <w:p w:rsidR="009366CF" w:rsidRPr="00D97B31" w:rsidRDefault="009366CF" w:rsidP="00655260">
            <w:pPr>
              <w:keepNext/>
              <w:jc w:val="left"/>
              <w:rPr>
                <w:rFonts w:ascii="Arial Narrow" w:hAnsi="Arial Narrow"/>
                <w:sz w:val="20"/>
                <w:szCs w:val="20"/>
              </w:rPr>
            </w:pPr>
            <w:r w:rsidRPr="00D97B31">
              <w:rPr>
                <w:rFonts w:ascii="Arial Narrow" w:hAnsi="Arial Narrow"/>
                <w:sz w:val="20"/>
                <w:szCs w:val="20"/>
                <w:lang w:eastAsia="en-AU"/>
              </w:rPr>
              <w:t>Breast disorders/ gynaecomastia</w:t>
            </w:r>
          </w:p>
        </w:tc>
        <w:tc>
          <w:tcPr>
            <w:tcW w:w="993" w:type="dxa"/>
            <w:vAlign w:val="center"/>
          </w:tcPr>
          <w:p w:rsidR="009366CF" w:rsidRPr="00D97B31" w:rsidRDefault="009366CF" w:rsidP="009F7F21">
            <w:pPr>
              <w:pStyle w:val="Tabletext"/>
              <w:keepNext/>
              <w:widowControl w:val="0"/>
              <w:jc w:val="center"/>
              <w:rPr>
                <w:szCs w:val="20"/>
                <w:lang w:eastAsia="en-AU"/>
              </w:rPr>
            </w:pPr>
            <w:r w:rsidRPr="00D97B31">
              <w:rPr>
                <w:szCs w:val="20"/>
                <w:lang w:eastAsia="en-AU"/>
              </w:rPr>
              <w:t>22 (2.3%)</w:t>
            </w:r>
          </w:p>
        </w:tc>
        <w:tc>
          <w:tcPr>
            <w:tcW w:w="9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lang w:eastAsia="en-AU"/>
              </w:rPr>
              <w:t>9</w:t>
            </w:r>
            <w:r w:rsidR="009F7F21" w:rsidRPr="00D97B31">
              <w:rPr>
                <w:rFonts w:ascii="Arial Narrow" w:hAnsi="Arial Narrow"/>
                <w:sz w:val="20"/>
                <w:szCs w:val="20"/>
                <w:lang w:eastAsia="en-AU"/>
              </w:rPr>
              <w:t xml:space="preserve"> (1.6</w:t>
            </w:r>
            <w:r w:rsidRPr="00D97B31">
              <w:rPr>
                <w:rFonts w:ascii="Arial Narrow" w:hAnsi="Arial Narrow"/>
                <w:sz w:val="20"/>
                <w:szCs w:val="20"/>
                <w:lang w:eastAsia="en-AU"/>
              </w:rPr>
              <w:t>%)</w:t>
            </w:r>
          </w:p>
        </w:tc>
        <w:tc>
          <w:tcPr>
            <w:tcW w:w="1417"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lang w:eastAsia="en-AU"/>
              </w:rPr>
              <w:t>1.42 (0.66, 3.06)</w:t>
            </w:r>
          </w:p>
        </w:tc>
        <w:tc>
          <w:tcPr>
            <w:tcW w:w="1418" w:type="dxa"/>
            <w:vAlign w:val="center"/>
          </w:tcPr>
          <w:p w:rsidR="009366CF" w:rsidRPr="00D97B31" w:rsidRDefault="009366CF" w:rsidP="009F7F21">
            <w:pPr>
              <w:keepNext/>
              <w:jc w:val="center"/>
              <w:rPr>
                <w:rFonts w:ascii="Arial Narrow" w:hAnsi="Arial Narrow"/>
                <w:sz w:val="20"/>
                <w:szCs w:val="20"/>
              </w:rPr>
            </w:pPr>
            <w:r w:rsidRPr="00D97B31">
              <w:rPr>
                <w:rFonts w:ascii="Arial Narrow" w:hAnsi="Arial Narrow"/>
                <w:sz w:val="20"/>
                <w:szCs w:val="20"/>
              </w:rPr>
              <w:t>0.01 (-0.01, 0.02)</w:t>
            </w:r>
          </w:p>
        </w:tc>
        <w:tc>
          <w:tcPr>
            <w:tcW w:w="850"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1.6</w:t>
            </w:r>
          </w:p>
        </w:tc>
        <w:tc>
          <w:tcPr>
            <w:tcW w:w="709"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1.6</w:t>
            </w:r>
          </w:p>
        </w:tc>
        <w:tc>
          <w:tcPr>
            <w:tcW w:w="892" w:type="dxa"/>
            <w:vAlign w:val="center"/>
          </w:tcPr>
          <w:p w:rsidR="009366CF" w:rsidRPr="00D97B31" w:rsidRDefault="009366CF" w:rsidP="00655260">
            <w:pPr>
              <w:keepNext/>
              <w:jc w:val="center"/>
              <w:rPr>
                <w:rFonts w:ascii="Arial Narrow" w:hAnsi="Arial Narrow"/>
                <w:sz w:val="20"/>
                <w:szCs w:val="20"/>
              </w:rPr>
            </w:pPr>
            <w:r w:rsidRPr="00D97B31">
              <w:rPr>
                <w:rFonts w:ascii="Arial Narrow" w:hAnsi="Arial Narrow"/>
                <w:sz w:val="20"/>
                <w:szCs w:val="20"/>
              </w:rPr>
              <w:t>1.0</w:t>
            </w:r>
          </w:p>
        </w:tc>
      </w:tr>
    </w:tbl>
    <w:p w:rsidR="009366CF" w:rsidRPr="00D97B31" w:rsidRDefault="009366CF" w:rsidP="009366CF">
      <w:pPr>
        <w:pStyle w:val="TableFooter"/>
      </w:pPr>
      <w:r w:rsidRPr="00D97B31">
        <w:t>Source: Table 2-25, p99-100 of the submission.</w:t>
      </w:r>
    </w:p>
    <w:p w:rsidR="009366CF" w:rsidRPr="00D97B31" w:rsidRDefault="009F7F21" w:rsidP="009366CF">
      <w:pPr>
        <w:pStyle w:val="3-BodyText"/>
        <w:numPr>
          <w:ilvl w:val="0"/>
          <w:numId w:val="0"/>
        </w:numPr>
        <w:rPr>
          <w:rFonts w:ascii="Arial Narrow" w:hAnsi="Arial Narrow"/>
          <w:sz w:val="18"/>
          <w:szCs w:val="18"/>
        </w:rPr>
      </w:pPr>
      <w:r w:rsidRPr="00D97B31">
        <w:rPr>
          <w:rFonts w:ascii="Arial Narrow" w:hAnsi="Arial Narrow"/>
          <w:sz w:val="18"/>
          <w:szCs w:val="18"/>
        </w:rPr>
        <w:t xml:space="preserve">DARO=darolutamide; </w:t>
      </w:r>
      <w:r w:rsidR="009366CF" w:rsidRPr="00D97B31">
        <w:rPr>
          <w:rFonts w:ascii="Arial Narrow" w:hAnsi="Arial Narrow"/>
          <w:sz w:val="18"/>
          <w:szCs w:val="18"/>
        </w:rPr>
        <w:t>confidence interval; NA=not available; RD=risk difference; RR=relative risk; SOC=standard of care</w:t>
      </w:r>
    </w:p>
    <w:p w:rsidR="009366CF" w:rsidRPr="00D97B31" w:rsidRDefault="00DD1847" w:rsidP="00D86231">
      <w:pPr>
        <w:pStyle w:val="3-BodyText"/>
      </w:pPr>
      <w:r w:rsidRPr="00D97B31">
        <w:t xml:space="preserve">In ARAMIS, an increased risk of </w:t>
      </w:r>
      <w:r w:rsidR="009366CF" w:rsidRPr="00D97B31">
        <w:t xml:space="preserve">rash, fatigue and cardiovascular disorders </w:t>
      </w:r>
      <w:r w:rsidRPr="00D97B31">
        <w:t>was</w:t>
      </w:r>
      <w:r w:rsidR="009366CF" w:rsidRPr="00D97B31">
        <w:t xml:space="preserve"> associated with darolutamide treatment compared to SOC.</w:t>
      </w:r>
      <w:r w:rsidR="007D6522" w:rsidRPr="00D97B31">
        <w:t xml:space="preserve"> </w:t>
      </w:r>
    </w:p>
    <w:p w:rsidR="00B60939" w:rsidRPr="00D97B31" w:rsidRDefault="009366CF" w:rsidP="00834207">
      <w:pPr>
        <w:pStyle w:val="3-BodyText"/>
      </w:pPr>
      <w:r w:rsidRPr="00D97B31">
        <w:t>The Pharmaceutical Safety and Efficacy Assessment (PSEAT) from Health Canada for darolutamide stated that “…these data may suggest that the addition of darolutamide to ADT increases the severity of coronary artery disorder events.</w:t>
      </w:r>
      <w:r w:rsidR="007D6522" w:rsidRPr="00D97B31">
        <w:t xml:space="preserve"> </w:t>
      </w:r>
      <w:r w:rsidRPr="00D97B31">
        <w:t xml:space="preserve">While the signal may not be sufficient to warrant inclusion text with the Warnings and Precautions section of the PM, additional </w:t>
      </w:r>
      <w:r w:rsidR="00D60EFB" w:rsidRPr="00D97B31">
        <w:t>labelling</w:t>
      </w:r>
      <w:r w:rsidRPr="00D97B31">
        <w:t xml:space="preserve"> should be considered.</w:t>
      </w:r>
      <w:r w:rsidR="007D6522" w:rsidRPr="00D97B31">
        <w:t xml:space="preserve"> </w:t>
      </w:r>
      <w:r w:rsidRPr="00D97B31">
        <w:t>A further signal could be detected upon continued exposure in the post-market setting, and the data will be brought to the attention of the RMP reviewer”.</w:t>
      </w:r>
      <w:r w:rsidR="009219BD" w:rsidRPr="00D97B31">
        <w:t xml:space="preserve"> </w:t>
      </w:r>
      <w:r w:rsidR="005C34FD" w:rsidRPr="00D97B31">
        <w:t xml:space="preserve">The </w:t>
      </w:r>
      <w:r w:rsidR="008928C3">
        <w:t xml:space="preserve">Pre-Sub-Committee </w:t>
      </w:r>
      <w:r w:rsidR="00272BE7">
        <w:t>Response</w:t>
      </w:r>
      <w:r w:rsidR="008928C3">
        <w:t xml:space="preserve"> (PSCR)</w:t>
      </w:r>
      <w:r w:rsidR="005C34FD" w:rsidRPr="00D97B31">
        <w:t xml:space="preserve"> noted there w</w:t>
      </w:r>
      <w:r w:rsidR="009F7F21" w:rsidRPr="00D97B31">
        <w:t>as</w:t>
      </w:r>
      <w:r w:rsidR="005C34FD" w:rsidRPr="00D97B31">
        <w:t xml:space="preserve"> a high</w:t>
      </w:r>
      <w:r w:rsidR="009F7F21" w:rsidRPr="00D97B31">
        <w:t>er</w:t>
      </w:r>
      <w:r w:rsidR="005C34FD" w:rsidRPr="00D97B31">
        <w:t xml:space="preserve"> proportion of patients with a medical history of cardiac disorders at baseline in the darolutamide + ADT arm (46.1%) compared to the ADT arm (40.3%) and that these patients represent</w:t>
      </w:r>
      <w:r w:rsidR="00492072" w:rsidRPr="00D97B31">
        <w:t>ed</w:t>
      </w:r>
      <w:r w:rsidR="005C34FD" w:rsidRPr="00D97B31">
        <w:t xml:space="preserve"> the majority who experienced </w:t>
      </w:r>
      <w:r w:rsidR="005C34FD" w:rsidRPr="00D97B31">
        <w:rPr>
          <w:iCs/>
        </w:rPr>
        <w:t xml:space="preserve">coronary artery disorder or heart failure </w:t>
      </w:r>
      <w:r w:rsidR="00D30B35">
        <w:rPr>
          <w:iCs/>
        </w:rPr>
        <w:t>treatment emergent AEs (</w:t>
      </w:r>
      <w:r w:rsidR="001E7B21" w:rsidRPr="00D97B31">
        <w:t>TEAEs</w:t>
      </w:r>
      <w:r w:rsidR="00D30B35">
        <w:t>)</w:t>
      </w:r>
      <w:r w:rsidR="001E7B21" w:rsidRPr="00D97B31">
        <w:rPr>
          <w:iCs/>
        </w:rPr>
        <w:t xml:space="preserve"> </w:t>
      </w:r>
      <w:r w:rsidR="005C34FD" w:rsidRPr="00D97B31">
        <w:rPr>
          <w:iCs/>
        </w:rPr>
        <w:t xml:space="preserve">in both treatment arms. The PSCR also noted that there was no significant difference between </w:t>
      </w:r>
      <w:r w:rsidR="001E7B21" w:rsidRPr="00D97B31">
        <w:rPr>
          <w:iCs/>
        </w:rPr>
        <w:t xml:space="preserve">the </w:t>
      </w:r>
      <w:r w:rsidR="005C34FD" w:rsidRPr="00D97B31">
        <w:rPr>
          <w:iCs/>
        </w:rPr>
        <w:t xml:space="preserve">darolutamide + ADT and ADT arms for any cardiac disorder related TEAE when incidence rates </w:t>
      </w:r>
      <w:r w:rsidR="00492072" w:rsidRPr="00D97B31">
        <w:rPr>
          <w:iCs/>
        </w:rPr>
        <w:t>we</w:t>
      </w:r>
      <w:r w:rsidR="005C34FD" w:rsidRPr="00D97B31">
        <w:rPr>
          <w:iCs/>
        </w:rPr>
        <w:t>re adjusted for exposure</w:t>
      </w:r>
      <w:r w:rsidR="00834207" w:rsidRPr="00D97B31">
        <w:rPr>
          <w:iCs/>
        </w:rPr>
        <w:t>. The PSCR considered that overall, darolutamide was not found to increase the risk of cardiovascular disorders, compared to ADT alone.</w:t>
      </w:r>
      <w:r w:rsidR="00C746E6" w:rsidRPr="00D97B31">
        <w:rPr>
          <w:iCs/>
        </w:rPr>
        <w:t xml:space="preserve"> The ESC conside</w:t>
      </w:r>
      <w:r w:rsidR="000B2690" w:rsidRPr="00D97B31">
        <w:rPr>
          <w:iCs/>
        </w:rPr>
        <w:t>red that post-market monitoring would be important to discern whether there are additional safety signals for cardiac events with darolutamide.</w:t>
      </w:r>
      <w:r w:rsidR="003C0F0C" w:rsidRPr="00D97B31">
        <w:rPr>
          <w:iCs/>
        </w:rPr>
        <w:t xml:space="preserve"> </w:t>
      </w:r>
    </w:p>
    <w:p w:rsidR="007F1017" w:rsidRPr="00D97B31" w:rsidRDefault="007F1017" w:rsidP="00D86231">
      <w:pPr>
        <w:pStyle w:val="4-SubsectionHeading"/>
      </w:pPr>
      <w:bookmarkStart w:id="18" w:name="_Toc22897643"/>
      <w:bookmarkStart w:id="19" w:name="_Toc40744334"/>
      <w:r w:rsidRPr="00D97B31">
        <w:t>Benefits/harms</w:t>
      </w:r>
      <w:bookmarkEnd w:id="18"/>
      <w:bookmarkEnd w:id="19"/>
    </w:p>
    <w:p w:rsidR="002E1071" w:rsidRPr="00D97B31" w:rsidRDefault="00C43A83" w:rsidP="00D2155B">
      <w:pPr>
        <w:pStyle w:val="3-BodyText"/>
      </w:pPr>
      <w:r w:rsidRPr="00D97B31">
        <w:t xml:space="preserve">A summary of the comparative benefits and harms for darolutamide versus SOC is presented in </w:t>
      </w:r>
      <w:r w:rsidR="002F2D80">
        <w:t>Table 9</w:t>
      </w:r>
      <w:r w:rsidRPr="00D97B31">
        <w:t>.</w:t>
      </w:r>
    </w:p>
    <w:p w:rsidR="00B62715" w:rsidRPr="00D97B31" w:rsidRDefault="00B62715" w:rsidP="00655260">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9</w:t>
      </w:r>
      <w:r w:rsidRPr="00D97B31">
        <w:rPr>
          <w:rStyle w:val="CommentReference"/>
          <w:b/>
          <w:szCs w:val="24"/>
        </w:rPr>
        <w:t xml:space="preserve">: </w:t>
      </w:r>
      <w:r w:rsidR="006B75C5" w:rsidRPr="00D97B31">
        <w:rPr>
          <w:rStyle w:val="CommentReference"/>
          <w:b/>
          <w:szCs w:val="24"/>
        </w:rPr>
        <w:t>Summary of comparative benefits and harms for darolutamide and SOC</w:t>
      </w:r>
    </w:p>
    <w:tbl>
      <w:tblPr>
        <w:tblStyle w:val="TableGrid"/>
        <w:tblW w:w="5000" w:type="pct"/>
        <w:tblCellMar>
          <w:left w:w="28" w:type="dxa"/>
          <w:right w:w="28" w:type="dxa"/>
        </w:tblCellMar>
        <w:tblLook w:val="04A0" w:firstRow="1" w:lastRow="0" w:firstColumn="1" w:lastColumn="0" w:noHBand="0" w:noVBand="1"/>
        <w:tblCaption w:val="Table 9: Summary of comparative benefits and harms for darolutamide and SOC"/>
      </w:tblPr>
      <w:tblGrid>
        <w:gridCol w:w="1952"/>
        <w:gridCol w:w="1136"/>
        <w:gridCol w:w="142"/>
        <w:gridCol w:w="992"/>
        <w:gridCol w:w="570"/>
        <w:gridCol w:w="709"/>
        <w:gridCol w:w="857"/>
        <w:gridCol w:w="278"/>
        <w:gridCol w:w="1003"/>
        <w:gridCol w:w="1378"/>
      </w:tblGrid>
      <w:tr w:rsidR="00FF57F1" w:rsidRPr="00D97B31" w:rsidTr="000C0DA3">
        <w:trPr>
          <w:trHeight w:val="150"/>
        </w:trPr>
        <w:tc>
          <w:tcPr>
            <w:tcW w:w="5000" w:type="pct"/>
            <w:gridSpan w:val="10"/>
            <w:shd w:val="clear" w:color="auto" w:fill="auto"/>
            <w:vAlign w:val="center"/>
          </w:tcPr>
          <w:p w:rsidR="00FF57F1" w:rsidRPr="00D97B31" w:rsidRDefault="00FF57F1" w:rsidP="00655260">
            <w:pPr>
              <w:pStyle w:val="TableText0"/>
              <w:widowControl w:val="0"/>
              <w:rPr>
                <w:b/>
                <w:u w:val="single"/>
              </w:rPr>
            </w:pPr>
            <w:r w:rsidRPr="00D97B31">
              <w:rPr>
                <w:b/>
                <w:u w:val="single"/>
              </w:rPr>
              <w:t>Benefits</w:t>
            </w:r>
          </w:p>
        </w:tc>
      </w:tr>
      <w:tr w:rsidR="00FF57F1" w:rsidRPr="00D97B31" w:rsidTr="000C0DA3">
        <w:tc>
          <w:tcPr>
            <w:tcW w:w="5000" w:type="pct"/>
            <w:gridSpan w:val="10"/>
            <w:shd w:val="clear" w:color="auto" w:fill="auto"/>
            <w:vAlign w:val="center"/>
          </w:tcPr>
          <w:p w:rsidR="00FF57F1" w:rsidRPr="00D97B31" w:rsidRDefault="00FF57F1" w:rsidP="00306BB9">
            <w:pPr>
              <w:pStyle w:val="TableText0"/>
              <w:widowControl w:val="0"/>
              <w:rPr>
                <w:b/>
                <w:i/>
              </w:rPr>
            </w:pPr>
            <w:r w:rsidRPr="00D97B31">
              <w:rPr>
                <w:b/>
              </w:rPr>
              <w:t>Metastasis-free survival (median follow-up 17.9 months)</w:t>
            </w:r>
            <w:r w:rsidR="00306BB9" w:rsidRPr="00D97B31">
              <w:rPr>
                <w:b/>
              </w:rPr>
              <w:t xml:space="preserve">; </w:t>
            </w:r>
            <w:r w:rsidR="00561722" w:rsidRPr="00D97B31">
              <w:rPr>
                <w:b/>
              </w:rPr>
              <w:t xml:space="preserve"> </w:t>
            </w:r>
            <w:r w:rsidR="00306BB9" w:rsidRPr="00D97B31">
              <w:rPr>
                <w:b/>
              </w:rPr>
              <w:t xml:space="preserve">not </w:t>
            </w:r>
            <w:r w:rsidR="00306BB9" w:rsidRPr="00D97B31">
              <w:rPr>
                <w:b/>
                <w:szCs w:val="20"/>
              </w:rPr>
              <w:t>censored/corrected for misclassification of patients with metas</w:t>
            </w:r>
            <w:r w:rsidR="0088240B" w:rsidRPr="00D97B31">
              <w:rPr>
                <w:b/>
                <w:szCs w:val="20"/>
              </w:rPr>
              <w:t>tases at baseline</w:t>
            </w:r>
          </w:p>
        </w:tc>
      </w:tr>
      <w:tr w:rsidR="00FF57F1" w:rsidRPr="00D97B31" w:rsidTr="000C0DA3">
        <w:tc>
          <w:tcPr>
            <w:tcW w:w="1792" w:type="pct"/>
            <w:gridSpan w:val="3"/>
            <w:shd w:val="clear" w:color="auto" w:fill="auto"/>
            <w:vAlign w:val="center"/>
          </w:tcPr>
          <w:p w:rsidR="00FF57F1" w:rsidRPr="00D97B31" w:rsidRDefault="00FF57F1" w:rsidP="00655260">
            <w:pPr>
              <w:pStyle w:val="TableText0"/>
              <w:widowControl w:val="0"/>
              <w:rPr>
                <w:b/>
              </w:rPr>
            </w:pPr>
            <w:r w:rsidRPr="00D97B31">
              <w:rPr>
                <w:b/>
              </w:rPr>
              <w:t>ARAMIS</w:t>
            </w:r>
          </w:p>
        </w:tc>
        <w:tc>
          <w:tcPr>
            <w:tcW w:w="866" w:type="pct"/>
            <w:gridSpan w:val="2"/>
            <w:shd w:val="clear" w:color="auto" w:fill="auto"/>
            <w:vAlign w:val="center"/>
          </w:tcPr>
          <w:p w:rsidR="00FF57F1" w:rsidRPr="00D97B31" w:rsidRDefault="00FF57F1" w:rsidP="00655260">
            <w:pPr>
              <w:pStyle w:val="TableText0"/>
              <w:widowControl w:val="0"/>
              <w:jc w:val="center"/>
              <w:rPr>
                <w:b/>
              </w:rPr>
            </w:pPr>
            <w:r w:rsidRPr="00D97B31">
              <w:rPr>
                <w:b/>
              </w:rPr>
              <w:t>Darolutamide N=955</w:t>
            </w:r>
          </w:p>
        </w:tc>
        <w:tc>
          <w:tcPr>
            <w:tcW w:w="868" w:type="pct"/>
            <w:gridSpan w:val="2"/>
            <w:shd w:val="clear" w:color="auto" w:fill="auto"/>
            <w:vAlign w:val="center"/>
          </w:tcPr>
          <w:p w:rsidR="00FF57F1" w:rsidRPr="00D97B31" w:rsidRDefault="00FF57F1" w:rsidP="00655260">
            <w:pPr>
              <w:pStyle w:val="TableText0"/>
              <w:widowControl w:val="0"/>
              <w:jc w:val="center"/>
              <w:rPr>
                <w:b/>
              </w:rPr>
            </w:pPr>
            <w:r w:rsidRPr="00D97B31">
              <w:rPr>
                <w:b/>
              </w:rPr>
              <w:t>SOC</w:t>
            </w:r>
          </w:p>
          <w:p w:rsidR="00FF57F1" w:rsidRPr="00D97B31" w:rsidRDefault="00FF57F1" w:rsidP="00655260">
            <w:pPr>
              <w:pStyle w:val="TableText0"/>
              <w:widowControl w:val="0"/>
              <w:jc w:val="center"/>
              <w:rPr>
                <w:b/>
              </w:rPr>
            </w:pPr>
            <w:r w:rsidRPr="00D97B31">
              <w:rPr>
                <w:b/>
              </w:rPr>
              <w:t>N=554</w:t>
            </w:r>
          </w:p>
        </w:tc>
        <w:tc>
          <w:tcPr>
            <w:tcW w:w="710" w:type="pct"/>
            <w:gridSpan w:val="2"/>
            <w:shd w:val="clear" w:color="auto" w:fill="auto"/>
            <w:vAlign w:val="center"/>
          </w:tcPr>
          <w:p w:rsidR="00FF57F1" w:rsidRPr="00D97B31" w:rsidRDefault="00FF57F1" w:rsidP="00655260">
            <w:pPr>
              <w:pStyle w:val="TableText0"/>
              <w:widowControl w:val="0"/>
              <w:jc w:val="center"/>
              <w:rPr>
                <w:b/>
              </w:rPr>
            </w:pPr>
            <w:r w:rsidRPr="00D97B31">
              <w:rPr>
                <w:b/>
              </w:rPr>
              <w:t>Absolute difference</w:t>
            </w:r>
          </w:p>
        </w:tc>
        <w:tc>
          <w:tcPr>
            <w:tcW w:w="764" w:type="pct"/>
            <w:shd w:val="clear" w:color="auto" w:fill="auto"/>
            <w:vAlign w:val="center"/>
          </w:tcPr>
          <w:p w:rsidR="00FF57F1" w:rsidRPr="00D97B31" w:rsidRDefault="00FF57F1" w:rsidP="00655260">
            <w:pPr>
              <w:pStyle w:val="TableText0"/>
              <w:widowControl w:val="0"/>
              <w:jc w:val="center"/>
              <w:rPr>
                <w:b/>
              </w:rPr>
            </w:pPr>
            <w:r w:rsidRPr="00D97B31">
              <w:rPr>
                <w:b/>
              </w:rPr>
              <w:t>HR (95% CI)</w:t>
            </w:r>
          </w:p>
        </w:tc>
      </w:tr>
      <w:tr w:rsidR="00BD484B" w:rsidRPr="00D97B31" w:rsidTr="000C0DA3">
        <w:tc>
          <w:tcPr>
            <w:tcW w:w="1792" w:type="pct"/>
            <w:gridSpan w:val="3"/>
            <w:shd w:val="clear" w:color="auto" w:fill="auto"/>
            <w:vAlign w:val="center"/>
          </w:tcPr>
          <w:p w:rsidR="00BD484B" w:rsidRPr="00D97B31" w:rsidRDefault="00BD484B" w:rsidP="00655260">
            <w:pPr>
              <w:pStyle w:val="TableText0"/>
              <w:widowControl w:val="0"/>
            </w:pPr>
            <w:r w:rsidRPr="00D97B31">
              <w:rPr>
                <w:szCs w:val="20"/>
              </w:rPr>
              <w:t>Event n (%)</w:t>
            </w:r>
          </w:p>
        </w:tc>
        <w:tc>
          <w:tcPr>
            <w:tcW w:w="866" w:type="pct"/>
            <w:gridSpan w:val="2"/>
            <w:shd w:val="clear" w:color="auto" w:fill="auto"/>
            <w:vAlign w:val="center"/>
          </w:tcPr>
          <w:p w:rsidR="00BD484B" w:rsidRPr="00D97B31" w:rsidRDefault="00BD484B" w:rsidP="00655260">
            <w:pPr>
              <w:pStyle w:val="TableText0"/>
              <w:widowControl w:val="0"/>
              <w:jc w:val="center"/>
              <w:rPr>
                <w:b/>
              </w:rPr>
            </w:pPr>
            <w:r w:rsidRPr="00D97B31">
              <w:rPr>
                <w:szCs w:val="20"/>
              </w:rPr>
              <w:t>221 (23.1%)</w:t>
            </w:r>
          </w:p>
        </w:tc>
        <w:tc>
          <w:tcPr>
            <w:tcW w:w="868" w:type="pct"/>
            <w:gridSpan w:val="2"/>
            <w:shd w:val="clear" w:color="auto" w:fill="auto"/>
            <w:vAlign w:val="center"/>
          </w:tcPr>
          <w:p w:rsidR="00BD484B" w:rsidRPr="00D97B31" w:rsidRDefault="00BD484B" w:rsidP="00655260">
            <w:pPr>
              <w:pStyle w:val="TableText0"/>
              <w:widowControl w:val="0"/>
              <w:jc w:val="center"/>
              <w:rPr>
                <w:b/>
              </w:rPr>
            </w:pPr>
            <w:r w:rsidRPr="00D97B31">
              <w:rPr>
                <w:szCs w:val="20"/>
              </w:rPr>
              <w:t>206 (39.0%)</w:t>
            </w:r>
          </w:p>
        </w:tc>
        <w:tc>
          <w:tcPr>
            <w:tcW w:w="710" w:type="pct"/>
            <w:gridSpan w:val="2"/>
            <w:shd w:val="clear" w:color="auto" w:fill="auto"/>
            <w:vAlign w:val="center"/>
          </w:tcPr>
          <w:p w:rsidR="00BD484B" w:rsidRPr="00D97B31" w:rsidRDefault="00BD484B" w:rsidP="00655260">
            <w:pPr>
              <w:pStyle w:val="TableText0"/>
              <w:widowControl w:val="0"/>
              <w:jc w:val="center"/>
              <w:rPr>
                <w:bCs w:val="0"/>
              </w:rPr>
            </w:pPr>
            <w:r w:rsidRPr="00D97B31">
              <w:rPr>
                <w:bCs w:val="0"/>
              </w:rPr>
              <w:t>-</w:t>
            </w:r>
          </w:p>
        </w:tc>
        <w:tc>
          <w:tcPr>
            <w:tcW w:w="764" w:type="pct"/>
            <w:vMerge w:val="restart"/>
            <w:shd w:val="clear" w:color="auto" w:fill="auto"/>
            <w:vAlign w:val="center"/>
          </w:tcPr>
          <w:p w:rsidR="00BD6238" w:rsidRPr="00D97B31" w:rsidRDefault="00BD484B" w:rsidP="00655260">
            <w:pPr>
              <w:pStyle w:val="TableText0"/>
              <w:widowControl w:val="0"/>
              <w:jc w:val="center"/>
              <w:rPr>
                <w:b/>
                <w:szCs w:val="20"/>
              </w:rPr>
            </w:pPr>
            <w:r w:rsidRPr="00D97B31">
              <w:rPr>
                <w:b/>
                <w:szCs w:val="20"/>
              </w:rPr>
              <w:t xml:space="preserve">0.413 </w:t>
            </w:r>
          </w:p>
          <w:p w:rsidR="00BD484B" w:rsidRPr="00D97B31" w:rsidRDefault="00BD484B" w:rsidP="00655260">
            <w:pPr>
              <w:pStyle w:val="TableText0"/>
              <w:widowControl w:val="0"/>
              <w:jc w:val="center"/>
              <w:rPr>
                <w:b/>
              </w:rPr>
            </w:pPr>
            <w:r w:rsidRPr="00D97B31">
              <w:rPr>
                <w:b/>
                <w:szCs w:val="20"/>
              </w:rPr>
              <w:t>(0.341, 0.500)</w:t>
            </w:r>
          </w:p>
        </w:tc>
      </w:tr>
      <w:tr w:rsidR="00BD484B" w:rsidRPr="00D97B31" w:rsidTr="000C0DA3">
        <w:tc>
          <w:tcPr>
            <w:tcW w:w="1792" w:type="pct"/>
            <w:gridSpan w:val="3"/>
            <w:shd w:val="clear" w:color="auto" w:fill="auto"/>
            <w:vAlign w:val="center"/>
          </w:tcPr>
          <w:p w:rsidR="00BD484B" w:rsidRPr="00D97B31" w:rsidRDefault="00BD484B" w:rsidP="00655260">
            <w:pPr>
              <w:pStyle w:val="TableText0"/>
              <w:widowControl w:val="0"/>
              <w:rPr>
                <w:szCs w:val="20"/>
              </w:rPr>
            </w:pPr>
            <w:r w:rsidRPr="00D97B31">
              <w:t xml:space="preserve">% metastasis-free </w:t>
            </w:r>
            <w:r w:rsidRPr="00D97B31">
              <w:rPr>
                <w:szCs w:val="20"/>
              </w:rPr>
              <w:t>(95% CI)</w:t>
            </w:r>
          </w:p>
        </w:tc>
        <w:tc>
          <w:tcPr>
            <w:tcW w:w="866" w:type="pct"/>
            <w:gridSpan w:val="2"/>
            <w:shd w:val="clear" w:color="auto" w:fill="auto"/>
            <w:vAlign w:val="center"/>
          </w:tcPr>
          <w:p w:rsidR="00BD484B" w:rsidRPr="00D97B31" w:rsidRDefault="00BD484B" w:rsidP="00655260">
            <w:pPr>
              <w:pStyle w:val="TableText0"/>
              <w:widowControl w:val="0"/>
              <w:jc w:val="center"/>
              <w:rPr>
                <w:szCs w:val="20"/>
              </w:rPr>
            </w:pPr>
            <w:r w:rsidRPr="00D97B31">
              <w:rPr>
                <w:szCs w:val="20"/>
              </w:rPr>
              <w:t>76.9% (NR)</w:t>
            </w:r>
          </w:p>
        </w:tc>
        <w:tc>
          <w:tcPr>
            <w:tcW w:w="868" w:type="pct"/>
            <w:gridSpan w:val="2"/>
            <w:shd w:val="clear" w:color="auto" w:fill="auto"/>
            <w:vAlign w:val="center"/>
          </w:tcPr>
          <w:p w:rsidR="00BD484B" w:rsidRPr="00D97B31" w:rsidRDefault="00BD484B" w:rsidP="00655260">
            <w:pPr>
              <w:pStyle w:val="TableText0"/>
              <w:widowControl w:val="0"/>
              <w:jc w:val="center"/>
              <w:rPr>
                <w:szCs w:val="20"/>
              </w:rPr>
            </w:pPr>
            <w:r w:rsidRPr="00D97B31">
              <w:rPr>
                <w:szCs w:val="20"/>
              </w:rPr>
              <w:t>61.0% (NR)</w:t>
            </w:r>
          </w:p>
        </w:tc>
        <w:tc>
          <w:tcPr>
            <w:tcW w:w="710" w:type="pct"/>
            <w:gridSpan w:val="2"/>
            <w:shd w:val="clear" w:color="auto" w:fill="auto"/>
            <w:vAlign w:val="center"/>
          </w:tcPr>
          <w:p w:rsidR="00BD484B" w:rsidRPr="00D97B31" w:rsidRDefault="00BD6238" w:rsidP="00655260">
            <w:pPr>
              <w:pStyle w:val="TableText0"/>
              <w:widowControl w:val="0"/>
              <w:jc w:val="center"/>
              <w:rPr>
                <w:iCs/>
              </w:rPr>
            </w:pPr>
            <w:r w:rsidRPr="00D97B31">
              <w:rPr>
                <w:iCs/>
              </w:rPr>
              <w:t>15.9</w:t>
            </w:r>
          </w:p>
        </w:tc>
        <w:tc>
          <w:tcPr>
            <w:tcW w:w="764" w:type="pct"/>
            <w:vMerge/>
            <w:shd w:val="clear" w:color="auto" w:fill="auto"/>
            <w:vAlign w:val="center"/>
          </w:tcPr>
          <w:p w:rsidR="00BD484B" w:rsidRPr="00D97B31" w:rsidRDefault="00BD484B" w:rsidP="00655260">
            <w:pPr>
              <w:pStyle w:val="TableText0"/>
              <w:widowControl w:val="0"/>
              <w:jc w:val="center"/>
              <w:rPr>
                <w:b/>
              </w:rPr>
            </w:pPr>
          </w:p>
        </w:tc>
      </w:tr>
      <w:tr w:rsidR="00BD484B" w:rsidRPr="00D97B31" w:rsidTr="000C0DA3">
        <w:tc>
          <w:tcPr>
            <w:tcW w:w="1792" w:type="pct"/>
            <w:gridSpan w:val="3"/>
            <w:shd w:val="clear" w:color="auto" w:fill="auto"/>
            <w:vAlign w:val="center"/>
          </w:tcPr>
          <w:p w:rsidR="00BD484B" w:rsidRPr="00D97B31" w:rsidDel="003450F0" w:rsidRDefault="00BD484B" w:rsidP="00655260">
            <w:pPr>
              <w:pStyle w:val="TableText0"/>
              <w:widowControl w:val="0"/>
            </w:pPr>
            <w:r w:rsidRPr="00D97B31">
              <w:rPr>
                <w:szCs w:val="20"/>
              </w:rPr>
              <w:t xml:space="preserve">Median months to metastasis (95% CI) </w:t>
            </w:r>
          </w:p>
        </w:tc>
        <w:tc>
          <w:tcPr>
            <w:tcW w:w="866" w:type="pct"/>
            <w:gridSpan w:val="2"/>
            <w:shd w:val="clear" w:color="auto" w:fill="auto"/>
            <w:vAlign w:val="center"/>
          </w:tcPr>
          <w:p w:rsidR="00BD484B" w:rsidRPr="00D97B31" w:rsidDel="003450F0" w:rsidRDefault="00BD484B" w:rsidP="00655260">
            <w:pPr>
              <w:pStyle w:val="TableText0"/>
              <w:widowControl w:val="0"/>
              <w:jc w:val="center"/>
              <w:rPr>
                <w:szCs w:val="20"/>
              </w:rPr>
            </w:pPr>
            <w:r w:rsidRPr="00D97B31">
              <w:rPr>
                <w:szCs w:val="20"/>
              </w:rPr>
              <w:t>40.4 (34.3, NR)</w:t>
            </w:r>
          </w:p>
        </w:tc>
        <w:tc>
          <w:tcPr>
            <w:tcW w:w="868" w:type="pct"/>
            <w:gridSpan w:val="2"/>
            <w:shd w:val="clear" w:color="auto" w:fill="auto"/>
            <w:vAlign w:val="center"/>
          </w:tcPr>
          <w:p w:rsidR="00BD484B" w:rsidRPr="00D97B31" w:rsidDel="003450F0" w:rsidRDefault="00BD484B" w:rsidP="00655260">
            <w:pPr>
              <w:pStyle w:val="TableText0"/>
              <w:widowControl w:val="0"/>
              <w:jc w:val="center"/>
              <w:rPr>
                <w:szCs w:val="20"/>
              </w:rPr>
            </w:pPr>
            <w:r w:rsidRPr="00D97B31">
              <w:rPr>
                <w:szCs w:val="20"/>
              </w:rPr>
              <w:t>18.4 (15.5, 22.3)</w:t>
            </w:r>
          </w:p>
        </w:tc>
        <w:tc>
          <w:tcPr>
            <w:tcW w:w="710" w:type="pct"/>
            <w:gridSpan w:val="2"/>
            <w:shd w:val="clear" w:color="auto" w:fill="auto"/>
            <w:vAlign w:val="center"/>
          </w:tcPr>
          <w:p w:rsidR="00BD484B" w:rsidRPr="00D97B31" w:rsidDel="003450F0" w:rsidRDefault="00BD484B" w:rsidP="00655260">
            <w:pPr>
              <w:pStyle w:val="TableText0"/>
              <w:widowControl w:val="0"/>
              <w:jc w:val="center"/>
              <w:rPr>
                <w:iCs/>
              </w:rPr>
            </w:pPr>
            <w:r w:rsidRPr="00D97B31">
              <w:rPr>
                <w:iCs/>
              </w:rPr>
              <w:t>22.0</w:t>
            </w:r>
          </w:p>
        </w:tc>
        <w:tc>
          <w:tcPr>
            <w:tcW w:w="764" w:type="pct"/>
            <w:vMerge/>
            <w:shd w:val="clear" w:color="auto" w:fill="auto"/>
            <w:vAlign w:val="center"/>
          </w:tcPr>
          <w:p w:rsidR="00BD484B" w:rsidRPr="00D97B31" w:rsidRDefault="00BD484B" w:rsidP="00655260">
            <w:pPr>
              <w:pStyle w:val="TableText0"/>
              <w:widowControl w:val="0"/>
              <w:jc w:val="center"/>
              <w:rPr>
                <w:b/>
              </w:rPr>
            </w:pPr>
          </w:p>
        </w:tc>
      </w:tr>
      <w:tr w:rsidR="00BD484B" w:rsidRPr="00D97B31" w:rsidTr="000C0DA3">
        <w:tc>
          <w:tcPr>
            <w:tcW w:w="1792" w:type="pct"/>
            <w:gridSpan w:val="3"/>
            <w:shd w:val="clear" w:color="auto" w:fill="auto"/>
            <w:vAlign w:val="center"/>
          </w:tcPr>
          <w:p w:rsidR="00BD484B" w:rsidRPr="00D97B31" w:rsidRDefault="00BD484B" w:rsidP="00655260">
            <w:pPr>
              <w:pStyle w:val="TableText0"/>
              <w:widowControl w:val="0"/>
              <w:rPr>
                <w:szCs w:val="20"/>
              </w:rPr>
            </w:pPr>
            <w:r w:rsidRPr="00D97B31">
              <w:t xml:space="preserve">% metastasis-free at 12 months </w:t>
            </w:r>
            <w:r w:rsidRPr="00D97B31">
              <w:rPr>
                <w:szCs w:val="20"/>
              </w:rPr>
              <w:t>(95% CI)</w:t>
            </w:r>
          </w:p>
        </w:tc>
        <w:tc>
          <w:tcPr>
            <w:tcW w:w="866" w:type="pct"/>
            <w:gridSpan w:val="2"/>
            <w:shd w:val="clear" w:color="auto" w:fill="auto"/>
            <w:vAlign w:val="center"/>
          </w:tcPr>
          <w:p w:rsidR="00BD484B" w:rsidRPr="00D97B31" w:rsidRDefault="00BD484B" w:rsidP="00655260">
            <w:pPr>
              <w:pStyle w:val="TableText0"/>
              <w:widowControl w:val="0"/>
              <w:jc w:val="center"/>
              <w:rPr>
                <w:szCs w:val="20"/>
              </w:rPr>
            </w:pPr>
            <w:r w:rsidRPr="00D97B31">
              <w:rPr>
                <w:szCs w:val="20"/>
              </w:rPr>
              <w:t>82.5% (79.9, 85.1)</w:t>
            </w:r>
          </w:p>
        </w:tc>
        <w:tc>
          <w:tcPr>
            <w:tcW w:w="868" w:type="pct"/>
            <w:gridSpan w:val="2"/>
            <w:shd w:val="clear" w:color="auto" w:fill="auto"/>
            <w:vAlign w:val="center"/>
          </w:tcPr>
          <w:p w:rsidR="00BD484B" w:rsidRPr="00D97B31" w:rsidRDefault="00BD484B" w:rsidP="00091C7A">
            <w:pPr>
              <w:pStyle w:val="TableText0"/>
              <w:widowControl w:val="0"/>
              <w:jc w:val="center"/>
              <w:rPr>
                <w:szCs w:val="20"/>
              </w:rPr>
            </w:pPr>
            <w:r w:rsidRPr="00D97B31">
              <w:rPr>
                <w:szCs w:val="20"/>
              </w:rPr>
              <w:t>63.5% (58.8, 68.1)</w:t>
            </w:r>
          </w:p>
        </w:tc>
        <w:tc>
          <w:tcPr>
            <w:tcW w:w="710" w:type="pct"/>
            <w:gridSpan w:val="2"/>
            <w:shd w:val="clear" w:color="auto" w:fill="auto"/>
            <w:vAlign w:val="center"/>
          </w:tcPr>
          <w:p w:rsidR="00BD484B" w:rsidRPr="00D97B31" w:rsidRDefault="00BD484B" w:rsidP="00655260">
            <w:pPr>
              <w:pStyle w:val="TableText0"/>
              <w:widowControl w:val="0"/>
              <w:jc w:val="center"/>
              <w:rPr>
                <w:iCs/>
              </w:rPr>
            </w:pPr>
            <w:r w:rsidRPr="00D97B31">
              <w:rPr>
                <w:iCs/>
              </w:rPr>
              <w:t>19.0</w:t>
            </w:r>
          </w:p>
        </w:tc>
        <w:tc>
          <w:tcPr>
            <w:tcW w:w="764" w:type="pct"/>
            <w:vMerge/>
            <w:shd w:val="clear" w:color="auto" w:fill="auto"/>
            <w:vAlign w:val="center"/>
          </w:tcPr>
          <w:p w:rsidR="00BD484B" w:rsidRPr="00D97B31" w:rsidRDefault="00BD484B" w:rsidP="00655260">
            <w:pPr>
              <w:pStyle w:val="TableText0"/>
              <w:widowControl w:val="0"/>
              <w:jc w:val="center"/>
              <w:rPr>
                <w:b/>
              </w:rPr>
            </w:pPr>
          </w:p>
        </w:tc>
      </w:tr>
      <w:tr w:rsidR="00BD484B" w:rsidRPr="00D97B31" w:rsidTr="000C0DA3">
        <w:tc>
          <w:tcPr>
            <w:tcW w:w="1792" w:type="pct"/>
            <w:gridSpan w:val="3"/>
            <w:shd w:val="clear" w:color="auto" w:fill="auto"/>
            <w:vAlign w:val="center"/>
          </w:tcPr>
          <w:p w:rsidR="00BD484B" w:rsidRPr="00D97B31" w:rsidRDefault="00BD484B" w:rsidP="00655260">
            <w:pPr>
              <w:pStyle w:val="TableText0"/>
              <w:widowControl w:val="0"/>
            </w:pPr>
            <w:r w:rsidRPr="00D97B31">
              <w:t xml:space="preserve">% metastasis-free at 24 months </w:t>
            </w:r>
            <w:r w:rsidRPr="00D97B31">
              <w:rPr>
                <w:szCs w:val="20"/>
              </w:rPr>
              <w:t>(95% CI)</w:t>
            </w:r>
          </w:p>
        </w:tc>
        <w:tc>
          <w:tcPr>
            <w:tcW w:w="866" w:type="pct"/>
            <w:gridSpan w:val="2"/>
            <w:shd w:val="clear" w:color="auto" w:fill="auto"/>
            <w:vAlign w:val="center"/>
          </w:tcPr>
          <w:p w:rsidR="00BD484B" w:rsidRPr="00D97B31" w:rsidRDefault="00BD484B" w:rsidP="00655260">
            <w:pPr>
              <w:pStyle w:val="TableText0"/>
              <w:widowControl w:val="0"/>
              <w:jc w:val="center"/>
              <w:rPr>
                <w:szCs w:val="20"/>
              </w:rPr>
            </w:pPr>
            <w:r w:rsidRPr="00D97B31">
              <w:rPr>
                <w:szCs w:val="20"/>
              </w:rPr>
              <w:t>69.8% (65.8, 73.8)</w:t>
            </w:r>
          </w:p>
        </w:tc>
        <w:tc>
          <w:tcPr>
            <w:tcW w:w="868" w:type="pct"/>
            <w:gridSpan w:val="2"/>
            <w:shd w:val="clear" w:color="auto" w:fill="auto"/>
            <w:vAlign w:val="center"/>
          </w:tcPr>
          <w:p w:rsidR="00BD484B" w:rsidRPr="00D97B31" w:rsidRDefault="00BD484B" w:rsidP="00091C7A">
            <w:pPr>
              <w:pStyle w:val="TableText0"/>
              <w:widowControl w:val="0"/>
              <w:jc w:val="center"/>
              <w:rPr>
                <w:szCs w:val="20"/>
              </w:rPr>
            </w:pPr>
            <w:r w:rsidRPr="00D97B31">
              <w:rPr>
                <w:szCs w:val="20"/>
              </w:rPr>
              <w:t>41.5%</w:t>
            </w:r>
            <w:r w:rsidR="00091C7A" w:rsidRPr="00D97B31">
              <w:rPr>
                <w:szCs w:val="20"/>
              </w:rPr>
              <w:t xml:space="preserve"> </w:t>
            </w:r>
            <w:r w:rsidRPr="00D97B31">
              <w:rPr>
                <w:szCs w:val="20"/>
              </w:rPr>
              <w:t>(35.1, 48.0)</w:t>
            </w:r>
          </w:p>
        </w:tc>
        <w:tc>
          <w:tcPr>
            <w:tcW w:w="710" w:type="pct"/>
            <w:gridSpan w:val="2"/>
            <w:shd w:val="clear" w:color="auto" w:fill="auto"/>
            <w:vAlign w:val="center"/>
          </w:tcPr>
          <w:p w:rsidR="00BD484B" w:rsidRPr="00D97B31" w:rsidRDefault="00BD484B" w:rsidP="00655260">
            <w:pPr>
              <w:pStyle w:val="TableText0"/>
              <w:widowControl w:val="0"/>
              <w:jc w:val="center"/>
              <w:rPr>
                <w:iCs/>
              </w:rPr>
            </w:pPr>
            <w:r w:rsidRPr="00D97B31">
              <w:rPr>
                <w:iCs/>
              </w:rPr>
              <w:t>28.3</w:t>
            </w:r>
          </w:p>
        </w:tc>
        <w:tc>
          <w:tcPr>
            <w:tcW w:w="764" w:type="pct"/>
            <w:vMerge/>
            <w:shd w:val="clear" w:color="auto" w:fill="auto"/>
            <w:vAlign w:val="center"/>
          </w:tcPr>
          <w:p w:rsidR="00BD484B" w:rsidRPr="00D97B31" w:rsidRDefault="00BD484B" w:rsidP="00655260">
            <w:pPr>
              <w:pStyle w:val="TableText0"/>
              <w:widowControl w:val="0"/>
              <w:jc w:val="center"/>
              <w:rPr>
                <w:b/>
              </w:rPr>
            </w:pPr>
          </w:p>
        </w:tc>
      </w:tr>
      <w:tr w:rsidR="00BD484B" w:rsidRPr="00D97B31" w:rsidTr="000C0DA3">
        <w:tc>
          <w:tcPr>
            <w:tcW w:w="1792" w:type="pct"/>
            <w:gridSpan w:val="3"/>
            <w:shd w:val="clear" w:color="auto" w:fill="auto"/>
            <w:vAlign w:val="center"/>
          </w:tcPr>
          <w:p w:rsidR="00BD484B" w:rsidRPr="00D97B31" w:rsidRDefault="00BD484B" w:rsidP="00655260">
            <w:pPr>
              <w:pStyle w:val="TableText0"/>
              <w:widowControl w:val="0"/>
            </w:pPr>
            <w:r w:rsidRPr="00D97B31">
              <w:t xml:space="preserve">% metastasis-free at 36 months </w:t>
            </w:r>
            <w:r w:rsidRPr="00D97B31">
              <w:rPr>
                <w:szCs w:val="20"/>
              </w:rPr>
              <w:t>(95% CI)</w:t>
            </w:r>
          </w:p>
        </w:tc>
        <w:tc>
          <w:tcPr>
            <w:tcW w:w="866" w:type="pct"/>
            <w:gridSpan w:val="2"/>
            <w:shd w:val="clear" w:color="auto" w:fill="auto"/>
            <w:vAlign w:val="center"/>
          </w:tcPr>
          <w:p w:rsidR="00BD484B" w:rsidRPr="00D97B31" w:rsidRDefault="00BD484B" w:rsidP="00655260">
            <w:pPr>
              <w:pStyle w:val="TableText0"/>
              <w:widowControl w:val="0"/>
              <w:jc w:val="center"/>
              <w:rPr>
                <w:szCs w:val="20"/>
              </w:rPr>
            </w:pPr>
            <w:r w:rsidRPr="00D97B31">
              <w:rPr>
                <w:szCs w:val="20"/>
              </w:rPr>
              <w:t>54.3% (46.6, 62.0)</w:t>
            </w:r>
          </w:p>
        </w:tc>
        <w:tc>
          <w:tcPr>
            <w:tcW w:w="868" w:type="pct"/>
            <w:gridSpan w:val="2"/>
            <w:shd w:val="clear" w:color="auto" w:fill="auto"/>
            <w:vAlign w:val="center"/>
          </w:tcPr>
          <w:p w:rsidR="00BD484B" w:rsidRPr="00D97B31" w:rsidRDefault="00BD484B" w:rsidP="00091C7A">
            <w:pPr>
              <w:pStyle w:val="TableText0"/>
              <w:widowControl w:val="0"/>
              <w:jc w:val="center"/>
              <w:rPr>
                <w:szCs w:val="20"/>
              </w:rPr>
            </w:pPr>
            <w:r w:rsidRPr="00D97B31">
              <w:rPr>
                <w:szCs w:val="20"/>
              </w:rPr>
              <w:t>26.8% (16.0, 37.5)</w:t>
            </w:r>
          </w:p>
        </w:tc>
        <w:tc>
          <w:tcPr>
            <w:tcW w:w="710" w:type="pct"/>
            <w:gridSpan w:val="2"/>
            <w:shd w:val="clear" w:color="auto" w:fill="auto"/>
            <w:vAlign w:val="center"/>
          </w:tcPr>
          <w:p w:rsidR="00BD484B" w:rsidRPr="00D97B31" w:rsidRDefault="00BD484B" w:rsidP="00655260">
            <w:pPr>
              <w:pStyle w:val="TableText0"/>
              <w:widowControl w:val="0"/>
              <w:jc w:val="center"/>
              <w:rPr>
                <w:iCs/>
              </w:rPr>
            </w:pPr>
            <w:r w:rsidRPr="00D97B31">
              <w:rPr>
                <w:iCs/>
              </w:rPr>
              <w:t>27.5</w:t>
            </w:r>
          </w:p>
        </w:tc>
        <w:tc>
          <w:tcPr>
            <w:tcW w:w="764" w:type="pct"/>
            <w:vMerge/>
            <w:tcBorders>
              <w:bottom w:val="nil"/>
            </w:tcBorders>
            <w:shd w:val="clear" w:color="auto" w:fill="auto"/>
            <w:vAlign w:val="center"/>
          </w:tcPr>
          <w:p w:rsidR="00BD484B" w:rsidRPr="00D97B31" w:rsidRDefault="00BD484B" w:rsidP="00655260">
            <w:pPr>
              <w:pStyle w:val="TableText0"/>
              <w:widowControl w:val="0"/>
              <w:jc w:val="center"/>
              <w:rPr>
                <w:b/>
              </w:rPr>
            </w:pPr>
          </w:p>
        </w:tc>
      </w:tr>
      <w:tr w:rsidR="00912CD8" w:rsidRPr="00D97B31" w:rsidTr="000C0DA3">
        <w:tc>
          <w:tcPr>
            <w:tcW w:w="5000" w:type="pct"/>
            <w:gridSpan w:val="10"/>
            <w:tcBorders>
              <w:bottom w:val="single" w:sz="4" w:space="0" w:color="auto"/>
            </w:tcBorders>
            <w:shd w:val="clear" w:color="auto" w:fill="auto"/>
            <w:vAlign w:val="center"/>
          </w:tcPr>
          <w:p w:rsidR="00912CD8" w:rsidRPr="00D97B31" w:rsidRDefault="00912CD8" w:rsidP="00655260">
            <w:pPr>
              <w:pStyle w:val="TableText0"/>
              <w:widowControl w:val="0"/>
              <w:rPr>
                <w:b/>
              </w:rPr>
            </w:pPr>
            <w:r w:rsidRPr="00D97B31">
              <w:rPr>
                <w:b/>
              </w:rPr>
              <w:t>Overall survival (median follow-up 29.1 months</w:t>
            </w:r>
            <w:r w:rsidR="00BD484B" w:rsidRPr="00D97B31">
              <w:rPr>
                <w:b/>
              </w:rPr>
              <w:t xml:space="preserve">; </w:t>
            </w:r>
            <w:r w:rsidR="00545A06" w:rsidRPr="00D97B31">
              <w:rPr>
                <w:b/>
              </w:rPr>
              <w:t xml:space="preserve">not </w:t>
            </w:r>
            <w:r w:rsidR="00BD484B" w:rsidRPr="00D97B31">
              <w:rPr>
                <w:b/>
              </w:rPr>
              <w:t>adjusted for crossover</w:t>
            </w:r>
            <w:r w:rsidRPr="00D97B31">
              <w:rPr>
                <w:b/>
              </w:rPr>
              <w:t>)</w:t>
            </w:r>
          </w:p>
        </w:tc>
      </w:tr>
      <w:tr w:rsidR="00BD484B" w:rsidRPr="00D97B31" w:rsidTr="000C0DA3">
        <w:tc>
          <w:tcPr>
            <w:tcW w:w="1792" w:type="pct"/>
            <w:gridSpan w:val="3"/>
            <w:tcBorders>
              <w:bottom w:val="single" w:sz="4" w:space="0" w:color="auto"/>
            </w:tcBorders>
            <w:shd w:val="clear" w:color="auto" w:fill="auto"/>
            <w:vAlign w:val="center"/>
          </w:tcPr>
          <w:p w:rsidR="00BD484B" w:rsidRPr="00D97B31" w:rsidRDefault="00BD484B" w:rsidP="00655260">
            <w:pPr>
              <w:pStyle w:val="TableText0"/>
              <w:widowControl w:val="0"/>
            </w:pPr>
            <w:r w:rsidRPr="00D97B31">
              <w:rPr>
                <w:szCs w:val="20"/>
              </w:rPr>
              <w:t>Died n (%)</w:t>
            </w:r>
          </w:p>
        </w:tc>
        <w:tc>
          <w:tcPr>
            <w:tcW w:w="866"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pPr>
            <w:r w:rsidRPr="00D97B31">
              <w:rPr>
                <w:szCs w:val="20"/>
              </w:rPr>
              <w:t>148 (15.5%)</w:t>
            </w:r>
          </w:p>
        </w:tc>
        <w:tc>
          <w:tcPr>
            <w:tcW w:w="868"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pPr>
            <w:r w:rsidRPr="00D97B31">
              <w:rPr>
                <w:szCs w:val="20"/>
              </w:rPr>
              <w:t>106 (19.1%)</w:t>
            </w:r>
          </w:p>
        </w:tc>
        <w:tc>
          <w:tcPr>
            <w:tcW w:w="710"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pPr>
            <w:r w:rsidRPr="00D97B31">
              <w:t>-</w:t>
            </w:r>
          </w:p>
        </w:tc>
        <w:tc>
          <w:tcPr>
            <w:tcW w:w="764" w:type="pct"/>
            <w:vMerge w:val="restart"/>
            <w:shd w:val="clear" w:color="auto" w:fill="auto"/>
            <w:vAlign w:val="center"/>
          </w:tcPr>
          <w:p w:rsidR="00BD6238" w:rsidRPr="00D97B31" w:rsidRDefault="00BD484B" w:rsidP="00655260">
            <w:pPr>
              <w:pStyle w:val="TableText0"/>
              <w:widowControl w:val="0"/>
              <w:jc w:val="center"/>
              <w:rPr>
                <w:b/>
                <w:szCs w:val="20"/>
              </w:rPr>
            </w:pPr>
            <w:r w:rsidRPr="00D97B31">
              <w:rPr>
                <w:b/>
                <w:szCs w:val="20"/>
              </w:rPr>
              <w:t xml:space="preserve">0.685 </w:t>
            </w:r>
          </w:p>
          <w:p w:rsidR="00BD484B" w:rsidRPr="00D97B31" w:rsidRDefault="00BD484B" w:rsidP="00655260">
            <w:pPr>
              <w:pStyle w:val="TableText0"/>
              <w:widowControl w:val="0"/>
              <w:jc w:val="center"/>
            </w:pPr>
            <w:r w:rsidRPr="00D97B31">
              <w:rPr>
                <w:b/>
                <w:szCs w:val="20"/>
              </w:rPr>
              <w:t>(0.533, 0.881)</w:t>
            </w:r>
          </w:p>
        </w:tc>
      </w:tr>
      <w:tr w:rsidR="00BD484B" w:rsidRPr="00D97B31" w:rsidTr="000C0DA3">
        <w:tc>
          <w:tcPr>
            <w:tcW w:w="1792" w:type="pct"/>
            <w:gridSpan w:val="3"/>
            <w:tcBorders>
              <w:bottom w:val="single" w:sz="4" w:space="0" w:color="auto"/>
            </w:tcBorders>
            <w:shd w:val="clear" w:color="auto" w:fill="auto"/>
            <w:vAlign w:val="center"/>
          </w:tcPr>
          <w:p w:rsidR="00BD484B" w:rsidRPr="00D97B31" w:rsidRDefault="00BD484B" w:rsidP="00655260">
            <w:pPr>
              <w:pStyle w:val="TableText0"/>
              <w:widowControl w:val="0"/>
              <w:rPr>
                <w:szCs w:val="20"/>
              </w:rPr>
            </w:pPr>
            <w:r w:rsidRPr="00D97B31">
              <w:t xml:space="preserve">% alive </w:t>
            </w:r>
            <w:r w:rsidRPr="00D97B31">
              <w:rPr>
                <w:szCs w:val="20"/>
              </w:rPr>
              <w:t>(95% CI)</w:t>
            </w:r>
          </w:p>
        </w:tc>
        <w:tc>
          <w:tcPr>
            <w:tcW w:w="866"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rPr>
                <w:szCs w:val="20"/>
              </w:rPr>
            </w:pPr>
            <w:r w:rsidRPr="00D97B31">
              <w:rPr>
                <w:szCs w:val="20"/>
              </w:rPr>
              <w:t>84.5% (NR)</w:t>
            </w:r>
          </w:p>
        </w:tc>
        <w:tc>
          <w:tcPr>
            <w:tcW w:w="868"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rPr>
                <w:szCs w:val="20"/>
              </w:rPr>
            </w:pPr>
            <w:r w:rsidRPr="00D97B31">
              <w:rPr>
                <w:szCs w:val="20"/>
              </w:rPr>
              <w:t>80.9% (NR)</w:t>
            </w:r>
          </w:p>
        </w:tc>
        <w:tc>
          <w:tcPr>
            <w:tcW w:w="710" w:type="pct"/>
            <w:gridSpan w:val="2"/>
            <w:tcBorders>
              <w:bottom w:val="single" w:sz="4" w:space="0" w:color="auto"/>
            </w:tcBorders>
            <w:shd w:val="clear" w:color="auto" w:fill="auto"/>
            <w:vAlign w:val="center"/>
          </w:tcPr>
          <w:p w:rsidR="00BD484B" w:rsidRPr="00D97B31" w:rsidRDefault="00BD6238" w:rsidP="00655260">
            <w:pPr>
              <w:pStyle w:val="TableText0"/>
              <w:widowControl w:val="0"/>
              <w:jc w:val="center"/>
            </w:pPr>
            <w:r w:rsidRPr="00D97B31">
              <w:t>3.6</w:t>
            </w:r>
          </w:p>
        </w:tc>
        <w:tc>
          <w:tcPr>
            <w:tcW w:w="764" w:type="pct"/>
            <w:vMerge/>
            <w:shd w:val="clear" w:color="auto" w:fill="auto"/>
            <w:vAlign w:val="bottom"/>
          </w:tcPr>
          <w:p w:rsidR="00BD484B" w:rsidRPr="00D97B31" w:rsidRDefault="00BD484B" w:rsidP="00655260">
            <w:pPr>
              <w:pStyle w:val="TableText0"/>
              <w:widowControl w:val="0"/>
              <w:jc w:val="center"/>
              <w:rPr>
                <w:b/>
                <w:szCs w:val="20"/>
              </w:rPr>
            </w:pPr>
          </w:p>
        </w:tc>
      </w:tr>
      <w:tr w:rsidR="00BD484B" w:rsidRPr="00D97B31" w:rsidTr="000C0DA3">
        <w:tc>
          <w:tcPr>
            <w:tcW w:w="1792" w:type="pct"/>
            <w:gridSpan w:val="3"/>
            <w:tcBorders>
              <w:bottom w:val="single" w:sz="4" w:space="0" w:color="auto"/>
            </w:tcBorders>
            <w:shd w:val="clear" w:color="auto" w:fill="auto"/>
            <w:vAlign w:val="center"/>
          </w:tcPr>
          <w:p w:rsidR="00BD484B" w:rsidRPr="00D97B31" w:rsidDel="003450F0" w:rsidRDefault="00BD484B" w:rsidP="00655260">
            <w:pPr>
              <w:pStyle w:val="TableText0"/>
              <w:widowControl w:val="0"/>
            </w:pPr>
            <w:r w:rsidRPr="00D97B31">
              <w:rPr>
                <w:szCs w:val="20"/>
              </w:rPr>
              <w:t xml:space="preserve">Median months to death (95% CI) </w:t>
            </w:r>
          </w:p>
        </w:tc>
        <w:tc>
          <w:tcPr>
            <w:tcW w:w="866" w:type="pct"/>
            <w:gridSpan w:val="2"/>
            <w:tcBorders>
              <w:bottom w:val="single" w:sz="4" w:space="0" w:color="auto"/>
            </w:tcBorders>
            <w:shd w:val="clear" w:color="auto" w:fill="auto"/>
            <w:vAlign w:val="center"/>
          </w:tcPr>
          <w:p w:rsidR="00BD484B" w:rsidRPr="00D97B31" w:rsidDel="003450F0" w:rsidRDefault="00BD484B" w:rsidP="00655260">
            <w:pPr>
              <w:pStyle w:val="TableText0"/>
              <w:widowControl w:val="0"/>
              <w:jc w:val="center"/>
              <w:rPr>
                <w:szCs w:val="20"/>
              </w:rPr>
            </w:pPr>
            <w:r w:rsidRPr="00D97B31">
              <w:rPr>
                <w:szCs w:val="20"/>
              </w:rPr>
              <w:t>NE</w:t>
            </w:r>
          </w:p>
        </w:tc>
        <w:tc>
          <w:tcPr>
            <w:tcW w:w="868" w:type="pct"/>
            <w:gridSpan w:val="2"/>
            <w:tcBorders>
              <w:bottom w:val="single" w:sz="4" w:space="0" w:color="auto"/>
            </w:tcBorders>
            <w:shd w:val="clear" w:color="auto" w:fill="auto"/>
            <w:vAlign w:val="center"/>
          </w:tcPr>
          <w:p w:rsidR="00BD484B" w:rsidRPr="00D97B31" w:rsidDel="003450F0" w:rsidRDefault="00BD484B" w:rsidP="00655260">
            <w:pPr>
              <w:pStyle w:val="TableText0"/>
              <w:widowControl w:val="0"/>
              <w:jc w:val="center"/>
              <w:rPr>
                <w:szCs w:val="20"/>
              </w:rPr>
            </w:pPr>
            <w:r w:rsidRPr="00D97B31">
              <w:rPr>
                <w:szCs w:val="20"/>
              </w:rPr>
              <w:t>NE</w:t>
            </w:r>
          </w:p>
        </w:tc>
        <w:tc>
          <w:tcPr>
            <w:tcW w:w="710" w:type="pct"/>
            <w:gridSpan w:val="2"/>
            <w:tcBorders>
              <w:bottom w:val="single" w:sz="4" w:space="0" w:color="auto"/>
            </w:tcBorders>
            <w:shd w:val="clear" w:color="auto" w:fill="auto"/>
            <w:vAlign w:val="center"/>
          </w:tcPr>
          <w:p w:rsidR="00BD484B" w:rsidRPr="00D97B31" w:rsidDel="003450F0" w:rsidRDefault="00BD484B" w:rsidP="00655260">
            <w:pPr>
              <w:pStyle w:val="TableText0"/>
              <w:widowControl w:val="0"/>
              <w:jc w:val="center"/>
              <w:rPr>
                <w:iCs/>
              </w:rPr>
            </w:pPr>
            <w:r w:rsidRPr="00D97B31">
              <w:rPr>
                <w:iCs/>
              </w:rPr>
              <w:t>-</w:t>
            </w:r>
          </w:p>
        </w:tc>
        <w:tc>
          <w:tcPr>
            <w:tcW w:w="764" w:type="pct"/>
            <w:vMerge/>
            <w:shd w:val="clear" w:color="auto" w:fill="auto"/>
            <w:vAlign w:val="center"/>
          </w:tcPr>
          <w:p w:rsidR="00BD484B" w:rsidRPr="00D97B31" w:rsidRDefault="00BD484B" w:rsidP="00655260">
            <w:pPr>
              <w:pStyle w:val="TableText0"/>
              <w:widowControl w:val="0"/>
              <w:jc w:val="center"/>
            </w:pPr>
          </w:p>
        </w:tc>
      </w:tr>
      <w:tr w:rsidR="00BD484B" w:rsidRPr="00D97B31" w:rsidTr="000C0DA3">
        <w:tc>
          <w:tcPr>
            <w:tcW w:w="1792" w:type="pct"/>
            <w:gridSpan w:val="3"/>
            <w:tcBorders>
              <w:bottom w:val="single" w:sz="4" w:space="0" w:color="auto"/>
            </w:tcBorders>
            <w:shd w:val="clear" w:color="auto" w:fill="auto"/>
            <w:vAlign w:val="center"/>
          </w:tcPr>
          <w:p w:rsidR="00BD484B" w:rsidRPr="00D97B31" w:rsidRDefault="00BD484B" w:rsidP="00655260">
            <w:pPr>
              <w:pStyle w:val="TableText0"/>
              <w:widowControl w:val="0"/>
            </w:pPr>
            <w:r w:rsidRPr="00D97B31">
              <w:t xml:space="preserve">% alive at 12 months </w:t>
            </w:r>
            <w:r w:rsidRPr="00D97B31">
              <w:rPr>
                <w:szCs w:val="20"/>
              </w:rPr>
              <w:t>(95% CI)</w:t>
            </w:r>
          </w:p>
        </w:tc>
        <w:tc>
          <w:tcPr>
            <w:tcW w:w="866" w:type="pct"/>
            <w:gridSpan w:val="2"/>
            <w:tcBorders>
              <w:bottom w:val="single" w:sz="4" w:space="0" w:color="auto"/>
            </w:tcBorders>
            <w:shd w:val="clear" w:color="auto" w:fill="auto"/>
            <w:vAlign w:val="center"/>
          </w:tcPr>
          <w:p w:rsidR="00BD484B" w:rsidRPr="00D97B31" w:rsidRDefault="00BD484B" w:rsidP="0028338E">
            <w:pPr>
              <w:pStyle w:val="TableText0"/>
              <w:widowControl w:val="0"/>
              <w:jc w:val="center"/>
              <w:rPr>
                <w:szCs w:val="20"/>
              </w:rPr>
            </w:pPr>
            <w:r w:rsidRPr="00D97B31">
              <w:rPr>
                <w:szCs w:val="20"/>
              </w:rPr>
              <w:t>96.</w:t>
            </w:r>
            <w:r w:rsidR="00535B1B" w:rsidRPr="00D97B31">
              <w:rPr>
                <w:szCs w:val="20"/>
              </w:rPr>
              <w:t>3</w:t>
            </w:r>
            <w:r w:rsidRPr="00D97B31">
              <w:rPr>
                <w:szCs w:val="20"/>
              </w:rPr>
              <w:t>% (</w:t>
            </w:r>
            <w:r w:rsidR="00535B1B" w:rsidRPr="00D97B31">
              <w:rPr>
                <w:szCs w:val="20"/>
              </w:rPr>
              <w:t>95.1</w:t>
            </w:r>
            <w:r w:rsidRPr="00D97B31">
              <w:rPr>
                <w:szCs w:val="20"/>
              </w:rPr>
              <w:t>, 97.</w:t>
            </w:r>
            <w:r w:rsidR="00535B1B" w:rsidRPr="00D97B31">
              <w:rPr>
                <w:szCs w:val="20"/>
              </w:rPr>
              <w:t>5</w:t>
            </w:r>
            <w:r w:rsidRPr="00D97B31">
              <w:rPr>
                <w:szCs w:val="20"/>
              </w:rPr>
              <w:t>)</w:t>
            </w:r>
          </w:p>
        </w:tc>
        <w:tc>
          <w:tcPr>
            <w:tcW w:w="868" w:type="pct"/>
            <w:gridSpan w:val="2"/>
            <w:tcBorders>
              <w:bottom w:val="single" w:sz="4" w:space="0" w:color="auto"/>
            </w:tcBorders>
            <w:shd w:val="clear" w:color="auto" w:fill="auto"/>
            <w:vAlign w:val="center"/>
          </w:tcPr>
          <w:p w:rsidR="00BD484B" w:rsidRPr="00D97B31" w:rsidRDefault="00BD484B" w:rsidP="0028338E">
            <w:pPr>
              <w:pStyle w:val="TableText0"/>
              <w:widowControl w:val="0"/>
              <w:jc w:val="center"/>
              <w:rPr>
                <w:szCs w:val="20"/>
              </w:rPr>
            </w:pPr>
            <w:r w:rsidRPr="00D97B31">
              <w:rPr>
                <w:szCs w:val="20"/>
              </w:rPr>
              <w:t>96.</w:t>
            </w:r>
            <w:r w:rsidR="00535B1B" w:rsidRPr="00D97B31">
              <w:rPr>
                <w:szCs w:val="20"/>
              </w:rPr>
              <w:t>4</w:t>
            </w:r>
            <w:r w:rsidRPr="00D97B31">
              <w:rPr>
                <w:szCs w:val="20"/>
              </w:rPr>
              <w:t>% (</w:t>
            </w:r>
            <w:r w:rsidR="00535B1B" w:rsidRPr="00D97B31">
              <w:rPr>
                <w:szCs w:val="20"/>
              </w:rPr>
              <w:t>94.8</w:t>
            </w:r>
            <w:r w:rsidRPr="00D97B31">
              <w:rPr>
                <w:szCs w:val="20"/>
              </w:rPr>
              <w:t>, 98.</w:t>
            </w:r>
            <w:r w:rsidR="00535B1B" w:rsidRPr="00D97B31">
              <w:rPr>
                <w:szCs w:val="20"/>
              </w:rPr>
              <w:t>1</w:t>
            </w:r>
            <w:r w:rsidRPr="00D97B31">
              <w:rPr>
                <w:szCs w:val="20"/>
              </w:rPr>
              <w:t>)</w:t>
            </w:r>
          </w:p>
        </w:tc>
        <w:tc>
          <w:tcPr>
            <w:tcW w:w="710"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rPr>
                <w:iCs/>
              </w:rPr>
            </w:pPr>
            <w:r w:rsidRPr="00D97B31">
              <w:rPr>
                <w:iCs/>
              </w:rPr>
              <w:t>-0.</w:t>
            </w:r>
            <w:r w:rsidR="00535B1B" w:rsidRPr="00D97B31">
              <w:rPr>
                <w:iCs/>
              </w:rPr>
              <w:t>1</w:t>
            </w:r>
          </w:p>
        </w:tc>
        <w:tc>
          <w:tcPr>
            <w:tcW w:w="764" w:type="pct"/>
            <w:vMerge/>
            <w:shd w:val="clear" w:color="auto" w:fill="auto"/>
            <w:vAlign w:val="center"/>
          </w:tcPr>
          <w:p w:rsidR="00BD484B" w:rsidRPr="00D97B31" w:rsidRDefault="00BD484B" w:rsidP="00655260">
            <w:pPr>
              <w:pStyle w:val="TableText0"/>
              <w:widowControl w:val="0"/>
              <w:jc w:val="center"/>
            </w:pPr>
          </w:p>
        </w:tc>
      </w:tr>
      <w:tr w:rsidR="00BD484B" w:rsidRPr="00D97B31" w:rsidTr="000C0DA3">
        <w:tc>
          <w:tcPr>
            <w:tcW w:w="1792" w:type="pct"/>
            <w:gridSpan w:val="3"/>
            <w:tcBorders>
              <w:bottom w:val="single" w:sz="4" w:space="0" w:color="auto"/>
            </w:tcBorders>
            <w:shd w:val="clear" w:color="auto" w:fill="auto"/>
            <w:vAlign w:val="center"/>
          </w:tcPr>
          <w:p w:rsidR="00BD484B" w:rsidRPr="00D97B31" w:rsidRDefault="00BD484B" w:rsidP="00655260">
            <w:pPr>
              <w:pStyle w:val="TableText0"/>
              <w:widowControl w:val="0"/>
            </w:pPr>
            <w:r w:rsidRPr="00D97B31">
              <w:t xml:space="preserve">% alive at 24 months </w:t>
            </w:r>
            <w:r w:rsidRPr="00D97B31">
              <w:rPr>
                <w:szCs w:val="20"/>
              </w:rPr>
              <w:t>(95% CI)</w:t>
            </w:r>
          </w:p>
        </w:tc>
        <w:tc>
          <w:tcPr>
            <w:tcW w:w="866" w:type="pct"/>
            <w:gridSpan w:val="2"/>
            <w:tcBorders>
              <w:bottom w:val="single" w:sz="4" w:space="0" w:color="auto"/>
            </w:tcBorders>
            <w:shd w:val="clear" w:color="auto" w:fill="auto"/>
            <w:vAlign w:val="center"/>
          </w:tcPr>
          <w:p w:rsidR="00BD484B" w:rsidRPr="00D97B31" w:rsidRDefault="00BD484B" w:rsidP="0028338E">
            <w:pPr>
              <w:pStyle w:val="TableText0"/>
              <w:widowControl w:val="0"/>
              <w:jc w:val="center"/>
              <w:rPr>
                <w:szCs w:val="20"/>
              </w:rPr>
            </w:pPr>
            <w:r w:rsidRPr="00D97B31">
              <w:rPr>
                <w:szCs w:val="20"/>
              </w:rPr>
              <w:t>90.</w:t>
            </w:r>
            <w:r w:rsidR="00535B1B" w:rsidRPr="00D97B31">
              <w:rPr>
                <w:szCs w:val="20"/>
              </w:rPr>
              <w:t>3</w:t>
            </w:r>
            <w:r w:rsidRPr="00D97B31">
              <w:rPr>
                <w:szCs w:val="20"/>
              </w:rPr>
              <w:t>%</w:t>
            </w:r>
            <w:r w:rsidR="0028338E" w:rsidRPr="00D97B31">
              <w:rPr>
                <w:szCs w:val="20"/>
              </w:rPr>
              <w:t xml:space="preserve"> </w:t>
            </w:r>
            <w:r w:rsidRPr="00D97B31">
              <w:rPr>
                <w:szCs w:val="20"/>
              </w:rPr>
              <w:t>(</w:t>
            </w:r>
            <w:r w:rsidR="00535B1B" w:rsidRPr="00D97B31">
              <w:rPr>
                <w:szCs w:val="20"/>
              </w:rPr>
              <w:t>88.3</w:t>
            </w:r>
            <w:r w:rsidRPr="00D97B31">
              <w:rPr>
                <w:szCs w:val="20"/>
              </w:rPr>
              <w:t>, 92.</w:t>
            </w:r>
            <w:r w:rsidR="00535B1B" w:rsidRPr="00D97B31">
              <w:rPr>
                <w:szCs w:val="20"/>
              </w:rPr>
              <w:t>3</w:t>
            </w:r>
            <w:r w:rsidRPr="00D97B31">
              <w:rPr>
                <w:szCs w:val="20"/>
              </w:rPr>
              <w:t>)</w:t>
            </w:r>
          </w:p>
        </w:tc>
        <w:tc>
          <w:tcPr>
            <w:tcW w:w="868" w:type="pct"/>
            <w:gridSpan w:val="2"/>
            <w:tcBorders>
              <w:bottom w:val="single" w:sz="4" w:space="0" w:color="auto"/>
            </w:tcBorders>
            <w:shd w:val="clear" w:color="auto" w:fill="auto"/>
            <w:vAlign w:val="center"/>
          </w:tcPr>
          <w:p w:rsidR="00BD484B" w:rsidRPr="00D97B31" w:rsidRDefault="00535B1B" w:rsidP="0028338E">
            <w:pPr>
              <w:pStyle w:val="TableText0"/>
              <w:widowControl w:val="0"/>
              <w:jc w:val="center"/>
              <w:rPr>
                <w:szCs w:val="20"/>
              </w:rPr>
            </w:pPr>
            <w:r w:rsidRPr="00D97B31">
              <w:rPr>
                <w:szCs w:val="20"/>
              </w:rPr>
              <w:t>86.2</w:t>
            </w:r>
            <w:r w:rsidR="00BD484B" w:rsidRPr="00D97B31">
              <w:rPr>
                <w:szCs w:val="20"/>
              </w:rPr>
              <w:t>%</w:t>
            </w:r>
            <w:r w:rsidR="0028338E" w:rsidRPr="00D97B31">
              <w:rPr>
                <w:szCs w:val="20"/>
              </w:rPr>
              <w:t xml:space="preserve"> </w:t>
            </w:r>
            <w:r w:rsidR="00BD484B" w:rsidRPr="00D97B31">
              <w:rPr>
                <w:szCs w:val="20"/>
              </w:rPr>
              <w:t>(</w:t>
            </w:r>
            <w:r w:rsidRPr="00D97B31">
              <w:rPr>
                <w:szCs w:val="20"/>
              </w:rPr>
              <w:t>83.0</w:t>
            </w:r>
            <w:r w:rsidR="00BD484B" w:rsidRPr="00D97B31">
              <w:rPr>
                <w:szCs w:val="20"/>
              </w:rPr>
              <w:t>, 89.</w:t>
            </w:r>
            <w:r w:rsidRPr="00D97B31">
              <w:rPr>
                <w:szCs w:val="20"/>
              </w:rPr>
              <w:t>4</w:t>
            </w:r>
            <w:r w:rsidR="00BD6238" w:rsidRPr="00D97B31">
              <w:rPr>
                <w:szCs w:val="20"/>
              </w:rPr>
              <w:t>)</w:t>
            </w:r>
          </w:p>
        </w:tc>
        <w:tc>
          <w:tcPr>
            <w:tcW w:w="710" w:type="pct"/>
            <w:gridSpan w:val="2"/>
            <w:tcBorders>
              <w:bottom w:val="single" w:sz="4" w:space="0" w:color="auto"/>
            </w:tcBorders>
            <w:shd w:val="clear" w:color="auto" w:fill="auto"/>
            <w:vAlign w:val="center"/>
          </w:tcPr>
          <w:p w:rsidR="00BD484B" w:rsidRPr="00D97B31" w:rsidRDefault="00BD484B" w:rsidP="00655260">
            <w:pPr>
              <w:pStyle w:val="TableText0"/>
              <w:widowControl w:val="0"/>
              <w:jc w:val="center"/>
              <w:rPr>
                <w:iCs/>
              </w:rPr>
            </w:pPr>
            <w:r w:rsidRPr="00D97B31">
              <w:rPr>
                <w:iCs/>
              </w:rPr>
              <w:t>4.</w:t>
            </w:r>
            <w:r w:rsidR="00535B1B" w:rsidRPr="00D97B31">
              <w:rPr>
                <w:iCs/>
              </w:rPr>
              <w:t>1</w:t>
            </w:r>
          </w:p>
        </w:tc>
        <w:tc>
          <w:tcPr>
            <w:tcW w:w="764" w:type="pct"/>
            <w:vMerge/>
            <w:shd w:val="clear" w:color="auto" w:fill="auto"/>
            <w:vAlign w:val="center"/>
          </w:tcPr>
          <w:p w:rsidR="00BD484B" w:rsidRPr="00D97B31" w:rsidRDefault="00BD484B" w:rsidP="00655260">
            <w:pPr>
              <w:pStyle w:val="TableText0"/>
              <w:widowControl w:val="0"/>
              <w:jc w:val="center"/>
            </w:pPr>
          </w:p>
        </w:tc>
      </w:tr>
      <w:tr w:rsidR="00BD484B" w:rsidRPr="00D97B31" w:rsidTr="000C0DA3">
        <w:tc>
          <w:tcPr>
            <w:tcW w:w="1792" w:type="pct"/>
            <w:gridSpan w:val="3"/>
            <w:tcBorders>
              <w:bottom w:val="single" w:sz="4" w:space="0" w:color="auto"/>
            </w:tcBorders>
            <w:shd w:val="clear" w:color="auto" w:fill="auto"/>
            <w:vAlign w:val="center"/>
          </w:tcPr>
          <w:p w:rsidR="00BD484B" w:rsidRPr="00D97B31" w:rsidRDefault="00BD484B" w:rsidP="00655260">
            <w:pPr>
              <w:pStyle w:val="TableText0"/>
              <w:widowControl w:val="0"/>
            </w:pPr>
            <w:r w:rsidRPr="00D97B31">
              <w:t xml:space="preserve">% alive at 36 months </w:t>
            </w:r>
            <w:r w:rsidRPr="00D97B31">
              <w:rPr>
                <w:szCs w:val="20"/>
              </w:rPr>
              <w:t>(95% CI)</w:t>
            </w:r>
          </w:p>
        </w:tc>
        <w:tc>
          <w:tcPr>
            <w:tcW w:w="866" w:type="pct"/>
            <w:gridSpan w:val="2"/>
            <w:tcBorders>
              <w:bottom w:val="single" w:sz="4" w:space="0" w:color="auto"/>
            </w:tcBorders>
            <w:shd w:val="clear" w:color="auto" w:fill="auto"/>
            <w:vAlign w:val="center"/>
          </w:tcPr>
          <w:p w:rsidR="00BD484B" w:rsidRPr="00D97B31" w:rsidRDefault="00BD484B" w:rsidP="0028338E">
            <w:pPr>
              <w:pStyle w:val="TableText0"/>
              <w:widowControl w:val="0"/>
              <w:jc w:val="center"/>
              <w:rPr>
                <w:szCs w:val="20"/>
              </w:rPr>
            </w:pPr>
            <w:r w:rsidRPr="00D97B31">
              <w:rPr>
                <w:szCs w:val="20"/>
              </w:rPr>
              <w:t>82.</w:t>
            </w:r>
            <w:r w:rsidR="00535B1B" w:rsidRPr="00D97B31">
              <w:rPr>
                <w:szCs w:val="20"/>
              </w:rPr>
              <w:t>6</w:t>
            </w:r>
            <w:r w:rsidRPr="00D97B31">
              <w:rPr>
                <w:szCs w:val="20"/>
              </w:rPr>
              <w:t>%</w:t>
            </w:r>
            <w:r w:rsidR="0028338E" w:rsidRPr="00D97B31">
              <w:rPr>
                <w:szCs w:val="20"/>
              </w:rPr>
              <w:t xml:space="preserve"> </w:t>
            </w:r>
            <w:r w:rsidRPr="00D97B31">
              <w:rPr>
                <w:szCs w:val="20"/>
              </w:rPr>
              <w:t>(</w:t>
            </w:r>
            <w:r w:rsidR="00535B1B" w:rsidRPr="00D97B31">
              <w:rPr>
                <w:szCs w:val="20"/>
              </w:rPr>
              <w:t>79.6</w:t>
            </w:r>
            <w:r w:rsidRPr="00D97B31">
              <w:rPr>
                <w:szCs w:val="20"/>
              </w:rPr>
              <w:t xml:space="preserve">, </w:t>
            </w:r>
            <w:r w:rsidR="00535B1B" w:rsidRPr="00D97B31">
              <w:rPr>
                <w:szCs w:val="20"/>
              </w:rPr>
              <w:t>85.5</w:t>
            </w:r>
            <w:r w:rsidRPr="00D97B31">
              <w:rPr>
                <w:szCs w:val="20"/>
              </w:rPr>
              <w:t>)</w:t>
            </w:r>
          </w:p>
        </w:tc>
        <w:tc>
          <w:tcPr>
            <w:tcW w:w="868" w:type="pct"/>
            <w:gridSpan w:val="2"/>
            <w:tcBorders>
              <w:bottom w:val="single" w:sz="4" w:space="0" w:color="auto"/>
            </w:tcBorders>
            <w:shd w:val="clear" w:color="auto" w:fill="auto"/>
            <w:vAlign w:val="center"/>
          </w:tcPr>
          <w:p w:rsidR="00BD484B" w:rsidRPr="00D97B31" w:rsidRDefault="00535B1B" w:rsidP="0028338E">
            <w:pPr>
              <w:pStyle w:val="TableText0"/>
              <w:widowControl w:val="0"/>
              <w:jc w:val="center"/>
              <w:rPr>
                <w:szCs w:val="20"/>
              </w:rPr>
            </w:pPr>
            <w:r w:rsidRPr="00D97B31">
              <w:rPr>
                <w:szCs w:val="20"/>
              </w:rPr>
              <w:t>76.9</w:t>
            </w:r>
            <w:r w:rsidR="00BD484B" w:rsidRPr="00D97B31">
              <w:rPr>
                <w:szCs w:val="20"/>
              </w:rPr>
              <w:t>%</w:t>
            </w:r>
            <w:r w:rsidR="0028338E" w:rsidRPr="00D97B31">
              <w:rPr>
                <w:szCs w:val="20"/>
              </w:rPr>
              <w:t xml:space="preserve"> </w:t>
            </w:r>
            <w:r w:rsidR="00BD484B" w:rsidRPr="00D97B31">
              <w:rPr>
                <w:szCs w:val="20"/>
              </w:rPr>
              <w:t>(</w:t>
            </w:r>
            <w:r w:rsidRPr="00D97B31">
              <w:rPr>
                <w:szCs w:val="20"/>
              </w:rPr>
              <w:t>72.4</w:t>
            </w:r>
            <w:r w:rsidR="00BD484B" w:rsidRPr="00D97B31">
              <w:rPr>
                <w:szCs w:val="20"/>
              </w:rPr>
              <w:t xml:space="preserve">, </w:t>
            </w:r>
            <w:r w:rsidRPr="00D97B31">
              <w:rPr>
                <w:szCs w:val="20"/>
              </w:rPr>
              <w:t>81.4</w:t>
            </w:r>
            <w:r w:rsidR="00BD484B" w:rsidRPr="00D97B31">
              <w:rPr>
                <w:szCs w:val="20"/>
              </w:rPr>
              <w:t>)</w:t>
            </w:r>
          </w:p>
        </w:tc>
        <w:tc>
          <w:tcPr>
            <w:tcW w:w="710" w:type="pct"/>
            <w:gridSpan w:val="2"/>
            <w:tcBorders>
              <w:bottom w:val="single" w:sz="4" w:space="0" w:color="auto"/>
            </w:tcBorders>
            <w:shd w:val="clear" w:color="auto" w:fill="auto"/>
            <w:vAlign w:val="center"/>
          </w:tcPr>
          <w:p w:rsidR="00BD484B" w:rsidRPr="00D97B31" w:rsidRDefault="00535B1B" w:rsidP="00655260">
            <w:pPr>
              <w:pStyle w:val="TableText0"/>
              <w:widowControl w:val="0"/>
              <w:jc w:val="center"/>
              <w:rPr>
                <w:iCs/>
              </w:rPr>
            </w:pPr>
            <w:r w:rsidRPr="00D97B31">
              <w:rPr>
                <w:iCs/>
              </w:rPr>
              <w:t>5.7</w:t>
            </w:r>
          </w:p>
        </w:tc>
        <w:tc>
          <w:tcPr>
            <w:tcW w:w="764" w:type="pct"/>
            <w:vMerge/>
            <w:tcBorders>
              <w:bottom w:val="nil"/>
            </w:tcBorders>
            <w:shd w:val="clear" w:color="auto" w:fill="auto"/>
            <w:vAlign w:val="center"/>
          </w:tcPr>
          <w:p w:rsidR="00BD484B" w:rsidRPr="00D97B31" w:rsidRDefault="00BD484B" w:rsidP="00655260">
            <w:pPr>
              <w:pStyle w:val="TableText0"/>
              <w:widowControl w:val="0"/>
              <w:jc w:val="center"/>
            </w:pPr>
          </w:p>
        </w:tc>
      </w:tr>
      <w:tr w:rsidR="001F4AFB" w:rsidRPr="00D97B31" w:rsidTr="000C0DA3">
        <w:tc>
          <w:tcPr>
            <w:tcW w:w="5000" w:type="pct"/>
            <w:gridSpan w:val="10"/>
            <w:tcBorders>
              <w:top w:val="double" w:sz="4" w:space="0" w:color="auto"/>
            </w:tcBorders>
            <w:shd w:val="clear" w:color="auto" w:fill="auto"/>
          </w:tcPr>
          <w:p w:rsidR="001F4AFB" w:rsidRPr="00D97B31" w:rsidRDefault="001F4AFB" w:rsidP="00655260">
            <w:pPr>
              <w:pStyle w:val="TableText0"/>
              <w:widowControl w:val="0"/>
              <w:rPr>
                <w:b/>
                <w:u w:val="single"/>
              </w:rPr>
            </w:pPr>
            <w:r w:rsidRPr="00D97B31">
              <w:rPr>
                <w:b/>
                <w:u w:val="single"/>
              </w:rPr>
              <w:t>Harms</w:t>
            </w:r>
          </w:p>
        </w:tc>
      </w:tr>
      <w:tr w:rsidR="0028338E" w:rsidRPr="00D97B31" w:rsidTr="000C0DA3">
        <w:trPr>
          <w:trHeight w:val="70"/>
        </w:trPr>
        <w:tc>
          <w:tcPr>
            <w:tcW w:w="1083" w:type="pct"/>
            <w:vMerge w:val="restart"/>
            <w:shd w:val="clear" w:color="auto" w:fill="auto"/>
            <w:vAlign w:val="center"/>
          </w:tcPr>
          <w:p w:rsidR="001F4AFB" w:rsidRPr="00D97B31" w:rsidRDefault="001F4AFB" w:rsidP="00655260">
            <w:pPr>
              <w:pStyle w:val="TableText0"/>
              <w:widowControl w:val="0"/>
            </w:pPr>
            <w:r w:rsidRPr="00D97B31">
              <w:rPr>
                <w:b/>
              </w:rPr>
              <w:t>ARAMIS</w:t>
            </w:r>
          </w:p>
        </w:tc>
        <w:tc>
          <w:tcPr>
            <w:tcW w:w="630" w:type="pct"/>
            <w:vMerge w:val="restart"/>
            <w:shd w:val="clear" w:color="auto" w:fill="auto"/>
            <w:vAlign w:val="center"/>
          </w:tcPr>
          <w:p w:rsidR="001F4AFB" w:rsidRPr="00D97B31" w:rsidRDefault="001F4AFB" w:rsidP="00655260">
            <w:pPr>
              <w:pStyle w:val="TableText0"/>
              <w:widowControl w:val="0"/>
              <w:jc w:val="center"/>
              <w:rPr>
                <w:b/>
              </w:rPr>
            </w:pPr>
            <w:r w:rsidRPr="00D97B31">
              <w:rPr>
                <w:b/>
              </w:rPr>
              <w:t>Darolutamide N=955</w:t>
            </w:r>
          </w:p>
        </w:tc>
        <w:tc>
          <w:tcPr>
            <w:tcW w:w="629" w:type="pct"/>
            <w:gridSpan w:val="2"/>
            <w:vMerge w:val="restart"/>
            <w:shd w:val="clear" w:color="auto" w:fill="auto"/>
            <w:vAlign w:val="center"/>
          </w:tcPr>
          <w:p w:rsidR="001F4AFB" w:rsidRPr="00D97B31" w:rsidRDefault="001F4AFB" w:rsidP="00655260">
            <w:pPr>
              <w:pStyle w:val="TableText0"/>
              <w:widowControl w:val="0"/>
              <w:jc w:val="center"/>
              <w:rPr>
                <w:b/>
              </w:rPr>
            </w:pPr>
            <w:r w:rsidRPr="00D97B31">
              <w:rPr>
                <w:b/>
              </w:rPr>
              <w:t xml:space="preserve">SOC </w:t>
            </w:r>
          </w:p>
          <w:p w:rsidR="001F4AFB" w:rsidRPr="00D97B31" w:rsidRDefault="001F4AFB" w:rsidP="00655260">
            <w:pPr>
              <w:pStyle w:val="TableText0"/>
              <w:widowControl w:val="0"/>
              <w:jc w:val="center"/>
              <w:rPr>
                <w:b/>
              </w:rPr>
            </w:pPr>
            <w:r w:rsidRPr="00D97B31">
              <w:rPr>
                <w:b/>
              </w:rPr>
              <w:t>N=554</w:t>
            </w:r>
          </w:p>
        </w:tc>
        <w:tc>
          <w:tcPr>
            <w:tcW w:w="709" w:type="pct"/>
            <w:gridSpan w:val="2"/>
            <w:vMerge w:val="restart"/>
            <w:shd w:val="clear" w:color="auto" w:fill="auto"/>
            <w:vAlign w:val="center"/>
          </w:tcPr>
          <w:p w:rsidR="001F4AFB" w:rsidRPr="00D97B31" w:rsidRDefault="001F4AFB" w:rsidP="00655260">
            <w:pPr>
              <w:pStyle w:val="TableText0"/>
              <w:widowControl w:val="0"/>
              <w:jc w:val="center"/>
              <w:rPr>
                <w:b/>
              </w:rPr>
            </w:pPr>
            <w:r w:rsidRPr="00D97B31">
              <w:rPr>
                <w:b/>
              </w:rPr>
              <w:t>RR</w:t>
            </w:r>
          </w:p>
          <w:p w:rsidR="001F4AFB" w:rsidRPr="00D97B31" w:rsidRDefault="001F4AFB" w:rsidP="00655260">
            <w:pPr>
              <w:pStyle w:val="TableText0"/>
              <w:widowControl w:val="0"/>
              <w:jc w:val="center"/>
              <w:rPr>
                <w:b/>
              </w:rPr>
            </w:pPr>
            <w:r w:rsidRPr="00D97B31">
              <w:rPr>
                <w:b/>
              </w:rPr>
              <w:t>(95% CI)</w:t>
            </w:r>
          </w:p>
        </w:tc>
        <w:tc>
          <w:tcPr>
            <w:tcW w:w="1185" w:type="pct"/>
            <w:gridSpan w:val="3"/>
            <w:shd w:val="clear" w:color="auto" w:fill="auto"/>
            <w:vAlign w:val="center"/>
          </w:tcPr>
          <w:p w:rsidR="001F4AFB" w:rsidRPr="00D97B31" w:rsidRDefault="001F4AFB" w:rsidP="00655260">
            <w:pPr>
              <w:pStyle w:val="TableText0"/>
              <w:widowControl w:val="0"/>
              <w:jc w:val="center"/>
              <w:rPr>
                <w:b/>
              </w:rPr>
            </w:pPr>
            <w:r w:rsidRPr="00D97B31">
              <w:rPr>
                <w:b/>
              </w:rPr>
              <w:t>Events/100 patients</w:t>
            </w:r>
            <w:r w:rsidRPr="00D97B31">
              <w:rPr>
                <w:b/>
                <w:vertAlign w:val="superscript"/>
              </w:rPr>
              <w:t>a</w:t>
            </w:r>
          </w:p>
        </w:tc>
        <w:tc>
          <w:tcPr>
            <w:tcW w:w="764" w:type="pct"/>
            <w:vMerge w:val="restart"/>
            <w:shd w:val="clear" w:color="auto" w:fill="auto"/>
            <w:vAlign w:val="center"/>
          </w:tcPr>
          <w:p w:rsidR="001F4AFB" w:rsidRPr="00D97B31" w:rsidRDefault="001F4AFB" w:rsidP="00655260">
            <w:pPr>
              <w:pStyle w:val="TableText0"/>
              <w:widowControl w:val="0"/>
              <w:jc w:val="center"/>
              <w:rPr>
                <w:b/>
              </w:rPr>
            </w:pPr>
            <w:r w:rsidRPr="00D97B31">
              <w:rPr>
                <w:b/>
              </w:rPr>
              <w:t>RD</w:t>
            </w:r>
          </w:p>
          <w:p w:rsidR="001F4AFB" w:rsidRPr="00D97B31" w:rsidRDefault="001F4AFB" w:rsidP="00655260">
            <w:pPr>
              <w:pStyle w:val="TableText0"/>
              <w:widowControl w:val="0"/>
              <w:jc w:val="center"/>
              <w:rPr>
                <w:b/>
              </w:rPr>
            </w:pPr>
            <w:r w:rsidRPr="00D97B31">
              <w:rPr>
                <w:b/>
              </w:rPr>
              <w:t>(95% CI)</w:t>
            </w:r>
          </w:p>
        </w:tc>
      </w:tr>
      <w:tr w:rsidR="0028338E" w:rsidRPr="00D97B31" w:rsidTr="000C0DA3">
        <w:trPr>
          <w:trHeight w:val="390"/>
        </w:trPr>
        <w:tc>
          <w:tcPr>
            <w:tcW w:w="1083" w:type="pct"/>
            <w:vMerge/>
            <w:shd w:val="clear" w:color="auto" w:fill="auto"/>
            <w:vAlign w:val="center"/>
          </w:tcPr>
          <w:p w:rsidR="001F4AFB" w:rsidRPr="00D97B31" w:rsidRDefault="001F4AFB" w:rsidP="00655260">
            <w:pPr>
              <w:pStyle w:val="TableText0"/>
              <w:widowControl w:val="0"/>
            </w:pPr>
          </w:p>
        </w:tc>
        <w:tc>
          <w:tcPr>
            <w:tcW w:w="630" w:type="pct"/>
            <w:vMerge/>
            <w:shd w:val="clear" w:color="auto" w:fill="auto"/>
            <w:vAlign w:val="center"/>
          </w:tcPr>
          <w:p w:rsidR="001F4AFB" w:rsidRPr="00D97B31" w:rsidRDefault="001F4AFB" w:rsidP="00655260">
            <w:pPr>
              <w:pStyle w:val="TableText0"/>
              <w:widowControl w:val="0"/>
            </w:pPr>
          </w:p>
        </w:tc>
        <w:tc>
          <w:tcPr>
            <w:tcW w:w="629" w:type="pct"/>
            <w:gridSpan w:val="2"/>
            <w:vMerge/>
            <w:shd w:val="clear" w:color="auto" w:fill="auto"/>
            <w:vAlign w:val="center"/>
          </w:tcPr>
          <w:p w:rsidR="001F4AFB" w:rsidRPr="00D97B31" w:rsidRDefault="001F4AFB" w:rsidP="00655260">
            <w:pPr>
              <w:pStyle w:val="TableText0"/>
              <w:widowControl w:val="0"/>
            </w:pPr>
          </w:p>
        </w:tc>
        <w:tc>
          <w:tcPr>
            <w:tcW w:w="709" w:type="pct"/>
            <w:gridSpan w:val="2"/>
            <w:vMerge/>
            <w:shd w:val="clear" w:color="auto" w:fill="auto"/>
            <w:vAlign w:val="center"/>
          </w:tcPr>
          <w:p w:rsidR="001F4AFB" w:rsidRPr="00D97B31" w:rsidRDefault="001F4AFB" w:rsidP="00655260">
            <w:pPr>
              <w:pStyle w:val="TableText0"/>
              <w:widowControl w:val="0"/>
            </w:pPr>
          </w:p>
        </w:tc>
        <w:tc>
          <w:tcPr>
            <w:tcW w:w="629" w:type="pct"/>
            <w:gridSpan w:val="2"/>
            <w:shd w:val="clear" w:color="auto" w:fill="auto"/>
            <w:vAlign w:val="center"/>
          </w:tcPr>
          <w:p w:rsidR="001F4AFB" w:rsidRPr="00D97B31" w:rsidRDefault="001F4AFB" w:rsidP="00655260">
            <w:pPr>
              <w:pStyle w:val="TableText0"/>
              <w:widowControl w:val="0"/>
              <w:jc w:val="center"/>
              <w:rPr>
                <w:b/>
              </w:rPr>
            </w:pPr>
            <w:r w:rsidRPr="00D97B31">
              <w:rPr>
                <w:b/>
              </w:rPr>
              <w:t>Darolutamide</w:t>
            </w:r>
          </w:p>
        </w:tc>
        <w:tc>
          <w:tcPr>
            <w:tcW w:w="556" w:type="pct"/>
            <w:shd w:val="clear" w:color="auto" w:fill="auto"/>
            <w:vAlign w:val="center"/>
          </w:tcPr>
          <w:p w:rsidR="001F4AFB" w:rsidRPr="00D97B31" w:rsidRDefault="001F4AFB" w:rsidP="00655260">
            <w:pPr>
              <w:pStyle w:val="TableText0"/>
              <w:widowControl w:val="0"/>
              <w:jc w:val="center"/>
              <w:rPr>
                <w:b/>
              </w:rPr>
            </w:pPr>
            <w:r w:rsidRPr="00D97B31">
              <w:rPr>
                <w:b/>
              </w:rPr>
              <w:t>SOC</w:t>
            </w:r>
          </w:p>
        </w:tc>
        <w:tc>
          <w:tcPr>
            <w:tcW w:w="764" w:type="pct"/>
            <w:vMerge/>
            <w:shd w:val="clear" w:color="auto" w:fill="auto"/>
            <w:vAlign w:val="center"/>
          </w:tcPr>
          <w:p w:rsidR="001F4AFB" w:rsidRPr="00D97B31" w:rsidRDefault="001F4AFB" w:rsidP="00655260">
            <w:pPr>
              <w:pStyle w:val="TableText0"/>
              <w:widowControl w:val="0"/>
            </w:pPr>
          </w:p>
        </w:tc>
      </w:tr>
      <w:tr w:rsidR="0028338E" w:rsidRPr="00D97B31" w:rsidTr="000C0DA3">
        <w:tc>
          <w:tcPr>
            <w:tcW w:w="1083" w:type="pct"/>
            <w:shd w:val="clear" w:color="auto" w:fill="auto"/>
            <w:vAlign w:val="center"/>
          </w:tcPr>
          <w:p w:rsidR="001F4AFB" w:rsidRPr="00D97B31" w:rsidRDefault="001F4AFB" w:rsidP="00655260">
            <w:pPr>
              <w:pStyle w:val="TableText0"/>
              <w:widowControl w:val="0"/>
              <w:rPr>
                <w:szCs w:val="20"/>
              </w:rPr>
            </w:pPr>
            <w:r w:rsidRPr="00D97B31">
              <w:rPr>
                <w:szCs w:val="20"/>
              </w:rPr>
              <w:t>Cardiovascular disorders</w:t>
            </w:r>
          </w:p>
        </w:tc>
        <w:tc>
          <w:tcPr>
            <w:tcW w:w="630" w:type="pct"/>
            <w:shd w:val="clear" w:color="auto" w:fill="auto"/>
            <w:vAlign w:val="center"/>
          </w:tcPr>
          <w:p w:rsidR="001F4AFB" w:rsidRPr="00D97B31" w:rsidRDefault="001F4AFB" w:rsidP="0028338E">
            <w:pPr>
              <w:pStyle w:val="TableText0"/>
              <w:widowControl w:val="0"/>
              <w:jc w:val="center"/>
              <w:rPr>
                <w:szCs w:val="20"/>
              </w:rPr>
            </w:pPr>
            <w:r w:rsidRPr="00D97B31">
              <w:rPr>
                <w:szCs w:val="20"/>
              </w:rPr>
              <w:t>113 (11.8%)</w:t>
            </w:r>
          </w:p>
        </w:tc>
        <w:tc>
          <w:tcPr>
            <w:tcW w:w="629" w:type="pct"/>
            <w:gridSpan w:val="2"/>
            <w:shd w:val="clear" w:color="auto" w:fill="auto"/>
            <w:vAlign w:val="center"/>
          </w:tcPr>
          <w:p w:rsidR="001F4AFB" w:rsidRPr="00D97B31" w:rsidRDefault="001F4AFB" w:rsidP="00655260">
            <w:pPr>
              <w:pStyle w:val="TableText0"/>
              <w:widowControl w:val="0"/>
              <w:jc w:val="center"/>
              <w:rPr>
                <w:szCs w:val="20"/>
              </w:rPr>
            </w:pPr>
            <w:r w:rsidRPr="00D97B31">
              <w:rPr>
                <w:szCs w:val="20"/>
              </w:rPr>
              <w:t>4</w:t>
            </w:r>
            <w:r w:rsidR="0028338E" w:rsidRPr="00D97B31">
              <w:rPr>
                <w:szCs w:val="20"/>
              </w:rPr>
              <w:t>1 (7.4</w:t>
            </w:r>
            <w:r w:rsidRPr="00D97B31">
              <w:rPr>
                <w:szCs w:val="20"/>
              </w:rPr>
              <w:t>%)</w:t>
            </w:r>
          </w:p>
        </w:tc>
        <w:tc>
          <w:tcPr>
            <w:tcW w:w="709" w:type="pct"/>
            <w:gridSpan w:val="2"/>
            <w:shd w:val="clear" w:color="auto" w:fill="auto"/>
            <w:vAlign w:val="center"/>
          </w:tcPr>
          <w:p w:rsidR="001F4AFB" w:rsidRPr="00D97B31" w:rsidRDefault="001F4AFB" w:rsidP="00655260">
            <w:pPr>
              <w:keepNext/>
              <w:jc w:val="center"/>
              <w:rPr>
                <w:rFonts w:ascii="Arial Narrow" w:hAnsi="Arial Narrow"/>
                <w:b/>
                <w:bCs/>
                <w:sz w:val="20"/>
                <w:szCs w:val="20"/>
                <w:lang w:eastAsia="en-AU"/>
              </w:rPr>
            </w:pPr>
            <w:r w:rsidRPr="00D97B31">
              <w:rPr>
                <w:rFonts w:ascii="Arial Narrow" w:hAnsi="Arial Narrow"/>
                <w:b/>
                <w:bCs/>
                <w:sz w:val="20"/>
                <w:szCs w:val="20"/>
                <w:lang w:eastAsia="en-AU"/>
              </w:rPr>
              <w:t>1.60 (1.14, 2.25)</w:t>
            </w:r>
          </w:p>
        </w:tc>
        <w:tc>
          <w:tcPr>
            <w:tcW w:w="629" w:type="pct"/>
            <w:gridSpan w:val="2"/>
            <w:shd w:val="clear" w:color="auto" w:fill="auto"/>
            <w:vAlign w:val="center"/>
          </w:tcPr>
          <w:p w:rsidR="001F4AFB" w:rsidRPr="00D97B31" w:rsidRDefault="001F4AFB" w:rsidP="00655260">
            <w:pPr>
              <w:pStyle w:val="TableText0"/>
              <w:widowControl w:val="0"/>
              <w:jc w:val="center"/>
            </w:pPr>
            <w:r w:rsidRPr="00D97B31">
              <w:t>12</w:t>
            </w:r>
          </w:p>
        </w:tc>
        <w:tc>
          <w:tcPr>
            <w:tcW w:w="556" w:type="pct"/>
            <w:shd w:val="clear" w:color="auto" w:fill="auto"/>
            <w:vAlign w:val="center"/>
          </w:tcPr>
          <w:p w:rsidR="001F4AFB" w:rsidRPr="00D97B31" w:rsidRDefault="001F4AFB" w:rsidP="00655260">
            <w:pPr>
              <w:pStyle w:val="TableText0"/>
              <w:widowControl w:val="0"/>
              <w:jc w:val="center"/>
            </w:pPr>
            <w:r w:rsidRPr="00D97B31">
              <w:t>7</w:t>
            </w:r>
          </w:p>
        </w:tc>
        <w:tc>
          <w:tcPr>
            <w:tcW w:w="764" w:type="pct"/>
            <w:shd w:val="clear" w:color="auto" w:fill="auto"/>
            <w:vAlign w:val="center"/>
          </w:tcPr>
          <w:p w:rsidR="001F4AFB" w:rsidRPr="00D97B31" w:rsidRDefault="001F4AFB" w:rsidP="00655260">
            <w:pPr>
              <w:keepNext/>
              <w:jc w:val="center"/>
              <w:rPr>
                <w:rFonts w:ascii="Arial Narrow" w:hAnsi="Arial Narrow"/>
                <w:b/>
                <w:bCs/>
                <w:sz w:val="20"/>
                <w:szCs w:val="20"/>
              </w:rPr>
            </w:pPr>
            <w:r w:rsidRPr="00D97B31">
              <w:rPr>
                <w:rFonts w:ascii="Arial Narrow" w:hAnsi="Arial Narrow"/>
                <w:b/>
                <w:bCs/>
                <w:sz w:val="20"/>
                <w:szCs w:val="20"/>
              </w:rPr>
              <w:t>0.04 (0.01, 0.08)</w:t>
            </w:r>
          </w:p>
        </w:tc>
      </w:tr>
      <w:tr w:rsidR="0028338E" w:rsidRPr="00D97B31" w:rsidTr="000C0DA3">
        <w:tc>
          <w:tcPr>
            <w:tcW w:w="1083" w:type="pct"/>
            <w:shd w:val="clear" w:color="auto" w:fill="auto"/>
            <w:vAlign w:val="center"/>
          </w:tcPr>
          <w:p w:rsidR="001F4AFB" w:rsidRPr="00D97B31" w:rsidRDefault="001F4AFB" w:rsidP="00655260">
            <w:pPr>
              <w:pStyle w:val="TableText0"/>
              <w:widowControl w:val="0"/>
            </w:pPr>
            <w:r w:rsidRPr="00D97B31">
              <w:rPr>
                <w:szCs w:val="20"/>
              </w:rPr>
              <w:t>Rash</w:t>
            </w:r>
          </w:p>
        </w:tc>
        <w:tc>
          <w:tcPr>
            <w:tcW w:w="630" w:type="pct"/>
            <w:shd w:val="clear" w:color="auto" w:fill="auto"/>
            <w:vAlign w:val="center"/>
          </w:tcPr>
          <w:p w:rsidR="001F4AFB" w:rsidRPr="00D97B31" w:rsidRDefault="001F4AFB" w:rsidP="0028338E">
            <w:pPr>
              <w:pStyle w:val="TableText0"/>
              <w:widowControl w:val="0"/>
              <w:jc w:val="center"/>
              <w:rPr>
                <w:szCs w:val="20"/>
              </w:rPr>
            </w:pPr>
            <w:r w:rsidRPr="00D97B31">
              <w:rPr>
                <w:szCs w:val="20"/>
              </w:rPr>
              <w:t>28 (2.9%)</w:t>
            </w:r>
          </w:p>
        </w:tc>
        <w:tc>
          <w:tcPr>
            <w:tcW w:w="629" w:type="pct"/>
            <w:gridSpan w:val="2"/>
            <w:shd w:val="clear" w:color="auto" w:fill="auto"/>
            <w:vAlign w:val="center"/>
          </w:tcPr>
          <w:p w:rsidR="001F4AFB" w:rsidRPr="00D97B31" w:rsidRDefault="001F4AFB" w:rsidP="00655260">
            <w:pPr>
              <w:pStyle w:val="TableText0"/>
              <w:widowControl w:val="0"/>
              <w:jc w:val="center"/>
              <w:rPr>
                <w:szCs w:val="20"/>
              </w:rPr>
            </w:pPr>
            <w:r w:rsidRPr="00D97B31">
              <w:rPr>
                <w:szCs w:val="20"/>
              </w:rPr>
              <w:t>5</w:t>
            </w:r>
            <w:r w:rsidR="0028338E" w:rsidRPr="00D97B31">
              <w:rPr>
                <w:szCs w:val="20"/>
              </w:rPr>
              <w:t xml:space="preserve"> (0.9</w:t>
            </w:r>
            <w:r w:rsidRPr="00D97B31">
              <w:rPr>
                <w:szCs w:val="20"/>
              </w:rPr>
              <w:t>%)</w:t>
            </w:r>
          </w:p>
        </w:tc>
        <w:tc>
          <w:tcPr>
            <w:tcW w:w="709" w:type="pct"/>
            <w:gridSpan w:val="2"/>
            <w:shd w:val="clear" w:color="auto" w:fill="auto"/>
            <w:vAlign w:val="center"/>
          </w:tcPr>
          <w:p w:rsidR="001F4AFB" w:rsidRPr="00D97B31" w:rsidRDefault="001F4AFB" w:rsidP="00655260">
            <w:pPr>
              <w:keepNext/>
              <w:jc w:val="center"/>
              <w:rPr>
                <w:rFonts w:ascii="Arial Narrow" w:hAnsi="Arial Narrow"/>
                <w:b/>
                <w:bCs/>
                <w:sz w:val="20"/>
                <w:szCs w:val="20"/>
                <w:lang w:eastAsia="en-AU"/>
              </w:rPr>
            </w:pPr>
            <w:r w:rsidRPr="00D97B31">
              <w:rPr>
                <w:rFonts w:ascii="Arial Narrow" w:hAnsi="Arial Narrow"/>
                <w:b/>
                <w:bCs/>
                <w:sz w:val="20"/>
                <w:szCs w:val="20"/>
                <w:lang w:eastAsia="en-AU"/>
              </w:rPr>
              <w:t>3.25 (1.26, 8.37)</w:t>
            </w:r>
          </w:p>
        </w:tc>
        <w:tc>
          <w:tcPr>
            <w:tcW w:w="629" w:type="pct"/>
            <w:gridSpan w:val="2"/>
            <w:shd w:val="clear" w:color="auto" w:fill="auto"/>
            <w:vAlign w:val="center"/>
          </w:tcPr>
          <w:p w:rsidR="001F4AFB" w:rsidRPr="00D97B31" w:rsidRDefault="001F4AFB" w:rsidP="00655260">
            <w:pPr>
              <w:pStyle w:val="TableText0"/>
              <w:widowControl w:val="0"/>
              <w:jc w:val="center"/>
            </w:pPr>
            <w:r w:rsidRPr="00D97B31">
              <w:t>3</w:t>
            </w:r>
          </w:p>
        </w:tc>
        <w:tc>
          <w:tcPr>
            <w:tcW w:w="556" w:type="pct"/>
            <w:shd w:val="clear" w:color="auto" w:fill="auto"/>
            <w:vAlign w:val="center"/>
          </w:tcPr>
          <w:p w:rsidR="001F4AFB" w:rsidRPr="00D97B31" w:rsidRDefault="001F4AFB" w:rsidP="00655260">
            <w:pPr>
              <w:pStyle w:val="TableText0"/>
              <w:widowControl w:val="0"/>
              <w:jc w:val="center"/>
            </w:pPr>
            <w:r w:rsidRPr="00D97B31">
              <w:t>1</w:t>
            </w:r>
          </w:p>
        </w:tc>
        <w:tc>
          <w:tcPr>
            <w:tcW w:w="764" w:type="pct"/>
            <w:shd w:val="clear" w:color="auto" w:fill="auto"/>
            <w:vAlign w:val="center"/>
          </w:tcPr>
          <w:p w:rsidR="001F4AFB" w:rsidRPr="00D97B31" w:rsidRDefault="001F4AFB" w:rsidP="00655260">
            <w:pPr>
              <w:keepNext/>
              <w:jc w:val="center"/>
              <w:rPr>
                <w:rFonts w:ascii="Arial Narrow" w:hAnsi="Arial Narrow"/>
                <w:b/>
                <w:bCs/>
                <w:sz w:val="20"/>
                <w:szCs w:val="20"/>
              </w:rPr>
            </w:pPr>
            <w:r w:rsidRPr="00D97B31">
              <w:rPr>
                <w:rFonts w:ascii="Arial Narrow" w:hAnsi="Arial Narrow"/>
                <w:b/>
                <w:bCs/>
                <w:sz w:val="20"/>
                <w:szCs w:val="20"/>
              </w:rPr>
              <w:t>0.02 (0.01, 0.04)</w:t>
            </w:r>
          </w:p>
        </w:tc>
      </w:tr>
      <w:tr w:rsidR="0028338E" w:rsidRPr="00D97B31" w:rsidTr="000C0DA3">
        <w:tc>
          <w:tcPr>
            <w:tcW w:w="1083" w:type="pct"/>
            <w:shd w:val="clear" w:color="auto" w:fill="auto"/>
            <w:vAlign w:val="center"/>
          </w:tcPr>
          <w:p w:rsidR="001F4AFB" w:rsidRPr="00D97B31" w:rsidRDefault="001F4AFB" w:rsidP="00655260">
            <w:pPr>
              <w:pStyle w:val="TableText0"/>
              <w:widowControl w:val="0"/>
            </w:pPr>
            <w:r w:rsidRPr="00D97B31">
              <w:rPr>
                <w:szCs w:val="20"/>
              </w:rPr>
              <w:t>Fatigue/ asthenia</w:t>
            </w:r>
          </w:p>
        </w:tc>
        <w:tc>
          <w:tcPr>
            <w:tcW w:w="630" w:type="pct"/>
            <w:shd w:val="clear" w:color="auto" w:fill="auto"/>
            <w:vAlign w:val="center"/>
          </w:tcPr>
          <w:p w:rsidR="001F4AFB" w:rsidRPr="00D97B31" w:rsidRDefault="001F4AFB" w:rsidP="0028338E">
            <w:pPr>
              <w:pStyle w:val="TableText0"/>
              <w:widowControl w:val="0"/>
              <w:jc w:val="center"/>
            </w:pPr>
            <w:r w:rsidRPr="00D97B31">
              <w:rPr>
                <w:szCs w:val="20"/>
              </w:rPr>
              <w:t>151 (15.8%)</w:t>
            </w:r>
          </w:p>
        </w:tc>
        <w:tc>
          <w:tcPr>
            <w:tcW w:w="629" w:type="pct"/>
            <w:gridSpan w:val="2"/>
            <w:shd w:val="clear" w:color="auto" w:fill="auto"/>
            <w:vAlign w:val="center"/>
          </w:tcPr>
          <w:p w:rsidR="001F4AFB" w:rsidRPr="00D97B31" w:rsidRDefault="001F4AFB" w:rsidP="0028338E">
            <w:pPr>
              <w:pStyle w:val="TableText0"/>
              <w:widowControl w:val="0"/>
              <w:jc w:val="center"/>
            </w:pPr>
            <w:r w:rsidRPr="00D97B31">
              <w:rPr>
                <w:szCs w:val="20"/>
              </w:rPr>
              <w:t>63 (11.</w:t>
            </w:r>
            <w:r w:rsidR="0028338E" w:rsidRPr="00D97B31">
              <w:rPr>
                <w:szCs w:val="20"/>
              </w:rPr>
              <w:t>4</w:t>
            </w:r>
            <w:r w:rsidRPr="00D97B31">
              <w:rPr>
                <w:szCs w:val="20"/>
              </w:rPr>
              <w:t>%)</w:t>
            </w:r>
          </w:p>
        </w:tc>
        <w:tc>
          <w:tcPr>
            <w:tcW w:w="709" w:type="pct"/>
            <w:gridSpan w:val="2"/>
            <w:shd w:val="clear" w:color="auto" w:fill="auto"/>
            <w:vAlign w:val="center"/>
          </w:tcPr>
          <w:p w:rsidR="001F4AFB" w:rsidRPr="00D97B31" w:rsidRDefault="001F4AFB" w:rsidP="00655260">
            <w:pPr>
              <w:keepNext/>
              <w:jc w:val="center"/>
              <w:rPr>
                <w:rFonts w:ascii="Arial Narrow" w:hAnsi="Arial Narrow"/>
                <w:b/>
                <w:bCs/>
                <w:sz w:val="20"/>
                <w:szCs w:val="20"/>
                <w:lang w:eastAsia="en-AU"/>
              </w:rPr>
            </w:pPr>
            <w:r w:rsidRPr="00D97B31">
              <w:rPr>
                <w:rFonts w:ascii="Arial Narrow" w:hAnsi="Arial Narrow"/>
                <w:b/>
                <w:bCs/>
                <w:sz w:val="20"/>
                <w:szCs w:val="20"/>
                <w:lang w:eastAsia="en-AU"/>
              </w:rPr>
              <w:t>1.39 (1.06, 1.83)</w:t>
            </w:r>
          </w:p>
        </w:tc>
        <w:tc>
          <w:tcPr>
            <w:tcW w:w="629" w:type="pct"/>
            <w:gridSpan w:val="2"/>
            <w:shd w:val="clear" w:color="auto" w:fill="auto"/>
            <w:vAlign w:val="center"/>
          </w:tcPr>
          <w:p w:rsidR="001F4AFB" w:rsidRPr="00D97B31" w:rsidRDefault="001F4AFB" w:rsidP="00655260">
            <w:pPr>
              <w:pStyle w:val="TableText0"/>
              <w:widowControl w:val="0"/>
              <w:jc w:val="center"/>
            </w:pPr>
            <w:r w:rsidRPr="00D97B31">
              <w:t>16</w:t>
            </w:r>
          </w:p>
        </w:tc>
        <w:tc>
          <w:tcPr>
            <w:tcW w:w="556" w:type="pct"/>
            <w:shd w:val="clear" w:color="auto" w:fill="auto"/>
            <w:vAlign w:val="center"/>
          </w:tcPr>
          <w:p w:rsidR="001F4AFB" w:rsidRPr="00D97B31" w:rsidRDefault="001F4AFB" w:rsidP="00655260">
            <w:pPr>
              <w:pStyle w:val="TableText0"/>
              <w:widowControl w:val="0"/>
              <w:jc w:val="center"/>
            </w:pPr>
            <w:r w:rsidRPr="00D97B31">
              <w:t>11</w:t>
            </w:r>
          </w:p>
        </w:tc>
        <w:tc>
          <w:tcPr>
            <w:tcW w:w="764" w:type="pct"/>
            <w:shd w:val="clear" w:color="auto" w:fill="auto"/>
            <w:vAlign w:val="center"/>
          </w:tcPr>
          <w:p w:rsidR="001F4AFB" w:rsidRPr="00D97B31" w:rsidRDefault="001F4AFB" w:rsidP="00655260">
            <w:pPr>
              <w:keepNext/>
              <w:jc w:val="center"/>
              <w:rPr>
                <w:rFonts w:ascii="Arial Narrow" w:hAnsi="Arial Narrow"/>
                <w:b/>
                <w:bCs/>
                <w:sz w:val="20"/>
                <w:szCs w:val="20"/>
              </w:rPr>
            </w:pPr>
            <w:r w:rsidRPr="00D97B31">
              <w:rPr>
                <w:rFonts w:ascii="Arial Narrow" w:hAnsi="Arial Narrow"/>
                <w:b/>
                <w:bCs/>
                <w:sz w:val="20"/>
                <w:szCs w:val="20"/>
              </w:rPr>
              <w:t>0.04 (0.01, 0.08)</w:t>
            </w:r>
          </w:p>
        </w:tc>
      </w:tr>
    </w:tbl>
    <w:p w:rsidR="00DF103D" w:rsidRPr="00D97B31" w:rsidRDefault="00DF103D" w:rsidP="00DF103D">
      <w:pPr>
        <w:pStyle w:val="TableFooter"/>
        <w:tabs>
          <w:tab w:val="left" w:pos="142"/>
        </w:tabs>
      </w:pPr>
      <w:r w:rsidRPr="00D97B31">
        <w:t>Source: Table 2-18, p79; Table 2-25, p99-100 of the submission</w:t>
      </w:r>
      <w:r w:rsidR="00E6736B" w:rsidRPr="00D97B31">
        <w:t>; Table 9.2, p74 of the ARAMIS CSR</w:t>
      </w:r>
      <w:r w:rsidR="00535B1B" w:rsidRPr="00D97B31">
        <w:t xml:space="preserve">; Table 14.2.2, p1 of the </w:t>
      </w:r>
      <w:r w:rsidR="00477861" w:rsidRPr="00D97B31">
        <w:t xml:space="preserve">ARAMIS </w:t>
      </w:r>
      <w:r w:rsidR="00535B1B" w:rsidRPr="00D97B31">
        <w:t>– final – efficacy-Table 14_ provided with the submission</w:t>
      </w:r>
      <w:r w:rsidR="00E6736B" w:rsidRPr="00D97B31">
        <w:t>.</w:t>
      </w:r>
    </w:p>
    <w:p w:rsidR="00DF103D" w:rsidRPr="00D97B31" w:rsidRDefault="00DF103D" w:rsidP="00DF103D">
      <w:pPr>
        <w:pStyle w:val="TableFooter"/>
      </w:pPr>
      <w:r w:rsidRPr="00D97B31">
        <w:t>CI=confidence interval; HR=hazard ratio;</w:t>
      </w:r>
      <w:r w:rsidR="00821A97" w:rsidRPr="00D97B31">
        <w:t xml:space="preserve"> NE=not estimable; NR=not reported;</w:t>
      </w:r>
      <w:r w:rsidRPr="00D97B31">
        <w:t xml:space="preserve"> RD=risk difference; RR=relative risk; SOC=standard of care; </w:t>
      </w:r>
      <w:r w:rsidRPr="00D97B31">
        <w:rPr>
          <w:b/>
        </w:rPr>
        <w:t>bold</w:t>
      </w:r>
      <w:r w:rsidRPr="00D97B31">
        <w:t>=statistically significant</w:t>
      </w:r>
    </w:p>
    <w:p w:rsidR="00B62715" w:rsidRPr="00D97B31" w:rsidRDefault="00B62715" w:rsidP="00DF103D">
      <w:pPr>
        <w:pStyle w:val="TableFigureFooter"/>
      </w:pPr>
    </w:p>
    <w:p w:rsidR="002441D2" w:rsidRPr="00D97B31" w:rsidRDefault="00924D08" w:rsidP="00924D08">
      <w:pPr>
        <w:pStyle w:val="3-BodyText"/>
      </w:pPr>
      <w:r w:rsidRPr="00D97B31">
        <w:t>On the basis of direct evidence presented by the submission, for every 100 patients treated with darolutamide in comparison with SOC:</w:t>
      </w:r>
    </w:p>
    <w:p w:rsidR="007A2F01" w:rsidRPr="00D97B31" w:rsidRDefault="007A2F01" w:rsidP="00924D08">
      <w:pPr>
        <w:pStyle w:val="ListParagraph"/>
        <w:spacing w:after="0"/>
        <w:ind w:left="993" w:hanging="284"/>
      </w:pPr>
      <w:r w:rsidRPr="00D97B31">
        <w:t>Approximately 19 additional patients will remain metastasis-free after 12 months</w:t>
      </w:r>
    </w:p>
    <w:p w:rsidR="007A2F01" w:rsidRPr="00D97B31" w:rsidRDefault="007A2F01" w:rsidP="007A2F01">
      <w:pPr>
        <w:pStyle w:val="ListBullet"/>
        <w:tabs>
          <w:tab w:val="clear" w:pos="360"/>
          <w:tab w:val="num" w:pos="993"/>
        </w:tabs>
        <w:ind w:left="993" w:hanging="284"/>
        <w:rPr>
          <w:lang w:eastAsia="en-AU"/>
        </w:rPr>
      </w:pPr>
      <w:r w:rsidRPr="00D97B31">
        <w:t>Approximately 28 additional patients will remain metastasis-free after 24 months</w:t>
      </w:r>
      <w:r w:rsidR="0037726A" w:rsidRPr="00D97B31">
        <w:t xml:space="preserve"> and after 36 months</w:t>
      </w:r>
    </w:p>
    <w:p w:rsidR="00924D08" w:rsidRPr="00D97B31" w:rsidRDefault="00924D08" w:rsidP="00924D08">
      <w:pPr>
        <w:pStyle w:val="ListParagraph"/>
        <w:spacing w:after="0"/>
        <w:ind w:left="993" w:hanging="284"/>
      </w:pPr>
      <w:r w:rsidRPr="00D97B31">
        <w:t xml:space="preserve">Approximately </w:t>
      </w:r>
      <w:r w:rsidR="00477861" w:rsidRPr="00D97B31">
        <w:t>4</w:t>
      </w:r>
      <w:r w:rsidR="0037726A" w:rsidRPr="00D97B31">
        <w:t xml:space="preserve"> </w:t>
      </w:r>
      <w:r w:rsidRPr="00D97B31">
        <w:t xml:space="preserve">additional patients will remain alive after </w:t>
      </w:r>
      <w:r w:rsidR="0037726A" w:rsidRPr="00D97B31">
        <w:t xml:space="preserve">24 </w:t>
      </w:r>
      <w:r w:rsidRPr="00D97B31">
        <w:t>months</w:t>
      </w:r>
    </w:p>
    <w:p w:rsidR="00535B1B" w:rsidRPr="00D97B31" w:rsidRDefault="0037726A" w:rsidP="00E34EFC">
      <w:pPr>
        <w:pStyle w:val="ListBullet"/>
        <w:tabs>
          <w:tab w:val="clear" w:pos="360"/>
          <w:tab w:val="num" w:pos="993"/>
        </w:tabs>
        <w:ind w:left="993" w:hanging="284"/>
        <w:rPr>
          <w:lang w:eastAsia="en-AU"/>
        </w:rPr>
      </w:pPr>
      <w:r w:rsidRPr="00D97B31">
        <w:rPr>
          <w:lang w:eastAsia="en-AU"/>
        </w:rPr>
        <w:t xml:space="preserve">Approximately </w:t>
      </w:r>
      <w:r w:rsidR="00535B1B" w:rsidRPr="00D97B31">
        <w:rPr>
          <w:lang w:eastAsia="en-AU"/>
        </w:rPr>
        <w:t>6</w:t>
      </w:r>
      <w:r w:rsidRPr="00D97B31">
        <w:rPr>
          <w:lang w:eastAsia="en-AU"/>
        </w:rPr>
        <w:t xml:space="preserve"> additional patients wi</w:t>
      </w:r>
      <w:r w:rsidR="00E34EFC" w:rsidRPr="00D97B31">
        <w:rPr>
          <w:lang w:eastAsia="en-AU"/>
        </w:rPr>
        <w:t>ll remain alive after 36 months</w:t>
      </w:r>
    </w:p>
    <w:p w:rsidR="00FC1884" w:rsidRPr="00D97B31" w:rsidRDefault="00924D08" w:rsidP="00924D08">
      <w:pPr>
        <w:pStyle w:val="ListParagraph"/>
        <w:spacing w:after="0"/>
        <w:ind w:left="993" w:hanging="284"/>
      </w:pPr>
      <w:r w:rsidRPr="00D97B31">
        <w:t>After 18 months, approximately 4 additional patients would experience cardiovascular disorders, 2 additional patients would experience rash, and 4 additional patients would experience fatigue</w:t>
      </w:r>
      <w:r w:rsidR="00BD6238" w:rsidRPr="00D97B31">
        <w:t>.</w:t>
      </w:r>
    </w:p>
    <w:p w:rsidR="00B60939" w:rsidRPr="00D97B31" w:rsidRDefault="00B60939" w:rsidP="00E9094A">
      <w:pPr>
        <w:pStyle w:val="4-SubsectionHeading"/>
      </w:pPr>
      <w:bookmarkStart w:id="20" w:name="_Toc22897644"/>
      <w:bookmarkStart w:id="21" w:name="_Toc40744335"/>
      <w:r w:rsidRPr="00D97B31">
        <w:t>Clinical claim</w:t>
      </w:r>
      <w:bookmarkEnd w:id="20"/>
      <w:bookmarkEnd w:id="21"/>
    </w:p>
    <w:p w:rsidR="00DA43F2" w:rsidRPr="00D97B31" w:rsidRDefault="00477861" w:rsidP="00E9094A">
      <w:pPr>
        <w:pStyle w:val="3-BodyText"/>
      </w:pPr>
      <w:r w:rsidRPr="00D97B31">
        <w:rPr>
          <w:rFonts w:cs="Calibri"/>
        </w:rPr>
        <w:t>T</w:t>
      </w:r>
      <w:r w:rsidR="00DA43F2" w:rsidRPr="00D97B31">
        <w:rPr>
          <w:rFonts w:cs="Calibri"/>
        </w:rPr>
        <w:t xml:space="preserve">he submission made </w:t>
      </w:r>
      <w:r w:rsidRPr="00D97B31">
        <w:rPr>
          <w:rFonts w:cs="Calibri"/>
        </w:rPr>
        <w:t>the following</w:t>
      </w:r>
      <w:r w:rsidR="00DA43F2" w:rsidRPr="00D97B31">
        <w:rPr>
          <w:rFonts w:cs="Calibri"/>
        </w:rPr>
        <w:t xml:space="preserve"> clinical claims</w:t>
      </w:r>
      <w:r w:rsidR="001A29CD" w:rsidRPr="00D97B31">
        <w:rPr>
          <w:rFonts w:cs="Calibri"/>
        </w:rPr>
        <w:t xml:space="preserve"> regarding darolutamide</w:t>
      </w:r>
      <w:r w:rsidR="00DA43F2" w:rsidRPr="00D97B31">
        <w:rPr>
          <w:rFonts w:cs="Calibri"/>
        </w:rPr>
        <w:t>:</w:t>
      </w:r>
    </w:p>
    <w:p w:rsidR="00DA43F2" w:rsidRPr="00D97B31" w:rsidRDefault="00DA43F2" w:rsidP="00740158">
      <w:pPr>
        <w:pStyle w:val="3-BodyText"/>
        <w:numPr>
          <w:ilvl w:val="0"/>
          <w:numId w:val="6"/>
        </w:numPr>
        <w:spacing w:after="0"/>
        <w:ind w:left="993" w:hanging="284"/>
      </w:pPr>
      <w:r w:rsidRPr="00D97B31">
        <w:rPr>
          <w:rFonts w:ascii="Calibri" w:hAnsi="Calibri" w:cs="Calibri"/>
        </w:rPr>
        <w:t>Superior effectiveness and inferior safety compared to SOC;</w:t>
      </w:r>
    </w:p>
    <w:p w:rsidR="00DA43F2" w:rsidRPr="00D97B31" w:rsidRDefault="00DA43F2" w:rsidP="00740158">
      <w:pPr>
        <w:pStyle w:val="3-BodyText"/>
        <w:numPr>
          <w:ilvl w:val="0"/>
          <w:numId w:val="6"/>
        </w:numPr>
        <w:spacing w:after="0"/>
        <w:ind w:left="993" w:hanging="284"/>
      </w:pPr>
      <w:r w:rsidRPr="00D97B31">
        <w:rPr>
          <w:rFonts w:ascii="Calibri" w:hAnsi="Calibri" w:cs="Calibri"/>
        </w:rPr>
        <w:t>Non-inferior effectiveness and superior safety compared to apalutamide;</w:t>
      </w:r>
    </w:p>
    <w:p w:rsidR="00DA43F2" w:rsidRPr="00D97B31" w:rsidRDefault="00DA43F2" w:rsidP="00740158">
      <w:pPr>
        <w:pStyle w:val="3-BodyText"/>
        <w:numPr>
          <w:ilvl w:val="0"/>
          <w:numId w:val="6"/>
        </w:numPr>
        <w:ind w:left="993" w:hanging="284"/>
      </w:pPr>
      <w:r w:rsidRPr="00D97B31">
        <w:rPr>
          <w:rFonts w:ascii="Calibri" w:hAnsi="Calibri" w:cs="Calibri"/>
        </w:rPr>
        <w:t>Non-inferior effectiveness and superior safety compared to enzalutamide.</w:t>
      </w:r>
    </w:p>
    <w:p w:rsidR="001F0AFF" w:rsidRPr="00D97B31" w:rsidRDefault="008661BB" w:rsidP="008126AD">
      <w:pPr>
        <w:pStyle w:val="3-BodyText"/>
      </w:pPr>
      <w:r w:rsidRPr="00D97B31">
        <w:rPr>
          <w:iCs/>
        </w:rPr>
        <w:t>The ESC noted that d</w:t>
      </w:r>
      <w:r w:rsidR="00847617" w:rsidRPr="00D97B31">
        <w:rPr>
          <w:iCs/>
        </w:rPr>
        <w:t>arolutamide demonstrated</w:t>
      </w:r>
      <w:r w:rsidR="00A32D9C" w:rsidRPr="00D97B31">
        <w:rPr>
          <w:iCs/>
        </w:rPr>
        <w:t xml:space="preserve"> a</w:t>
      </w:r>
      <w:r w:rsidR="00847617" w:rsidRPr="00D97B31">
        <w:rPr>
          <w:iCs/>
        </w:rPr>
        <w:t xml:space="preserve"> statistically significant advantage in MFS compared to SOC.</w:t>
      </w:r>
      <w:r w:rsidR="007D6522" w:rsidRPr="00D97B31">
        <w:rPr>
          <w:iCs/>
        </w:rPr>
        <w:t xml:space="preserve"> </w:t>
      </w:r>
      <w:r w:rsidR="001E7B21" w:rsidRPr="00D97B31">
        <w:rPr>
          <w:iCs/>
        </w:rPr>
        <w:t>Although t</w:t>
      </w:r>
      <w:r w:rsidR="00847617" w:rsidRPr="00D97B31">
        <w:rPr>
          <w:iCs/>
        </w:rPr>
        <w:t xml:space="preserve">he updated analysis of OS (median follow-up </w:t>
      </w:r>
      <w:r w:rsidR="00E5398F" w:rsidRPr="00D97B31">
        <w:rPr>
          <w:iCs/>
        </w:rPr>
        <w:t xml:space="preserve">of </w:t>
      </w:r>
      <w:r w:rsidR="00847617" w:rsidRPr="00D97B31">
        <w:rPr>
          <w:iCs/>
        </w:rPr>
        <w:t>29.1 months) also demonstrated a statistically significant benefit for darolutamide compared to SOC,</w:t>
      </w:r>
      <w:r w:rsidR="0000621A" w:rsidRPr="00D97B31">
        <w:rPr>
          <w:iCs/>
        </w:rPr>
        <w:t xml:space="preserve"> the</w:t>
      </w:r>
      <w:r w:rsidRPr="00D97B31">
        <w:rPr>
          <w:iCs/>
        </w:rPr>
        <w:t xml:space="preserve"> ESC considered that the</w:t>
      </w:r>
      <w:r w:rsidR="0000621A" w:rsidRPr="00D97B31">
        <w:rPr>
          <w:iCs/>
        </w:rPr>
        <w:t xml:space="preserve">re </w:t>
      </w:r>
      <w:r w:rsidRPr="00D97B31">
        <w:rPr>
          <w:iCs/>
        </w:rPr>
        <w:t>wa</w:t>
      </w:r>
      <w:r w:rsidR="0000621A" w:rsidRPr="00D97B31">
        <w:rPr>
          <w:iCs/>
        </w:rPr>
        <w:t xml:space="preserve">s some uncertainty </w:t>
      </w:r>
      <w:r w:rsidRPr="00D97B31">
        <w:rPr>
          <w:iCs/>
        </w:rPr>
        <w:t xml:space="preserve">as to </w:t>
      </w:r>
      <w:r w:rsidR="0000621A" w:rsidRPr="00D97B31">
        <w:rPr>
          <w:iCs/>
        </w:rPr>
        <w:t>the magnitude of benefit as</w:t>
      </w:r>
      <w:r w:rsidR="00847617" w:rsidRPr="00D97B31">
        <w:rPr>
          <w:iCs/>
        </w:rPr>
        <w:t xml:space="preserve"> median OS was not reached in either treatment arm</w:t>
      </w:r>
      <w:r w:rsidR="001F0AFF" w:rsidRPr="00D97B31">
        <w:rPr>
          <w:iCs/>
        </w:rPr>
        <w:t>.</w:t>
      </w:r>
      <w:r w:rsidR="007D6522" w:rsidRPr="00D97B31">
        <w:rPr>
          <w:iCs/>
        </w:rPr>
        <w:t xml:space="preserve"> </w:t>
      </w:r>
    </w:p>
    <w:p w:rsidR="00847617" w:rsidRPr="00D97B31" w:rsidRDefault="008661BB" w:rsidP="008126AD">
      <w:pPr>
        <w:pStyle w:val="3-BodyText"/>
      </w:pPr>
      <w:r w:rsidRPr="00D97B31">
        <w:rPr>
          <w:iCs/>
        </w:rPr>
        <w:t>With</w:t>
      </w:r>
      <w:r w:rsidR="00105961" w:rsidRPr="00D97B31">
        <w:rPr>
          <w:iCs/>
        </w:rPr>
        <w:t xml:space="preserve"> regard to safety, the </w:t>
      </w:r>
      <w:r w:rsidRPr="00D97B31">
        <w:rPr>
          <w:iCs/>
        </w:rPr>
        <w:t xml:space="preserve">ESC noted that the </w:t>
      </w:r>
      <w:r w:rsidR="00105961" w:rsidRPr="00D97B31">
        <w:rPr>
          <w:iCs/>
        </w:rPr>
        <w:t xml:space="preserve">ARAMIS trial </w:t>
      </w:r>
      <w:r w:rsidR="001E7B21" w:rsidRPr="00D97B31">
        <w:rPr>
          <w:iCs/>
        </w:rPr>
        <w:t>resulted in</w:t>
      </w:r>
      <w:r w:rsidR="00105961" w:rsidRPr="00D97B31">
        <w:rPr>
          <w:iCs/>
        </w:rPr>
        <w:t xml:space="preserve"> statistically significantly greater occurrence</w:t>
      </w:r>
      <w:r w:rsidR="001E7B21" w:rsidRPr="00D97B31">
        <w:rPr>
          <w:iCs/>
        </w:rPr>
        <w:t>s</w:t>
      </w:r>
      <w:r w:rsidR="00105961" w:rsidRPr="00D97B31">
        <w:rPr>
          <w:iCs/>
        </w:rPr>
        <w:t xml:space="preserve"> of rash, fatigue and cardiovascular disorders with darolutamide treatment compared to SOC.</w:t>
      </w:r>
      <w:r w:rsidR="00241038" w:rsidRPr="00D97B31">
        <w:rPr>
          <w:iCs/>
        </w:rPr>
        <w:t xml:space="preserve"> </w:t>
      </w:r>
    </w:p>
    <w:p w:rsidR="00E5398F" w:rsidRPr="00D97B31" w:rsidRDefault="00E5398F" w:rsidP="00E5398F">
      <w:pPr>
        <w:pStyle w:val="3-BodyText"/>
      </w:pPr>
      <w:r w:rsidRPr="00D97B31">
        <w:rPr>
          <w:iCs/>
        </w:rPr>
        <w:t>The PBAC considered that the clinical claims that darolutamide resulted in superior efficacy and inferior safety compared to SOC were adequately supported by the evidence presented. The PBAC considered that due to the immaturity of the overall survival data, the magnitude of the survival benefit was uncertain.</w:t>
      </w:r>
    </w:p>
    <w:p w:rsidR="00CE1C2B" w:rsidRPr="00D97B31" w:rsidRDefault="001F0AFF" w:rsidP="00653E21">
      <w:pPr>
        <w:pStyle w:val="3-BodyText"/>
      </w:pPr>
      <w:r w:rsidRPr="00D97B31">
        <w:rPr>
          <w:iCs/>
        </w:rPr>
        <w:t>Although noting</w:t>
      </w:r>
      <w:r w:rsidR="00C66D7D" w:rsidRPr="00D97B31">
        <w:rPr>
          <w:iCs/>
        </w:rPr>
        <w:t xml:space="preserve"> </w:t>
      </w:r>
      <w:r w:rsidR="007C6FC3" w:rsidRPr="00D97B31">
        <w:rPr>
          <w:iCs/>
        </w:rPr>
        <w:t>the</w:t>
      </w:r>
      <w:r w:rsidR="008E315D" w:rsidRPr="00D97B31">
        <w:rPr>
          <w:iCs/>
        </w:rPr>
        <w:t xml:space="preserve"> limitations</w:t>
      </w:r>
      <w:r w:rsidR="007C6FC3" w:rsidRPr="00D97B31">
        <w:rPr>
          <w:iCs/>
        </w:rPr>
        <w:t xml:space="preserve"> </w:t>
      </w:r>
      <w:r w:rsidR="001A29CD" w:rsidRPr="00D97B31">
        <w:rPr>
          <w:iCs/>
        </w:rPr>
        <w:t>of the indirect comparisons (</w:t>
      </w:r>
      <w:r w:rsidR="007C6FC3" w:rsidRPr="00D97B31">
        <w:rPr>
          <w:iCs/>
        </w:rPr>
        <w:t xml:space="preserve">paragraph </w:t>
      </w:r>
      <w:r w:rsidR="00915A65" w:rsidRPr="00915A65">
        <w:rPr>
          <w:iCs/>
        </w:rPr>
        <w:t>6.18</w:t>
      </w:r>
      <w:r w:rsidR="001A29CD" w:rsidRPr="00915A65">
        <w:rPr>
          <w:iCs/>
        </w:rPr>
        <w:t>)</w:t>
      </w:r>
      <w:r w:rsidR="007C6FC3" w:rsidRPr="00915A65">
        <w:rPr>
          <w:iCs/>
        </w:rPr>
        <w:t>,</w:t>
      </w:r>
      <w:r w:rsidR="007C6FC3" w:rsidRPr="00D97B31">
        <w:rPr>
          <w:iCs/>
        </w:rPr>
        <w:t xml:space="preserve"> the PBAC considered that overall, the efficacy of darolutamide would likely be </w:t>
      </w:r>
      <w:r w:rsidR="00BC4E08">
        <w:rPr>
          <w:iCs/>
        </w:rPr>
        <w:t xml:space="preserve">non-inferior </w:t>
      </w:r>
      <w:r w:rsidR="007C6FC3" w:rsidRPr="00D97B31">
        <w:rPr>
          <w:iCs/>
        </w:rPr>
        <w:t>compared to apalutamide and enzalutamide.</w:t>
      </w:r>
      <w:r w:rsidR="007D6522" w:rsidRPr="00D97B31">
        <w:rPr>
          <w:iCs/>
        </w:rPr>
        <w:t xml:space="preserve"> </w:t>
      </w:r>
      <w:r w:rsidR="00337AF1" w:rsidRPr="00D97B31">
        <w:rPr>
          <w:iCs/>
        </w:rPr>
        <w:t xml:space="preserve">The </w:t>
      </w:r>
      <w:r w:rsidR="00692684" w:rsidRPr="00D97B31">
        <w:rPr>
          <w:iCs/>
        </w:rPr>
        <w:t xml:space="preserve">PBAC </w:t>
      </w:r>
      <w:r w:rsidR="00337AF1" w:rsidRPr="00D97B31">
        <w:rPr>
          <w:iCs/>
        </w:rPr>
        <w:t xml:space="preserve">considered that darolutamide </w:t>
      </w:r>
      <w:r w:rsidR="008661BB" w:rsidRPr="00D97B31">
        <w:rPr>
          <w:iCs/>
        </w:rPr>
        <w:t xml:space="preserve">may be </w:t>
      </w:r>
      <w:r w:rsidR="00337AF1" w:rsidRPr="00D97B31">
        <w:rPr>
          <w:iCs/>
        </w:rPr>
        <w:t xml:space="preserve">better tolerated </w:t>
      </w:r>
      <w:r w:rsidR="008661BB" w:rsidRPr="00D97B31">
        <w:rPr>
          <w:iCs/>
        </w:rPr>
        <w:t xml:space="preserve">compared to </w:t>
      </w:r>
      <w:r w:rsidR="00337AF1" w:rsidRPr="00D97B31">
        <w:rPr>
          <w:iCs/>
        </w:rPr>
        <w:t xml:space="preserve">apalutamide </w:t>
      </w:r>
      <w:r w:rsidR="008661BB" w:rsidRPr="00D97B31">
        <w:rPr>
          <w:iCs/>
        </w:rPr>
        <w:t xml:space="preserve">and enzalutamide due to its </w:t>
      </w:r>
      <w:r w:rsidR="001A29CD" w:rsidRPr="00D97B31">
        <w:rPr>
          <w:iCs/>
        </w:rPr>
        <w:t xml:space="preserve">reduced penetration of the </w:t>
      </w:r>
      <w:r w:rsidR="008661BB" w:rsidRPr="00D97B31">
        <w:rPr>
          <w:iCs/>
        </w:rPr>
        <w:t xml:space="preserve">blood-brain </w:t>
      </w:r>
      <w:r w:rsidR="001A29CD" w:rsidRPr="00D97B31">
        <w:rPr>
          <w:iCs/>
        </w:rPr>
        <w:t>barrier</w:t>
      </w:r>
      <w:r w:rsidR="00F329D7" w:rsidRPr="00D97B31">
        <w:rPr>
          <w:iCs/>
        </w:rPr>
        <w:t xml:space="preserve"> which</w:t>
      </w:r>
      <w:r w:rsidR="008661BB" w:rsidRPr="00D97B31">
        <w:rPr>
          <w:iCs/>
        </w:rPr>
        <w:t xml:space="preserve"> could potentially result </w:t>
      </w:r>
      <w:r w:rsidR="00F329D7" w:rsidRPr="00D97B31">
        <w:rPr>
          <w:iCs/>
        </w:rPr>
        <w:t xml:space="preserve">in </w:t>
      </w:r>
      <w:r w:rsidR="00337AF1" w:rsidRPr="00D97B31">
        <w:rPr>
          <w:iCs/>
        </w:rPr>
        <w:t>less central nervous system toxicity</w:t>
      </w:r>
      <w:r w:rsidR="00EE7864" w:rsidRPr="00D97B31">
        <w:rPr>
          <w:iCs/>
        </w:rPr>
        <w:t>.</w:t>
      </w:r>
      <w:r w:rsidR="002F5C86" w:rsidRPr="00D97B31">
        <w:rPr>
          <w:iCs/>
        </w:rPr>
        <w:t xml:space="preserve"> </w:t>
      </w:r>
    </w:p>
    <w:p w:rsidR="00B60939" w:rsidRPr="00D97B31" w:rsidRDefault="00B60939" w:rsidP="00E9094A">
      <w:pPr>
        <w:pStyle w:val="4-SubsectionHeading"/>
      </w:pPr>
      <w:bookmarkStart w:id="22" w:name="_Toc22897645"/>
      <w:bookmarkStart w:id="23" w:name="_Toc40744336"/>
      <w:r w:rsidRPr="00D97B31">
        <w:t>Economic analysis</w:t>
      </w:r>
      <w:bookmarkEnd w:id="22"/>
      <w:bookmarkEnd w:id="23"/>
      <w:r w:rsidR="00491B3A" w:rsidRPr="00D97B31">
        <w:t xml:space="preserve"> </w:t>
      </w:r>
    </w:p>
    <w:p w:rsidR="00386FF8" w:rsidRPr="00D97B31" w:rsidRDefault="00386FF8" w:rsidP="00641FB3">
      <w:pPr>
        <w:pStyle w:val="3-BodyText"/>
        <w:rPr>
          <w:b/>
          <w:bCs/>
        </w:rPr>
      </w:pPr>
      <w:r w:rsidRPr="00D97B31">
        <w:t>The submission presented a stepped economic evaluation based on the ARAMIS trial, comparing darolutamide to SOC.</w:t>
      </w:r>
      <w:r w:rsidR="007D6522" w:rsidRPr="00D97B31">
        <w:t xml:space="preserve"> </w:t>
      </w:r>
      <w:r w:rsidRPr="00D97B31">
        <w:t>A cost-utility analysis using a partitioned survival model with three health states was provided.</w:t>
      </w:r>
      <w:r w:rsidR="007D6522" w:rsidRPr="00D97B31">
        <w:t xml:space="preserve"> </w:t>
      </w:r>
      <w:r w:rsidR="00B3197D">
        <w:t>Table 10</w:t>
      </w:r>
      <w:r w:rsidR="004D4295" w:rsidRPr="00D97B31">
        <w:t xml:space="preserve"> provides a summary of model inputs.</w:t>
      </w:r>
    </w:p>
    <w:p w:rsidR="00275C5A" w:rsidRPr="00D97B31" w:rsidRDefault="00275C5A" w:rsidP="00641FB3">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10</w:t>
      </w:r>
      <w:r w:rsidRPr="00D97B31">
        <w:rPr>
          <w:rStyle w:val="CommentReference"/>
          <w:b/>
          <w:szCs w:val="24"/>
        </w:rPr>
        <w:t>: Summary of model structure</w:t>
      </w:r>
      <w:r w:rsidR="00184B0E" w:rsidRPr="00D97B31">
        <w:rPr>
          <w:rStyle w:val="CommentReference"/>
          <w:b/>
          <w:szCs w:val="24"/>
        </w:rPr>
        <w:t>, key inputs</w:t>
      </w:r>
      <w:r w:rsidRPr="00D97B31">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75C5A" w:rsidRPr="00D97B31" w:rsidTr="006B35E6">
        <w:trPr>
          <w:tblHeader/>
        </w:trPr>
        <w:tc>
          <w:tcPr>
            <w:tcW w:w="1396" w:type="pct"/>
            <w:shd w:val="clear" w:color="auto" w:fill="auto"/>
            <w:vAlign w:val="center"/>
          </w:tcPr>
          <w:p w:rsidR="00275C5A" w:rsidRPr="00D97B31" w:rsidRDefault="00275C5A" w:rsidP="006E6C4A">
            <w:pPr>
              <w:pStyle w:val="In-tableHeading"/>
              <w:tabs>
                <w:tab w:val="left" w:pos="106"/>
              </w:tabs>
              <w:rPr>
                <w:lang w:val="en-AU"/>
              </w:rPr>
            </w:pPr>
            <w:r w:rsidRPr="00D97B31">
              <w:rPr>
                <w:lang w:val="en-AU"/>
              </w:rPr>
              <w:t>Component</w:t>
            </w:r>
          </w:p>
        </w:tc>
        <w:tc>
          <w:tcPr>
            <w:tcW w:w="3604" w:type="pct"/>
            <w:shd w:val="clear" w:color="auto" w:fill="auto"/>
            <w:vAlign w:val="center"/>
          </w:tcPr>
          <w:p w:rsidR="00275C5A" w:rsidRPr="00D97B31" w:rsidRDefault="00275C5A" w:rsidP="00004369">
            <w:pPr>
              <w:pStyle w:val="In-tableHeading"/>
              <w:tabs>
                <w:tab w:val="left" w:pos="1985"/>
              </w:tabs>
              <w:rPr>
                <w:lang w:val="en-AU"/>
              </w:rPr>
            </w:pPr>
            <w:r w:rsidRPr="00D97B31">
              <w:rPr>
                <w:lang w:val="en-AU"/>
              </w:rPr>
              <w:t>Summary</w:t>
            </w:r>
          </w:p>
        </w:tc>
      </w:tr>
      <w:tr w:rsidR="000A6039" w:rsidRPr="00D97B31" w:rsidTr="006B35E6">
        <w:tc>
          <w:tcPr>
            <w:tcW w:w="1396" w:type="pct"/>
            <w:shd w:val="clear" w:color="auto" w:fill="auto"/>
            <w:vAlign w:val="center"/>
          </w:tcPr>
          <w:p w:rsidR="000A6039" w:rsidRPr="00D97B31" w:rsidRDefault="000A6039" w:rsidP="006E6C4A">
            <w:pPr>
              <w:pStyle w:val="TableText0"/>
              <w:tabs>
                <w:tab w:val="left" w:pos="106"/>
              </w:tabs>
            </w:pPr>
            <w:r w:rsidRPr="00D97B31">
              <w:t>Treatments</w:t>
            </w:r>
          </w:p>
        </w:tc>
        <w:tc>
          <w:tcPr>
            <w:tcW w:w="3604" w:type="pct"/>
            <w:shd w:val="clear" w:color="auto" w:fill="auto"/>
            <w:vAlign w:val="center"/>
          </w:tcPr>
          <w:p w:rsidR="000A6039" w:rsidRPr="00D97B31" w:rsidRDefault="00CD2E12" w:rsidP="00004369">
            <w:pPr>
              <w:pStyle w:val="TableText0"/>
              <w:tabs>
                <w:tab w:val="left" w:pos="1985"/>
              </w:tabs>
            </w:pPr>
            <w:r w:rsidRPr="00D97B31">
              <w:t>Darolutamide vs. SOC</w:t>
            </w:r>
          </w:p>
        </w:tc>
      </w:tr>
      <w:tr w:rsidR="00275C5A" w:rsidRPr="00D97B31" w:rsidTr="006B35E6">
        <w:tc>
          <w:tcPr>
            <w:tcW w:w="1396" w:type="pct"/>
            <w:shd w:val="clear" w:color="auto" w:fill="auto"/>
            <w:vAlign w:val="center"/>
          </w:tcPr>
          <w:p w:rsidR="00275C5A" w:rsidRPr="00D97B31" w:rsidRDefault="00275C5A" w:rsidP="006E6C4A">
            <w:pPr>
              <w:pStyle w:val="TableText0"/>
              <w:tabs>
                <w:tab w:val="left" w:pos="106"/>
              </w:tabs>
            </w:pPr>
            <w:r w:rsidRPr="00D97B31">
              <w:t>Time horizon</w:t>
            </w:r>
          </w:p>
        </w:tc>
        <w:tc>
          <w:tcPr>
            <w:tcW w:w="3604" w:type="pct"/>
            <w:shd w:val="clear" w:color="auto" w:fill="auto"/>
            <w:vAlign w:val="center"/>
          </w:tcPr>
          <w:p w:rsidR="00275C5A" w:rsidRPr="00D97B31" w:rsidRDefault="00CD2E12" w:rsidP="00004369">
            <w:pPr>
              <w:pStyle w:val="TableText0"/>
              <w:tabs>
                <w:tab w:val="left" w:pos="1985"/>
              </w:tabs>
            </w:pPr>
            <w:r w:rsidRPr="00D97B31">
              <w:t>10</w:t>
            </w:r>
            <w:r w:rsidR="00275C5A" w:rsidRPr="00D97B31">
              <w:t xml:space="preserve"> years in the model base case versus </w:t>
            </w:r>
            <w:r w:rsidRPr="00D97B31">
              <w:t>4</w:t>
            </w:r>
            <w:r w:rsidR="00275C5A" w:rsidRPr="00D97B31">
              <w:t xml:space="preserve"> years</w:t>
            </w:r>
            <w:r w:rsidRPr="00D97B31">
              <w:t xml:space="preserve"> in ARAMIS</w:t>
            </w:r>
          </w:p>
        </w:tc>
      </w:tr>
      <w:tr w:rsidR="00275C5A" w:rsidRPr="00D97B31" w:rsidTr="006B35E6">
        <w:tc>
          <w:tcPr>
            <w:tcW w:w="1396" w:type="pct"/>
            <w:shd w:val="clear" w:color="auto" w:fill="auto"/>
            <w:vAlign w:val="center"/>
          </w:tcPr>
          <w:p w:rsidR="00275C5A" w:rsidRPr="00D97B31" w:rsidRDefault="00275C5A" w:rsidP="006E6C4A">
            <w:pPr>
              <w:pStyle w:val="TableText0"/>
              <w:tabs>
                <w:tab w:val="left" w:pos="106"/>
              </w:tabs>
            </w:pPr>
            <w:r w:rsidRPr="00D97B31">
              <w:t>Outcomes</w:t>
            </w:r>
          </w:p>
        </w:tc>
        <w:tc>
          <w:tcPr>
            <w:tcW w:w="3604" w:type="pct"/>
            <w:shd w:val="clear" w:color="auto" w:fill="auto"/>
            <w:vAlign w:val="center"/>
          </w:tcPr>
          <w:p w:rsidR="00275C5A" w:rsidRPr="00D97B31" w:rsidRDefault="00CD2E12" w:rsidP="00004369">
            <w:pPr>
              <w:pStyle w:val="TableText0"/>
              <w:tabs>
                <w:tab w:val="left" w:pos="1985"/>
              </w:tabs>
            </w:pPr>
            <w:r w:rsidRPr="00D97B31">
              <w:t>QALYs; LYs</w:t>
            </w:r>
          </w:p>
        </w:tc>
      </w:tr>
      <w:tr w:rsidR="00275C5A" w:rsidRPr="00D97B31" w:rsidTr="006B35E6">
        <w:tc>
          <w:tcPr>
            <w:tcW w:w="1396" w:type="pct"/>
            <w:shd w:val="clear" w:color="auto" w:fill="auto"/>
            <w:vAlign w:val="center"/>
          </w:tcPr>
          <w:p w:rsidR="00275C5A" w:rsidRPr="00D97B31" w:rsidRDefault="00275C5A" w:rsidP="006E6C4A">
            <w:pPr>
              <w:pStyle w:val="TableText0"/>
              <w:tabs>
                <w:tab w:val="left" w:pos="106"/>
              </w:tabs>
            </w:pPr>
            <w:r w:rsidRPr="00D97B31">
              <w:t>Methods used to generate results</w:t>
            </w:r>
          </w:p>
        </w:tc>
        <w:tc>
          <w:tcPr>
            <w:tcW w:w="3604" w:type="pct"/>
            <w:shd w:val="clear" w:color="auto" w:fill="auto"/>
            <w:vAlign w:val="center"/>
          </w:tcPr>
          <w:p w:rsidR="00275C5A" w:rsidRPr="00D97B31" w:rsidRDefault="00CD2E12" w:rsidP="00004369">
            <w:pPr>
              <w:pStyle w:val="TableText0"/>
              <w:tabs>
                <w:tab w:val="left" w:pos="1985"/>
              </w:tabs>
            </w:pPr>
            <w:r w:rsidRPr="00D97B31">
              <w:t>Partitioned survival model</w:t>
            </w:r>
          </w:p>
        </w:tc>
      </w:tr>
      <w:tr w:rsidR="00275C5A" w:rsidRPr="00D97B31" w:rsidTr="006B35E6">
        <w:tc>
          <w:tcPr>
            <w:tcW w:w="1396" w:type="pct"/>
            <w:shd w:val="clear" w:color="auto" w:fill="auto"/>
            <w:vAlign w:val="center"/>
          </w:tcPr>
          <w:p w:rsidR="00275C5A" w:rsidRPr="00D97B31" w:rsidRDefault="00275C5A" w:rsidP="006E6C4A">
            <w:pPr>
              <w:pStyle w:val="TableText0"/>
              <w:tabs>
                <w:tab w:val="left" w:pos="106"/>
              </w:tabs>
            </w:pPr>
            <w:r w:rsidRPr="00D97B31">
              <w:t>Health states</w:t>
            </w:r>
          </w:p>
        </w:tc>
        <w:tc>
          <w:tcPr>
            <w:tcW w:w="3604" w:type="pct"/>
            <w:shd w:val="clear" w:color="auto" w:fill="auto"/>
            <w:vAlign w:val="center"/>
          </w:tcPr>
          <w:p w:rsidR="00CD2E12" w:rsidRPr="00D97B31" w:rsidRDefault="00CD2E12" w:rsidP="00004369">
            <w:pPr>
              <w:pStyle w:val="Tabletext"/>
              <w:keepNext/>
              <w:tabs>
                <w:tab w:val="left" w:pos="1985"/>
              </w:tabs>
            </w:pPr>
            <w:r w:rsidRPr="00D97B31">
              <w:t xml:space="preserve">Three health states: </w:t>
            </w:r>
          </w:p>
          <w:p w:rsidR="00CD2E12" w:rsidRPr="00D97B31" w:rsidRDefault="009A3E8C" w:rsidP="00740158">
            <w:pPr>
              <w:pStyle w:val="Tabletext"/>
              <w:keepNext/>
              <w:numPr>
                <w:ilvl w:val="0"/>
                <w:numId w:val="5"/>
              </w:numPr>
              <w:tabs>
                <w:tab w:val="left" w:pos="1985"/>
              </w:tabs>
              <w:ind w:left="110" w:hanging="110"/>
            </w:pPr>
            <w:r w:rsidRPr="00D97B31">
              <w:t>m0CRPC</w:t>
            </w:r>
            <w:r w:rsidR="00CD2E12" w:rsidRPr="00D97B31">
              <w:t>; metastatic free: Based on MFS data from ARAMIS</w:t>
            </w:r>
          </w:p>
          <w:p w:rsidR="00CD2E12" w:rsidRPr="00D97B31" w:rsidRDefault="00CD2E12" w:rsidP="00740158">
            <w:pPr>
              <w:pStyle w:val="Tabletext"/>
              <w:keepNext/>
              <w:numPr>
                <w:ilvl w:val="0"/>
                <w:numId w:val="5"/>
              </w:numPr>
              <w:tabs>
                <w:tab w:val="left" w:pos="1985"/>
              </w:tabs>
              <w:ind w:left="110" w:hanging="110"/>
            </w:pPr>
            <w:r w:rsidRPr="00D97B31">
              <w:t>mCRPC; metastatic progressed: Based on OS data from ARAMIS</w:t>
            </w:r>
          </w:p>
          <w:p w:rsidR="00275C5A" w:rsidRPr="00D97B31" w:rsidRDefault="00CD2E12" w:rsidP="00740158">
            <w:pPr>
              <w:pStyle w:val="Tabletext"/>
              <w:keepNext/>
              <w:numPr>
                <w:ilvl w:val="0"/>
                <w:numId w:val="5"/>
              </w:numPr>
              <w:tabs>
                <w:tab w:val="left" w:pos="1985"/>
              </w:tabs>
              <w:ind w:left="110" w:hanging="110"/>
            </w:pPr>
            <w:r w:rsidRPr="00D97B31">
              <w:t>dead</w:t>
            </w:r>
          </w:p>
        </w:tc>
      </w:tr>
      <w:tr w:rsidR="00275C5A" w:rsidRPr="00D97B31" w:rsidTr="006B35E6">
        <w:tc>
          <w:tcPr>
            <w:tcW w:w="1396" w:type="pct"/>
            <w:shd w:val="clear" w:color="auto" w:fill="auto"/>
            <w:vAlign w:val="center"/>
          </w:tcPr>
          <w:p w:rsidR="00275C5A" w:rsidRPr="00D97B31" w:rsidRDefault="00275C5A" w:rsidP="006E6C4A">
            <w:pPr>
              <w:pStyle w:val="TableText0"/>
              <w:tabs>
                <w:tab w:val="left" w:pos="106"/>
              </w:tabs>
            </w:pPr>
            <w:r w:rsidRPr="00D97B31">
              <w:t>Cycle length</w:t>
            </w:r>
          </w:p>
        </w:tc>
        <w:tc>
          <w:tcPr>
            <w:tcW w:w="3604" w:type="pct"/>
            <w:shd w:val="clear" w:color="auto" w:fill="auto"/>
            <w:vAlign w:val="center"/>
          </w:tcPr>
          <w:p w:rsidR="00275C5A" w:rsidRPr="00D97B31" w:rsidRDefault="00CD2E12" w:rsidP="00004369">
            <w:pPr>
              <w:pStyle w:val="TableText0"/>
              <w:tabs>
                <w:tab w:val="left" w:pos="1985"/>
              </w:tabs>
            </w:pPr>
            <w:r w:rsidRPr="00D97B31">
              <w:t>28 days, half cycle correction applied</w:t>
            </w:r>
          </w:p>
        </w:tc>
      </w:tr>
      <w:tr w:rsidR="00275C5A" w:rsidRPr="00D97B31" w:rsidTr="00DA43F2">
        <w:tc>
          <w:tcPr>
            <w:tcW w:w="1396" w:type="pct"/>
            <w:tcBorders>
              <w:bottom w:val="single" w:sz="4" w:space="0" w:color="auto"/>
            </w:tcBorders>
            <w:shd w:val="clear" w:color="auto" w:fill="auto"/>
            <w:vAlign w:val="center"/>
          </w:tcPr>
          <w:p w:rsidR="00081E63" w:rsidRPr="00D97B31" w:rsidRDefault="00081E63" w:rsidP="006E6C4A">
            <w:pPr>
              <w:pStyle w:val="TableText0"/>
              <w:tabs>
                <w:tab w:val="left" w:pos="106"/>
              </w:tabs>
            </w:pPr>
            <w:r w:rsidRPr="00D97B31">
              <w:t>Allocation to health states</w:t>
            </w:r>
          </w:p>
        </w:tc>
        <w:tc>
          <w:tcPr>
            <w:tcW w:w="3604" w:type="pct"/>
            <w:tcBorders>
              <w:bottom w:val="single" w:sz="4" w:space="0" w:color="auto"/>
            </w:tcBorders>
            <w:shd w:val="clear" w:color="auto" w:fill="auto"/>
            <w:vAlign w:val="center"/>
          </w:tcPr>
          <w:p w:rsidR="00275C5A" w:rsidRPr="00D97B31" w:rsidRDefault="00CD2E12" w:rsidP="00004369">
            <w:pPr>
              <w:pStyle w:val="TableText0"/>
              <w:tabs>
                <w:tab w:val="left" w:pos="1985"/>
              </w:tabs>
            </w:pPr>
            <w:r w:rsidRPr="00D97B31">
              <w:t>Health state allocation determined by MFS and OS curves, which were based on ARAMIS data with extrapolation</w:t>
            </w:r>
          </w:p>
        </w:tc>
      </w:tr>
      <w:tr w:rsidR="00DA43F2" w:rsidRPr="00D97B31" w:rsidTr="000A4D3B">
        <w:tc>
          <w:tcPr>
            <w:tcW w:w="1396" w:type="pct"/>
            <w:vMerge w:val="restart"/>
            <w:tcBorders>
              <w:top w:val="single" w:sz="4" w:space="0" w:color="auto"/>
            </w:tcBorders>
            <w:shd w:val="clear" w:color="auto" w:fill="auto"/>
            <w:vAlign w:val="center"/>
          </w:tcPr>
          <w:p w:rsidR="00DA43F2" w:rsidRPr="00D97B31" w:rsidRDefault="00DA43F2" w:rsidP="006E6C4A">
            <w:pPr>
              <w:pStyle w:val="TableText0"/>
              <w:tabs>
                <w:tab w:val="left" w:pos="106"/>
              </w:tabs>
            </w:pPr>
            <w:r w:rsidRPr="00D97B31">
              <w:t>Extrapolation</w:t>
            </w:r>
          </w:p>
        </w:tc>
        <w:tc>
          <w:tcPr>
            <w:tcW w:w="3604" w:type="pct"/>
            <w:tcBorders>
              <w:top w:val="nil"/>
            </w:tcBorders>
            <w:shd w:val="clear" w:color="auto" w:fill="auto"/>
            <w:vAlign w:val="center"/>
          </w:tcPr>
          <w:p w:rsidR="00DA43F2" w:rsidRPr="00D97B31" w:rsidRDefault="00DA43F2" w:rsidP="00DA43F2">
            <w:pPr>
              <w:pStyle w:val="Tabletext"/>
              <w:keepNext/>
              <w:tabs>
                <w:tab w:val="left" w:pos="1985"/>
              </w:tabs>
            </w:pPr>
            <w:r w:rsidRPr="00D97B31">
              <w:t>MFS (</w:t>
            </w:r>
            <w:r w:rsidR="009A3E8C" w:rsidRPr="00D97B31">
              <w:t>m0CRPC</w:t>
            </w:r>
            <w:r w:rsidRPr="00D97B31">
              <w:t>)</w:t>
            </w:r>
            <w:r w:rsidRPr="00D97B31">
              <w:tab/>
              <w:t>Trial-based Kaplan Meier curves: 0-36 months</w:t>
            </w:r>
          </w:p>
          <w:p w:rsidR="00DA43F2" w:rsidRPr="00D97B31" w:rsidRDefault="00DA43F2" w:rsidP="00DA43F2">
            <w:pPr>
              <w:pStyle w:val="TableText0"/>
              <w:tabs>
                <w:tab w:val="left" w:pos="1985"/>
              </w:tabs>
            </w:pPr>
            <w:r w:rsidRPr="00D97B31">
              <w:tab/>
              <w:t>Extrapolation: exponential 37-120 months</w:t>
            </w:r>
          </w:p>
        </w:tc>
      </w:tr>
      <w:tr w:rsidR="00DA43F2" w:rsidRPr="00D97B31" w:rsidTr="000A4D3B">
        <w:tc>
          <w:tcPr>
            <w:tcW w:w="1396" w:type="pct"/>
            <w:vMerge/>
            <w:shd w:val="clear" w:color="auto" w:fill="auto"/>
            <w:vAlign w:val="center"/>
          </w:tcPr>
          <w:p w:rsidR="00DA43F2" w:rsidRPr="00D97B31" w:rsidRDefault="00DA43F2" w:rsidP="006E6C4A">
            <w:pPr>
              <w:pStyle w:val="TableText0"/>
              <w:tabs>
                <w:tab w:val="left" w:pos="106"/>
              </w:tabs>
            </w:pPr>
          </w:p>
        </w:tc>
        <w:tc>
          <w:tcPr>
            <w:tcW w:w="3604" w:type="pct"/>
            <w:shd w:val="clear" w:color="auto" w:fill="auto"/>
            <w:vAlign w:val="center"/>
          </w:tcPr>
          <w:p w:rsidR="00DA43F2" w:rsidRPr="00D97B31" w:rsidRDefault="00DA43F2" w:rsidP="00DA43F2">
            <w:pPr>
              <w:pStyle w:val="Tabletext"/>
              <w:keepNext/>
              <w:tabs>
                <w:tab w:val="left" w:pos="1985"/>
              </w:tabs>
            </w:pPr>
            <w:r w:rsidRPr="00D97B31">
              <w:t>OS (mCRPC)</w:t>
            </w:r>
            <w:r w:rsidRPr="00D97B31">
              <w:tab/>
              <w:t>Trial-based Kaplan Meier curves: 0-44 months</w:t>
            </w:r>
          </w:p>
          <w:p w:rsidR="00DA43F2" w:rsidRPr="00D97B31" w:rsidRDefault="00DA43F2" w:rsidP="00DA43F2">
            <w:pPr>
              <w:pStyle w:val="TableText0"/>
              <w:tabs>
                <w:tab w:val="left" w:pos="1985"/>
              </w:tabs>
            </w:pPr>
            <w:r w:rsidRPr="00D97B31">
              <w:tab/>
              <w:t>Extrapolation: Weibull 37-120 months</w:t>
            </w:r>
          </w:p>
        </w:tc>
      </w:tr>
      <w:tr w:rsidR="00DA43F2" w:rsidRPr="00D97B31" w:rsidTr="000A4D3B">
        <w:tc>
          <w:tcPr>
            <w:tcW w:w="1396" w:type="pct"/>
            <w:vMerge/>
            <w:shd w:val="clear" w:color="auto" w:fill="auto"/>
            <w:vAlign w:val="center"/>
          </w:tcPr>
          <w:p w:rsidR="00DA43F2" w:rsidRPr="00D97B31" w:rsidRDefault="00DA43F2" w:rsidP="006E6C4A">
            <w:pPr>
              <w:pStyle w:val="TableText0"/>
              <w:tabs>
                <w:tab w:val="left" w:pos="106"/>
              </w:tabs>
            </w:pPr>
          </w:p>
        </w:tc>
        <w:tc>
          <w:tcPr>
            <w:tcW w:w="3604" w:type="pct"/>
            <w:shd w:val="clear" w:color="auto" w:fill="auto"/>
            <w:vAlign w:val="center"/>
          </w:tcPr>
          <w:p w:rsidR="00DA43F2" w:rsidRPr="00D97B31" w:rsidRDefault="00DA43F2" w:rsidP="00DA43F2">
            <w:pPr>
              <w:pStyle w:val="Tabletext"/>
              <w:keepNext/>
              <w:tabs>
                <w:tab w:val="left" w:pos="1985"/>
              </w:tabs>
            </w:pPr>
            <w:r w:rsidRPr="00D97B31">
              <w:t>TTD</w:t>
            </w:r>
            <w:r w:rsidRPr="00D97B31">
              <w:tab/>
              <w:t>Trial-based Kaplan Meier curves: 0-44 months</w:t>
            </w:r>
          </w:p>
          <w:p w:rsidR="00DA43F2" w:rsidRPr="00D97B31" w:rsidRDefault="00DA43F2" w:rsidP="00DA43F2">
            <w:pPr>
              <w:pStyle w:val="TableText0"/>
              <w:tabs>
                <w:tab w:val="left" w:pos="1985"/>
              </w:tabs>
            </w:pPr>
            <w:r w:rsidRPr="00D97B31">
              <w:t>(darolutamide treatment)</w:t>
            </w:r>
            <w:r w:rsidRPr="00D97B31">
              <w:tab/>
              <w:t>Extrapolation: Gompertz 37-120 months</w:t>
            </w:r>
          </w:p>
        </w:tc>
      </w:tr>
      <w:tr w:rsidR="00DA43F2" w:rsidRPr="00D97B31" w:rsidTr="000A4D3B">
        <w:tc>
          <w:tcPr>
            <w:tcW w:w="1396" w:type="pct"/>
            <w:vMerge/>
            <w:shd w:val="clear" w:color="auto" w:fill="auto"/>
            <w:vAlign w:val="center"/>
          </w:tcPr>
          <w:p w:rsidR="00DA43F2" w:rsidRPr="00D97B31" w:rsidRDefault="00DA43F2" w:rsidP="006E6C4A">
            <w:pPr>
              <w:pStyle w:val="TableText0"/>
              <w:tabs>
                <w:tab w:val="left" w:pos="106"/>
              </w:tabs>
            </w:pPr>
          </w:p>
        </w:tc>
        <w:tc>
          <w:tcPr>
            <w:tcW w:w="3604" w:type="pct"/>
            <w:shd w:val="clear" w:color="auto" w:fill="auto"/>
            <w:vAlign w:val="center"/>
          </w:tcPr>
          <w:p w:rsidR="00DA43F2" w:rsidRPr="00D97B31" w:rsidRDefault="00DA43F2" w:rsidP="00DA43F2">
            <w:pPr>
              <w:pStyle w:val="Tabletext"/>
              <w:keepNext/>
              <w:tabs>
                <w:tab w:val="left" w:pos="1985"/>
              </w:tabs>
            </w:pPr>
            <w:r w:rsidRPr="00D97B31">
              <w:t xml:space="preserve">Time to </w:t>
            </w:r>
            <w:r w:rsidRPr="00D97B31">
              <w:tab/>
              <w:t>Trial-based Kaplan Meier curves: 0-44 months</w:t>
            </w:r>
          </w:p>
          <w:p w:rsidR="00DA43F2" w:rsidRPr="00D97B31" w:rsidRDefault="00DA43F2" w:rsidP="00DA43F2">
            <w:pPr>
              <w:pStyle w:val="TableText0"/>
              <w:tabs>
                <w:tab w:val="left" w:pos="1985"/>
              </w:tabs>
            </w:pPr>
            <w:r w:rsidRPr="00D97B31">
              <w:t>subsequent therapy</w:t>
            </w:r>
            <w:r w:rsidRPr="00D97B31">
              <w:tab/>
              <w:t>Extrapolation: log-normal 37-120 months</w:t>
            </w:r>
          </w:p>
        </w:tc>
      </w:tr>
      <w:tr w:rsidR="00501854" w:rsidRPr="00D97B31" w:rsidTr="006B35E6">
        <w:tc>
          <w:tcPr>
            <w:tcW w:w="1396" w:type="pct"/>
            <w:shd w:val="clear" w:color="auto" w:fill="auto"/>
            <w:vAlign w:val="center"/>
          </w:tcPr>
          <w:p w:rsidR="00501854" w:rsidRPr="00D97B31" w:rsidRDefault="00DD0F78" w:rsidP="006E6C4A">
            <w:pPr>
              <w:pStyle w:val="TableText0"/>
              <w:tabs>
                <w:tab w:val="left" w:pos="106"/>
              </w:tabs>
            </w:pPr>
            <w:r w:rsidRPr="00D97B31">
              <w:t>Health related quality of life</w:t>
            </w:r>
          </w:p>
        </w:tc>
        <w:tc>
          <w:tcPr>
            <w:tcW w:w="3604" w:type="pct"/>
            <w:shd w:val="clear" w:color="auto" w:fill="auto"/>
            <w:vAlign w:val="center"/>
          </w:tcPr>
          <w:p w:rsidR="001E7B21" w:rsidRPr="00D97B31" w:rsidRDefault="009A3E8C" w:rsidP="0028338E">
            <w:pPr>
              <w:pStyle w:val="TableText0"/>
              <w:tabs>
                <w:tab w:val="left" w:pos="1985"/>
              </w:tabs>
            </w:pPr>
            <w:r w:rsidRPr="00D97B31">
              <w:t>m0CRPC</w:t>
            </w:r>
            <w:r w:rsidR="00CD2E12" w:rsidRPr="00D97B31">
              <w:t xml:space="preserve">: </w:t>
            </w:r>
            <w:r w:rsidR="003B5BDD">
              <w:rPr>
                <w:noProof/>
                <w:color w:val="000000"/>
                <w:highlight w:val="black"/>
              </w:rPr>
              <w:t>''''''''''''</w:t>
            </w:r>
            <w:r w:rsidR="00CD2E12" w:rsidRPr="00D97B31">
              <w:t xml:space="preserve"> for darolutamide and </w:t>
            </w:r>
            <w:r w:rsidR="003B5BDD">
              <w:rPr>
                <w:noProof/>
                <w:color w:val="000000"/>
                <w:highlight w:val="black"/>
              </w:rPr>
              <w:t>''''''''''''</w:t>
            </w:r>
            <w:r w:rsidR="00CD2E12" w:rsidRPr="00D97B31">
              <w:t xml:space="preserve"> for SOC sourced from ARAMIS.</w:t>
            </w:r>
            <w:r w:rsidR="00C45839" w:rsidRPr="00D97B31">
              <w:t xml:space="preserve"> </w:t>
            </w:r>
          </w:p>
          <w:p w:rsidR="00CD2E12" w:rsidRPr="00D97B31" w:rsidRDefault="00CD2E12" w:rsidP="0028338E">
            <w:pPr>
              <w:pStyle w:val="TableText0"/>
              <w:tabs>
                <w:tab w:val="left" w:pos="1985"/>
              </w:tabs>
            </w:pPr>
            <w:r w:rsidRPr="00D97B31">
              <w:t xml:space="preserve">mCRPC: </w:t>
            </w:r>
            <w:r w:rsidR="003B5BDD">
              <w:rPr>
                <w:noProof/>
                <w:color w:val="000000"/>
                <w:highlight w:val="black"/>
              </w:rPr>
              <w:t>''''''''''''''</w:t>
            </w:r>
            <w:r w:rsidRPr="00D97B31">
              <w:t xml:space="preserve"> (ALSYMPCA trial sourced from literature)</w:t>
            </w:r>
          </w:p>
        </w:tc>
      </w:tr>
      <w:tr w:rsidR="00501854" w:rsidRPr="00D97B31" w:rsidTr="006B35E6">
        <w:tc>
          <w:tcPr>
            <w:tcW w:w="1396" w:type="pct"/>
            <w:shd w:val="clear" w:color="auto" w:fill="auto"/>
            <w:vAlign w:val="center"/>
          </w:tcPr>
          <w:p w:rsidR="00DD0F78" w:rsidRPr="00D97B31" w:rsidRDefault="00CD2E12" w:rsidP="006E6C4A">
            <w:pPr>
              <w:pStyle w:val="TableText0"/>
              <w:tabs>
                <w:tab w:val="left" w:pos="106"/>
              </w:tabs>
            </w:pPr>
            <w:r w:rsidRPr="00D97B31">
              <w:t>Subsequent therapy</w:t>
            </w:r>
            <w:r w:rsidR="00DD0F78" w:rsidRPr="00D97B31">
              <w:t xml:space="preserve"> </w:t>
            </w:r>
          </w:p>
        </w:tc>
        <w:tc>
          <w:tcPr>
            <w:tcW w:w="3604" w:type="pct"/>
            <w:shd w:val="clear" w:color="auto" w:fill="auto"/>
            <w:vAlign w:val="center"/>
          </w:tcPr>
          <w:p w:rsidR="00501854" w:rsidRPr="00D97B31" w:rsidRDefault="0075202D" w:rsidP="00004369">
            <w:pPr>
              <w:pStyle w:val="TableText0"/>
              <w:tabs>
                <w:tab w:val="left" w:pos="1985"/>
              </w:tabs>
            </w:pPr>
            <w:r w:rsidRPr="00D97B31">
              <w:t>Darolutamide-treated patients could receive only docetaxel and cabazitaxel, while SOC-treated patients could receive docetaxel, cabazitaxel, abiraterone and enzalutamide as subsequent treatments in the model.</w:t>
            </w:r>
          </w:p>
        </w:tc>
      </w:tr>
    </w:tbl>
    <w:p w:rsidR="003270E4" w:rsidRPr="00D97B31" w:rsidRDefault="003270E4" w:rsidP="00BB00B3">
      <w:pPr>
        <w:pStyle w:val="TableFigureFooter"/>
      </w:pPr>
      <w:r w:rsidRPr="00D97B31">
        <w:t xml:space="preserve">Source: </w:t>
      </w:r>
      <w:r w:rsidR="00004369" w:rsidRPr="00D97B31">
        <w:t>Table 3-1, p187; Table 3-9, p215 of the submission</w:t>
      </w:r>
    </w:p>
    <w:p w:rsidR="006E6C4A" w:rsidRPr="00D97B31" w:rsidRDefault="00DF5288" w:rsidP="00924D08">
      <w:pPr>
        <w:pStyle w:val="TableFigureFooter"/>
        <w:spacing w:after="160"/>
      </w:pPr>
      <w:r w:rsidRPr="00D97B31">
        <w:t xml:space="preserve">m0CRPC=non-metastatic castration resistant prostate cancer; </w:t>
      </w:r>
      <w:r w:rsidR="00CD2E12" w:rsidRPr="00D97B31">
        <w:t xml:space="preserve">mCRPC=metastatic castration resistant prostate cancer; MFS=metastasis-free survival; </w:t>
      </w:r>
      <w:r w:rsidR="006E6C4A" w:rsidRPr="00D97B31">
        <w:t>SOC=standard of care</w:t>
      </w:r>
      <w:r w:rsidR="00DA43F2" w:rsidRPr="00D97B31">
        <w:t>; TTD=time to treatment discontinuation</w:t>
      </w:r>
    </w:p>
    <w:p w:rsidR="00BF64CF" w:rsidRPr="00D97B31" w:rsidRDefault="00712EBC" w:rsidP="002E1071">
      <w:pPr>
        <w:pStyle w:val="3-BodyText"/>
      </w:pPr>
      <w:r w:rsidRPr="00D97B31">
        <w:t xml:space="preserve">The model is structurally similar to the apalutamide model </w:t>
      </w:r>
      <w:r w:rsidR="00D778E0" w:rsidRPr="00D97B31">
        <w:t xml:space="preserve">considered by the PBAC </w:t>
      </w:r>
      <w:r w:rsidRPr="00D97B31">
        <w:t>in July 2019</w:t>
      </w:r>
      <w:r w:rsidR="007E362C" w:rsidRPr="00D97B31">
        <w:t xml:space="preserve">. </w:t>
      </w:r>
      <w:r w:rsidR="00BF64CF" w:rsidRPr="00D97B31">
        <w:t xml:space="preserve">The </w:t>
      </w:r>
      <w:r w:rsidR="007E362C" w:rsidRPr="00D97B31">
        <w:t xml:space="preserve">darolutamide </w:t>
      </w:r>
      <w:r w:rsidR="00BF64CF" w:rsidRPr="00D97B31">
        <w:t xml:space="preserve">submission adopted the </w:t>
      </w:r>
      <w:r w:rsidR="000B1514" w:rsidRPr="00D97B31">
        <w:t>adjustments advised</w:t>
      </w:r>
      <w:r w:rsidR="00BF64CF" w:rsidRPr="00D97B31">
        <w:t xml:space="preserve"> by the PBAC in regard to the July 2019 apalutamide model – use</w:t>
      </w:r>
      <w:r w:rsidR="00D94AC6" w:rsidRPr="00D97B31">
        <w:t xml:space="preserve"> </w:t>
      </w:r>
      <w:r w:rsidR="00BF64CF" w:rsidRPr="00D97B31">
        <w:t>of blinded</w:t>
      </w:r>
      <w:r w:rsidR="00D94AC6" w:rsidRPr="00D97B31">
        <w:t xml:space="preserve"> independent central review MFS, a 10-year time horizon and OS results that have not been adjusted for treatment switching (paragraph 7.13, July 2019 apalutamide PSD). </w:t>
      </w:r>
    </w:p>
    <w:p w:rsidR="00490B17" w:rsidRPr="00D97B31" w:rsidRDefault="00275D31" w:rsidP="002E1071">
      <w:pPr>
        <w:pStyle w:val="3-BodyText"/>
      </w:pPr>
      <w:r w:rsidRPr="00D97B31">
        <w:t>The submission stated that to account for the effect of restricting subsequent apalutamide and enzalutamide use in the darolutamide arm, the base case of the model applie</w:t>
      </w:r>
      <w:r w:rsidR="00C91143" w:rsidRPr="00D97B31">
        <w:t>d</w:t>
      </w:r>
      <w:r w:rsidRPr="00D97B31">
        <w:t xml:space="preserve"> the cost of docetaxel and cabazitaxel for these patients, while SOC-treated patients receive</w:t>
      </w:r>
      <w:r w:rsidR="00664A09" w:rsidRPr="00D97B31">
        <w:t>d</w:t>
      </w:r>
      <w:r w:rsidRPr="00D97B31">
        <w:t xml:space="preserve"> docetaxel, cabazitaxel, abiraterone and enzalutamide as subsequent treatments in the model.</w:t>
      </w:r>
      <w:r w:rsidR="007D6522" w:rsidRPr="00D97B31">
        <w:t xml:space="preserve"> </w:t>
      </w:r>
      <w:r w:rsidR="00826DE7" w:rsidRPr="00D97B31">
        <w:rPr>
          <w:iCs/>
        </w:rPr>
        <w:t xml:space="preserve">The PBAC noted that this </w:t>
      </w:r>
      <w:r w:rsidR="00C91143" w:rsidRPr="00D97B31">
        <w:rPr>
          <w:iCs/>
        </w:rPr>
        <w:t xml:space="preserve">corresponded to </w:t>
      </w:r>
      <w:r w:rsidR="001F0AFF" w:rsidRPr="00D97B31">
        <w:rPr>
          <w:iCs/>
        </w:rPr>
        <w:t xml:space="preserve">previous </w:t>
      </w:r>
      <w:r w:rsidR="005D53A4" w:rsidRPr="00D97B31">
        <w:rPr>
          <w:iCs/>
        </w:rPr>
        <w:t>advice</w:t>
      </w:r>
      <w:r w:rsidR="00C91143" w:rsidRPr="00D97B31">
        <w:rPr>
          <w:iCs/>
        </w:rPr>
        <w:t xml:space="preserve"> in regard to the requested listing for apalutamide (paragraphs 7.3 and 7.4, July 2019 apalutamide PSD)</w:t>
      </w:r>
      <w:r w:rsidR="00BF64CF" w:rsidRPr="00D97B31">
        <w:rPr>
          <w:iCs/>
        </w:rPr>
        <w:t>.</w:t>
      </w:r>
      <w:r w:rsidR="00EA1672" w:rsidRPr="00D97B31">
        <w:rPr>
          <w:iCs/>
        </w:rPr>
        <w:t xml:space="preserve"> </w:t>
      </w:r>
    </w:p>
    <w:p w:rsidR="001F4F4F" w:rsidRPr="00D97B31" w:rsidRDefault="001F4F4F" w:rsidP="00BB00B3">
      <w:pPr>
        <w:pStyle w:val="3-BodyText"/>
      </w:pPr>
      <w:r w:rsidRPr="00D97B31">
        <w:t xml:space="preserve">A summary of the key drivers of the economic model is provided in </w:t>
      </w:r>
      <w:r w:rsidR="00B3197D">
        <w:t>Table 11</w:t>
      </w:r>
      <w:r w:rsidRPr="00D97B31">
        <w:t>.</w:t>
      </w:r>
    </w:p>
    <w:p w:rsidR="00D110BD" w:rsidRPr="00D97B31" w:rsidRDefault="00D110BD" w:rsidP="00BB00B3">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11</w:t>
      </w:r>
      <w:r w:rsidRPr="00D97B31">
        <w:rPr>
          <w:rStyle w:val="CommentReference"/>
          <w:b/>
          <w:szCs w:val="24"/>
        </w:rPr>
        <w:t>: Key drivers of the model</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6388"/>
        <w:gridCol w:w="1405"/>
      </w:tblGrid>
      <w:tr w:rsidR="008D0F99" w:rsidRPr="00D97B31" w:rsidTr="0028338E">
        <w:trPr>
          <w:tblHeader/>
        </w:trPr>
        <w:tc>
          <w:tcPr>
            <w:tcW w:w="628" w:type="pct"/>
            <w:shd w:val="clear" w:color="auto" w:fill="auto"/>
            <w:vAlign w:val="center"/>
          </w:tcPr>
          <w:p w:rsidR="00D110BD" w:rsidRPr="00D97B31" w:rsidRDefault="00D110BD" w:rsidP="00BB00B3">
            <w:pPr>
              <w:pStyle w:val="In-tableHeading"/>
              <w:jc w:val="center"/>
              <w:rPr>
                <w:lang w:val="en-AU"/>
              </w:rPr>
            </w:pPr>
            <w:r w:rsidRPr="00D97B31">
              <w:rPr>
                <w:lang w:val="en-AU"/>
              </w:rPr>
              <w:t>Description</w:t>
            </w:r>
          </w:p>
        </w:tc>
        <w:tc>
          <w:tcPr>
            <w:tcW w:w="3584" w:type="pct"/>
            <w:shd w:val="clear" w:color="auto" w:fill="auto"/>
            <w:vAlign w:val="center"/>
          </w:tcPr>
          <w:p w:rsidR="00D110BD" w:rsidRPr="00D97B31" w:rsidRDefault="00D110BD" w:rsidP="000A7453">
            <w:pPr>
              <w:pStyle w:val="In-tableHeading"/>
              <w:jc w:val="center"/>
              <w:rPr>
                <w:lang w:val="en-AU"/>
              </w:rPr>
            </w:pPr>
            <w:r w:rsidRPr="00D97B31">
              <w:rPr>
                <w:lang w:val="en-AU"/>
              </w:rPr>
              <w:t>Method/Value</w:t>
            </w:r>
          </w:p>
        </w:tc>
        <w:tc>
          <w:tcPr>
            <w:tcW w:w="788" w:type="pct"/>
            <w:shd w:val="clear" w:color="auto" w:fill="auto"/>
            <w:vAlign w:val="center"/>
          </w:tcPr>
          <w:p w:rsidR="00490B17" w:rsidRPr="00D97B31" w:rsidRDefault="00D110BD" w:rsidP="00D94AC6">
            <w:pPr>
              <w:pStyle w:val="In-tableHeading"/>
              <w:jc w:val="center"/>
              <w:rPr>
                <w:lang w:val="en-AU"/>
              </w:rPr>
            </w:pPr>
            <w:r w:rsidRPr="00D97B31">
              <w:rPr>
                <w:lang w:val="en-AU"/>
              </w:rPr>
              <w:t>Impact</w:t>
            </w:r>
          </w:p>
        </w:tc>
      </w:tr>
      <w:tr w:rsidR="008D0F99" w:rsidRPr="00D97B31" w:rsidTr="0028338E">
        <w:tc>
          <w:tcPr>
            <w:tcW w:w="628" w:type="pct"/>
            <w:shd w:val="clear" w:color="auto" w:fill="auto"/>
            <w:vAlign w:val="center"/>
          </w:tcPr>
          <w:p w:rsidR="00D110BD" w:rsidRPr="00D97B31" w:rsidRDefault="00D94AC6" w:rsidP="000A1BC8">
            <w:pPr>
              <w:pStyle w:val="TableText0"/>
            </w:pPr>
            <w:r w:rsidRPr="00D97B31">
              <w:t>Utilities</w:t>
            </w:r>
          </w:p>
        </w:tc>
        <w:tc>
          <w:tcPr>
            <w:tcW w:w="3584" w:type="pct"/>
            <w:shd w:val="clear" w:color="auto" w:fill="auto"/>
            <w:vAlign w:val="center"/>
          </w:tcPr>
          <w:p w:rsidR="00106B80" w:rsidRPr="00D97B31" w:rsidRDefault="000A1BC8" w:rsidP="00712EBC">
            <w:pPr>
              <w:pStyle w:val="TableText0"/>
              <w:rPr>
                <w:iCs/>
              </w:rPr>
            </w:pPr>
            <w:r w:rsidRPr="00D97B31">
              <w:rPr>
                <w:iCs/>
              </w:rPr>
              <w:t xml:space="preserve">The value of </w:t>
            </w:r>
            <w:r w:rsidR="003B5BDD">
              <w:rPr>
                <w:iCs/>
                <w:noProof/>
                <w:color w:val="000000"/>
                <w:highlight w:val="black"/>
              </w:rPr>
              <w:t>''''''''''''</w:t>
            </w:r>
            <w:r w:rsidRPr="00D97B31">
              <w:rPr>
                <w:iCs/>
              </w:rPr>
              <w:t xml:space="preserve"> for </w:t>
            </w:r>
            <w:r w:rsidR="00712EBC" w:rsidRPr="00D97B31">
              <w:rPr>
                <w:iCs/>
              </w:rPr>
              <w:t xml:space="preserve">patients in the </w:t>
            </w:r>
            <w:r w:rsidRPr="00D97B31">
              <w:rPr>
                <w:iCs/>
              </w:rPr>
              <w:t xml:space="preserve">metastatic </w:t>
            </w:r>
            <w:r w:rsidR="00712EBC" w:rsidRPr="00D97B31">
              <w:rPr>
                <w:iCs/>
              </w:rPr>
              <w:t>state</w:t>
            </w:r>
            <w:r w:rsidR="004B6201" w:rsidRPr="00D97B31">
              <w:rPr>
                <w:iCs/>
              </w:rPr>
              <w:t xml:space="preserve"> was</w:t>
            </w:r>
            <w:r w:rsidRPr="00D97B31">
              <w:rPr>
                <w:iCs/>
              </w:rPr>
              <w:t xml:space="preserve"> considerably lower than the values used in the </w:t>
            </w:r>
            <w:r w:rsidR="00E9078B" w:rsidRPr="00D97B31">
              <w:rPr>
                <w:iCs/>
              </w:rPr>
              <w:t>m</w:t>
            </w:r>
            <w:r w:rsidR="00E03478" w:rsidRPr="00D97B31">
              <w:rPr>
                <w:iCs/>
              </w:rPr>
              <w:t>0</w:t>
            </w:r>
            <w:r w:rsidR="009A3E8C" w:rsidRPr="00D97B31">
              <w:rPr>
                <w:iCs/>
              </w:rPr>
              <w:t>CRPC</w:t>
            </w:r>
            <w:r w:rsidRPr="00D97B31">
              <w:rPr>
                <w:iCs/>
              </w:rPr>
              <w:t xml:space="preserve"> state (</w:t>
            </w:r>
            <w:r w:rsidR="003B5BDD">
              <w:rPr>
                <w:iCs/>
                <w:noProof/>
                <w:color w:val="000000"/>
                <w:highlight w:val="black"/>
              </w:rPr>
              <w:t>'''''''''''''</w:t>
            </w:r>
            <w:r w:rsidRPr="00D97B31">
              <w:rPr>
                <w:iCs/>
              </w:rPr>
              <w:t xml:space="preserve"> for darolutamide; </w:t>
            </w:r>
            <w:r w:rsidR="003B5BDD">
              <w:rPr>
                <w:iCs/>
                <w:noProof/>
                <w:color w:val="000000"/>
                <w:highlight w:val="black"/>
              </w:rPr>
              <w:t>''''''''''''</w:t>
            </w:r>
            <w:r w:rsidRPr="00D97B31">
              <w:rPr>
                <w:iCs/>
              </w:rPr>
              <w:t xml:space="preserve"> for SOC).</w:t>
            </w:r>
            <w:r w:rsidR="007D6522" w:rsidRPr="00D97B31">
              <w:rPr>
                <w:iCs/>
              </w:rPr>
              <w:t xml:space="preserve"> </w:t>
            </w:r>
            <w:r w:rsidRPr="00D97B31">
              <w:rPr>
                <w:iCs/>
              </w:rPr>
              <w:t>The model demonstrated high sensitivity to the m</w:t>
            </w:r>
            <w:r w:rsidR="004D6668" w:rsidRPr="00D97B31">
              <w:rPr>
                <w:iCs/>
              </w:rPr>
              <w:t>0</w:t>
            </w:r>
            <w:r w:rsidRPr="00D97B31">
              <w:rPr>
                <w:iCs/>
              </w:rPr>
              <w:t xml:space="preserve">CRPC utility value. </w:t>
            </w:r>
          </w:p>
        </w:tc>
        <w:tc>
          <w:tcPr>
            <w:tcW w:w="788" w:type="pct"/>
            <w:shd w:val="clear" w:color="auto" w:fill="auto"/>
            <w:vAlign w:val="center"/>
          </w:tcPr>
          <w:p w:rsidR="00490B17" w:rsidRPr="00D97B31" w:rsidRDefault="00D110BD" w:rsidP="0028338E">
            <w:pPr>
              <w:pStyle w:val="TableText0"/>
              <w:jc w:val="center"/>
            </w:pPr>
            <w:r w:rsidRPr="00D97B31">
              <w:t xml:space="preserve">High, favours </w:t>
            </w:r>
            <w:r w:rsidR="00D94AC6" w:rsidRPr="00D97B31">
              <w:t>darolutamide</w:t>
            </w:r>
          </w:p>
        </w:tc>
      </w:tr>
      <w:tr w:rsidR="008D0F99" w:rsidRPr="00D97B31" w:rsidTr="0028338E">
        <w:tc>
          <w:tcPr>
            <w:tcW w:w="628" w:type="pct"/>
            <w:shd w:val="clear" w:color="auto" w:fill="auto"/>
            <w:vAlign w:val="center"/>
          </w:tcPr>
          <w:p w:rsidR="00D110BD" w:rsidRPr="00D97B31" w:rsidRDefault="00D94AC6" w:rsidP="000A1BC8">
            <w:pPr>
              <w:pStyle w:val="TableText0"/>
            </w:pPr>
            <w:r w:rsidRPr="00D97B31">
              <w:t>Extrapolation</w:t>
            </w:r>
          </w:p>
        </w:tc>
        <w:tc>
          <w:tcPr>
            <w:tcW w:w="3584" w:type="pct"/>
            <w:shd w:val="clear" w:color="auto" w:fill="auto"/>
            <w:vAlign w:val="center"/>
          </w:tcPr>
          <w:p w:rsidR="000A1BC8" w:rsidRPr="00D97B31" w:rsidRDefault="000A1BC8" w:rsidP="00BB00B3">
            <w:pPr>
              <w:pStyle w:val="TableText0"/>
            </w:pPr>
            <w:r w:rsidRPr="00D97B31">
              <w:t>For MFS, the exponential curve was selected for use in the base case.</w:t>
            </w:r>
            <w:r w:rsidR="007D6522" w:rsidRPr="00D97B31">
              <w:t xml:space="preserve"> </w:t>
            </w:r>
            <w:r w:rsidRPr="00D97B31">
              <w:t>The submission indicated that the exponential and Gompertz models were the best fitting</w:t>
            </w:r>
            <w:r w:rsidR="008D0F99" w:rsidRPr="00D97B31">
              <w:t>.</w:t>
            </w:r>
          </w:p>
          <w:p w:rsidR="00D110BD" w:rsidRPr="00D97B31" w:rsidRDefault="008D0F99" w:rsidP="00BB00B3">
            <w:pPr>
              <w:pStyle w:val="TableText0"/>
            </w:pPr>
            <w:r w:rsidRPr="00D97B31">
              <w:t xml:space="preserve">For </w:t>
            </w:r>
            <w:r w:rsidR="000A1BC8" w:rsidRPr="00D97B31">
              <w:t>OS</w:t>
            </w:r>
            <w:r w:rsidR="00F0447D" w:rsidRPr="00D97B31">
              <w:t>,</w:t>
            </w:r>
            <w:r w:rsidR="000A1BC8" w:rsidRPr="00D97B31">
              <w:t xml:space="preserve"> the </w:t>
            </w:r>
            <w:r w:rsidR="001C60B1" w:rsidRPr="00D97B31">
              <w:t xml:space="preserve">submission elected to use the </w:t>
            </w:r>
            <w:r w:rsidR="000A1BC8" w:rsidRPr="00D97B31">
              <w:t xml:space="preserve">Weibull </w:t>
            </w:r>
            <w:r w:rsidR="001C60B1" w:rsidRPr="00D97B31">
              <w:t>function to extrapolate</w:t>
            </w:r>
            <w:r w:rsidR="00D41482" w:rsidRPr="00D97B31">
              <w:t xml:space="preserve"> results beyond the trial, </w:t>
            </w:r>
            <w:r w:rsidR="00CC0ED0" w:rsidRPr="00D97B31">
              <w:t>stating that it was the</w:t>
            </w:r>
            <w:r w:rsidR="00D41482" w:rsidRPr="00D97B31">
              <w:t xml:space="preserve"> most </w:t>
            </w:r>
            <w:r w:rsidRPr="00D97B31">
              <w:t>conservative of the best-fitting model</w:t>
            </w:r>
            <w:r w:rsidR="00712EBC" w:rsidRPr="00D97B31">
              <w:t>s</w:t>
            </w:r>
            <w:r w:rsidRPr="00D97B31">
              <w:t xml:space="preserve"> (</w:t>
            </w:r>
            <w:r w:rsidR="00D41482" w:rsidRPr="00D97B31">
              <w:t xml:space="preserve">which also included the </w:t>
            </w:r>
            <w:r w:rsidRPr="00D97B31">
              <w:t>log-logistic</w:t>
            </w:r>
            <w:r w:rsidR="00D41482" w:rsidRPr="00D97B31">
              <w:t xml:space="preserve"> and</w:t>
            </w:r>
            <w:r w:rsidRPr="00D97B31">
              <w:t xml:space="preserve"> Gompertz</w:t>
            </w:r>
            <w:r w:rsidR="00D41482" w:rsidRPr="00D97B31">
              <w:t xml:space="preserve"> functions</w:t>
            </w:r>
            <w:r w:rsidRPr="00D97B31">
              <w:t>).</w:t>
            </w:r>
            <w:r w:rsidR="007D6522" w:rsidRPr="00D97B31">
              <w:t xml:space="preserve"> </w:t>
            </w:r>
          </w:p>
          <w:p w:rsidR="008D0F99" w:rsidRPr="00D97B31" w:rsidRDefault="008D0F99" w:rsidP="00FA5988">
            <w:pPr>
              <w:pStyle w:val="TableText0"/>
              <w:rPr>
                <w:iCs/>
              </w:rPr>
            </w:pPr>
            <w:r w:rsidRPr="00D97B31">
              <w:rPr>
                <w:iCs/>
              </w:rPr>
              <w:t>The model showed sensitivity to all identified best-fitting curves</w:t>
            </w:r>
            <w:r w:rsidR="00FA5988" w:rsidRPr="00D97B31">
              <w:rPr>
                <w:iCs/>
              </w:rPr>
              <w:t xml:space="preserve"> and con</w:t>
            </w:r>
            <w:r w:rsidR="00055276" w:rsidRPr="00D97B31">
              <w:rPr>
                <w:iCs/>
              </w:rPr>
              <w:t xml:space="preserve">trary to </w:t>
            </w:r>
            <w:r w:rsidR="00D41482" w:rsidRPr="00D97B31">
              <w:rPr>
                <w:iCs/>
              </w:rPr>
              <w:t xml:space="preserve">the submission’s </w:t>
            </w:r>
            <w:r w:rsidR="00055276" w:rsidRPr="00D97B31">
              <w:rPr>
                <w:iCs/>
              </w:rPr>
              <w:t>claim, for OS, the Gompertz model was the most conservative</w:t>
            </w:r>
            <w:r w:rsidR="00FA5988" w:rsidRPr="00D97B31">
              <w:rPr>
                <w:iCs/>
              </w:rPr>
              <w:t xml:space="preserve"> (see Figure 4 below)</w:t>
            </w:r>
            <w:r w:rsidR="00055276" w:rsidRPr="00D97B31">
              <w:rPr>
                <w:iCs/>
              </w:rPr>
              <w:t>.</w:t>
            </w:r>
          </w:p>
        </w:tc>
        <w:tc>
          <w:tcPr>
            <w:tcW w:w="788" w:type="pct"/>
            <w:shd w:val="clear" w:color="auto" w:fill="auto"/>
            <w:vAlign w:val="center"/>
          </w:tcPr>
          <w:p w:rsidR="00D110BD" w:rsidRPr="00D97B31" w:rsidRDefault="00D94AC6" w:rsidP="0028338E">
            <w:pPr>
              <w:pStyle w:val="TableText0"/>
              <w:jc w:val="center"/>
            </w:pPr>
            <w:r w:rsidRPr="00D97B31">
              <w:t>High, favours darolutamide</w:t>
            </w:r>
          </w:p>
        </w:tc>
      </w:tr>
    </w:tbl>
    <w:p w:rsidR="00D110BD" w:rsidRPr="00D97B31" w:rsidRDefault="001A378C" w:rsidP="00D94AC6">
      <w:pPr>
        <w:pStyle w:val="TableFigureFooter"/>
        <w:spacing w:after="160"/>
      </w:pPr>
      <w:r w:rsidRPr="00D97B31">
        <w:t>Source: Section 3.4 to Section 3.5, p</w:t>
      </w:r>
      <w:r w:rsidR="006800E2" w:rsidRPr="00D97B31">
        <w:t>200-225 of the submission.</w:t>
      </w:r>
    </w:p>
    <w:p w:rsidR="008D0F99" w:rsidRPr="00D97B31" w:rsidRDefault="003A2003" w:rsidP="00D94AC6">
      <w:pPr>
        <w:pStyle w:val="TableFigureFooter"/>
        <w:spacing w:after="160"/>
      </w:pPr>
      <w:r w:rsidRPr="00D97B31">
        <w:rPr>
          <w:szCs w:val="18"/>
        </w:rPr>
        <w:t>m</w:t>
      </w:r>
      <w:r w:rsidR="00E03478" w:rsidRPr="00D97B31">
        <w:rPr>
          <w:szCs w:val="18"/>
        </w:rPr>
        <w:t>0</w:t>
      </w:r>
      <w:r w:rsidR="008D0F99" w:rsidRPr="00D97B31">
        <w:rPr>
          <w:szCs w:val="18"/>
        </w:rPr>
        <w:t>CRPC=</w:t>
      </w:r>
      <w:r w:rsidR="00E03478" w:rsidRPr="00D97B31">
        <w:rPr>
          <w:szCs w:val="18"/>
        </w:rPr>
        <w:t>non-</w:t>
      </w:r>
      <w:r w:rsidR="008D0F99" w:rsidRPr="00D97B31">
        <w:rPr>
          <w:szCs w:val="18"/>
        </w:rPr>
        <w:t>metastatic castration resistant prostate cancer; MFS=metastasis-free survival; OS=overall survival; SOC=standard of care</w:t>
      </w:r>
    </w:p>
    <w:p w:rsidR="00EF7441" w:rsidRPr="00D97B31" w:rsidRDefault="00EF7441" w:rsidP="00EF7441">
      <w:pPr>
        <w:pStyle w:val="3-BodyText"/>
      </w:pPr>
      <w:r w:rsidRPr="00D97B31">
        <w:t>Figure 4 illustrates extrapolations of MFS and OS in the model.</w:t>
      </w:r>
    </w:p>
    <w:p w:rsidR="003D6E87" w:rsidRPr="00D97B31" w:rsidRDefault="003D6E87" w:rsidP="003D6E87">
      <w:pPr>
        <w:pStyle w:val="3-BodyText"/>
        <w:keepNext/>
        <w:numPr>
          <w:ilvl w:val="0"/>
          <w:numId w:val="0"/>
        </w:numPr>
        <w:spacing w:after="0"/>
        <w:rPr>
          <w:rFonts w:ascii="Arial Narrow" w:hAnsi="Arial Narrow"/>
          <w:b/>
          <w:sz w:val="20"/>
          <w:szCs w:val="20"/>
        </w:rPr>
      </w:pPr>
      <w:r w:rsidRPr="00D97B31">
        <w:rPr>
          <w:rFonts w:ascii="Arial Narrow" w:hAnsi="Arial Narrow"/>
          <w:b/>
          <w:sz w:val="20"/>
          <w:szCs w:val="20"/>
        </w:rPr>
        <w:t>Figure 4: Extrapolations of MFS and OS in the model</w:t>
      </w:r>
    </w:p>
    <w:tbl>
      <w:tblPr>
        <w:tblStyle w:val="TableGrid"/>
        <w:tblW w:w="0" w:type="auto"/>
        <w:tblLayout w:type="fixed"/>
        <w:tblCellMar>
          <w:left w:w="0" w:type="dxa"/>
          <w:right w:w="0" w:type="dxa"/>
        </w:tblCellMar>
        <w:tblLook w:val="04A0" w:firstRow="1" w:lastRow="0" w:firstColumn="1" w:lastColumn="0" w:noHBand="0" w:noVBand="1"/>
        <w:tblCaption w:val="Figure 4: Extrapolations of MFS and OS in the model redacted"/>
      </w:tblPr>
      <w:tblGrid>
        <w:gridCol w:w="4463"/>
        <w:gridCol w:w="4463"/>
      </w:tblGrid>
      <w:tr w:rsidR="003D6E87" w:rsidRPr="00D97B31" w:rsidTr="00645318">
        <w:trPr>
          <w:trHeight w:val="4110"/>
        </w:trPr>
        <w:tc>
          <w:tcPr>
            <w:tcW w:w="4463" w:type="dxa"/>
          </w:tcPr>
          <w:p w:rsidR="003D6E87" w:rsidRPr="003B5BDD" w:rsidRDefault="003B5BDD" w:rsidP="003D6E87">
            <w:pPr>
              <w:keepNext/>
              <w:rPr>
                <w:highlight w:val="black"/>
              </w:rPr>
            </w:pPr>
            <w:r>
              <w:rPr>
                <w:noProof/>
                <w:lang w:eastAsia="en-AU"/>
              </w:rPr>
              <w:drawing>
                <wp:inline distT="0" distB="0" distL="0" distR="0" wp14:anchorId="51A6E40A" wp14:editId="0A874381">
                  <wp:extent cx="2827020" cy="2597785"/>
                  <wp:effectExtent l="0" t="0" r="0" b="0"/>
                  <wp:docPr id="6" name="Picture 6" title="Figure 4: Extrapolations of MFS and OS in the model redacted"/>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extLst>
                              <a:ext uri="{28A0092B-C50C-407E-A947-70E740481C1C}">
                                <a14:useLocalDpi xmlns:a14="http://schemas.microsoft.com/office/drawing/2010/main" val="0"/>
                              </a:ext>
                            </a:extLst>
                          </a:blip>
                          <a:stretch>
                            <a:fillRect/>
                          </a:stretch>
                        </pic:blipFill>
                        <pic:spPr>
                          <a:xfrm>
                            <a:off x="0" y="0"/>
                            <a:ext cx="2827020" cy="2597785"/>
                          </a:xfrm>
                          <a:prstGeom prst="rect">
                            <a:avLst/>
                          </a:prstGeom>
                        </pic:spPr>
                      </pic:pic>
                    </a:graphicData>
                  </a:graphic>
                </wp:inline>
              </w:drawing>
            </w:r>
          </w:p>
        </w:tc>
        <w:tc>
          <w:tcPr>
            <w:tcW w:w="4463" w:type="dxa"/>
          </w:tcPr>
          <w:p w:rsidR="003D6E87" w:rsidRPr="003B5BDD" w:rsidRDefault="003B5BDD" w:rsidP="003D6E87">
            <w:pPr>
              <w:keepNext/>
              <w:rPr>
                <w:highlight w:val="black"/>
              </w:rPr>
            </w:pPr>
            <w:r>
              <w:rPr>
                <w:noProof/>
                <w:lang w:eastAsia="en-AU"/>
              </w:rPr>
              <w:drawing>
                <wp:inline distT="0" distB="0" distL="0" distR="0" wp14:anchorId="0235669C" wp14:editId="55AE31BB">
                  <wp:extent cx="2799080" cy="2597785"/>
                  <wp:effectExtent l="0" t="0" r="1270" b="0"/>
                  <wp:docPr id="5" name="Picture 5" title="Figure 4: Extrapolations of MFS and OS in the model redated"/>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a:extLst>
                              <a:ext uri="{28A0092B-C50C-407E-A947-70E740481C1C}">
                                <a14:useLocalDpi xmlns:a14="http://schemas.microsoft.com/office/drawing/2010/main" val="0"/>
                              </a:ext>
                            </a:extLst>
                          </a:blip>
                          <a:stretch>
                            <a:fillRect/>
                          </a:stretch>
                        </pic:blipFill>
                        <pic:spPr>
                          <a:xfrm>
                            <a:off x="0" y="0"/>
                            <a:ext cx="2799080" cy="2597785"/>
                          </a:xfrm>
                          <a:prstGeom prst="rect">
                            <a:avLst/>
                          </a:prstGeom>
                        </pic:spPr>
                      </pic:pic>
                    </a:graphicData>
                  </a:graphic>
                </wp:inline>
              </w:drawing>
            </w:r>
          </w:p>
        </w:tc>
      </w:tr>
      <w:tr w:rsidR="003D6E87" w:rsidRPr="00D97B31" w:rsidTr="00645318">
        <w:trPr>
          <w:trHeight w:val="4110"/>
        </w:trPr>
        <w:tc>
          <w:tcPr>
            <w:tcW w:w="4463" w:type="dxa"/>
          </w:tcPr>
          <w:p w:rsidR="003D6E87" w:rsidRPr="003B5BDD" w:rsidRDefault="003B5BDD" w:rsidP="003D6E87">
            <w:pPr>
              <w:keepNext/>
              <w:rPr>
                <w:highlight w:val="black"/>
              </w:rPr>
            </w:pPr>
            <w:r>
              <w:rPr>
                <w:noProof/>
                <w:lang w:eastAsia="en-AU"/>
              </w:rPr>
              <w:drawing>
                <wp:inline distT="0" distB="0" distL="0" distR="0" wp14:anchorId="16B6C295" wp14:editId="7C538AF8">
                  <wp:extent cx="3028950" cy="2588260"/>
                  <wp:effectExtent l="0" t="0" r="0" b="2540"/>
                  <wp:docPr id="4" name="Picture 4" title="Figure 4: Extrapolations of MFS and OS in the model redacted"/>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a:extLst>
                              <a:ext uri="{28A0092B-C50C-407E-A947-70E740481C1C}">
                                <a14:useLocalDpi xmlns:a14="http://schemas.microsoft.com/office/drawing/2010/main" val="0"/>
                              </a:ext>
                            </a:extLst>
                          </a:blip>
                          <a:stretch>
                            <a:fillRect/>
                          </a:stretch>
                        </pic:blipFill>
                        <pic:spPr>
                          <a:xfrm>
                            <a:off x="0" y="0"/>
                            <a:ext cx="3028950" cy="2588260"/>
                          </a:xfrm>
                          <a:prstGeom prst="rect">
                            <a:avLst/>
                          </a:prstGeom>
                        </pic:spPr>
                      </pic:pic>
                    </a:graphicData>
                  </a:graphic>
                </wp:inline>
              </w:drawing>
            </w:r>
          </w:p>
        </w:tc>
        <w:tc>
          <w:tcPr>
            <w:tcW w:w="4463" w:type="dxa"/>
          </w:tcPr>
          <w:p w:rsidR="003D6E87" w:rsidRPr="003B5BDD" w:rsidRDefault="003B5BDD" w:rsidP="003D6E87">
            <w:pPr>
              <w:keepNext/>
              <w:rPr>
                <w:highlight w:val="black"/>
              </w:rPr>
            </w:pPr>
            <w:r>
              <w:rPr>
                <w:noProof/>
                <w:lang w:eastAsia="en-AU"/>
              </w:rPr>
              <w:drawing>
                <wp:inline distT="0" distB="0" distL="0" distR="0" wp14:anchorId="2C0738D1" wp14:editId="2C1B72FB">
                  <wp:extent cx="2799080" cy="2588260"/>
                  <wp:effectExtent l="0" t="0" r="1270" b="2540"/>
                  <wp:docPr id="3" name="Picture 3" title="Figure 4: Extrapolations of MFS and OS in the model redacted"/>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extLst>
                              <a:ext uri="{28A0092B-C50C-407E-A947-70E740481C1C}">
                                <a14:useLocalDpi xmlns:a14="http://schemas.microsoft.com/office/drawing/2010/main" val="0"/>
                              </a:ext>
                            </a:extLst>
                          </a:blip>
                          <a:stretch>
                            <a:fillRect/>
                          </a:stretch>
                        </pic:blipFill>
                        <pic:spPr>
                          <a:xfrm>
                            <a:off x="0" y="0"/>
                            <a:ext cx="2799080" cy="2588260"/>
                          </a:xfrm>
                          <a:prstGeom prst="rect">
                            <a:avLst/>
                          </a:prstGeom>
                        </pic:spPr>
                      </pic:pic>
                    </a:graphicData>
                  </a:graphic>
                </wp:inline>
              </w:drawing>
            </w:r>
          </w:p>
        </w:tc>
      </w:tr>
    </w:tbl>
    <w:p w:rsidR="003D6E87" w:rsidRPr="00D97B31" w:rsidRDefault="003D6E87" w:rsidP="003D6E87">
      <w:pPr>
        <w:pStyle w:val="TableFooter"/>
        <w:keepNext/>
      </w:pPr>
      <w:r w:rsidRPr="00D97B31">
        <w:t>Source:</w:t>
      </w:r>
      <w:r w:rsidR="007D6522" w:rsidRPr="00D97B31">
        <w:t xml:space="preserve"> </w:t>
      </w:r>
      <w:r w:rsidRPr="00D97B31">
        <w:t>Worksheet ‘MFS’ of the Excel workbook ‘DARO_Section3Model_March2020 FINAL’.</w:t>
      </w:r>
    </w:p>
    <w:p w:rsidR="00B77D3D" w:rsidRPr="00D97B31" w:rsidRDefault="003D6E87" w:rsidP="00F7610A">
      <w:pPr>
        <w:pStyle w:val="TableFooter"/>
        <w:keepNext/>
      </w:pPr>
      <w:r w:rsidRPr="00D97B31">
        <w:t>KM=Kaplan Meier; MFS=metastasis-free survival; SOC=standard of care</w:t>
      </w:r>
    </w:p>
    <w:p w:rsidR="00EF7441" w:rsidRPr="00D97B31" w:rsidRDefault="00EF7441" w:rsidP="00EF7441"/>
    <w:p w:rsidR="00EF7441" w:rsidRPr="00D97B31" w:rsidRDefault="00105A3C" w:rsidP="00EF7441">
      <w:pPr>
        <w:pStyle w:val="3-BodyText"/>
      </w:pPr>
      <w:r w:rsidRPr="00D97B31">
        <w:t xml:space="preserve">Based on visual inspection of the </w:t>
      </w:r>
      <w:r w:rsidR="00EF7441" w:rsidRPr="00D97B31">
        <w:t>MFS</w:t>
      </w:r>
      <w:r w:rsidR="004D6668" w:rsidRPr="00D97B31">
        <w:t xml:space="preserve"> </w:t>
      </w:r>
      <w:r w:rsidRPr="00D97B31">
        <w:t xml:space="preserve">curves </w:t>
      </w:r>
      <w:r w:rsidR="004D6668" w:rsidRPr="00D97B31">
        <w:t>in both the darolutamide and SOC arms</w:t>
      </w:r>
      <w:r w:rsidR="00EF7441" w:rsidRPr="00D97B31">
        <w:t xml:space="preserve">, the Gompertz and the </w:t>
      </w:r>
      <w:r w:rsidR="00DC4A47" w:rsidRPr="00D97B31">
        <w:t>e</w:t>
      </w:r>
      <w:r w:rsidR="00EF7441" w:rsidRPr="00D97B31">
        <w:t xml:space="preserve">xponential functions </w:t>
      </w:r>
      <w:r w:rsidR="00BA7F75" w:rsidRPr="00D97B31">
        <w:t xml:space="preserve">appeared the </w:t>
      </w:r>
      <w:r w:rsidR="00EF7441" w:rsidRPr="00D97B31">
        <w:t xml:space="preserve">best fit </w:t>
      </w:r>
      <w:r w:rsidR="0010565D" w:rsidRPr="00D97B31">
        <w:t>versus</w:t>
      </w:r>
      <w:r w:rsidR="00BA7F75" w:rsidRPr="00D97B31">
        <w:t xml:space="preserve"> </w:t>
      </w:r>
      <w:r w:rsidR="00EF7441" w:rsidRPr="00D97B31">
        <w:t>the K</w:t>
      </w:r>
      <w:r w:rsidR="00DC4A47" w:rsidRPr="00D97B31">
        <w:t xml:space="preserve">aplan </w:t>
      </w:r>
      <w:r w:rsidR="00EF7441" w:rsidRPr="00D97B31">
        <w:t>M</w:t>
      </w:r>
      <w:r w:rsidR="00DC4A47" w:rsidRPr="00D97B31">
        <w:t>eier</w:t>
      </w:r>
      <w:r w:rsidR="00EF7441" w:rsidRPr="00D97B31">
        <w:t xml:space="preserve"> data. </w:t>
      </w:r>
      <w:r w:rsidR="00CC0ED0" w:rsidRPr="00D97B31">
        <w:t>The submission applied the exponential function.</w:t>
      </w:r>
      <w:r w:rsidR="00EF7441" w:rsidRPr="00D97B31">
        <w:t xml:space="preserve"> The </w:t>
      </w:r>
      <w:r w:rsidR="00DC4A47" w:rsidRPr="00D97B31">
        <w:t>g</w:t>
      </w:r>
      <w:r w:rsidR="00EF7441" w:rsidRPr="00D97B31">
        <w:t xml:space="preserve">eneralised </w:t>
      </w:r>
      <w:r w:rsidR="00DC4A47" w:rsidRPr="00D97B31">
        <w:t>g</w:t>
      </w:r>
      <w:r w:rsidR="00EF7441" w:rsidRPr="00D97B31">
        <w:t>amma function also demonstrated good fit for the SOC arm but not for the darolutamide arm, where divergence from the K</w:t>
      </w:r>
      <w:r w:rsidR="00DC4A47" w:rsidRPr="00D97B31">
        <w:t xml:space="preserve">aplan </w:t>
      </w:r>
      <w:r w:rsidR="00EF7441" w:rsidRPr="00D97B31">
        <w:t>M</w:t>
      </w:r>
      <w:r w:rsidR="00DC4A47" w:rsidRPr="00D97B31">
        <w:t>eier</w:t>
      </w:r>
      <w:r w:rsidR="00EF7441" w:rsidRPr="00D97B31">
        <w:t xml:space="preserve"> curve was evident from approximately 24</w:t>
      </w:r>
      <w:r w:rsidR="00DC4A47" w:rsidRPr="00D97B31">
        <w:t xml:space="preserve"> </w:t>
      </w:r>
      <w:r w:rsidR="00EF7441" w:rsidRPr="00D97B31">
        <w:t xml:space="preserve">months. In this regard, visual goodness of fit appear to contravene the reported </w:t>
      </w:r>
      <w:r w:rsidRPr="00D97B31">
        <w:t>Akaike Information Criterion (</w:t>
      </w:r>
      <w:r w:rsidR="00EF7441" w:rsidRPr="00D97B31">
        <w:t>AIC</w:t>
      </w:r>
      <w:r w:rsidRPr="00D97B31">
        <w:t xml:space="preserve">) </w:t>
      </w:r>
      <w:r w:rsidR="00EF7441" w:rsidRPr="00D97B31">
        <w:t xml:space="preserve">and </w:t>
      </w:r>
      <w:r w:rsidRPr="00D97B31">
        <w:t>Bayesian Information Criterion (</w:t>
      </w:r>
      <w:r w:rsidR="00EF7441" w:rsidRPr="00D97B31">
        <w:t>BIC</w:t>
      </w:r>
      <w:r w:rsidRPr="00D97B31">
        <w:t>)</w:t>
      </w:r>
      <w:r w:rsidR="00EF7441" w:rsidRPr="00D97B31">
        <w:t xml:space="preserve"> values for darolutamide, as</w:t>
      </w:r>
      <w:r w:rsidRPr="00D97B31">
        <w:t xml:space="preserve"> the</w:t>
      </w:r>
      <w:r w:rsidR="00EF7441" w:rsidRPr="00D97B31">
        <w:t xml:space="preserve"> AIC</w:t>
      </w:r>
      <w:r w:rsidRPr="00D97B31">
        <w:t xml:space="preserve"> and </w:t>
      </w:r>
      <w:r w:rsidR="00EF7441" w:rsidRPr="00D97B31">
        <w:t xml:space="preserve">BIC values suggested that the </w:t>
      </w:r>
      <w:r w:rsidR="00DC4A47" w:rsidRPr="00D97B31">
        <w:t>g</w:t>
      </w:r>
      <w:r w:rsidR="00EF7441" w:rsidRPr="00D97B31">
        <w:t xml:space="preserve">eneralised </w:t>
      </w:r>
      <w:r w:rsidR="00DC4A47" w:rsidRPr="00D97B31">
        <w:t>g</w:t>
      </w:r>
      <w:r w:rsidR="00EF7441" w:rsidRPr="00D97B31">
        <w:t>amma function gave the best overall fit of the data.</w:t>
      </w:r>
      <w:r w:rsidR="007D6522" w:rsidRPr="00D97B31">
        <w:t xml:space="preserve"> </w:t>
      </w:r>
      <w:r w:rsidR="0062195E" w:rsidRPr="00D97B31">
        <w:rPr>
          <w:iCs/>
        </w:rPr>
        <w:t xml:space="preserve">The PSCR noted that extrapolation and fitting of MFS curves was complicated by </w:t>
      </w:r>
      <w:r w:rsidR="00FC5BD2" w:rsidRPr="00D97B31">
        <w:rPr>
          <w:iCs/>
        </w:rPr>
        <w:t>a</w:t>
      </w:r>
      <w:r w:rsidR="0062195E" w:rsidRPr="00D97B31">
        <w:rPr>
          <w:iCs/>
        </w:rPr>
        <w:t xml:space="preserve"> small number of patients who had metastases at baseline</w:t>
      </w:r>
      <w:r w:rsidR="00103054" w:rsidRPr="00D97B31">
        <w:rPr>
          <w:iCs/>
        </w:rPr>
        <w:t xml:space="preserve">. This </w:t>
      </w:r>
      <w:r w:rsidR="0062195E" w:rsidRPr="00D97B31">
        <w:rPr>
          <w:iCs/>
        </w:rPr>
        <w:t>resulted in lower AIC/BIC values for parametric functions with early steep declines. The PSCR stated that the exponential function was selected based on both visual inspection and AIC/BIC statistics.</w:t>
      </w:r>
      <w:r w:rsidR="008E6663" w:rsidRPr="00D97B31">
        <w:rPr>
          <w:iCs/>
        </w:rPr>
        <w:t xml:space="preserve"> The ESC considered </w:t>
      </w:r>
      <w:r w:rsidR="009745BE" w:rsidRPr="00D97B31">
        <w:rPr>
          <w:iCs/>
        </w:rPr>
        <w:t>that while the</w:t>
      </w:r>
      <w:r w:rsidR="008E6663" w:rsidRPr="00D97B31">
        <w:rPr>
          <w:iCs/>
        </w:rPr>
        <w:t xml:space="preserve"> approach </w:t>
      </w:r>
      <w:r w:rsidR="00BE6A8C" w:rsidRPr="00D97B31">
        <w:rPr>
          <w:iCs/>
        </w:rPr>
        <w:t xml:space="preserve">used </w:t>
      </w:r>
      <w:r w:rsidR="008E6663" w:rsidRPr="00D97B31">
        <w:rPr>
          <w:iCs/>
        </w:rPr>
        <w:t xml:space="preserve">by the submission to select the parametric function for MFS </w:t>
      </w:r>
      <w:r w:rsidR="00FC5BD2" w:rsidRPr="00D97B31">
        <w:rPr>
          <w:iCs/>
        </w:rPr>
        <w:t>seemed</w:t>
      </w:r>
      <w:r w:rsidR="008E6663" w:rsidRPr="00D97B31">
        <w:rPr>
          <w:iCs/>
        </w:rPr>
        <w:t xml:space="preserve"> reasonable</w:t>
      </w:r>
      <w:r w:rsidR="009745BE" w:rsidRPr="00D97B31">
        <w:rPr>
          <w:iCs/>
        </w:rPr>
        <w:t xml:space="preserve">, </w:t>
      </w:r>
      <w:r w:rsidR="00EE16E0" w:rsidRPr="00D97B31">
        <w:rPr>
          <w:iCs/>
        </w:rPr>
        <w:t xml:space="preserve">the most </w:t>
      </w:r>
      <w:r w:rsidR="009745BE" w:rsidRPr="00D97B31">
        <w:rPr>
          <w:iCs/>
        </w:rPr>
        <w:t>appropriate extrapolation</w:t>
      </w:r>
      <w:r w:rsidR="00FC5BD2" w:rsidRPr="00D97B31">
        <w:rPr>
          <w:iCs/>
        </w:rPr>
        <w:t xml:space="preserve"> method</w:t>
      </w:r>
      <w:r w:rsidR="009745BE" w:rsidRPr="00D97B31">
        <w:rPr>
          <w:iCs/>
        </w:rPr>
        <w:t xml:space="preserve"> for MFS would</w:t>
      </w:r>
      <w:r w:rsidR="00EE16E0" w:rsidRPr="00D97B31">
        <w:rPr>
          <w:iCs/>
        </w:rPr>
        <w:t xml:space="preserve"> </w:t>
      </w:r>
      <w:r w:rsidR="00FC5BD2" w:rsidRPr="00D97B31">
        <w:rPr>
          <w:iCs/>
        </w:rPr>
        <w:t>need to be congruent with</w:t>
      </w:r>
      <w:r w:rsidR="009745BE" w:rsidRPr="00D97B31">
        <w:rPr>
          <w:iCs/>
        </w:rPr>
        <w:t xml:space="preserve"> </w:t>
      </w:r>
      <w:r w:rsidR="00FC5BD2" w:rsidRPr="00D97B31">
        <w:rPr>
          <w:iCs/>
        </w:rPr>
        <w:t xml:space="preserve">the </w:t>
      </w:r>
      <w:r w:rsidR="00EE16E0" w:rsidRPr="00D97B31">
        <w:rPr>
          <w:iCs/>
        </w:rPr>
        <w:t>extrapolation of OS</w:t>
      </w:r>
      <w:r w:rsidR="0010565D" w:rsidRPr="00D97B31">
        <w:rPr>
          <w:iCs/>
        </w:rPr>
        <w:t>,</w:t>
      </w:r>
      <w:r w:rsidR="00EE16E0" w:rsidRPr="00D97B31">
        <w:rPr>
          <w:iCs/>
        </w:rPr>
        <w:t xml:space="preserve"> </w:t>
      </w:r>
      <w:r w:rsidR="009745BE" w:rsidRPr="00D97B31">
        <w:rPr>
          <w:iCs/>
        </w:rPr>
        <w:t xml:space="preserve">and both </w:t>
      </w:r>
      <w:r w:rsidR="00762E6A" w:rsidRPr="00D97B31">
        <w:rPr>
          <w:iCs/>
        </w:rPr>
        <w:t xml:space="preserve">the </w:t>
      </w:r>
      <w:r w:rsidR="009745BE" w:rsidRPr="00D97B31">
        <w:rPr>
          <w:iCs/>
        </w:rPr>
        <w:t>MFS and OS extrapolations would need</w:t>
      </w:r>
      <w:r w:rsidR="00EE16E0" w:rsidRPr="00D97B31">
        <w:rPr>
          <w:iCs/>
        </w:rPr>
        <w:t xml:space="preserve"> to be clinically plausible in</w:t>
      </w:r>
      <w:r w:rsidR="009745BE" w:rsidRPr="00D97B31">
        <w:rPr>
          <w:iCs/>
        </w:rPr>
        <w:t xml:space="preserve"> the context of the course of the disease. </w:t>
      </w:r>
    </w:p>
    <w:p w:rsidR="00EF7441" w:rsidRPr="00915A65" w:rsidRDefault="00EF7441" w:rsidP="00EF7441">
      <w:pPr>
        <w:pStyle w:val="3-BodyText"/>
      </w:pPr>
      <w:r w:rsidRPr="00D97B31">
        <w:t>For OS, while all parametric functions illustrated reasonable fit to the Kaplan Meier data, beyond 36 months the curves diverge</w:t>
      </w:r>
      <w:r w:rsidR="00BA7F75" w:rsidRPr="00D97B31">
        <w:t>d</w:t>
      </w:r>
      <w:r w:rsidRPr="00D97B31">
        <w:t>.</w:t>
      </w:r>
      <w:r w:rsidR="007D6522" w:rsidRPr="00D97B31">
        <w:t xml:space="preserve"> </w:t>
      </w:r>
      <w:r w:rsidRPr="00D97B31">
        <w:t xml:space="preserve">Contrary to the submission’s claim that Weibull extrapolations produce the most conservative estimates in the model, the results suggest that Gompertz extrapolations were more conservative, </w:t>
      </w:r>
      <w:r w:rsidR="00BA7F75" w:rsidRPr="00D97B31">
        <w:t>with</w:t>
      </w:r>
      <w:r w:rsidRPr="00D97B31">
        <w:t xml:space="preserve"> a more rapid decline in survival beyond 48</w:t>
      </w:r>
      <w:r w:rsidR="00DC4A47" w:rsidRPr="00D97B31">
        <w:t xml:space="preserve"> </w:t>
      </w:r>
      <w:r w:rsidRPr="00D97B31">
        <w:t>months predicted for both darolutamide and SOC.</w:t>
      </w:r>
      <w:r w:rsidR="00BE6A8C" w:rsidRPr="00D97B31">
        <w:t xml:space="preserve"> </w:t>
      </w:r>
      <w:r w:rsidR="000373CD" w:rsidRPr="00D97B31">
        <w:t xml:space="preserve">The PSCR noted that selection of the Gompertz function was inappropriate as it results in an artificial and clinically implausible truncation of the MFS curves and 100% mortality with 8 years for patients in the SOC arm (see Figure 6 and paragraph </w:t>
      </w:r>
      <w:r w:rsidR="00915A65" w:rsidRPr="00915A65">
        <w:t>6.40</w:t>
      </w:r>
      <w:r w:rsidR="000373CD" w:rsidRPr="00915A65">
        <w:t xml:space="preserve">). </w:t>
      </w:r>
    </w:p>
    <w:p w:rsidR="00EF7441" w:rsidRPr="00D97B31" w:rsidRDefault="00CE317A" w:rsidP="00FF7D5E">
      <w:pPr>
        <w:pStyle w:val="3-BodyText"/>
      </w:pPr>
      <w:r w:rsidRPr="00D97B31">
        <w:t xml:space="preserve">Figure 5 </w:t>
      </w:r>
      <w:r w:rsidR="00BA7F75" w:rsidRPr="00D97B31">
        <w:t xml:space="preserve">compares </w:t>
      </w:r>
      <w:r w:rsidR="003F53BA" w:rsidRPr="00D97B31">
        <w:t xml:space="preserve">the modelled </w:t>
      </w:r>
      <w:r w:rsidR="00FF7D5E" w:rsidRPr="00D97B31">
        <w:t xml:space="preserve">MFS and OS </w:t>
      </w:r>
      <w:r w:rsidR="003F53BA" w:rsidRPr="00D97B31">
        <w:t>with that from</w:t>
      </w:r>
      <w:r w:rsidR="00FF7D5E" w:rsidRPr="00D97B31">
        <w:t xml:space="preserve"> the </w:t>
      </w:r>
      <w:r w:rsidR="00D97B31" w:rsidRPr="00D97B31">
        <w:t>trial.</w:t>
      </w:r>
    </w:p>
    <w:p w:rsidR="00451D49" w:rsidRPr="00D97B31" w:rsidRDefault="00FF7D5E" w:rsidP="00451D49">
      <w:pPr>
        <w:keepNext/>
        <w:keepLines/>
        <w:rPr>
          <w:rFonts w:ascii="Arial Narrow" w:hAnsi="Arial Narrow"/>
          <w:b/>
          <w:sz w:val="20"/>
          <w:szCs w:val="20"/>
        </w:rPr>
      </w:pPr>
      <w:r w:rsidRPr="00D97B31">
        <w:rPr>
          <w:rFonts w:ascii="Arial Narrow" w:hAnsi="Arial Narrow"/>
          <w:b/>
          <w:sz w:val="20"/>
          <w:szCs w:val="20"/>
        </w:rPr>
        <w:t>Figure</w:t>
      </w:r>
      <w:r w:rsidR="00451D49" w:rsidRPr="00D97B31">
        <w:rPr>
          <w:rFonts w:ascii="Arial Narrow" w:hAnsi="Arial Narrow"/>
          <w:b/>
          <w:sz w:val="20"/>
          <w:szCs w:val="20"/>
        </w:rPr>
        <w:t xml:space="preserve"> </w:t>
      </w:r>
      <w:r w:rsidRPr="00D97B31">
        <w:rPr>
          <w:rFonts w:ascii="Arial Narrow" w:hAnsi="Arial Narrow"/>
          <w:b/>
          <w:sz w:val="20"/>
          <w:szCs w:val="20"/>
        </w:rPr>
        <w:t>5:</w:t>
      </w:r>
      <w:r w:rsidR="007D6522" w:rsidRPr="00D97B31">
        <w:rPr>
          <w:rFonts w:ascii="Arial Narrow" w:hAnsi="Arial Narrow"/>
          <w:b/>
          <w:sz w:val="20"/>
          <w:szCs w:val="20"/>
        </w:rPr>
        <w:t xml:space="preserve"> </w:t>
      </w:r>
      <w:r w:rsidRPr="00D97B31">
        <w:rPr>
          <w:rFonts w:ascii="Arial Narrow" w:hAnsi="Arial Narrow"/>
          <w:b/>
          <w:sz w:val="20"/>
          <w:szCs w:val="20"/>
        </w:rPr>
        <w:t>Trial based MFS and OS (as illustrated by the Kaplan Meier curves) versus modelled results (based on extrapolations from Kaplan-Meier results) over 120</w:t>
      </w:r>
      <w:r w:rsidR="00DC4A47" w:rsidRPr="00D97B31">
        <w:rPr>
          <w:rFonts w:ascii="Arial Narrow" w:hAnsi="Arial Narrow"/>
          <w:b/>
          <w:sz w:val="20"/>
          <w:szCs w:val="20"/>
        </w:rPr>
        <w:t xml:space="preserve"> </w:t>
      </w:r>
      <w:r w:rsidRPr="00D97B31">
        <w:rPr>
          <w:rFonts w:ascii="Arial Narrow" w:hAnsi="Arial Narrow"/>
          <w:b/>
          <w:sz w:val="20"/>
          <w:szCs w:val="20"/>
        </w:rPr>
        <w:t>months (base case time horizon)</w:t>
      </w:r>
    </w:p>
    <w:p w:rsidR="00FF7D5E" w:rsidRPr="00D97B31" w:rsidRDefault="003B5BDD" w:rsidP="00451D49">
      <w:pPr>
        <w:keepNext/>
        <w:keepLines/>
        <w:rPr>
          <w:rFonts w:ascii="Arial Narrow" w:hAnsi="Arial Narrow"/>
          <w:b/>
          <w:sz w:val="20"/>
          <w:szCs w:val="20"/>
        </w:rPr>
      </w:pPr>
      <w:r>
        <w:rPr>
          <w:rFonts w:ascii="Arial Narrow" w:hAnsi="Arial Narrow"/>
          <w:b/>
          <w:noProof/>
          <w:sz w:val="20"/>
          <w:szCs w:val="20"/>
          <w:lang w:eastAsia="en-AU"/>
        </w:rPr>
        <w:drawing>
          <wp:inline distT="0" distB="0" distL="0" distR="0" wp14:anchorId="3416E4D8" wp14:editId="6D560E41">
            <wp:extent cx="5737860" cy="3665220"/>
            <wp:effectExtent l="0" t="0" r="0" b="0"/>
            <wp:docPr id="2" name="Picture 2" title="Figure 5: Trial based MFS and OS (as illustrated by the Kaplan Meier curves) versus modelled results (based on extrapolations from Kaplan-Meier results) over 120 months (base case time horizon) redacted"/>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extLst>
                        <a:ext uri="{28A0092B-C50C-407E-A947-70E740481C1C}">
                          <a14:useLocalDpi xmlns:a14="http://schemas.microsoft.com/office/drawing/2010/main" val="0"/>
                        </a:ext>
                      </a:extLst>
                    </a:blip>
                    <a:stretch>
                      <a:fillRect/>
                    </a:stretch>
                  </pic:blipFill>
                  <pic:spPr>
                    <a:xfrm>
                      <a:off x="0" y="0"/>
                      <a:ext cx="5737860" cy="3665220"/>
                    </a:xfrm>
                    <a:prstGeom prst="rect">
                      <a:avLst/>
                    </a:prstGeom>
                  </pic:spPr>
                </pic:pic>
              </a:graphicData>
            </a:graphic>
          </wp:inline>
        </w:drawing>
      </w:r>
    </w:p>
    <w:p w:rsidR="00FF7D5E" w:rsidRPr="00D97B31" w:rsidRDefault="00FF7D5E" w:rsidP="00451D49">
      <w:pPr>
        <w:keepNext/>
        <w:keepLines/>
        <w:rPr>
          <w:rFonts w:ascii="Arial Narrow" w:hAnsi="Arial Narrow"/>
          <w:sz w:val="18"/>
          <w:szCs w:val="20"/>
        </w:rPr>
      </w:pPr>
      <w:r w:rsidRPr="00D97B31">
        <w:rPr>
          <w:rFonts w:ascii="Arial Narrow" w:hAnsi="Arial Narrow"/>
          <w:sz w:val="18"/>
          <w:szCs w:val="20"/>
        </w:rPr>
        <w:t>DARO=darolutamide KM=Kaplan Meier; PBO=placebo</w:t>
      </w:r>
    </w:p>
    <w:p w:rsidR="00EF7441" w:rsidRPr="00D97B31" w:rsidRDefault="00FF7D5E" w:rsidP="00451D49">
      <w:pPr>
        <w:keepNext/>
        <w:keepLines/>
        <w:rPr>
          <w:rFonts w:ascii="Arial Narrow" w:hAnsi="Arial Narrow"/>
          <w:sz w:val="18"/>
          <w:szCs w:val="20"/>
        </w:rPr>
      </w:pPr>
      <w:r w:rsidRPr="00D97B31">
        <w:rPr>
          <w:rFonts w:ascii="Arial Narrow" w:hAnsi="Arial Narrow"/>
          <w:sz w:val="18"/>
          <w:szCs w:val="20"/>
        </w:rPr>
        <w:t>Source: constructed during the evaluation based on information presented in the Excel workbook ‘DARO_Section3Model_March2020 FINAL’</w:t>
      </w:r>
    </w:p>
    <w:p w:rsidR="00451D49" w:rsidRPr="00D97B31" w:rsidRDefault="00451D49" w:rsidP="00FF7D5E">
      <w:pPr>
        <w:rPr>
          <w:rFonts w:ascii="Arial Narrow" w:hAnsi="Arial Narrow"/>
          <w:sz w:val="18"/>
          <w:szCs w:val="20"/>
        </w:rPr>
      </w:pPr>
    </w:p>
    <w:p w:rsidR="00451D49" w:rsidRPr="00D97B31" w:rsidRDefault="00451D49" w:rsidP="00451D49">
      <w:pPr>
        <w:pStyle w:val="3-BodyText"/>
      </w:pPr>
      <w:r w:rsidRPr="00D97B31">
        <w:t xml:space="preserve">Figure </w:t>
      </w:r>
      <w:r w:rsidR="00DC4A47" w:rsidRPr="00D97B31">
        <w:t>5</w:t>
      </w:r>
      <w:r w:rsidRPr="00D97B31">
        <w:t xml:space="preserve"> illustrates that in the base case analysis, the results for both MFS and OS were informed </w:t>
      </w:r>
      <w:r w:rsidR="00105A3C" w:rsidRPr="00D97B31">
        <w:t xml:space="preserve">mostly </w:t>
      </w:r>
      <w:r w:rsidRPr="00D97B31">
        <w:t>by extrapolated rather than within trial</w:t>
      </w:r>
      <w:r w:rsidR="00105A3C" w:rsidRPr="00D97B31">
        <w:t xml:space="preserve"> data</w:t>
      </w:r>
      <w:r w:rsidRPr="00D97B31">
        <w:t>.</w:t>
      </w:r>
      <w:r w:rsidR="007D6522" w:rsidRPr="00D97B31">
        <w:t xml:space="preserve"> </w:t>
      </w:r>
      <w:r w:rsidR="008061C9" w:rsidRPr="00D97B31">
        <w:t>The ESC noted that a</w:t>
      </w:r>
      <w:r w:rsidRPr="00D97B31">
        <w:t xml:space="preserve">pproximately </w:t>
      </w:r>
      <w:r w:rsidR="003B5BDD">
        <w:rPr>
          <w:noProof/>
          <w:color w:val="000000"/>
          <w:highlight w:val="black"/>
        </w:rPr>
        <w:t>'''''</w:t>
      </w:r>
      <w:r w:rsidRPr="00D97B31">
        <w:t xml:space="preserve">% of </w:t>
      </w:r>
      <w:r w:rsidR="00105A3C" w:rsidRPr="00D97B31">
        <w:t>patients</w:t>
      </w:r>
      <w:r w:rsidRPr="00D97B31">
        <w:t xml:space="preserve"> treated with darolutamide were </w:t>
      </w:r>
      <w:r w:rsidR="00F234CA" w:rsidRPr="00D97B31">
        <w:t xml:space="preserve">predicted to be </w:t>
      </w:r>
      <w:r w:rsidRPr="00D97B31">
        <w:t>alive at 10 years (120</w:t>
      </w:r>
      <w:r w:rsidR="00DC4A47" w:rsidRPr="00D97B31">
        <w:t xml:space="preserve"> </w:t>
      </w:r>
      <w:r w:rsidRPr="00D97B31">
        <w:t xml:space="preserve">months), with </w:t>
      </w:r>
      <w:r w:rsidR="003B5BDD">
        <w:rPr>
          <w:noProof/>
          <w:color w:val="000000"/>
          <w:highlight w:val="black"/>
        </w:rPr>
        <w:t>'''''</w:t>
      </w:r>
      <w:r w:rsidRPr="00D97B31">
        <w:t xml:space="preserve">% </w:t>
      </w:r>
      <w:r w:rsidR="00105A3C" w:rsidRPr="00D97B31">
        <w:t xml:space="preserve">not experiencing </w:t>
      </w:r>
      <w:r w:rsidRPr="00D97B31">
        <w:t>progress</w:t>
      </w:r>
      <w:r w:rsidR="00105A3C" w:rsidRPr="00D97B31">
        <w:t>ion.</w:t>
      </w:r>
      <w:r w:rsidR="007D6522" w:rsidRPr="00D97B31">
        <w:t xml:space="preserve"> </w:t>
      </w:r>
      <w:r w:rsidRPr="00D97B31">
        <w:t xml:space="preserve">In contrast, for </w:t>
      </w:r>
      <w:r w:rsidR="00DC4A47" w:rsidRPr="00D97B31">
        <w:t>SOC-</w:t>
      </w:r>
      <w:r w:rsidRPr="00D97B31">
        <w:t>treated patients</w:t>
      </w:r>
      <w:r w:rsidR="00DC4A47" w:rsidRPr="00D97B31">
        <w:t xml:space="preserve"> (placebo-treated in Figure </w:t>
      </w:r>
      <w:r w:rsidR="00105A3C" w:rsidRPr="00D97B31">
        <w:t>5</w:t>
      </w:r>
      <w:r w:rsidR="00DC4A47" w:rsidRPr="00D97B31">
        <w:t>)</w:t>
      </w:r>
      <w:r w:rsidRPr="00D97B31">
        <w:t xml:space="preserve"> </w:t>
      </w:r>
      <w:r w:rsidR="00F234CA" w:rsidRPr="00D97B31">
        <w:t xml:space="preserve">only </w:t>
      </w:r>
      <w:r w:rsidR="003B5BDD">
        <w:rPr>
          <w:noProof/>
          <w:color w:val="000000"/>
          <w:highlight w:val="black"/>
        </w:rPr>
        <w:t>''''''</w:t>
      </w:r>
      <w:r w:rsidRPr="00D97B31">
        <w:t>% were estimated to be alive at 10 years.</w:t>
      </w:r>
      <w:r w:rsidR="008061C9" w:rsidRPr="00D97B31">
        <w:t xml:space="preserve"> </w:t>
      </w:r>
      <w:r w:rsidR="008061C9" w:rsidRPr="00D97B31">
        <w:rPr>
          <w:iCs/>
        </w:rPr>
        <w:t xml:space="preserve">The ESC also noted that the modelled MFS and OS curves did not converge at the end of the time horizon. The ESC considered that, given the average age of the population (73.6 years at the beginning of the model), a significant portion of patients would likely die </w:t>
      </w:r>
      <w:r w:rsidR="00921B83" w:rsidRPr="00D97B31">
        <w:rPr>
          <w:iCs/>
        </w:rPr>
        <w:t>without</w:t>
      </w:r>
      <w:r w:rsidR="008061C9" w:rsidRPr="00D97B31">
        <w:rPr>
          <w:iCs/>
        </w:rPr>
        <w:t xml:space="preserve"> metastatic disease.</w:t>
      </w:r>
      <w:r w:rsidR="001D2A80" w:rsidRPr="00D97B31">
        <w:rPr>
          <w:iCs/>
        </w:rPr>
        <w:t xml:space="preserve"> The pre-PBAC Response noted </w:t>
      </w:r>
      <w:r w:rsidR="00E97DEF" w:rsidRPr="00D97B31">
        <w:rPr>
          <w:iCs/>
        </w:rPr>
        <w:t xml:space="preserve">that the MFS and OS curves did converge outside of the 10 year time horizon and </w:t>
      </w:r>
      <w:r w:rsidR="006D208B" w:rsidRPr="00D97B31">
        <w:rPr>
          <w:iCs/>
        </w:rPr>
        <w:t>non-cancer related mortality was accounted for in the model.</w:t>
      </w:r>
      <w:r w:rsidR="001D2A80" w:rsidRPr="00D97B31">
        <w:rPr>
          <w:iCs/>
        </w:rPr>
        <w:t xml:space="preserve"> </w:t>
      </w:r>
      <w:r w:rsidR="00B651EF" w:rsidRPr="00D97B31">
        <w:rPr>
          <w:iCs/>
        </w:rPr>
        <w:t>Th</w:t>
      </w:r>
      <w:r w:rsidR="00AD4D7D" w:rsidRPr="00D97B31">
        <w:rPr>
          <w:iCs/>
        </w:rPr>
        <w:t xml:space="preserve">e PBAC </w:t>
      </w:r>
      <w:r w:rsidR="003C0F0C" w:rsidRPr="00D97B31">
        <w:rPr>
          <w:iCs/>
        </w:rPr>
        <w:t xml:space="preserve">noted that the MFS and OS curves converged at approximately </w:t>
      </w:r>
      <w:r w:rsidR="003B5BDD">
        <w:rPr>
          <w:iCs/>
          <w:noProof/>
          <w:color w:val="000000"/>
          <w:highlight w:val="black"/>
        </w:rPr>
        <w:t>'''''</w:t>
      </w:r>
      <w:r w:rsidR="003C0F0C" w:rsidRPr="00D97B31">
        <w:rPr>
          <w:iCs/>
        </w:rPr>
        <w:t xml:space="preserve"> years. </w:t>
      </w:r>
    </w:p>
    <w:p w:rsidR="00451D49" w:rsidRPr="00D97B31" w:rsidRDefault="00E9078B" w:rsidP="00451D49">
      <w:pPr>
        <w:pStyle w:val="3-BodyText"/>
      </w:pPr>
      <w:r w:rsidRPr="00D97B31">
        <w:t>T</w:t>
      </w:r>
      <w:r w:rsidR="00451D49" w:rsidRPr="00D97B31">
        <w:t>he results were largely influenced by the choice of parametric survival function</w:t>
      </w:r>
      <w:r w:rsidR="00A65424" w:rsidRPr="00D97B31">
        <w:t>s</w:t>
      </w:r>
      <w:r w:rsidRPr="00D97B31">
        <w:t>.</w:t>
      </w:r>
      <w:r w:rsidR="00451D49" w:rsidRPr="00D97B31">
        <w:t xml:space="preserve"> </w:t>
      </w:r>
      <w:r w:rsidRPr="00D97B31">
        <w:t>As illustrated by Figure 6</w:t>
      </w:r>
      <w:r w:rsidR="00451D49" w:rsidRPr="00D97B31">
        <w:t>, when the OS extrapolations were assumed to follow the Gompertz function rather than Weibull (as was in the base case), the model predicted that all patient</w:t>
      </w:r>
      <w:r w:rsidR="008D0D9A" w:rsidRPr="00D97B31">
        <w:t>s w</w:t>
      </w:r>
      <w:r w:rsidRPr="00D97B31">
        <w:t>ould</w:t>
      </w:r>
      <w:r w:rsidR="00451D49" w:rsidRPr="00D97B31">
        <w:t xml:space="preserve"> have died by 10 years</w:t>
      </w:r>
      <w:r w:rsidR="00103054" w:rsidRPr="00D97B31">
        <w:t xml:space="preserve"> and the</w:t>
      </w:r>
      <w:r w:rsidR="00451D49" w:rsidRPr="00D97B31">
        <w:t xml:space="preserve"> extrapolated MFS curves for darolutamide and </w:t>
      </w:r>
      <w:r w:rsidR="008D0D9A" w:rsidRPr="00D97B31">
        <w:t>SOC (placebo)</w:t>
      </w:r>
      <w:r w:rsidR="00451D49" w:rsidRPr="00D97B31">
        <w:t xml:space="preserve"> would be truncated due to the reduced OS.</w:t>
      </w:r>
      <w:r w:rsidR="007D6522" w:rsidRPr="00D97B31">
        <w:t xml:space="preserve"> </w:t>
      </w:r>
      <w:r w:rsidR="00103054" w:rsidRPr="00D97B31">
        <w:t xml:space="preserve">Application of the </w:t>
      </w:r>
      <w:r w:rsidR="00451D49" w:rsidRPr="00D97B31">
        <w:t>Gompertz function</w:t>
      </w:r>
      <w:r w:rsidR="00103054" w:rsidRPr="00D97B31">
        <w:t xml:space="preserve"> resulted in an </w:t>
      </w:r>
      <w:r w:rsidR="00A132F2">
        <w:t>incremental cost-effectiveness ratio (</w:t>
      </w:r>
      <w:r w:rsidR="00451D49" w:rsidRPr="00D97B31">
        <w:t>ICER</w:t>
      </w:r>
      <w:r w:rsidR="00A132F2">
        <w:t>)</w:t>
      </w:r>
      <w:r w:rsidR="00451D49" w:rsidRPr="00D97B31">
        <w:t xml:space="preserve"> </w:t>
      </w:r>
      <w:r w:rsidR="00103054" w:rsidRPr="00D97B31">
        <w:t xml:space="preserve">of </w:t>
      </w:r>
      <w:r w:rsidR="00451D49" w:rsidRPr="00D97B31">
        <w:t>$</w:t>
      </w:r>
      <w:r w:rsidR="00BC3FAE">
        <w:t>45,000/QALY - $75,000</w:t>
      </w:r>
      <w:r w:rsidR="00E163DE">
        <w:t>/QALY</w:t>
      </w:r>
      <w:r w:rsidR="00103054" w:rsidRPr="00D97B31">
        <w:t xml:space="preserve">, compared to </w:t>
      </w:r>
      <w:r w:rsidR="00E163DE">
        <w:t>$45,000/QALY - $75,000/QALY</w:t>
      </w:r>
      <w:r w:rsidR="00E163DE" w:rsidRPr="00D97B31" w:rsidDel="00E163DE">
        <w:t xml:space="preserve"> </w:t>
      </w:r>
      <w:r w:rsidR="00103054" w:rsidRPr="00D97B31">
        <w:t>in the base case (Weibull function)</w:t>
      </w:r>
      <w:r w:rsidR="00451D49" w:rsidRPr="00D97B31">
        <w:t>.</w:t>
      </w:r>
      <w:r w:rsidR="000373CD" w:rsidRPr="00D97B31">
        <w:t xml:space="preserve"> The </w:t>
      </w:r>
      <w:r w:rsidR="00C45839" w:rsidRPr="00D97B31">
        <w:t xml:space="preserve">PSCR </w:t>
      </w:r>
      <w:r w:rsidR="000373CD" w:rsidRPr="00D97B31">
        <w:t xml:space="preserve">noted that application of the Gompertz function for OS extrapolation in the darolutamide arm requires an artificial truncation of the corresponding MFS curve which results in all patients free of metastatic disease at approximately 80 months, dying within the following 40 months. The </w:t>
      </w:r>
      <w:r w:rsidR="00C45839" w:rsidRPr="00D97B31">
        <w:t xml:space="preserve">PSCR </w:t>
      </w:r>
      <w:r w:rsidR="000373CD" w:rsidRPr="00D97B31">
        <w:t xml:space="preserve">also noted that application of the Gompertz curve to OS in the SOC arm, results in all patients dying within 8 years. On this basis, the ESC considered that application of the Gompertz function to OS </w:t>
      </w:r>
      <w:r w:rsidR="00F464E2" w:rsidRPr="00D97B31">
        <w:t>may underestimate OS for SOC</w:t>
      </w:r>
      <w:r w:rsidR="000373CD" w:rsidRPr="00D97B31">
        <w:t>.</w:t>
      </w:r>
    </w:p>
    <w:p w:rsidR="00451D49" w:rsidRPr="00D97B31" w:rsidRDefault="00451D49" w:rsidP="00451D49">
      <w:pPr>
        <w:rPr>
          <w:i/>
        </w:rPr>
      </w:pPr>
    </w:p>
    <w:p w:rsidR="00451D49" w:rsidRPr="00D97B31" w:rsidRDefault="00451D49" w:rsidP="00CE317A">
      <w:pPr>
        <w:keepNext/>
        <w:keepLines/>
        <w:rPr>
          <w:rFonts w:ascii="Arial Narrow" w:hAnsi="Arial Narrow"/>
          <w:b/>
          <w:sz w:val="20"/>
          <w:szCs w:val="20"/>
        </w:rPr>
      </w:pPr>
      <w:r w:rsidRPr="00D97B31">
        <w:rPr>
          <w:rFonts w:ascii="Arial Narrow" w:hAnsi="Arial Narrow"/>
          <w:b/>
          <w:sz w:val="20"/>
          <w:szCs w:val="20"/>
        </w:rPr>
        <w:t>Figure</w:t>
      </w:r>
      <w:r w:rsidR="00105A3C" w:rsidRPr="00D97B31">
        <w:rPr>
          <w:rFonts w:ascii="Arial Narrow" w:hAnsi="Arial Narrow"/>
          <w:b/>
          <w:sz w:val="20"/>
          <w:szCs w:val="20"/>
        </w:rPr>
        <w:t xml:space="preserve"> 6:</w:t>
      </w:r>
      <w:r w:rsidRPr="00D97B31">
        <w:rPr>
          <w:rFonts w:ascii="Arial Narrow" w:hAnsi="Arial Narrow"/>
          <w:b/>
          <w:sz w:val="20"/>
          <w:szCs w:val="20"/>
        </w:rPr>
        <w:t xml:space="preserve"> </w:t>
      </w:r>
      <w:r w:rsidR="00DC4A47" w:rsidRPr="00D97B31">
        <w:rPr>
          <w:rFonts w:ascii="Arial Narrow" w:hAnsi="Arial Narrow"/>
          <w:b/>
          <w:sz w:val="20"/>
          <w:szCs w:val="20"/>
        </w:rPr>
        <w:t>T</w:t>
      </w:r>
      <w:r w:rsidRPr="00D97B31">
        <w:rPr>
          <w:rFonts w:ascii="Arial Narrow" w:hAnsi="Arial Narrow"/>
          <w:b/>
          <w:sz w:val="20"/>
          <w:szCs w:val="20"/>
        </w:rPr>
        <w:t>rial MFS and OS versus modelled, using Gompertz function to extrapolate OS</w:t>
      </w:r>
    </w:p>
    <w:p w:rsidR="005C1FC7" w:rsidRPr="00D97B31" w:rsidRDefault="003B5BDD" w:rsidP="00CE317A">
      <w:pPr>
        <w:keepNext/>
        <w:keepLines/>
        <w:rPr>
          <w:rFonts w:ascii="Arial Narrow" w:hAnsi="Arial Narrow"/>
          <w:b/>
          <w:sz w:val="20"/>
          <w:szCs w:val="20"/>
        </w:rPr>
      </w:pPr>
      <w:r>
        <w:rPr>
          <w:rFonts w:ascii="Arial Narrow" w:hAnsi="Arial Narrow"/>
          <w:b/>
          <w:noProof/>
          <w:sz w:val="20"/>
          <w:szCs w:val="20"/>
          <w:lang w:eastAsia="en-AU"/>
        </w:rPr>
        <w:drawing>
          <wp:inline distT="0" distB="0" distL="0" distR="0" wp14:anchorId="196DC103" wp14:editId="22924B0F">
            <wp:extent cx="5732145" cy="3647440"/>
            <wp:effectExtent l="0" t="0" r="1905" b="0"/>
            <wp:docPr id="1" name="Picture 1" title="Figure 6: Trial MFS and OS versus modelled, using Gompertz function to extrapolate OS redacte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2145" cy="3647440"/>
                    </a:xfrm>
                    <a:prstGeom prst="rect">
                      <a:avLst/>
                    </a:prstGeom>
                  </pic:spPr>
                </pic:pic>
              </a:graphicData>
            </a:graphic>
          </wp:inline>
        </w:drawing>
      </w:r>
    </w:p>
    <w:p w:rsidR="00451D49" w:rsidRPr="00D97B31" w:rsidRDefault="00451D49" w:rsidP="00451D49">
      <w:pPr>
        <w:keepNext/>
        <w:rPr>
          <w:rFonts w:ascii="Arial Narrow" w:hAnsi="Arial Narrow"/>
          <w:sz w:val="18"/>
          <w:szCs w:val="18"/>
        </w:rPr>
      </w:pPr>
      <w:r w:rsidRPr="00D97B31">
        <w:rPr>
          <w:rFonts w:ascii="Arial Narrow" w:hAnsi="Arial Narrow"/>
          <w:sz w:val="18"/>
          <w:szCs w:val="18"/>
        </w:rPr>
        <w:t>DARO=darolutamide KM=Kaplan Meier; PBO=placebo</w:t>
      </w:r>
    </w:p>
    <w:p w:rsidR="00451D49" w:rsidRPr="00D97B31" w:rsidRDefault="00451D49" w:rsidP="00451D49">
      <w:pPr>
        <w:pStyle w:val="TableFooter"/>
        <w:keepNext/>
        <w:rPr>
          <w:szCs w:val="18"/>
        </w:rPr>
      </w:pPr>
      <w:r w:rsidRPr="00D97B31">
        <w:rPr>
          <w:szCs w:val="18"/>
        </w:rPr>
        <w:t>Source: constructed during the evaluation based on information presented in the Excel workbook ‘DARO_Section3Model_March2020 FINAL’</w:t>
      </w:r>
    </w:p>
    <w:p w:rsidR="00451D49" w:rsidRPr="00D97B31" w:rsidRDefault="00451D49" w:rsidP="00FF7D5E">
      <w:pPr>
        <w:rPr>
          <w:rFonts w:ascii="Arial Narrow" w:hAnsi="Arial Narrow"/>
          <w:sz w:val="18"/>
          <w:szCs w:val="20"/>
        </w:rPr>
      </w:pPr>
    </w:p>
    <w:p w:rsidR="008C5739" w:rsidRPr="00D97B31" w:rsidRDefault="001F4F4F" w:rsidP="001F4F4F">
      <w:pPr>
        <w:pStyle w:val="3-BodyText"/>
      </w:pPr>
      <w:r w:rsidRPr="00D97B31">
        <w:t xml:space="preserve">The results of the economic evaluation are provided in </w:t>
      </w:r>
      <w:r w:rsidR="00B3197D">
        <w:t>Table 12</w:t>
      </w:r>
      <w:r w:rsidRPr="00D97B31">
        <w:t>.</w:t>
      </w:r>
      <w:r w:rsidR="007D6522" w:rsidRPr="00D97B31">
        <w:t xml:space="preserve"> </w:t>
      </w:r>
      <w:r w:rsidR="00A45EEE" w:rsidRPr="00D97B31">
        <w:t>The submission noted that an effective price for enzalutamide and abiraterone have been assumed based on the effective price of enzalutamide provided to the sponsor as part of the listing of radium 223, while the price used for cabazitaxel was the published price.</w:t>
      </w:r>
      <w:r w:rsidR="007D6522" w:rsidRPr="00D97B31">
        <w:t xml:space="preserve"> </w:t>
      </w:r>
    </w:p>
    <w:p w:rsidR="00D110BD" w:rsidRPr="00D97B31" w:rsidRDefault="005A373D" w:rsidP="00BB00B3">
      <w:pPr>
        <w:pStyle w:val="TableFigureHeading"/>
      </w:pPr>
      <w:r w:rsidRPr="00D97B31">
        <w:rPr>
          <w:rStyle w:val="CommentReference"/>
          <w:b/>
          <w:szCs w:val="24"/>
        </w:rPr>
        <w:t xml:space="preserve">Table </w:t>
      </w:r>
      <w:r w:rsidR="003813D7" w:rsidRPr="00D97B31">
        <w:rPr>
          <w:rStyle w:val="CommentReference"/>
          <w:b/>
          <w:szCs w:val="24"/>
        </w:rPr>
        <w:t>12</w:t>
      </w:r>
      <w:r w:rsidRPr="00D97B31">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56"/>
        <w:gridCol w:w="1951"/>
        <w:gridCol w:w="1877"/>
        <w:gridCol w:w="1933"/>
      </w:tblGrid>
      <w:tr w:rsidR="00CD2E12" w:rsidRPr="00D97B31" w:rsidTr="0028338E">
        <w:trPr>
          <w:tblHeader/>
        </w:trPr>
        <w:tc>
          <w:tcPr>
            <w:tcW w:w="1805" w:type="pct"/>
            <w:vAlign w:val="center"/>
          </w:tcPr>
          <w:p w:rsidR="00CD2E12" w:rsidRPr="00D97B31" w:rsidRDefault="00CD2E12" w:rsidP="000A4D3B">
            <w:pPr>
              <w:pStyle w:val="Tabletext"/>
              <w:widowControl w:val="0"/>
              <w:rPr>
                <w:b/>
              </w:rPr>
            </w:pPr>
            <w:r w:rsidRPr="00D97B31">
              <w:rPr>
                <w:b/>
              </w:rPr>
              <w:t>Step and component</w:t>
            </w:r>
          </w:p>
        </w:tc>
        <w:tc>
          <w:tcPr>
            <w:tcW w:w="1082" w:type="pct"/>
            <w:vAlign w:val="center"/>
          </w:tcPr>
          <w:p w:rsidR="00CD2E12" w:rsidRPr="00D97B31" w:rsidRDefault="00CD2E12" w:rsidP="000A4D3B">
            <w:pPr>
              <w:pStyle w:val="Tabletext"/>
              <w:widowControl w:val="0"/>
              <w:jc w:val="center"/>
              <w:rPr>
                <w:b/>
              </w:rPr>
            </w:pPr>
            <w:r w:rsidRPr="00D97B31">
              <w:rPr>
                <w:b/>
              </w:rPr>
              <w:t>Darolutamide</w:t>
            </w:r>
          </w:p>
        </w:tc>
        <w:tc>
          <w:tcPr>
            <w:tcW w:w="1040" w:type="pct"/>
            <w:vAlign w:val="center"/>
          </w:tcPr>
          <w:p w:rsidR="00CD2E12" w:rsidRPr="00D97B31" w:rsidRDefault="00CD2E12" w:rsidP="000A4D3B">
            <w:pPr>
              <w:pStyle w:val="Tabletext"/>
              <w:widowControl w:val="0"/>
              <w:jc w:val="center"/>
              <w:rPr>
                <w:b/>
              </w:rPr>
            </w:pPr>
            <w:r w:rsidRPr="00D97B31">
              <w:rPr>
                <w:b/>
              </w:rPr>
              <w:t>SOC</w:t>
            </w:r>
          </w:p>
        </w:tc>
        <w:tc>
          <w:tcPr>
            <w:tcW w:w="1072" w:type="pct"/>
            <w:vAlign w:val="center"/>
          </w:tcPr>
          <w:p w:rsidR="00CD2E12" w:rsidRPr="00D97B31" w:rsidRDefault="00CD2E12" w:rsidP="000A4D3B">
            <w:pPr>
              <w:pStyle w:val="Tabletext"/>
              <w:widowControl w:val="0"/>
              <w:jc w:val="center"/>
              <w:rPr>
                <w:b/>
              </w:rPr>
            </w:pPr>
            <w:r w:rsidRPr="00D97B31">
              <w:rPr>
                <w:b/>
              </w:rPr>
              <w:t>Increment</w:t>
            </w:r>
          </w:p>
        </w:tc>
      </w:tr>
      <w:tr w:rsidR="00CD2E12" w:rsidRPr="00D97B31" w:rsidTr="000A4D3B">
        <w:tc>
          <w:tcPr>
            <w:tcW w:w="5000" w:type="pct"/>
            <w:gridSpan w:val="4"/>
            <w:vAlign w:val="center"/>
          </w:tcPr>
          <w:p w:rsidR="00CD2E12" w:rsidRPr="00D97B31" w:rsidRDefault="00CD2E12" w:rsidP="000A4D3B">
            <w:pPr>
              <w:pStyle w:val="Tabletext"/>
              <w:widowControl w:val="0"/>
              <w:rPr>
                <w:b/>
              </w:rPr>
            </w:pPr>
            <w:r w:rsidRPr="00D97B31">
              <w:rPr>
                <w:b/>
              </w:rPr>
              <w:t>Step 1: trial-based time horizon (4 years)</w:t>
            </w:r>
          </w:p>
        </w:tc>
      </w:tr>
      <w:tr w:rsidR="00CD2E12" w:rsidRPr="00D97B31" w:rsidTr="0028338E">
        <w:tc>
          <w:tcPr>
            <w:tcW w:w="1805" w:type="pct"/>
            <w:vAlign w:val="center"/>
          </w:tcPr>
          <w:p w:rsidR="00CD2E12" w:rsidRPr="00D97B31" w:rsidRDefault="00CD2E12" w:rsidP="000A4D3B">
            <w:pPr>
              <w:pStyle w:val="Tabletext"/>
              <w:widowControl w:val="0"/>
              <w:rPr>
                <w:rFonts w:ascii="Times" w:hAnsi="Times"/>
              </w:rPr>
            </w:pPr>
            <w:r w:rsidRPr="00D97B31">
              <w:t>Costs</w:t>
            </w:r>
          </w:p>
        </w:tc>
        <w:tc>
          <w:tcPr>
            <w:tcW w:w="1082" w:type="pct"/>
          </w:tcPr>
          <w:p w:rsidR="00CD2E12" w:rsidRPr="00D97B31" w:rsidRDefault="00CD2E12" w:rsidP="000A4D3B">
            <w:pPr>
              <w:pStyle w:val="Tabletext"/>
              <w:widowControl w:val="0"/>
              <w:jc w:val="center"/>
              <w:rPr>
                <w:rFonts w:ascii="Times" w:hAnsi="Times"/>
              </w:rPr>
            </w:pPr>
            <w:r w:rsidRPr="00D97B31">
              <w:rPr>
                <w:rFonts w:cs="Arial"/>
              </w:rPr>
              <w:t>$</w:t>
            </w:r>
            <w:r w:rsidR="003B5BDD">
              <w:rPr>
                <w:rFonts w:cs="Arial"/>
                <w:noProof/>
                <w:color w:val="000000"/>
                <w:highlight w:val="black"/>
              </w:rPr>
              <w:t>'''''''''''''''''</w:t>
            </w:r>
          </w:p>
        </w:tc>
        <w:tc>
          <w:tcPr>
            <w:tcW w:w="1040" w:type="pct"/>
          </w:tcPr>
          <w:p w:rsidR="00CD2E12" w:rsidRPr="00D97B31" w:rsidRDefault="00CD2E12" w:rsidP="000A4D3B">
            <w:pPr>
              <w:pStyle w:val="Tabletext"/>
              <w:widowControl w:val="0"/>
              <w:jc w:val="center"/>
              <w:rPr>
                <w:rFonts w:ascii="Times" w:hAnsi="Times"/>
              </w:rPr>
            </w:pPr>
            <w:r w:rsidRPr="00D97B31">
              <w:rPr>
                <w:rFonts w:cs="Arial"/>
              </w:rPr>
              <w:t>$</w:t>
            </w:r>
            <w:r w:rsidR="003B5BDD">
              <w:rPr>
                <w:rFonts w:cs="Arial"/>
                <w:noProof/>
                <w:color w:val="000000"/>
                <w:highlight w:val="black"/>
              </w:rPr>
              <w:t>''''''''''''''''</w:t>
            </w:r>
          </w:p>
        </w:tc>
        <w:tc>
          <w:tcPr>
            <w:tcW w:w="1072" w:type="pct"/>
          </w:tcPr>
          <w:p w:rsidR="00CD2E12" w:rsidRPr="00D97B31" w:rsidRDefault="00CD2E12" w:rsidP="000A4D3B">
            <w:pPr>
              <w:pStyle w:val="Tabletext"/>
              <w:widowControl w:val="0"/>
              <w:jc w:val="center"/>
              <w:rPr>
                <w:rFonts w:ascii="Times" w:hAnsi="Times"/>
              </w:rPr>
            </w:pPr>
            <w:r w:rsidRPr="00D97B31">
              <w:rPr>
                <w:rFonts w:cs="Arial"/>
              </w:rPr>
              <w:t>$</w:t>
            </w:r>
            <w:r w:rsidR="003B5BDD">
              <w:rPr>
                <w:rFonts w:cs="Arial"/>
                <w:noProof/>
                <w:color w:val="000000"/>
                <w:highlight w:val="black"/>
              </w:rPr>
              <w:t>''''''''''''''''</w:t>
            </w:r>
          </w:p>
        </w:tc>
      </w:tr>
      <w:tr w:rsidR="00CD2E12" w:rsidRPr="00D97B31" w:rsidTr="0028338E">
        <w:tc>
          <w:tcPr>
            <w:tcW w:w="1805" w:type="pct"/>
            <w:vAlign w:val="center"/>
          </w:tcPr>
          <w:p w:rsidR="00CD2E12" w:rsidRPr="00D97B31" w:rsidRDefault="00CD2E12" w:rsidP="000A4D3B">
            <w:pPr>
              <w:pStyle w:val="Tabletext"/>
              <w:widowControl w:val="0"/>
              <w:rPr>
                <w:rFonts w:ascii="Times" w:hAnsi="Times"/>
              </w:rPr>
            </w:pPr>
            <w:r w:rsidRPr="00D97B31">
              <w:t>MFS year</w:t>
            </w:r>
          </w:p>
        </w:tc>
        <w:tc>
          <w:tcPr>
            <w:tcW w:w="1082" w:type="pct"/>
          </w:tcPr>
          <w:p w:rsidR="00CD2E12" w:rsidRPr="003B5BDD" w:rsidRDefault="003B5BDD" w:rsidP="000A4D3B">
            <w:pPr>
              <w:pStyle w:val="Tabletext"/>
              <w:widowControl w:val="0"/>
              <w:jc w:val="center"/>
              <w:rPr>
                <w:rFonts w:ascii="Times" w:hAnsi="Times"/>
                <w:highlight w:val="black"/>
              </w:rPr>
            </w:pPr>
            <w:r>
              <w:rPr>
                <w:rFonts w:cs="Arial"/>
                <w:noProof/>
                <w:color w:val="000000"/>
                <w:highlight w:val="black"/>
              </w:rPr>
              <w:t>''''''''''</w:t>
            </w:r>
          </w:p>
        </w:tc>
        <w:tc>
          <w:tcPr>
            <w:tcW w:w="1040" w:type="pct"/>
          </w:tcPr>
          <w:p w:rsidR="00CD2E12" w:rsidRPr="003B5BDD" w:rsidRDefault="003B5BDD" w:rsidP="000A4D3B">
            <w:pPr>
              <w:pStyle w:val="Tabletext"/>
              <w:widowControl w:val="0"/>
              <w:jc w:val="center"/>
              <w:rPr>
                <w:rFonts w:ascii="Times" w:hAnsi="Times"/>
                <w:highlight w:val="black"/>
              </w:rPr>
            </w:pPr>
            <w:r>
              <w:rPr>
                <w:rFonts w:cs="Arial"/>
                <w:noProof/>
                <w:color w:val="000000"/>
                <w:highlight w:val="black"/>
              </w:rPr>
              <w:t>'''''''''''</w:t>
            </w:r>
          </w:p>
        </w:tc>
        <w:tc>
          <w:tcPr>
            <w:tcW w:w="1072" w:type="pct"/>
          </w:tcPr>
          <w:p w:rsidR="00CD2E12" w:rsidRPr="00D97B31" w:rsidRDefault="00CD2E12" w:rsidP="000A4D3B">
            <w:pPr>
              <w:pStyle w:val="Tabletext"/>
              <w:widowControl w:val="0"/>
              <w:jc w:val="center"/>
            </w:pPr>
            <w:r w:rsidRPr="00D97B31">
              <w:t>0.83</w:t>
            </w:r>
          </w:p>
        </w:tc>
      </w:tr>
      <w:tr w:rsidR="00CD2E12" w:rsidRPr="00D97B31" w:rsidTr="0028338E">
        <w:tc>
          <w:tcPr>
            <w:tcW w:w="1805" w:type="pct"/>
            <w:vAlign w:val="center"/>
          </w:tcPr>
          <w:p w:rsidR="00CD2E12" w:rsidRPr="00D97B31" w:rsidRDefault="00CD2E12" w:rsidP="000A4D3B">
            <w:pPr>
              <w:pStyle w:val="Tabletext"/>
              <w:widowControl w:val="0"/>
            </w:pPr>
            <w:r w:rsidRPr="00D97B31">
              <w:t>LY</w:t>
            </w:r>
          </w:p>
        </w:tc>
        <w:tc>
          <w:tcPr>
            <w:tcW w:w="1082" w:type="pct"/>
          </w:tcPr>
          <w:p w:rsidR="00CD2E12" w:rsidRPr="003B5BDD" w:rsidRDefault="003B5BDD" w:rsidP="000A4D3B">
            <w:pPr>
              <w:pStyle w:val="Tabletext"/>
              <w:widowControl w:val="0"/>
              <w:jc w:val="center"/>
              <w:rPr>
                <w:rFonts w:cs="Arial"/>
                <w:color w:val="000000"/>
                <w:highlight w:val="black"/>
              </w:rPr>
            </w:pPr>
            <w:r>
              <w:rPr>
                <w:rFonts w:cs="Arial"/>
                <w:noProof/>
                <w:color w:val="000000"/>
                <w:highlight w:val="black"/>
              </w:rPr>
              <w:t>'''''''''''</w:t>
            </w:r>
          </w:p>
        </w:tc>
        <w:tc>
          <w:tcPr>
            <w:tcW w:w="1040" w:type="pct"/>
          </w:tcPr>
          <w:p w:rsidR="00CD2E12" w:rsidRPr="003B5BDD" w:rsidRDefault="003B5BDD" w:rsidP="000A4D3B">
            <w:pPr>
              <w:pStyle w:val="Tabletext"/>
              <w:widowControl w:val="0"/>
              <w:jc w:val="center"/>
              <w:rPr>
                <w:rFonts w:cs="Arial"/>
                <w:color w:val="000000"/>
                <w:highlight w:val="black"/>
              </w:rPr>
            </w:pPr>
            <w:r>
              <w:rPr>
                <w:rFonts w:cs="Arial"/>
                <w:noProof/>
                <w:color w:val="000000"/>
                <w:highlight w:val="black"/>
              </w:rPr>
              <w:t>''''''''''</w:t>
            </w:r>
          </w:p>
        </w:tc>
        <w:tc>
          <w:tcPr>
            <w:tcW w:w="1072" w:type="pct"/>
          </w:tcPr>
          <w:p w:rsidR="00CD2E12" w:rsidRPr="00D97B31" w:rsidRDefault="00CD2E12" w:rsidP="000A4D3B">
            <w:pPr>
              <w:pStyle w:val="Tabletext"/>
              <w:widowControl w:val="0"/>
              <w:jc w:val="center"/>
              <w:rPr>
                <w:rFonts w:cs="Arial"/>
                <w:color w:val="000000"/>
              </w:rPr>
            </w:pPr>
            <w:r w:rsidRPr="00D97B31">
              <w:rPr>
                <w:rFonts w:cs="Arial"/>
                <w:color w:val="000000"/>
              </w:rPr>
              <w:t>0.14</w:t>
            </w:r>
          </w:p>
        </w:tc>
      </w:tr>
      <w:tr w:rsidR="00CD2E12" w:rsidRPr="00D97B31" w:rsidTr="0028338E">
        <w:tc>
          <w:tcPr>
            <w:tcW w:w="1805" w:type="pct"/>
            <w:vAlign w:val="center"/>
          </w:tcPr>
          <w:p w:rsidR="00CD2E12" w:rsidRPr="00D97B31" w:rsidRDefault="00CD2E12" w:rsidP="000A4D3B">
            <w:pPr>
              <w:pStyle w:val="Tabletext"/>
              <w:widowControl w:val="0"/>
            </w:pPr>
            <w:r w:rsidRPr="00D97B31">
              <w:t>QALY</w:t>
            </w:r>
          </w:p>
        </w:tc>
        <w:tc>
          <w:tcPr>
            <w:tcW w:w="1082" w:type="pct"/>
          </w:tcPr>
          <w:p w:rsidR="00CD2E12" w:rsidRPr="003B5BDD" w:rsidRDefault="003B5BDD" w:rsidP="000A4D3B">
            <w:pPr>
              <w:pStyle w:val="Tabletext"/>
              <w:widowControl w:val="0"/>
              <w:jc w:val="center"/>
              <w:rPr>
                <w:rFonts w:cs="Arial"/>
                <w:color w:val="000000"/>
                <w:highlight w:val="black"/>
              </w:rPr>
            </w:pPr>
            <w:r>
              <w:rPr>
                <w:rFonts w:cs="Arial"/>
                <w:noProof/>
                <w:color w:val="000000"/>
                <w:highlight w:val="black"/>
              </w:rPr>
              <w:t>''''''''''</w:t>
            </w:r>
          </w:p>
        </w:tc>
        <w:tc>
          <w:tcPr>
            <w:tcW w:w="1040" w:type="pct"/>
          </w:tcPr>
          <w:p w:rsidR="00CD2E12" w:rsidRPr="003B5BDD" w:rsidRDefault="003B5BDD" w:rsidP="000A4D3B">
            <w:pPr>
              <w:pStyle w:val="Tabletext"/>
              <w:widowControl w:val="0"/>
              <w:jc w:val="center"/>
              <w:rPr>
                <w:rFonts w:cs="Arial"/>
                <w:color w:val="000000"/>
                <w:highlight w:val="black"/>
              </w:rPr>
            </w:pPr>
            <w:r>
              <w:rPr>
                <w:rFonts w:cs="Arial"/>
                <w:noProof/>
                <w:color w:val="000000"/>
                <w:highlight w:val="black"/>
              </w:rPr>
              <w:t>''''''''''</w:t>
            </w:r>
          </w:p>
        </w:tc>
        <w:tc>
          <w:tcPr>
            <w:tcW w:w="1072" w:type="pct"/>
          </w:tcPr>
          <w:p w:rsidR="00CD2E12" w:rsidRPr="00D97B31" w:rsidRDefault="00CD2E12" w:rsidP="000A4D3B">
            <w:pPr>
              <w:pStyle w:val="Tabletext"/>
              <w:widowControl w:val="0"/>
              <w:jc w:val="center"/>
              <w:rPr>
                <w:rFonts w:cs="Arial"/>
                <w:color w:val="000000"/>
              </w:rPr>
            </w:pPr>
            <w:r w:rsidRPr="00D97B31">
              <w:rPr>
                <w:rFonts w:cs="Arial"/>
                <w:color w:val="000000"/>
              </w:rPr>
              <w:t>0.34</w:t>
            </w:r>
          </w:p>
        </w:tc>
      </w:tr>
      <w:tr w:rsidR="00CD2E12" w:rsidRPr="00D97B31" w:rsidTr="0028338E">
        <w:tc>
          <w:tcPr>
            <w:tcW w:w="3928" w:type="pct"/>
            <w:gridSpan w:val="3"/>
            <w:vAlign w:val="center"/>
          </w:tcPr>
          <w:p w:rsidR="00CD2E12" w:rsidRPr="00D97B31" w:rsidRDefault="00CD2E12" w:rsidP="000A4D3B">
            <w:pPr>
              <w:pStyle w:val="Tabletext"/>
              <w:widowControl w:val="0"/>
              <w:rPr>
                <w:rFonts w:cs="Arial"/>
                <w:color w:val="000000"/>
              </w:rPr>
            </w:pPr>
            <w:r w:rsidRPr="00D97B31">
              <w:t>Incremental cost/MFS year gained</w:t>
            </w:r>
          </w:p>
        </w:tc>
        <w:tc>
          <w:tcPr>
            <w:tcW w:w="1072" w:type="pct"/>
            <w:vAlign w:val="center"/>
          </w:tcPr>
          <w:p w:rsidR="00CD2E12" w:rsidRPr="00D97B31" w:rsidRDefault="00CD2E12" w:rsidP="000A4D3B">
            <w:pPr>
              <w:pStyle w:val="Tabletext"/>
              <w:widowControl w:val="0"/>
              <w:jc w:val="center"/>
              <w:rPr>
                <w:rFonts w:cs="Arial"/>
                <w:color w:val="000000"/>
              </w:rPr>
            </w:pPr>
            <w:r w:rsidRPr="00D97B31">
              <w:rPr>
                <w:rFonts w:cs="Arial"/>
                <w:bCs/>
                <w:color w:val="000000"/>
              </w:rPr>
              <w:t>$</w:t>
            </w:r>
            <w:r w:rsidR="003B5BDD">
              <w:rPr>
                <w:rFonts w:cs="Arial"/>
                <w:bCs/>
                <w:noProof/>
                <w:color w:val="000000"/>
                <w:highlight w:val="black"/>
              </w:rPr>
              <w:t>'''''''''''''''''</w:t>
            </w:r>
          </w:p>
        </w:tc>
      </w:tr>
      <w:tr w:rsidR="00CD2E12" w:rsidRPr="00D97B31" w:rsidTr="0028338E">
        <w:tc>
          <w:tcPr>
            <w:tcW w:w="3928" w:type="pct"/>
            <w:gridSpan w:val="3"/>
            <w:vAlign w:val="center"/>
          </w:tcPr>
          <w:p w:rsidR="00CD2E12" w:rsidRPr="00D97B31" w:rsidRDefault="00CD2E12" w:rsidP="000A4D3B">
            <w:pPr>
              <w:pStyle w:val="Tabletext"/>
              <w:widowControl w:val="0"/>
            </w:pPr>
            <w:r w:rsidRPr="00D97B31">
              <w:t>Incremental cost/extra LY gained</w:t>
            </w:r>
          </w:p>
        </w:tc>
        <w:tc>
          <w:tcPr>
            <w:tcW w:w="1072" w:type="pct"/>
            <w:vAlign w:val="center"/>
          </w:tcPr>
          <w:p w:rsidR="00CD2E12" w:rsidRPr="00D97B31" w:rsidRDefault="00CD2E12" w:rsidP="000A4D3B">
            <w:pPr>
              <w:pStyle w:val="Tabletext"/>
              <w:widowControl w:val="0"/>
              <w:jc w:val="center"/>
              <w:rPr>
                <w:rFonts w:cs="Arial"/>
                <w:bCs/>
                <w:color w:val="000000"/>
              </w:rPr>
            </w:pPr>
            <w:r w:rsidRPr="00D97B31">
              <w:rPr>
                <w:rFonts w:cs="Arial"/>
                <w:bCs/>
                <w:color w:val="000000"/>
              </w:rPr>
              <w:t>$</w:t>
            </w:r>
            <w:r w:rsidR="003B5BDD">
              <w:rPr>
                <w:rFonts w:cs="Arial"/>
                <w:bCs/>
                <w:noProof/>
                <w:color w:val="000000"/>
                <w:highlight w:val="black"/>
              </w:rPr>
              <w:t>'''''''''''''''''''</w:t>
            </w:r>
          </w:p>
        </w:tc>
      </w:tr>
      <w:tr w:rsidR="00CD2E12" w:rsidRPr="00D97B31" w:rsidTr="0028338E">
        <w:tc>
          <w:tcPr>
            <w:tcW w:w="3928" w:type="pct"/>
            <w:gridSpan w:val="3"/>
            <w:vAlign w:val="center"/>
          </w:tcPr>
          <w:p w:rsidR="00CD2E12" w:rsidRPr="00D97B31" w:rsidRDefault="00CD2E12" w:rsidP="000A4D3B">
            <w:pPr>
              <w:pStyle w:val="Tabletext"/>
              <w:widowControl w:val="0"/>
            </w:pPr>
            <w:r w:rsidRPr="00D97B31">
              <w:t>Incremental cost/extra QALY gained</w:t>
            </w:r>
          </w:p>
        </w:tc>
        <w:tc>
          <w:tcPr>
            <w:tcW w:w="1072" w:type="pct"/>
            <w:vAlign w:val="center"/>
          </w:tcPr>
          <w:p w:rsidR="00CD2E12" w:rsidRPr="00D97B31" w:rsidRDefault="00CD2E12" w:rsidP="000A4D3B">
            <w:pPr>
              <w:pStyle w:val="Tabletext"/>
              <w:widowControl w:val="0"/>
              <w:jc w:val="center"/>
              <w:rPr>
                <w:rFonts w:cs="Arial"/>
                <w:bCs/>
                <w:color w:val="000000"/>
              </w:rPr>
            </w:pPr>
            <w:r w:rsidRPr="00D97B31">
              <w:rPr>
                <w:rFonts w:cs="Arial"/>
                <w:bCs/>
                <w:color w:val="000000"/>
              </w:rPr>
              <w:t>$</w:t>
            </w:r>
            <w:r w:rsidR="003B5BDD">
              <w:rPr>
                <w:rFonts w:cs="Arial"/>
                <w:bCs/>
                <w:noProof/>
                <w:color w:val="000000"/>
                <w:highlight w:val="black"/>
              </w:rPr>
              <w:t>''''''''''''''''''''</w:t>
            </w:r>
          </w:p>
        </w:tc>
      </w:tr>
      <w:tr w:rsidR="00CD2E12" w:rsidRPr="00D97B31" w:rsidTr="000A4D3B">
        <w:tc>
          <w:tcPr>
            <w:tcW w:w="5000" w:type="pct"/>
            <w:gridSpan w:val="4"/>
            <w:tcBorders>
              <w:top w:val="double" w:sz="4" w:space="0" w:color="auto"/>
            </w:tcBorders>
            <w:vAlign w:val="center"/>
          </w:tcPr>
          <w:p w:rsidR="00CD2E12" w:rsidRPr="00D97B31" w:rsidRDefault="00CD2E12" w:rsidP="000A4D3B">
            <w:pPr>
              <w:pStyle w:val="Tabletext"/>
              <w:widowControl w:val="0"/>
              <w:rPr>
                <w:b/>
              </w:rPr>
            </w:pPr>
            <w:r w:rsidRPr="00D97B31">
              <w:rPr>
                <w:b/>
              </w:rPr>
              <w:t>Step 2: 10 year time horizon</w:t>
            </w:r>
          </w:p>
        </w:tc>
      </w:tr>
      <w:tr w:rsidR="00CD2E12" w:rsidRPr="00D97B31" w:rsidTr="0028338E">
        <w:tc>
          <w:tcPr>
            <w:tcW w:w="1805" w:type="pct"/>
            <w:vAlign w:val="center"/>
          </w:tcPr>
          <w:p w:rsidR="00CD2E12" w:rsidRPr="00D97B31" w:rsidRDefault="00CD2E12" w:rsidP="000A4D3B">
            <w:pPr>
              <w:pStyle w:val="Tabletext"/>
              <w:widowControl w:val="0"/>
              <w:rPr>
                <w:rFonts w:ascii="Times" w:hAnsi="Times"/>
              </w:rPr>
            </w:pPr>
            <w:r w:rsidRPr="00D97B31">
              <w:t>Costs</w:t>
            </w:r>
          </w:p>
        </w:tc>
        <w:tc>
          <w:tcPr>
            <w:tcW w:w="1082" w:type="pct"/>
          </w:tcPr>
          <w:p w:rsidR="00CD2E12" w:rsidRPr="00D97B31" w:rsidRDefault="00CD2E12" w:rsidP="000A4D3B">
            <w:pPr>
              <w:pStyle w:val="Tabletext"/>
              <w:widowControl w:val="0"/>
              <w:jc w:val="center"/>
              <w:rPr>
                <w:szCs w:val="20"/>
              </w:rPr>
            </w:pPr>
            <w:r w:rsidRPr="00D97B31">
              <w:rPr>
                <w:szCs w:val="20"/>
              </w:rPr>
              <w:t>$</w:t>
            </w:r>
            <w:r w:rsidR="003B5BDD">
              <w:rPr>
                <w:noProof/>
                <w:color w:val="000000"/>
                <w:szCs w:val="20"/>
                <w:highlight w:val="black"/>
              </w:rPr>
              <w:t>''''''''''''''''''''''</w:t>
            </w:r>
          </w:p>
        </w:tc>
        <w:tc>
          <w:tcPr>
            <w:tcW w:w="1040" w:type="pct"/>
          </w:tcPr>
          <w:p w:rsidR="00CD2E12" w:rsidRPr="00D97B31" w:rsidRDefault="00CD2E12" w:rsidP="000A4D3B">
            <w:pPr>
              <w:pStyle w:val="Tabletext"/>
              <w:widowControl w:val="0"/>
              <w:jc w:val="center"/>
              <w:rPr>
                <w:szCs w:val="20"/>
              </w:rPr>
            </w:pPr>
            <w:r w:rsidRPr="00D97B31">
              <w:rPr>
                <w:szCs w:val="20"/>
              </w:rPr>
              <w:t>$</w:t>
            </w:r>
            <w:r w:rsidR="003B5BDD">
              <w:rPr>
                <w:noProof/>
                <w:color w:val="000000"/>
                <w:szCs w:val="20"/>
                <w:highlight w:val="black"/>
              </w:rPr>
              <w:t>''''''''''''''''</w:t>
            </w:r>
          </w:p>
        </w:tc>
        <w:tc>
          <w:tcPr>
            <w:tcW w:w="1072" w:type="pct"/>
          </w:tcPr>
          <w:p w:rsidR="00CD2E12" w:rsidRPr="00D97B31" w:rsidRDefault="00CD2E12" w:rsidP="000A4D3B">
            <w:pPr>
              <w:pStyle w:val="Tabletext"/>
              <w:widowControl w:val="0"/>
              <w:jc w:val="center"/>
              <w:rPr>
                <w:szCs w:val="20"/>
              </w:rPr>
            </w:pPr>
            <w:r w:rsidRPr="00D97B31">
              <w:rPr>
                <w:szCs w:val="20"/>
              </w:rPr>
              <w:t>$</w:t>
            </w:r>
            <w:r w:rsidR="003B5BDD">
              <w:rPr>
                <w:noProof/>
                <w:color w:val="000000"/>
                <w:szCs w:val="20"/>
                <w:highlight w:val="black"/>
              </w:rPr>
              <w:t>''''''''''''''''</w:t>
            </w:r>
          </w:p>
        </w:tc>
      </w:tr>
      <w:tr w:rsidR="00CD2E12" w:rsidRPr="00D97B31" w:rsidTr="0028338E">
        <w:tc>
          <w:tcPr>
            <w:tcW w:w="1805" w:type="pct"/>
            <w:vAlign w:val="center"/>
          </w:tcPr>
          <w:p w:rsidR="00CD2E12" w:rsidRPr="00D97B31" w:rsidRDefault="00CD2E12" w:rsidP="000A4D3B">
            <w:pPr>
              <w:pStyle w:val="Tabletext"/>
              <w:widowControl w:val="0"/>
            </w:pPr>
            <w:r w:rsidRPr="00D97B31">
              <w:t>LY</w:t>
            </w:r>
          </w:p>
        </w:tc>
        <w:tc>
          <w:tcPr>
            <w:tcW w:w="1082" w:type="pct"/>
          </w:tcPr>
          <w:p w:rsidR="00CD2E12" w:rsidRPr="003B5BDD" w:rsidRDefault="003B5BDD" w:rsidP="000A4D3B">
            <w:pPr>
              <w:pStyle w:val="Tabletext"/>
              <w:widowControl w:val="0"/>
              <w:jc w:val="center"/>
              <w:rPr>
                <w:szCs w:val="20"/>
                <w:highlight w:val="black"/>
              </w:rPr>
            </w:pPr>
            <w:r>
              <w:rPr>
                <w:noProof/>
                <w:color w:val="000000"/>
                <w:szCs w:val="20"/>
                <w:highlight w:val="black"/>
              </w:rPr>
              <w:t>''''''''''</w:t>
            </w:r>
          </w:p>
        </w:tc>
        <w:tc>
          <w:tcPr>
            <w:tcW w:w="1040" w:type="pct"/>
          </w:tcPr>
          <w:p w:rsidR="00CD2E12" w:rsidRPr="003B5BDD" w:rsidRDefault="003B5BDD" w:rsidP="000A4D3B">
            <w:pPr>
              <w:pStyle w:val="Tabletext"/>
              <w:widowControl w:val="0"/>
              <w:jc w:val="center"/>
              <w:rPr>
                <w:szCs w:val="20"/>
                <w:highlight w:val="black"/>
              </w:rPr>
            </w:pPr>
            <w:r>
              <w:rPr>
                <w:noProof/>
                <w:color w:val="000000"/>
                <w:szCs w:val="20"/>
                <w:highlight w:val="black"/>
              </w:rPr>
              <w:t>''''''''''''</w:t>
            </w:r>
          </w:p>
        </w:tc>
        <w:tc>
          <w:tcPr>
            <w:tcW w:w="1072" w:type="pct"/>
          </w:tcPr>
          <w:p w:rsidR="00CD2E12" w:rsidRPr="00D97B31" w:rsidRDefault="00CD2E12" w:rsidP="000A4D3B">
            <w:pPr>
              <w:pStyle w:val="Tabletext"/>
              <w:widowControl w:val="0"/>
              <w:jc w:val="center"/>
              <w:rPr>
                <w:szCs w:val="20"/>
              </w:rPr>
            </w:pPr>
            <w:r w:rsidRPr="00D97B31">
              <w:rPr>
                <w:szCs w:val="20"/>
              </w:rPr>
              <w:t>0.94</w:t>
            </w:r>
          </w:p>
        </w:tc>
      </w:tr>
      <w:tr w:rsidR="00CD2E12" w:rsidRPr="00D97B31" w:rsidTr="0028338E">
        <w:tc>
          <w:tcPr>
            <w:tcW w:w="3928" w:type="pct"/>
            <w:gridSpan w:val="3"/>
            <w:vAlign w:val="center"/>
          </w:tcPr>
          <w:p w:rsidR="00CD2E12" w:rsidRPr="00D97B31" w:rsidRDefault="00CD2E12" w:rsidP="000A4D3B">
            <w:pPr>
              <w:pStyle w:val="Tabletext"/>
              <w:widowControl w:val="0"/>
              <w:rPr>
                <w:szCs w:val="20"/>
              </w:rPr>
            </w:pPr>
            <w:r w:rsidRPr="00D97B31">
              <w:t>Incremental cost/extra LY gained (base case)</w:t>
            </w:r>
          </w:p>
        </w:tc>
        <w:tc>
          <w:tcPr>
            <w:tcW w:w="1072" w:type="pct"/>
            <w:vAlign w:val="center"/>
          </w:tcPr>
          <w:p w:rsidR="00CD2E12" w:rsidRPr="00D97B31" w:rsidRDefault="00CD2E12" w:rsidP="000A4D3B">
            <w:pPr>
              <w:pStyle w:val="Tabletext"/>
              <w:widowControl w:val="0"/>
              <w:jc w:val="center"/>
              <w:rPr>
                <w:szCs w:val="20"/>
              </w:rPr>
            </w:pPr>
            <w:r w:rsidRPr="00D97B31">
              <w:rPr>
                <w:szCs w:val="20"/>
              </w:rPr>
              <w:t>$</w:t>
            </w:r>
            <w:r w:rsidR="003B5BDD">
              <w:rPr>
                <w:noProof/>
                <w:color w:val="000000"/>
                <w:szCs w:val="20"/>
                <w:highlight w:val="black"/>
              </w:rPr>
              <w:t>''''''''''''''''''</w:t>
            </w:r>
          </w:p>
        </w:tc>
      </w:tr>
      <w:tr w:rsidR="00CD2E12" w:rsidRPr="00D97B31" w:rsidTr="0028338E">
        <w:tc>
          <w:tcPr>
            <w:tcW w:w="1805" w:type="pct"/>
            <w:vAlign w:val="center"/>
          </w:tcPr>
          <w:p w:rsidR="00CD2E12" w:rsidRPr="00D97B31" w:rsidRDefault="00CD2E12" w:rsidP="000A4D3B">
            <w:pPr>
              <w:pStyle w:val="Tabletext"/>
              <w:widowControl w:val="0"/>
              <w:rPr>
                <w:rFonts w:ascii="Times" w:hAnsi="Times"/>
              </w:rPr>
            </w:pPr>
            <w:r w:rsidRPr="00D97B31">
              <w:t>QALY</w:t>
            </w:r>
          </w:p>
        </w:tc>
        <w:tc>
          <w:tcPr>
            <w:tcW w:w="1082" w:type="pct"/>
          </w:tcPr>
          <w:p w:rsidR="00CD2E12" w:rsidRPr="003B5BDD" w:rsidRDefault="003B5BDD" w:rsidP="000A4D3B">
            <w:pPr>
              <w:pStyle w:val="Tabletext"/>
              <w:widowControl w:val="0"/>
              <w:jc w:val="center"/>
              <w:rPr>
                <w:szCs w:val="20"/>
                <w:highlight w:val="black"/>
              </w:rPr>
            </w:pPr>
            <w:r>
              <w:rPr>
                <w:noProof/>
                <w:color w:val="000000"/>
                <w:szCs w:val="20"/>
                <w:highlight w:val="black"/>
              </w:rPr>
              <w:t>''''''''''''</w:t>
            </w:r>
          </w:p>
        </w:tc>
        <w:tc>
          <w:tcPr>
            <w:tcW w:w="1040" w:type="pct"/>
          </w:tcPr>
          <w:p w:rsidR="00CD2E12" w:rsidRPr="003B5BDD" w:rsidRDefault="003B5BDD" w:rsidP="000A4D3B">
            <w:pPr>
              <w:pStyle w:val="Tabletext"/>
              <w:widowControl w:val="0"/>
              <w:jc w:val="center"/>
              <w:rPr>
                <w:szCs w:val="20"/>
                <w:highlight w:val="black"/>
              </w:rPr>
            </w:pPr>
            <w:r>
              <w:rPr>
                <w:noProof/>
                <w:color w:val="000000"/>
                <w:szCs w:val="20"/>
                <w:highlight w:val="black"/>
              </w:rPr>
              <w:t>''''''''''</w:t>
            </w:r>
          </w:p>
        </w:tc>
        <w:tc>
          <w:tcPr>
            <w:tcW w:w="1072" w:type="pct"/>
          </w:tcPr>
          <w:p w:rsidR="00CD2E12" w:rsidRPr="00D97B31" w:rsidRDefault="00CD2E12" w:rsidP="000A4D3B">
            <w:pPr>
              <w:pStyle w:val="Tabletext"/>
              <w:widowControl w:val="0"/>
              <w:jc w:val="center"/>
              <w:rPr>
                <w:szCs w:val="20"/>
              </w:rPr>
            </w:pPr>
            <w:r w:rsidRPr="00D97B31">
              <w:rPr>
                <w:szCs w:val="20"/>
              </w:rPr>
              <w:t>1.05</w:t>
            </w:r>
          </w:p>
        </w:tc>
      </w:tr>
      <w:tr w:rsidR="00CD2E12" w:rsidRPr="00D97B31" w:rsidTr="0028338E">
        <w:tc>
          <w:tcPr>
            <w:tcW w:w="3928" w:type="pct"/>
            <w:gridSpan w:val="3"/>
            <w:vAlign w:val="center"/>
          </w:tcPr>
          <w:p w:rsidR="00CD2E12" w:rsidRPr="00D97B31" w:rsidRDefault="00CD2E12" w:rsidP="000A4D3B">
            <w:pPr>
              <w:pStyle w:val="Tabletext"/>
              <w:widowControl w:val="0"/>
              <w:rPr>
                <w:szCs w:val="20"/>
              </w:rPr>
            </w:pPr>
            <w:r w:rsidRPr="00D97B31">
              <w:rPr>
                <w:b/>
              </w:rPr>
              <w:t>Incremental cost/extra QALY gained (base case)</w:t>
            </w:r>
          </w:p>
        </w:tc>
        <w:tc>
          <w:tcPr>
            <w:tcW w:w="1072" w:type="pct"/>
            <w:vAlign w:val="center"/>
          </w:tcPr>
          <w:p w:rsidR="00CD2E12" w:rsidRPr="00D97B31" w:rsidRDefault="00CD2E12" w:rsidP="000A4D3B">
            <w:pPr>
              <w:pStyle w:val="Tabletext"/>
              <w:widowControl w:val="0"/>
              <w:jc w:val="center"/>
              <w:rPr>
                <w:b/>
                <w:szCs w:val="20"/>
              </w:rPr>
            </w:pPr>
            <w:r w:rsidRPr="00D97B31">
              <w:rPr>
                <w:b/>
                <w:szCs w:val="20"/>
              </w:rPr>
              <w:t>$</w:t>
            </w:r>
            <w:r w:rsidR="003B5BDD">
              <w:rPr>
                <w:b/>
                <w:noProof/>
                <w:color w:val="000000"/>
                <w:szCs w:val="20"/>
                <w:highlight w:val="black"/>
              </w:rPr>
              <w:t>''''''''''''</w:t>
            </w:r>
          </w:p>
        </w:tc>
      </w:tr>
    </w:tbl>
    <w:p w:rsidR="00CD2E12" w:rsidRPr="00D97B31" w:rsidRDefault="00CD2E12" w:rsidP="00CD2E12">
      <w:pPr>
        <w:pStyle w:val="TableFooter"/>
        <w:keepNext/>
        <w:keepLines/>
      </w:pPr>
      <w:r w:rsidRPr="00D97B31">
        <w:t>Source: Table 3-30, p247; Table 3-33, p248 of the submission and the ‘Model Results’ worksheet of the Excel workbook ‘DARO_Section3Model_March2020 FINAL’.</w:t>
      </w:r>
    </w:p>
    <w:p w:rsidR="00275647" w:rsidRPr="00D97B31" w:rsidRDefault="00CD2E12" w:rsidP="00CD2E12">
      <w:pPr>
        <w:rPr>
          <w:rFonts w:ascii="Arial Narrow" w:hAnsi="Arial Narrow"/>
          <w:sz w:val="18"/>
          <w:szCs w:val="18"/>
        </w:rPr>
      </w:pPr>
      <w:r w:rsidRPr="00D97B31">
        <w:rPr>
          <w:rFonts w:ascii="Arial Narrow" w:hAnsi="Arial Narrow"/>
          <w:sz w:val="18"/>
          <w:szCs w:val="18"/>
        </w:rPr>
        <w:t>MFS=metastasis-free survival; SOC=standard of care</w:t>
      </w:r>
    </w:p>
    <w:p w:rsidR="001F4081" w:rsidRPr="00D97B31" w:rsidRDefault="001F4081" w:rsidP="00BB732D">
      <w:pPr>
        <w:pStyle w:val="TableFigureFooter"/>
        <w:rPr>
          <w:rFonts w:eastAsia="Calibri"/>
          <w:szCs w:val="20"/>
        </w:rPr>
      </w:pPr>
    </w:p>
    <w:p w:rsidR="00E163DE" w:rsidRPr="00E163DE" w:rsidRDefault="00E163DE" w:rsidP="00E163DE">
      <w:pPr>
        <w:pStyle w:val="3-BodyText"/>
        <w:numPr>
          <w:ilvl w:val="0"/>
          <w:numId w:val="0"/>
        </w:numPr>
        <w:ind w:left="720" w:hanging="720"/>
        <w:rPr>
          <w:i/>
        </w:rPr>
      </w:pPr>
      <w:r>
        <w:rPr>
          <w:i/>
        </w:rPr>
        <w:t xml:space="preserve">The redacted table shows ICERs in the range of </w:t>
      </w:r>
      <w:r>
        <w:t>$45,000/QALY - $75,000/QALY.</w:t>
      </w:r>
    </w:p>
    <w:p w:rsidR="00A43D61" w:rsidRPr="00D97B31" w:rsidRDefault="006B3F84" w:rsidP="00BB732D">
      <w:pPr>
        <w:pStyle w:val="3-BodyText"/>
      </w:pPr>
      <w:r w:rsidRPr="00D97B31">
        <w:rPr>
          <w:iCs/>
        </w:rPr>
        <w:t>The gain</w:t>
      </w:r>
      <w:r w:rsidR="00897661" w:rsidRPr="00D97B31">
        <w:rPr>
          <w:iCs/>
        </w:rPr>
        <w:t>s</w:t>
      </w:r>
      <w:r w:rsidRPr="00D97B31">
        <w:rPr>
          <w:iCs/>
        </w:rPr>
        <w:t xml:space="preserve"> in incremental life years and QALYs over the 4-year trial-based time horizon were 0.14 and 0.34 respectively. Thus</w:t>
      </w:r>
      <w:r w:rsidR="00557D6F" w:rsidRPr="00D97B31">
        <w:rPr>
          <w:iCs/>
        </w:rPr>
        <w:t>,</w:t>
      </w:r>
      <w:r w:rsidRPr="00D97B31">
        <w:rPr>
          <w:iCs/>
        </w:rPr>
        <w:t xml:space="preserve"> the majority of the total estimated life year and QALY gains (0.94 and 1.05 respectively) were in the extrapolated period. </w:t>
      </w:r>
      <w:r w:rsidR="00A43D61" w:rsidRPr="00D97B31">
        <w:rPr>
          <w:iCs/>
        </w:rPr>
        <w:t>The QALY gain (1.05) was greater than the life years gained (0.94)</w:t>
      </w:r>
      <w:r w:rsidRPr="00D97B31">
        <w:rPr>
          <w:iCs/>
        </w:rPr>
        <w:t xml:space="preserve">, </w:t>
      </w:r>
      <w:r w:rsidR="00103054" w:rsidRPr="00D97B31">
        <w:rPr>
          <w:iCs/>
        </w:rPr>
        <w:t>which</w:t>
      </w:r>
      <w:r w:rsidR="00A65424" w:rsidRPr="00D97B31">
        <w:rPr>
          <w:iCs/>
        </w:rPr>
        <w:t xml:space="preserve"> </w:t>
      </w:r>
      <w:r w:rsidR="003269D1" w:rsidRPr="00D97B31">
        <w:rPr>
          <w:iCs/>
        </w:rPr>
        <w:t>reflect</w:t>
      </w:r>
      <w:r w:rsidR="00557D6F" w:rsidRPr="00D97B31">
        <w:rPr>
          <w:iCs/>
        </w:rPr>
        <w:t>ed</w:t>
      </w:r>
      <w:r w:rsidR="00A65424" w:rsidRPr="00D97B31">
        <w:rPr>
          <w:iCs/>
        </w:rPr>
        <w:t xml:space="preserve"> the </w:t>
      </w:r>
      <w:r w:rsidR="00A43D61" w:rsidRPr="00D97B31">
        <w:rPr>
          <w:iCs/>
        </w:rPr>
        <w:t xml:space="preserve">considerable </w:t>
      </w:r>
      <w:r w:rsidR="00A65424" w:rsidRPr="00D97B31">
        <w:rPr>
          <w:iCs/>
        </w:rPr>
        <w:t xml:space="preserve">difference </w:t>
      </w:r>
      <w:r w:rsidR="00A43D61" w:rsidRPr="00D97B31">
        <w:rPr>
          <w:iCs/>
        </w:rPr>
        <w:t>in utilit</w:t>
      </w:r>
      <w:r w:rsidR="00A65424" w:rsidRPr="00D97B31">
        <w:rPr>
          <w:iCs/>
        </w:rPr>
        <w:t>ies</w:t>
      </w:r>
      <w:r w:rsidR="00A43D61" w:rsidRPr="00D97B31">
        <w:rPr>
          <w:iCs/>
        </w:rPr>
        <w:t xml:space="preserve"> assigned to the </w:t>
      </w:r>
      <w:r w:rsidR="00A132F2">
        <w:rPr>
          <w:iCs/>
        </w:rPr>
        <w:t>metastatic castration resistant prostate cancer (</w:t>
      </w:r>
      <w:r w:rsidR="00A43D61" w:rsidRPr="00D97B31">
        <w:rPr>
          <w:iCs/>
        </w:rPr>
        <w:t>mCRPC</w:t>
      </w:r>
      <w:r w:rsidR="00A132F2">
        <w:rPr>
          <w:iCs/>
        </w:rPr>
        <w:t xml:space="preserve">; </w:t>
      </w:r>
      <w:r w:rsidR="003B5BDD">
        <w:rPr>
          <w:iCs/>
          <w:noProof/>
          <w:color w:val="000000"/>
          <w:highlight w:val="black"/>
        </w:rPr>
        <w:t>''''''''''</w:t>
      </w:r>
      <w:r w:rsidR="00A43D61" w:rsidRPr="00D97B31">
        <w:rPr>
          <w:iCs/>
        </w:rPr>
        <w:t xml:space="preserve">) </w:t>
      </w:r>
      <w:r w:rsidR="00A65424" w:rsidRPr="00D97B31">
        <w:rPr>
          <w:iCs/>
        </w:rPr>
        <w:t xml:space="preserve">and </w:t>
      </w:r>
      <w:r w:rsidR="009A3E8C" w:rsidRPr="00D97B31">
        <w:rPr>
          <w:iCs/>
        </w:rPr>
        <w:t>m0CRPC</w:t>
      </w:r>
      <w:r w:rsidR="00A43D61" w:rsidRPr="00D97B31">
        <w:rPr>
          <w:iCs/>
        </w:rPr>
        <w:t xml:space="preserve"> (</w:t>
      </w:r>
      <w:r w:rsidR="003B5BDD">
        <w:rPr>
          <w:iCs/>
          <w:noProof/>
          <w:color w:val="000000"/>
          <w:highlight w:val="black"/>
        </w:rPr>
        <w:t>''''''''''</w:t>
      </w:r>
      <w:r w:rsidR="00A43D61" w:rsidRPr="00D97B31">
        <w:rPr>
          <w:iCs/>
        </w:rPr>
        <w:t xml:space="preserve"> for darolutamide; </w:t>
      </w:r>
      <w:r w:rsidR="003B5BDD">
        <w:rPr>
          <w:iCs/>
          <w:noProof/>
          <w:color w:val="000000"/>
          <w:highlight w:val="black"/>
        </w:rPr>
        <w:t>'''''''''''</w:t>
      </w:r>
      <w:r w:rsidR="00A43D61" w:rsidRPr="00D97B31">
        <w:rPr>
          <w:iCs/>
        </w:rPr>
        <w:t xml:space="preserve"> for SOC)</w:t>
      </w:r>
      <w:r w:rsidR="00A65424" w:rsidRPr="00D97B31">
        <w:rPr>
          <w:iCs/>
        </w:rPr>
        <w:t xml:space="preserve"> health states</w:t>
      </w:r>
      <w:r w:rsidR="00A43D61" w:rsidRPr="00D97B31">
        <w:rPr>
          <w:iCs/>
        </w:rPr>
        <w:t>.</w:t>
      </w:r>
      <w:r w:rsidR="00C101B6" w:rsidRPr="00D97B31">
        <w:rPr>
          <w:iCs/>
        </w:rPr>
        <w:t xml:space="preserve"> </w:t>
      </w:r>
      <w:r w:rsidR="00103054" w:rsidRPr="00D97B31">
        <w:rPr>
          <w:iCs/>
        </w:rPr>
        <w:t xml:space="preserve">The ESC considered that the same utility value should be applied to all patients in the m0CRPC </w:t>
      </w:r>
      <w:r w:rsidR="00321F03" w:rsidRPr="00D97B31">
        <w:rPr>
          <w:iCs/>
        </w:rPr>
        <w:t xml:space="preserve">health </w:t>
      </w:r>
      <w:r w:rsidR="00103054" w:rsidRPr="00D97B31">
        <w:rPr>
          <w:iCs/>
        </w:rPr>
        <w:t>state</w:t>
      </w:r>
      <w:r w:rsidR="00321F03" w:rsidRPr="00D97B31">
        <w:rPr>
          <w:iCs/>
        </w:rPr>
        <w:t>.</w:t>
      </w:r>
      <w:r w:rsidR="00103054" w:rsidRPr="00D97B31">
        <w:rPr>
          <w:iCs/>
        </w:rPr>
        <w:t xml:space="preserve"> </w:t>
      </w:r>
    </w:p>
    <w:p w:rsidR="00C45839" w:rsidRPr="00D97B31" w:rsidRDefault="001F7FF8" w:rsidP="00CD4D5D">
      <w:pPr>
        <w:pStyle w:val="3-BodyText"/>
      </w:pPr>
      <w:r w:rsidRPr="00D97B31">
        <w:t xml:space="preserve">With </w:t>
      </w:r>
      <w:r w:rsidR="00B90237" w:rsidRPr="00D97B31">
        <w:t>regard</w:t>
      </w:r>
      <w:r w:rsidRPr="00D97B31">
        <w:t>s</w:t>
      </w:r>
      <w:r w:rsidR="00B90237" w:rsidRPr="00D97B31">
        <w:t xml:space="preserve"> to the July 2019 apalutamide model, the PBAC considered that an ICER in the range of $40,000 to $45,000 per QALY would be required (paragraph 7.17, July 2019 apalutamide PSD).</w:t>
      </w:r>
      <w:r w:rsidR="007D6522" w:rsidRPr="00D97B31">
        <w:t xml:space="preserve"> </w:t>
      </w:r>
      <w:r w:rsidR="00B90237" w:rsidRPr="00D97B31">
        <w:t>The submission</w:t>
      </w:r>
      <w:r w:rsidR="007B1FF6" w:rsidRPr="00D97B31">
        <w:t xml:space="preserve"> </w:t>
      </w:r>
      <w:r w:rsidR="00C31FF3" w:rsidRPr="00D97B31">
        <w:t xml:space="preserve">noted that the darolutamide model </w:t>
      </w:r>
      <w:r w:rsidR="00321F03" w:rsidRPr="00D97B31">
        <w:t xml:space="preserve">incorporated </w:t>
      </w:r>
      <w:r w:rsidR="00C31FF3" w:rsidRPr="00D97B31">
        <w:t xml:space="preserve">advice </w:t>
      </w:r>
      <w:r w:rsidR="00C03B27" w:rsidRPr="00D97B31">
        <w:t>from</w:t>
      </w:r>
      <w:r w:rsidR="00C31FF3" w:rsidRPr="00D97B31">
        <w:t xml:space="preserve"> </w:t>
      </w:r>
      <w:r w:rsidR="00321F03" w:rsidRPr="00D97B31">
        <w:t xml:space="preserve">the </w:t>
      </w:r>
      <w:r w:rsidR="00C31FF3" w:rsidRPr="00D97B31">
        <w:t xml:space="preserve">PBAC </w:t>
      </w:r>
      <w:r w:rsidR="00321F03" w:rsidRPr="00D97B31">
        <w:t xml:space="preserve">regarding </w:t>
      </w:r>
      <w:r w:rsidR="00C31FF3" w:rsidRPr="00D97B31">
        <w:t xml:space="preserve">the apalutamide model (blinded independent review, 10-year time horizon, no adjustment for treatment switching in OS) and </w:t>
      </w:r>
      <w:r w:rsidR="00321F03" w:rsidRPr="00D97B31">
        <w:t xml:space="preserve">stated that the clinical evidence for darolutamide </w:t>
      </w:r>
      <w:r w:rsidR="00C31FF3" w:rsidRPr="00D97B31">
        <w:t xml:space="preserve">demonstrated </w:t>
      </w:r>
      <w:r w:rsidR="00321F03" w:rsidRPr="00D97B31">
        <w:t xml:space="preserve">an </w:t>
      </w:r>
      <w:r w:rsidR="00C31FF3" w:rsidRPr="00D97B31">
        <w:t>OS benefit.</w:t>
      </w:r>
      <w:r w:rsidR="007D6522" w:rsidRPr="00D97B31">
        <w:t xml:space="preserve"> </w:t>
      </w:r>
      <w:r w:rsidR="00C31FF3" w:rsidRPr="00D97B31">
        <w:t>The submission concluded that if an ICER of between $40,000 and $45,000</w:t>
      </w:r>
      <w:r w:rsidR="00A132F2">
        <w:t xml:space="preserve"> per QALY</w:t>
      </w:r>
      <w:r w:rsidR="00C31FF3" w:rsidRPr="00D97B31">
        <w:t xml:space="preserve"> was considered reasonable for apalutamide in the absence of a demonstrated OS benefit, then all else equal, an ICER of approximately </w:t>
      </w:r>
      <w:r w:rsidR="00545484">
        <w:t>$45,000/QALY - $75,000/</w:t>
      </w:r>
      <w:r w:rsidR="00A132F2">
        <w:t xml:space="preserve">QALY </w:t>
      </w:r>
      <w:r w:rsidR="00C31FF3" w:rsidRPr="00D97B31">
        <w:t xml:space="preserve">with a demonstrated OS benefit </w:t>
      </w:r>
      <w:r w:rsidR="00321F03" w:rsidRPr="00D97B31">
        <w:t>was</w:t>
      </w:r>
      <w:r w:rsidR="00C31FF3" w:rsidRPr="00D97B31">
        <w:t xml:space="preserve"> reasonable.</w:t>
      </w:r>
      <w:r w:rsidR="00C45839" w:rsidRPr="00D97B31">
        <w:t xml:space="preserve"> </w:t>
      </w:r>
      <w:r w:rsidR="00C31FF3" w:rsidRPr="00D97B31">
        <w:rPr>
          <w:iCs/>
        </w:rPr>
        <w:t>While there was a statistically significant OS advantage for darolutamide,</w:t>
      </w:r>
      <w:r w:rsidR="00C03B27" w:rsidRPr="00D97B31">
        <w:rPr>
          <w:iCs/>
        </w:rPr>
        <w:t xml:space="preserve"> the</w:t>
      </w:r>
      <w:r w:rsidR="00C45839" w:rsidRPr="00D97B31">
        <w:rPr>
          <w:iCs/>
        </w:rPr>
        <w:t xml:space="preserve"> ESC noted that the</w:t>
      </w:r>
      <w:r w:rsidR="00C03B27" w:rsidRPr="00D97B31">
        <w:rPr>
          <w:iCs/>
        </w:rPr>
        <w:t>re was some uncertainty in the magnitude of benefit given</w:t>
      </w:r>
      <w:r w:rsidR="00C31FF3" w:rsidRPr="00D97B31">
        <w:rPr>
          <w:iCs/>
        </w:rPr>
        <w:t xml:space="preserve"> </w:t>
      </w:r>
      <w:r w:rsidR="00321F03" w:rsidRPr="00D97B31">
        <w:rPr>
          <w:iCs/>
        </w:rPr>
        <w:t xml:space="preserve">that the trial evidence was immature as </w:t>
      </w:r>
      <w:r w:rsidR="00C31FF3" w:rsidRPr="00D97B31">
        <w:rPr>
          <w:iCs/>
        </w:rPr>
        <w:t xml:space="preserve">median OS </w:t>
      </w:r>
      <w:r w:rsidR="00321F03" w:rsidRPr="00D97B31">
        <w:rPr>
          <w:iCs/>
        </w:rPr>
        <w:t>had not been</w:t>
      </w:r>
      <w:r w:rsidR="00C31FF3" w:rsidRPr="00D97B31">
        <w:rPr>
          <w:iCs/>
        </w:rPr>
        <w:t xml:space="preserve"> reached in either arm.</w:t>
      </w:r>
      <w:r w:rsidR="007D6522" w:rsidRPr="00D97B31">
        <w:t xml:space="preserve"> </w:t>
      </w:r>
    </w:p>
    <w:p w:rsidR="00600BEA" w:rsidRPr="00D97B31" w:rsidRDefault="00F30860" w:rsidP="00091C7A">
      <w:pPr>
        <w:pStyle w:val="3-BodyText"/>
      </w:pPr>
      <w:r w:rsidRPr="00D97B31">
        <w:rPr>
          <w:iCs/>
        </w:rPr>
        <w:t>Sensitivity analyses indicate</w:t>
      </w:r>
      <w:r w:rsidR="00C45839" w:rsidRPr="00D97B31">
        <w:rPr>
          <w:iCs/>
        </w:rPr>
        <w:t>d</w:t>
      </w:r>
      <w:r w:rsidRPr="00D97B31">
        <w:rPr>
          <w:iCs/>
        </w:rPr>
        <w:t xml:space="preserve"> that the model was sensitive to extrapolation of the survival curves</w:t>
      </w:r>
      <w:r w:rsidR="002F5C86" w:rsidRPr="00D97B31">
        <w:rPr>
          <w:iCs/>
        </w:rPr>
        <w:t xml:space="preserve"> and the utility value </w:t>
      </w:r>
      <w:r w:rsidR="00C67F68" w:rsidRPr="00D97B31">
        <w:rPr>
          <w:iCs/>
        </w:rPr>
        <w:t>for</w:t>
      </w:r>
      <w:r w:rsidR="002F5C86" w:rsidRPr="00D97B31">
        <w:rPr>
          <w:iCs/>
        </w:rPr>
        <w:t xml:space="preserve"> the mCRPC health state</w:t>
      </w:r>
      <w:r w:rsidR="00173622" w:rsidRPr="00D97B31">
        <w:rPr>
          <w:iCs/>
        </w:rPr>
        <w:t>; the</w:t>
      </w:r>
      <w:r w:rsidRPr="00D97B31">
        <w:rPr>
          <w:iCs/>
        </w:rPr>
        <w:t xml:space="preserve"> results of </w:t>
      </w:r>
      <w:r w:rsidRPr="00D97B31">
        <w:t xml:space="preserve">key sensitivity analyses are summarised </w:t>
      </w:r>
      <w:r w:rsidR="003C2A8B">
        <w:t>in Table 13</w:t>
      </w:r>
      <w:r w:rsidRPr="00D97B31">
        <w:t>.</w:t>
      </w:r>
      <w:r w:rsidR="007D6522" w:rsidRPr="00D97B31">
        <w:t xml:space="preserve"> </w:t>
      </w:r>
    </w:p>
    <w:p w:rsidR="007112E9" w:rsidRDefault="007112E9">
      <w:pPr>
        <w:jc w:val="left"/>
        <w:rPr>
          <w:rStyle w:val="CommentReference"/>
          <w:rFonts w:eastAsiaTheme="majorEastAsia" w:cstheme="majorBidi"/>
          <w:bCs/>
          <w:szCs w:val="24"/>
          <w:lang w:eastAsia="en-AU"/>
        </w:rPr>
      </w:pPr>
      <w:r>
        <w:rPr>
          <w:rStyle w:val="CommentReference"/>
          <w:b w:val="0"/>
          <w:szCs w:val="24"/>
        </w:rPr>
        <w:br w:type="page"/>
      </w:r>
    </w:p>
    <w:p w:rsidR="00D23D11" w:rsidRPr="00D97B31" w:rsidRDefault="00D23D11" w:rsidP="00BB732D">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13</w:t>
      </w:r>
      <w:r w:rsidRPr="00D97B31">
        <w:rPr>
          <w:rStyle w:val="CommentReference"/>
          <w:b/>
          <w:szCs w:val="24"/>
        </w:rPr>
        <w:t>:</w:t>
      </w:r>
      <w:r w:rsidR="00354F64" w:rsidRPr="00D97B31">
        <w:rPr>
          <w:rStyle w:val="CommentReference"/>
          <w:b/>
          <w:szCs w:val="24"/>
        </w:rPr>
        <w:t xml:space="preserve"> </w:t>
      </w:r>
      <w:r w:rsidR="00301186" w:rsidRPr="00D97B31">
        <w:rPr>
          <w:rStyle w:val="CommentReference"/>
          <w:b/>
          <w:bCs w:val="0"/>
        </w:rPr>
        <w:t>Results of sensitivity analyses</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3"/>
        <w:gridCol w:w="1374"/>
        <w:gridCol w:w="1492"/>
        <w:gridCol w:w="1179"/>
        <w:gridCol w:w="1326"/>
      </w:tblGrid>
      <w:tr w:rsidR="00301186" w:rsidRPr="00D97B31" w:rsidTr="00F66AC7">
        <w:trPr>
          <w:cantSplit/>
          <w:tblHeader/>
        </w:trPr>
        <w:tc>
          <w:tcPr>
            <w:tcW w:w="3823" w:type="dxa"/>
            <w:vAlign w:val="center"/>
          </w:tcPr>
          <w:p w:rsidR="00301186" w:rsidRPr="00D97B31" w:rsidRDefault="00301186" w:rsidP="007953F2">
            <w:pPr>
              <w:pStyle w:val="Tabletext"/>
              <w:widowControl w:val="0"/>
              <w:tabs>
                <w:tab w:val="left" w:pos="142"/>
              </w:tabs>
              <w:rPr>
                <w:b/>
              </w:rPr>
            </w:pPr>
            <w:r w:rsidRPr="00D97B31">
              <w:rPr>
                <w:b/>
              </w:rPr>
              <w:t>Analyses</w:t>
            </w:r>
          </w:p>
        </w:tc>
        <w:tc>
          <w:tcPr>
            <w:tcW w:w="1374" w:type="dxa"/>
            <w:vAlign w:val="center"/>
          </w:tcPr>
          <w:p w:rsidR="00301186" w:rsidRPr="00D97B31" w:rsidRDefault="00301186" w:rsidP="007953F2">
            <w:pPr>
              <w:pStyle w:val="Tabletext"/>
              <w:widowControl w:val="0"/>
              <w:jc w:val="center"/>
              <w:rPr>
                <w:b/>
              </w:rPr>
            </w:pPr>
            <w:r w:rsidRPr="00D97B31">
              <w:rPr>
                <w:b/>
              </w:rPr>
              <w:t>Incremental cost</w:t>
            </w:r>
          </w:p>
        </w:tc>
        <w:tc>
          <w:tcPr>
            <w:tcW w:w="1492" w:type="dxa"/>
            <w:vAlign w:val="center"/>
          </w:tcPr>
          <w:p w:rsidR="00301186" w:rsidRPr="00D97B31" w:rsidRDefault="00301186" w:rsidP="007953F2">
            <w:pPr>
              <w:pStyle w:val="Tabletext"/>
              <w:widowControl w:val="0"/>
              <w:jc w:val="center"/>
              <w:rPr>
                <w:b/>
              </w:rPr>
            </w:pPr>
            <w:r w:rsidRPr="00D97B31">
              <w:rPr>
                <w:b/>
              </w:rPr>
              <w:t>Incremental QALY</w:t>
            </w:r>
          </w:p>
        </w:tc>
        <w:tc>
          <w:tcPr>
            <w:tcW w:w="1179" w:type="dxa"/>
            <w:vAlign w:val="center"/>
          </w:tcPr>
          <w:p w:rsidR="00301186" w:rsidRPr="00D97B31" w:rsidRDefault="00301186" w:rsidP="007953F2">
            <w:pPr>
              <w:pStyle w:val="Tabletext"/>
              <w:widowControl w:val="0"/>
              <w:jc w:val="center"/>
              <w:rPr>
                <w:b/>
              </w:rPr>
            </w:pPr>
            <w:r w:rsidRPr="00D97B31">
              <w:rPr>
                <w:b/>
              </w:rPr>
              <w:t>ICER</w:t>
            </w:r>
          </w:p>
        </w:tc>
        <w:tc>
          <w:tcPr>
            <w:tcW w:w="1325" w:type="dxa"/>
            <w:vAlign w:val="center"/>
          </w:tcPr>
          <w:p w:rsidR="00301186" w:rsidRPr="00D97B31" w:rsidRDefault="00301186" w:rsidP="007953F2">
            <w:pPr>
              <w:pStyle w:val="Tabletext"/>
              <w:widowControl w:val="0"/>
              <w:jc w:val="center"/>
              <w:rPr>
                <w:b/>
              </w:rPr>
            </w:pPr>
            <w:r w:rsidRPr="00D97B31">
              <w:rPr>
                <w:b/>
              </w:rPr>
              <w:t>% change ICER</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rPr>
                <w:b/>
              </w:rPr>
            </w:pPr>
            <w:r w:rsidRPr="00D97B31">
              <w:rPr>
                <w:b/>
              </w:rPr>
              <w:t>Base case</w:t>
            </w:r>
          </w:p>
        </w:tc>
        <w:tc>
          <w:tcPr>
            <w:tcW w:w="1374" w:type="dxa"/>
            <w:vAlign w:val="center"/>
          </w:tcPr>
          <w:p w:rsidR="00301186" w:rsidRPr="00D97B31" w:rsidRDefault="00301186" w:rsidP="007953F2">
            <w:pPr>
              <w:pStyle w:val="Tabletext"/>
              <w:widowControl w:val="0"/>
              <w:jc w:val="center"/>
              <w:rPr>
                <w:b/>
              </w:rPr>
            </w:pPr>
            <w:r w:rsidRPr="00D97B31">
              <w:rPr>
                <w:rFonts w:cs="Arial"/>
                <w:b/>
                <w:szCs w:val="20"/>
              </w:rPr>
              <w:t>$</w:t>
            </w:r>
            <w:r w:rsidR="003B5BDD">
              <w:rPr>
                <w:rFonts w:cs="Arial"/>
                <w:b/>
                <w:noProof/>
                <w:color w:val="000000"/>
                <w:szCs w:val="20"/>
                <w:highlight w:val="black"/>
              </w:rPr>
              <w:t>''''''''''''</w:t>
            </w:r>
          </w:p>
        </w:tc>
        <w:tc>
          <w:tcPr>
            <w:tcW w:w="1492" w:type="dxa"/>
            <w:vAlign w:val="center"/>
          </w:tcPr>
          <w:p w:rsidR="00301186" w:rsidRPr="00D97B31" w:rsidRDefault="00301186" w:rsidP="007953F2">
            <w:pPr>
              <w:pStyle w:val="Tabletext"/>
              <w:widowControl w:val="0"/>
              <w:jc w:val="center"/>
              <w:rPr>
                <w:b/>
              </w:rPr>
            </w:pPr>
            <w:r w:rsidRPr="00D97B31">
              <w:rPr>
                <w:rFonts w:cs="Arial"/>
                <w:b/>
                <w:szCs w:val="20"/>
              </w:rPr>
              <w:t>1.05</w:t>
            </w:r>
          </w:p>
        </w:tc>
        <w:tc>
          <w:tcPr>
            <w:tcW w:w="1179" w:type="dxa"/>
            <w:vAlign w:val="center"/>
          </w:tcPr>
          <w:p w:rsidR="00301186" w:rsidRPr="00D97B31" w:rsidRDefault="00301186" w:rsidP="007953F2">
            <w:pPr>
              <w:pStyle w:val="Tabletext"/>
              <w:widowControl w:val="0"/>
              <w:jc w:val="center"/>
              <w:rPr>
                <w:b/>
              </w:rPr>
            </w:pPr>
            <w:r w:rsidRPr="00D97B31">
              <w:rPr>
                <w:rFonts w:cs="Arial"/>
                <w:b/>
                <w:szCs w:val="20"/>
              </w:rPr>
              <w:t>$</w:t>
            </w:r>
            <w:r w:rsidR="003B5BDD">
              <w:rPr>
                <w:rFonts w:cs="Arial"/>
                <w:b/>
                <w:noProof/>
                <w:color w:val="000000"/>
                <w:szCs w:val="20"/>
                <w:highlight w:val="black"/>
              </w:rPr>
              <w:t>''''''''''''''</w:t>
            </w:r>
          </w:p>
        </w:tc>
        <w:tc>
          <w:tcPr>
            <w:tcW w:w="1325" w:type="dxa"/>
            <w:vAlign w:val="center"/>
          </w:tcPr>
          <w:p w:rsidR="00301186" w:rsidRPr="00D97B31" w:rsidRDefault="00301186" w:rsidP="007953F2">
            <w:pPr>
              <w:pStyle w:val="Tabletext"/>
              <w:widowControl w:val="0"/>
              <w:jc w:val="center"/>
              <w:rPr>
                <w:b/>
              </w:rPr>
            </w:pPr>
            <w:r w:rsidRPr="00D97B31">
              <w:rPr>
                <w:b/>
              </w:rPr>
              <w:t>-</w:t>
            </w:r>
          </w:p>
        </w:tc>
      </w:tr>
      <w:tr w:rsidR="00301186" w:rsidRPr="00D97B31" w:rsidTr="00F66AC7">
        <w:trPr>
          <w:cantSplit/>
          <w:trHeight w:val="129"/>
        </w:trPr>
        <w:tc>
          <w:tcPr>
            <w:tcW w:w="9194" w:type="dxa"/>
            <w:gridSpan w:val="5"/>
            <w:vAlign w:val="center"/>
          </w:tcPr>
          <w:p w:rsidR="00301186" w:rsidRPr="00D97B31" w:rsidRDefault="00301186" w:rsidP="007953F2">
            <w:pPr>
              <w:pStyle w:val="Tabletext"/>
              <w:widowControl w:val="0"/>
            </w:pPr>
            <w:r w:rsidRPr="00D97B31">
              <w:t>OS data (base case: not adjusted for treatment switching)</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pPr>
            <w:r w:rsidRPr="00D97B31">
              <w:tab/>
              <w:t>Adjusted for treatment switching (IPE)</w:t>
            </w:r>
          </w:p>
        </w:tc>
        <w:tc>
          <w:tcPr>
            <w:tcW w:w="1374" w:type="dxa"/>
            <w:vAlign w:val="center"/>
          </w:tcPr>
          <w:p w:rsidR="00301186" w:rsidRPr="00D97B31" w:rsidRDefault="00301186" w:rsidP="007953F2">
            <w:pPr>
              <w:pStyle w:val="Tabletext"/>
              <w:widowControl w:val="0"/>
              <w:jc w:val="center"/>
            </w:pPr>
            <w:r w:rsidRPr="00D97B31">
              <w:rPr>
                <w:rFonts w:cs="Arial"/>
                <w:szCs w:val="20"/>
              </w:rPr>
              <w:t>$</w:t>
            </w:r>
            <w:r w:rsidR="003B5BDD">
              <w:rPr>
                <w:rFonts w:cs="Arial"/>
                <w:noProof/>
                <w:color w:val="000000"/>
                <w:szCs w:val="20"/>
                <w:highlight w:val="black"/>
              </w:rPr>
              <w:t>'''''''''''''''''</w:t>
            </w:r>
          </w:p>
        </w:tc>
        <w:tc>
          <w:tcPr>
            <w:tcW w:w="1492" w:type="dxa"/>
            <w:vAlign w:val="center"/>
          </w:tcPr>
          <w:p w:rsidR="00301186" w:rsidRPr="00D97B31" w:rsidRDefault="00301186" w:rsidP="007953F2">
            <w:pPr>
              <w:pStyle w:val="Tabletext"/>
              <w:widowControl w:val="0"/>
              <w:jc w:val="center"/>
            </w:pPr>
            <w:r w:rsidRPr="00D97B31">
              <w:rPr>
                <w:rFonts w:cs="Arial"/>
                <w:szCs w:val="20"/>
              </w:rPr>
              <w:t>1.13</w:t>
            </w:r>
          </w:p>
        </w:tc>
        <w:tc>
          <w:tcPr>
            <w:tcW w:w="1179" w:type="dxa"/>
            <w:vAlign w:val="center"/>
          </w:tcPr>
          <w:p w:rsidR="00301186" w:rsidRPr="00D97B31" w:rsidRDefault="00301186" w:rsidP="007953F2">
            <w:pPr>
              <w:widowControl w:val="0"/>
              <w:jc w:val="center"/>
              <w:rPr>
                <w:rFonts w:ascii="Arial Narrow" w:hAnsi="Arial Narrow" w:cs="Arial"/>
                <w:sz w:val="20"/>
                <w:szCs w:val="20"/>
              </w:rPr>
            </w:pPr>
            <w:r w:rsidRPr="00D97B31">
              <w:rPr>
                <w:rFonts w:ascii="Arial Narrow" w:hAnsi="Arial Narrow" w:cs="Arial"/>
                <w:sz w:val="20"/>
                <w:szCs w:val="20"/>
              </w:rPr>
              <w:t>$</w:t>
            </w:r>
            <w:r w:rsidR="003B5BDD">
              <w:rPr>
                <w:rFonts w:ascii="Arial Narrow" w:hAnsi="Arial Narrow" w:cs="Arial"/>
                <w:noProof/>
                <w:color w:val="000000"/>
                <w:sz w:val="20"/>
                <w:szCs w:val="20"/>
                <w:highlight w:val="black"/>
              </w:rPr>
              <w:t>''''''''''''''''</w:t>
            </w:r>
          </w:p>
        </w:tc>
        <w:tc>
          <w:tcPr>
            <w:tcW w:w="1325" w:type="dxa"/>
            <w:vAlign w:val="center"/>
          </w:tcPr>
          <w:p w:rsidR="00301186" w:rsidRPr="00D97B31" w:rsidRDefault="00301186" w:rsidP="007953F2">
            <w:pPr>
              <w:pStyle w:val="Tabletext"/>
              <w:widowControl w:val="0"/>
              <w:jc w:val="center"/>
            </w:pPr>
            <w:r w:rsidRPr="00D97B31">
              <w:rPr>
                <w:rFonts w:cs="Arial"/>
                <w:szCs w:val="20"/>
              </w:rPr>
              <w:t>-7.3%</w:t>
            </w:r>
          </w:p>
        </w:tc>
      </w:tr>
      <w:tr w:rsidR="00301186" w:rsidRPr="00D97B31" w:rsidTr="00F66AC7">
        <w:trPr>
          <w:cantSplit/>
          <w:trHeight w:val="129"/>
        </w:trPr>
        <w:tc>
          <w:tcPr>
            <w:tcW w:w="9194" w:type="dxa"/>
            <w:gridSpan w:val="5"/>
            <w:vAlign w:val="center"/>
          </w:tcPr>
          <w:p w:rsidR="00301186" w:rsidRPr="00D97B31" w:rsidRDefault="00301186" w:rsidP="007953F2">
            <w:pPr>
              <w:pStyle w:val="Tabletext"/>
              <w:widowControl w:val="0"/>
            </w:pPr>
            <w:r w:rsidRPr="00D97B31">
              <w:t>MFS and OS extrapolation (base case: MS: exponential; OS: Weibull)</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pPr>
            <w:r w:rsidRPr="00D97B31">
              <w:tab/>
              <w:t>MFS gamma; OS log-logistic</w:t>
            </w:r>
          </w:p>
        </w:tc>
        <w:tc>
          <w:tcPr>
            <w:tcW w:w="1374"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w:t>
            </w:r>
            <w:r w:rsidR="003B5BDD">
              <w:rPr>
                <w:rFonts w:ascii="Arial Narrow" w:hAnsi="Arial Narrow" w:cs="Calibri"/>
                <w:iCs/>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1.18</w:t>
            </w:r>
          </w:p>
        </w:tc>
        <w:tc>
          <w:tcPr>
            <w:tcW w:w="1179" w:type="dxa"/>
            <w:vAlign w:val="center"/>
          </w:tcPr>
          <w:p w:rsidR="00301186" w:rsidRPr="00D97B31" w:rsidRDefault="00301186" w:rsidP="007953F2">
            <w:pPr>
              <w:pStyle w:val="Tabletext"/>
              <w:widowControl w:val="0"/>
              <w:jc w:val="center"/>
              <w:rPr>
                <w:iCs/>
              </w:rPr>
            </w:pPr>
            <w:r w:rsidRPr="00D97B31">
              <w:rPr>
                <w:iCs/>
              </w:rPr>
              <w:t>$</w:t>
            </w:r>
            <w:r w:rsidR="003B5BDD">
              <w:rPr>
                <w:iCs/>
                <w:noProof/>
                <w:color w:val="000000"/>
                <w:highlight w:val="black"/>
              </w:rPr>
              <w:t>''''''''''''''''</w:t>
            </w:r>
          </w:p>
        </w:tc>
        <w:tc>
          <w:tcPr>
            <w:tcW w:w="1325" w:type="dxa"/>
            <w:vAlign w:val="center"/>
          </w:tcPr>
          <w:p w:rsidR="00301186" w:rsidRPr="00D97B31" w:rsidRDefault="00301186" w:rsidP="007953F2">
            <w:pPr>
              <w:pStyle w:val="Tabletext"/>
              <w:widowControl w:val="0"/>
              <w:jc w:val="center"/>
            </w:pPr>
            <w:r w:rsidRPr="00D97B31">
              <w:t>-10.6%</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pPr>
            <w:r w:rsidRPr="00D97B31">
              <w:tab/>
              <w:t>MFS Gompertz; OS Gompertz</w:t>
            </w:r>
          </w:p>
        </w:tc>
        <w:tc>
          <w:tcPr>
            <w:tcW w:w="1374"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w:t>
            </w:r>
            <w:r w:rsidR="003B5BDD">
              <w:rPr>
                <w:rFonts w:ascii="Arial Narrow" w:hAnsi="Arial Narrow" w:cs="Calibri"/>
                <w:iCs/>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0.88</w:t>
            </w:r>
          </w:p>
        </w:tc>
        <w:tc>
          <w:tcPr>
            <w:tcW w:w="1179" w:type="dxa"/>
            <w:vAlign w:val="center"/>
          </w:tcPr>
          <w:p w:rsidR="00301186" w:rsidRPr="00D97B31" w:rsidRDefault="00301186" w:rsidP="007953F2">
            <w:pPr>
              <w:pStyle w:val="Tabletext"/>
              <w:widowControl w:val="0"/>
              <w:jc w:val="center"/>
            </w:pPr>
            <w:r w:rsidRPr="00D97B31">
              <w:t>$</w:t>
            </w:r>
            <w:r w:rsidR="003B5BDD">
              <w:rPr>
                <w:noProof/>
                <w:color w:val="000000"/>
                <w:highlight w:val="black"/>
              </w:rPr>
              <w:t>''''''''''''''''</w:t>
            </w:r>
          </w:p>
        </w:tc>
        <w:tc>
          <w:tcPr>
            <w:tcW w:w="1325" w:type="dxa"/>
            <w:vAlign w:val="center"/>
          </w:tcPr>
          <w:p w:rsidR="00301186" w:rsidRPr="00D97B31" w:rsidRDefault="00301186" w:rsidP="007953F2">
            <w:pPr>
              <w:pStyle w:val="Tabletext"/>
              <w:widowControl w:val="0"/>
              <w:jc w:val="center"/>
            </w:pPr>
            <w:r w:rsidRPr="00D97B31">
              <w:t>+27.8%</w:t>
            </w:r>
          </w:p>
        </w:tc>
      </w:tr>
      <w:tr w:rsidR="00C330F4" w:rsidRPr="00D97B31" w:rsidTr="00F66AC7">
        <w:trPr>
          <w:cantSplit/>
          <w:trHeight w:val="129"/>
        </w:trPr>
        <w:tc>
          <w:tcPr>
            <w:tcW w:w="3823" w:type="dxa"/>
            <w:vAlign w:val="center"/>
          </w:tcPr>
          <w:p w:rsidR="00C330F4" w:rsidRPr="00D97B31" w:rsidRDefault="00C330F4" w:rsidP="00031FC0">
            <w:pPr>
              <w:pStyle w:val="Tabletext"/>
              <w:widowControl w:val="0"/>
              <w:tabs>
                <w:tab w:val="left" w:pos="142"/>
              </w:tabs>
            </w:pPr>
            <w:r w:rsidRPr="00D97B31">
              <w:tab/>
              <w:t>MFS: exponential: OS: Gompertz</w:t>
            </w:r>
          </w:p>
        </w:tc>
        <w:tc>
          <w:tcPr>
            <w:tcW w:w="1374" w:type="dxa"/>
            <w:vAlign w:val="center"/>
          </w:tcPr>
          <w:p w:rsidR="00C330F4" w:rsidRPr="00D97B31" w:rsidRDefault="00C330F4" w:rsidP="00031FC0">
            <w:pPr>
              <w:pStyle w:val="Tabletext"/>
              <w:widowControl w:val="0"/>
              <w:jc w:val="center"/>
            </w:pPr>
            <w:r w:rsidRPr="00D97B31">
              <w:t>$</w:t>
            </w:r>
            <w:r w:rsidR="003B5BDD">
              <w:rPr>
                <w:noProof/>
                <w:color w:val="000000"/>
                <w:highlight w:val="black"/>
              </w:rPr>
              <w:t>''''''''''''''''</w:t>
            </w:r>
          </w:p>
        </w:tc>
        <w:tc>
          <w:tcPr>
            <w:tcW w:w="1492" w:type="dxa"/>
            <w:vAlign w:val="center"/>
          </w:tcPr>
          <w:p w:rsidR="00C330F4" w:rsidRPr="00D97B31" w:rsidRDefault="00C330F4" w:rsidP="00031FC0">
            <w:pPr>
              <w:pStyle w:val="Tabletext"/>
              <w:widowControl w:val="0"/>
              <w:jc w:val="center"/>
            </w:pPr>
            <w:r w:rsidRPr="00D97B31">
              <w:t>0.87</w:t>
            </w:r>
          </w:p>
        </w:tc>
        <w:tc>
          <w:tcPr>
            <w:tcW w:w="1179" w:type="dxa"/>
            <w:vAlign w:val="center"/>
          </w:tcPr>
          <w:p w:rsidR="00C330F4" w:rsidRPr="00D97B31" w:rsidRDefault="00C330F4" w:rsidP="00031FC0">
            <w:pPr>
              <w:pStyle w:val="Tabletext"/>
              <w:widowControl w:val="0"/>
              <w:jc w:val="center"/>
            </w:pPr>
            <w:r w:rsidRPr="00D97B31">
              <w:t>$</w:t>
            </w:r>
            <w:r w:rsidR="003B5BDD">
              <w:rPr>
                <w:noProof/>
                <w:color w:val="000000"/>
                <w:highlight w:val="black"/>
              </w:rPr>
              <w:t>'''''''''''''''''</w:t>
            </w:r>
          </w:p>
        </w:tc>
        <w:tc>
          <w:tcPr>
            <w:tcW w:w="1325" w:type="dxa"/>
            <w:vAlign w:val="center"/>
          </w:tcPr>
          <w:p w:rsidR="00C330F4" w:rsidRPr="00D97B31" w:rsidRDefault="00C330F4" w:rsidP="00031FC0">
            <w:pPr>
              <w:pStyle w:val="Tabletext"/>
              <w:widowControl w:val="0"/>
              <w:jc w:val="center"/>
            </w:pPr>
            <w:r w:rsidRPr="00D97B31">
              <w:t>+29.4%</w:t>
            </w:r>
          </w:p>
        </w:tc>
      </w:tr>
      <w:tr w:rsidR="00301186" w:rsidRPr="00D97B31" w:rsidTr="00F66AC7">
        <w:trPr>
          <w:cantSplit/>
          <w:trHeight w:val="129"/>
        </w:trPr>
        <w:tc>
          <w:tcPr>
            <w:tcW w:w="9194" w:type="dxa"/>
            <w:gridSpan w:val="5"/>
            <w:vAlign w:val="center"/>
          </w:tcPr>
          <w:p w:rsidR="00301186" w:rsidRPr="00D97B31" w:rsidRDefault="00301186" w:rsidP="007953F2">
            <w:pPr>
              <w:pStyle w:val="Tabletext"/>
              <w:widowControl w:val="0"/>
            </w:pPr>
            <w:r w:rsidRPr="00D97B31">
              <w:t xml:space="preserve">mCRPC health state utility (base case: </w:t>
            </w:r>
            <w:r w:rsidR="003B5BDD">
              <w:rPr>
                <w:noProof/>
                <w:color w:val="000000"/>
                <w:highlight w:val="black"/>
              </w:rPr>
              <w:t>''''''''''''</w:t>
            </w:r>
            <w:r w:rsidRPr="00D97B31">
              <w:t>)</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pPr>
            <w:r w:rsidRPr="00D97B31">
              <w:tab/>
              <w:t xml:space="preserve">Increase </w:t>
            </w:r>
            <w:r w:rsidR="003B5BDD">
              <w:rPr>
                <w:noProof/>
                <w:color w:val="000000"/>
                <w:highlight w:val="black"/>
              </w:rPr>
              <w:t>'''''''''''''</w:t>
            </w:r>
            <w:r w:rsidRPr="00D97B31">
              <w:t xml:space="preserve"> by 20% to </w:t>
            </w:r>
            <w:r w:rsidR="003B5BDD">
              <w:rPr>
                <w:noProof/>
                <w:color w:val="000000"/>
                <w:highlight w:val="black"/>
              </w:rPr>
              <w:t>''''''''''''</w:t>
            </w:r>
          </w:p>
        </w:tc>
        <w:tc>
          <w:tcPr>
            <w:tcW w:w="1374"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492" w:type="dxa"/>
            <w:vAlign w:val="center"/>
          </w:tcPr>
          <w:p w:rsidR="00301186" w:rsidRPr="00D97B31" w:rsidRDefault="00301186" w:rsidP="007953F2">
            <w:pPr>
              <w:pStyle w:val="Tabletext"/>
              <w:widowControl w:val="0"/>
              <w:jc w:val="center"/>
              <w:rPr>
                <w:rFonts w:cs="Arial"/>
                <w:szCs w:val="20"/>
              </w:rPr>
            </w:pPr>
            <w:r w:rsidRPr="00D97B31">
              <w:rPr>
                <w:rFonts w:cs="Arial"/>
                <w:szCs w:val="20"/>
              </w:rPr>
              <w:t>0.95</w:t>
            </w:r>
          </w:p>
        </w:tc>
        <w:tc>
          <w:tcPr>
            <w:tcW w:w="1179" w:type="dxa"/>
            <w:vAlign w:val="center"/>
          </w:tcPr>
          <w:p w:rsidR="00301186" w:rsidRPr="00D97B31" w:rsidRDefault="00301186" w:rsidP="007953F2">
            <w:pPr>
              <w:widowControl w:val="0"/>
              <w:jc w:val="center"/>
              <w:rPr>
                <w:rFonts w:ascii="Arial Narrow" w:hAnsi="Arial Narrow" w:cs="Arial"/>
                <w:sz w:val="20"/>
                <w:szCs w:val="20"/>
              </w:rPr>
            </w:pPr>
            <w:r w:rsidRPr="00D97B31">
              <w:rPr>
                <w:rFonts w:ascii="Arial Narrow" w:hAnsi="Arial Narrow" w:cs="Arial"/>
                <w:sz w:val="20"/>
                <w:szCs w:val="20"/>
              </w:rPr>
              <w:t>$</w:t>
            </w:r>
            <w:r w:rsidR="003B5BDD">
              <w:rPr>
                <w:rFonts w:ascii="Arial Narrow" w:hAnsi="Arial Narrow" w:cs="Arial"/>
                <w:noProof/>
                <w:color w:val="000000"/>
                <w:sz w:val="2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+10.0%</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rPr>
                <w:iCs/>
              </w:rPr>
            </w:pPr>
            <w:r w:rsidRPr="00D97B31">
              <w:rPr>
                <w:iCs/>
              </w:rPr>
              <w:tab/>
            </w:r>
            <w:r w:rsidR="003B5BDD">
              <w:rPr>
                <w:iCs/>
                <w:noProof/>
                <w:color w:val="000000"/>
                <w:highlight w:val="black"/>
              </w:rPr>
              <w:t>'''''''''''''''</w:t>
            </w:r>
            <w:r w:rsidRPr="00D97B31">
              <w:rPr>
                <w:iCs/>
              </w:rPr>
              <w:t xml:space="preserve"> trial-based - ARAMIS</w:t>
            </w:r>
          </w:p>
        </w:tc>
        <w:tc>
          <w:tcPr>
            <w:tcW w:w="1374" w:type="dxa"/>
            <w:vAlign w:val="center"/>
          </w:tcPr>
          <w:p w:rsidR="00301186" w:rsidRPr="00D97B31" w:rsidRDefault="00301186" w:rsidP="007953F2">
            <w:pPr>
              <w:pStyle w:val="Tabletext"/>
              <w:widowControl w:val="0"/>
              <w:jc w:val="center"/>
              <w:rPr>
                <w:iCs/>
              </w:rPr>
            </w:pPr>
            <w:r w:rsidRPr="00D97B31">
              <w:rPr>
                <w:rFonts w:cs="Arial"/>
                <w:iCs/>
                <w:szCs w:val="20"/>
              </w:rPr>
              <w:t>$</w:t>
            </w:r>
            <w:r w:rsidR="003B5BDD">
              <w:rPr>
                <w:rFonts w:cs="Arial"/>
                <w:iCs/>
                <w:noProof/>
                <w:color w:val="000000"/>
                <w:szCs w:val="20"/>
                <w:highlight w:val="black"/>
              </w:rPr>
              <w:t>''''''''''''''''''</w:t>
            </w:r>
          </w:p>
        </w:tc>
        <w:tc>
          <w:tcPr>
            <w:tcW w:w="1492" w:type="dxa"/>
            <w:vAlign w:val="center"/>
          </w:tcPr>
          <w:p w:rsidR="00301186" w:rsidRPr="00D97B31" w:rsidRDefault="00301186" w:rsidP="007953F2">
            <w:pPr>
              <w:pStyle w:val="Tabletext"/>
              <w:widowControl w:val="0"/>
              <w:jc w:val="center"/>
              <w:rPr>
                <w:iCs/>
              </w:rPr>
            </w:pPr>
            <w:r w:rsidRPr="00D97B31">
              <w:rPr>
                <w:rFonts w:cs="Arial"/>
                <w:iCs/>
                <w:szCs w:val="20"/>
              </w:rPr>
              <w:t>0.83</w:t>
            </w:r>
          </w:p>
        </w:tc>
        <w:tc>
          <w:tcPr>
            <w:tcW w:w="1179" w:type="dxa"/>
            <w:vAlign w:val="center"/>
          </w:tcPr>
          <w:p w:rsidR="00301186" w:rsidRPr="00D97B31" w:rsidRDefault="00301186" w:rsidP="007953F2">
            <w:pPr>
              <w:widowControl w:val="0"/>
              <w:jc w:val="center"/>
              <w:rPr>
                <w:rFonts w:ascii="Arial Narrow" w:hAnsi="Arial Narrow" w:cs="Arial"/>
                <w:iCs/>
                <w:sz w:val="20"/>
                <w:szCs w:val="20"/>
              </w:rPr>
            </w:pPr>
            <w:r w:rsidRPr="00D97B31">
              <w:rPr>
                <w:rFonts w:ascii="Arial Narrow" w:hAnsi="Arial Narrow" w:cs="Arial"/>
                <w:iCs/>
                <w:sz w:val="20"/>
                <w:szCs w:val="20"/>
              </w:rPr>
              <w:t>$</w:t>
            </w:r>
            <w:r w:rsidR="003B5BDD">
              <w:rPr>
                <w:rFonts w:ascii="Arial Narrow" w:hAnsi="Arial Narrow" w:cs="Arial"/>
                <w:iCs/>
                <w:noProof/>
                <w:color w:val="000000"/>
                <w:sz w:val="20"/>
                <w:szCs w:val="20"/>
                <w:highlight w:val="black"/>
              </w:rPr>
              <w:t>'''''''''''''''''</w:t>
            </w:r>
          </w:p>
        </w:tc>
        <w:tc>
          <w:tcPr>
            <w:tcW w:w="1325" w:type="dxa"/>
            <w:vAlign w:val="center"/>
          </w:tcPr>
          <w:p w:rsidR="00301186" w:rsidRPr="00D97B31" w:rsidRDefault="00301186" w:rsidP="007953F2">
            <w:pPr>
              <w:pStyle w:val="Tabletext"/>
              <w:widowControl w:val="0"/>
              <w:jc w:val="center"/>
              <w:rPr>
                <w:iCs/>
              </w:rPr>
            </w:pPr>
            <w:r w:rsidRPr="00D97B31">
              <w:rPr>
                <w:rFonts w:cs="Arial"/>
                <w:iCs/>
                <w:szCs w:val="20"/>
              </w:rPr>
              <w:t>+25.6%</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pPr>
            <w:r w:rsidRPr="00D97B31">
              <w:tab/>
              <w:t>0.70</w:t>
            </w:r>
            <w:r w:rsidR="007D6522" w:rsidRPr="00D97B31">
              <w:t xml:space="preserve"> </w:t>
            </w:r>
            <w:r w:rsidRPr="00D97B31">
              <w:t>- TRAPEZE</w:t>
            </w:r>
          </w:p>
        </w:tc>
        <w:tc>
          <w:tcPr>
            <w:tcW w:w="1374" w:type="dxa"/>
            <w:vAlign w:val="center"/>
          </w:tcPr>
          <w:p w:rsidR="00301186" w:rsidRPr="00D97B31" w:rsidRDefault="00301186" w:rsidP="007953F2">
            <w:pPr>
              <w:pStyle w:val="Tabletext"/>
              <w:widowControl w:val="0"/>
              <w:jc w:val="center"/>
              <w:rPr>
                <w:rFonts w:cs="Arial"/>
                <w:szCs w:val="20"/>
              </w:rPr>
            </w:pPr>
            <w:r w:rsidRPr="00D97B31">
              <w:rPr>
                <w:rFonts w:cs="Arial"/>
                <w:iCs/>
                <w:szCs w:val="20"/>
              </w:rPr>
              <w:t>$</w:t>
            </w:r>
            <w:r w:rsidR="003B5BDD">
              <w:rPr>
                <w:rFonts w:cs="Arial"/>
                <w:iCs/>
                <w:noProof/>
                <w:color w:val="000000"/>
                <w:szCs w:val="20"/>
                <w:highlight w:val="black"/>
              </w:rPr>
              <w:t>''''''''''''''''</w:t>
            </w:r>
          </w:p>
        </w:tc>
        <w:tc>
          <w:tcPr>
            <w:tcW w:w="1492" w:type="dxa"/>
            <w:vAlign w:val="center"/>
          </w:tcPr>
          <w:p w:rsidR="00301186" w:rsidRPr="00D97B31" w:rsidRDefault="00301186" w:rsidP="007953F2">
            <w:pPr>
              <w:pStyle w:val="Tabletext"/>
              <w:widowControl w:val="0"/>
              <w:jc w:val="center"/>
              <w:rPr>
                <w:rFonts w:cs="Arial"/>
                <w:szCs w:val="20"/>
              </w:rPr>
            </w:pPr>
            <w:r w:rsidRPr="00D97B31">
              <w:rPr>
                <w:rFonts w:cs="Arial"/>
                <w:szCs w:val="20"/>
              </w:rPr>
              <w:t>0.89</w:t>
            </w:r>
          </w:p>
        </w:tc>
        <w:tc>
          <w:tcPr>
            <w:tcW w:w="1179" w:type="dxa"/>
            <w:vAlign w:val="center"/>
          </w:tcPr>
          <w:p w:rsidR="00301186" w:rsidRPr="00D97B31" w:rsidRDefault="00301186" w:rsidP="007953F2">
            <w:pPr>
              <w:widowControl w:val="0"/>
              <w:jc w:val="center"/>
              <w:rPr>
                <w:rFonts w:ascii="Arial Narrow" w:hAnsi="Arial Narrow" w:cs="Arial"/>
                <w:sz w:val="20"/>
                <w:szCs w:val="20"/>
              </w:rPr>
            </w:pPr>
            <w:r w:rsidRPr="00D97B31">
              <w:rPr>
                <w:rFonts w:ascii="Arial Narrow" w:hAnsi="Arial Narrow" w:cs="Arial"/>
                <w:sz w:val="20"/>
                <w:szCs w:val="20"/>
              </w:rPr>
              <w:t>$</w:t>
            </w:r>
            <w:r w:rsidR="003B5BDD">
              <w:rPr>
                <w:rFonts w:ascii="Arial Narrow" w:hAnsi="Arial Narrow" w:cs="Arial"/>
                <w:noProof/>
                <w:color w:val="000000"/>
                <w:sz w:val="2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+17.1%</w:t>
            </w:r>
          </w:p>
        </w:tc>
      </w:tr>
      <w:tr w:rsidR="00301186" w:rsidRPr="00D97B31" w:rsidTr="00F66AC7">
        <w:trPr>
          <w:cantSplit/>
          <w:trHeight w:val="129"/>
        </w:trPr>
        <w:tc>
          <w:tcPr>
            <w:tcW w:w="9194" w:type="dxa"/>
            <w:gridSpan w:val="5"/>
            <w:vAlign w:val="center"/>
          </w:tcPr>
          <w:p w:rsidR="00301186" w:rsidRPr="00D97B31" w:rsidRDefault="00301186" w:rsidP="007953F2">
            <w:pPr>
              <w:pStyle w:val="Tabletext"/>
              <w:widowControl w:val="0"/>
            </w:pPr>
            <w:r w:rsidRPr="00D97B31">
              <w:t>Time horizon (base case: 10 years)</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rPr>
                <w:iCs/>
              </w:rPr>
            </w:pPr>
            <w:r w:rsidRPr="00D97B31">
              <w:rPr>
                <w:iCs/>
              </w:rPr>
              <w:tab/>
              <w:t>5 years</w:t>
            </w:r>
          </w:p>
        </w:tc>
        <w:tc>
          <w:tcPr>
            <w:tcW w:w="1374"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w:t>
            </w:r>
            <w:r w:rsidR="003B5BDD">
              <w:rPr>
                <w:rFonts w:ascii="Arial Narrow" w:hAnsi="Arial Narrow" w:cs="Calibri"/>
                <w:iCs/>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0.46</w:t>
            </w:r>
          </w:p>
        </w:tc>
        <w:tc>
          <w:tcPr>
            <w:tcW w:w="1179" w:type="dxa"/>
            <w:vAlign w:val="center"/>
          </w:tcPr>
          <w:p w:rsidR="00301186" w:rsidRPr="00D97B31" w:rsidRDefault="00301186" w:rsidP="007953F2">
            <w:pPr>
              <w:pStyle w:val="Tabletext"/>
              <w:widowControl w:val="0"/>
              <w:jc w:val="center"/>
              <w:rPr>
                <w:iCs/>
                <w:szCs w:val="20"/>
              </w:rPr>
            </w:pPr>
            <w:r w:rsidRPr="00D97B31">
              <w:rPr>
                <w:iCs/>
                <w:szCs w:val="20"/>
              </w:rPr>
              <w:t>$</w:t>
            </w:r>
            <w:r w:rsidR="003B5BDD">
              <w:rPr>
                <w:iCs/>
                <w:noProof/>
                <w:color w:val="000000"/>
                <w:szCs w:val="20"/>
                <w:highlight w:val="black"/>
              </w:rPr>
              <w:t>'''''''''''''''''''</w:t>
            </w:r>
          </w:p>
        </w:tc>
        <w:tc>
          <w:tcPr>
            <w:tcW w:w="1325" w:type="dxa"/>
            <w:vAlign w:val="center"/>
          </w:tcPr>
          <w:p w:rsidR="00301186" w:rsidRPr="00D97B31" w:rsidRDefault="00301186" w:rsidP="007953F2">
            <w:pPr>
              <w:pStyle w:val="Tabletext"/>
              <w:widowControl w:val="0"/>
              <w:jc w:val="center"/>
              <w:rPr>
                <w:iCs/>
                <w:szCs w:val="20"/>
              </w:rPr>
            </w:pPr>
            <w:r w:rsidRPr="00D97B31">
              <w:rPr>
                <w:iCs/>
                <w:szCs w:val="20"/>
              </w:rPr>
              <w:t>+122.2%</w:t>
            </w:r>
          </w:p>
        </w:tc>
      </w:tr>
      <w:tr w:rsidR="00301186" w:rsidRPr="00D97B31" w:rsidTr="00F66AC7">
        <w:trPr>
          <w:cantSplit/>
          <w:trHeight w:val="129"/>
        </w:trPr>
        <w:tc>
          <w:tcPr>
            <w:tcW w:w="3823" w:type="dxa"/>
            <w:vAlign w:val="center"/>
          </w:tcPr>
          <w:p w:rsidR="00301186" w:rsidRPr="00D97B31" w:rsidRDefault="00301186" w:rsidP="007953F2">
            <w:pPr>
              <w:pStyle w:val="Tabletext"/>
              <w:widowControl w:val="0"/>
              <w:tabs>
                <w:tab w:val="left" w:pos="142"/>
              </w:tabs>
              <w:rPr>
                <w:iCs/>
              </w:rPr>
            </w:pPr>
            <w:r w:rsidRPr="00D97B31">
              <w:rPr>
                <w:iCs/>
              </w:rPr>
              <w:tab/>
              <w:t>15 years</w:t>
            </w:r>
          </w:p>
        </w:tc>
        <w:tc>
          <w:tcPr>
            <w:tcW w:w="1374"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w:t>
            </w:r>
            <w:r w:rsidR="003B5BDD">
              <w:rPr>
                <w:rFonts w:ascii="Arial Narrow" w:hAnsi="Arial Narrow" w:cs="Calibri"/>
                <w:iCs/>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Calibri"/>
                <w:iCs/>
                <w:color w:val="000000"/>
                <w:sz w:val="20"/>
                <w:szCs w:val="20"/>
              </w:rPr>
            </w:pPr>
            <w:r w:rsidRPr="00D97B31">
              <w:rPr>
                <w:rFonts w:ascii="Arial Narrow" w:hAnsi="Arial Narrow" w:cs="Calibri"/>
                <w:iCs/>
                <w:color w:val="000000"/>
                <w:sz w:val="20"/>
                <w:szCs w:val="20"/>
              </w:rPr>
              <w:t>1.33</w:t>
            </w:r>
          </w:p>
        </w:tc>
        <w:tc>
          <w:tcPr>
            <w:tcW w:w="1179" w:type="dxa"/>
            <w:vAlign w:val="center"/>
          </w:tcPr>
          <w:p w:rsidR="00301186" w:rsidRPr="00D97B31" w:rsidRDefault="00301186" w:rsidP="007953F2">
            <w:pPr>
              <w:pStyle w:val="Tabletext"/>
              <w:widowControl w:val="0"/>
              <w:jc w:val="center"/>
              <w:rPr>
                <w:iCs/>
                <w:szCs w:val="20"/>
              </w:rPr>
            </w:pPr>
            <w:r w:rsidRPr="00D97B31">
              <w:rPr>
                <w:iCs/>
                <w:szCs w:val="20"/>
              </w:rPr>
              <w:t>$</w:t>
            </w:r>
            <w:r w:rsidR="003B5BDD">
              <w:rPr>
                <w:iCs/>
                <w:noProof/>
                <w:color w:val="000000"/>
                <w:szCs w:val="20"/>
                <w:highlight w:val="black"/>
              </w:rPr>
              <w:t>'''''''''''''''</w:t>
            </w:r>
          </w:p>
        </w:tc>
        <w:tc>
          <w:tcPr>
            <w:tcW w:w="1325" w:type="dxa"/>
            <w:vAlign w:val="center"/>
          </w:tcPr>
          <w:p w:rsidR="00301186" w:rsidRPr="00D97B31" w:rsidRDefault="00301186" w:rsidP="007953F2">
            <w:pPr>
              <w:pStyle w:val="Tabletext"/>
              <w:widowControl w:val="0"/>
              <w:jc w:val="center"/>
              <w:rPr>
                <w:iCs/>
                <w:szCs w:val="20"/>
              </w:rPr>
            </w:pPr>
            <w:r w:rsidRPr="00D97B31">
              <w:rPr>
                <w:iCs/>
                <w:szCs w:val="20"/>
              </w:rPr>
              <w:t>-16.1%</w:t>
            </w:r>
          </w:p>
        </w:tc>
      </w:tr>
      <w:tr w:rsidR="00301186" w:rsidRPr="00D97B31" w:rsidTr="00F66AC7">
        <w:trPr>
          <w:cantSplit/>
          <w:trHeight w:val="129"/>
        </w:trPr>
        <w:tc>
          <w:tcPr>
            <w:tcW w:w="9194" w:type="dxa"/>
            <w:gridSpan w:val="5"/>
            <w:vAlign w:val="center"/>
          </w:tcPr>
          <w:p w:rsidR="00301186" w:rsidRPr="00D97B31" w:rsidRDefault="00301186" w:rsidP="007953F2">
            <w:pPr>
              <w:pStyle w:val="Tabletext"/>
              <w:widowControl w:val="0"/>
              <w:rPr>
                <w:rFonts w:cs="Arial"/>
                <w:szCs w:val="20"/>
              </w:rPr>
            </w:pPr>
            <w:r w:rsidRPr="00D97B31">
              <w:rPr>
                <w:b/>
              </w:rPr>
              <w:t>Multivariate analysis</w:t>
            </w:r>
          </w:p>
        </w:tc>
      </w:tr>
      <w:tr w:rsidR="00301186" w:rsidRPr="00D97B31" w:rsidTr="00F66AC7">
        <w:trPr>
          <w:cantSplit/>
        </w:trPr>
        <w:tc>
          <w:tcPr>
            <w:tcW w:w="9194" w:type="dxa"/>
            <w:gridSpan w:val="5"/>
            <w:vAlign w:val="center"/>
          </w:tcPr>
          <w:p w:rsidR="00301186" w:rsidRPr="00D97B31" w:rsidRDefault="00301186" w:rsidP="007953F2">
            <w:pPr>
              <w:pStyle w:val="Tabletext"/>
              <w:widowControl w:val="0"/>
              <w:rPr>
                <w:rFonts w:cs="Arial"/>
                <w:szCs w:val="20"/>
              </w:rPr>
            </w:pPr>
            <w:r w:rsidRPr="00D97B31">
              <w:t xml:space="preserve">mCRPC utility and MFS extrapolation (base case: </w:t>
            </w:r>
            <w:r w:rsidR="003B5BDD">
              <w:rPr>
                <w:noProof/>
                <w:color w:val="000000"/>
                <w:highlight w:val="black"/>
              </w:rPr>
              <w:t>'''''''''''''</w:t>
            </w:r>
            <w:r w:rsidRPr="00D97B31">
              <w:t xml:space="preserve"> and exponential) </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gamma</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0.97</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+8.4%</w:t>
            </w:r>
          </w:p>
        </w:tc>
      </w:tr>
      <w:tr w:rsidR="00301186" w:rsidRPr="00D97B31" w:rsidTr="00F66AC7">
        <w:trPr>
          <w:cantSplit/>
        </w:trPr>
        <w:tc>
          <w:tcPr>
            <w:tcW w:w="9194" w:type="dxa"/>
            <w:gridSpan w:val="5"/>
            <w:vAlign w:val="center"/>
          </w:tcPr>
          <w:p w:rsidR="00301186" w:rsidRPr="00D97B31" w:rsidRDefault="00301186" w:rsidP="007953F2">
            <w:pPr>
              <w:pStyle w:val="Tabletext"/>
              <w:widowControl w:val="0"/>
              <w:rPr>
                <w:rFonts w:cs="Arial"/>
                <w:szCs w:val="20"/>
              </w:rPr>
            </w:pPr>
            <w:r w:rsidRPr="00D97B31">
              <w:t xml:space="preserve">mCRPC utility and OS extrapolation (base case: </w:t>
            </w:r>
            <w:r w:rsidR="003B5BDD">
              <w:rPr>
                <w:noProof/>
                <w:color w:val="000000"/>
                <w:highlight w:val="black"/>
              </w:rPr>
              <w:t>''''''''''''</w:t>
            </w:r>
            <w:r w:rsidRPr="00D97B31">
              <w:t xml:space="preserve"> and Weibull)</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log-logistic</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0.80</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+30.2%</w:t>
            </w:r>
          </w:p>
        </w:tc>
      </w:tr>
      <w:tr w:rsidR="00301186" w:rsidRPr="00D97B31" w:rsidTr="00F66AC7">
        <w:trPr>
          <w:cantSplit/>
        </w:trPr>
        <w:tc>
          <w:tcPr>
            <w:tcW w:w="9194" w:type="dxa"/>
            <w:gridSpan w:val="5"/>
            <w:vAlign w:val="center"/>
          </w:tcPr>
          <w:p w:rsidR="00301186" w:rsidRPr="00D97B31" w:rsidRDefault="00301186" w:rsidP="007953F2">
            <w:pPr>
              <w:pStyle w:val="Tabletext"/>
              <w:widowControl w:val="0"/>
              <w:rPr>
                <w:rFonts w:cs="Arial"/>
                <w:szCs w:val="20"/>
              </w:rPr>
            </w:pPr>
            <w:r w:rsidRPr="00D97B31">
              <w:t xml:space="preserve">mCRPC utility with MFS; OS extrapolation (base case: </w:t>
            </w:r>
            <w:r w:rsidR="003B5BDD">
              <w:rPr>
                <w:noProof/>
                <w:color w:val="000000"/>
                <w:highlight w:val="black"/>
              </w:rPr>
              <w:t>''''''''''''</w:t>
            </w:r>
            <w:r w:rsidRPr="00D97B31">
              <w:t xml:space="preserve"> and MFS exponential; OS Weibull)</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MFS exponential; OS Gompertz</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0.71</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+58.1%</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MFS gamma; OS log-logistic</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0.88</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+19.4%</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MFS Gompertz; OS Gompertz</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0.72</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+57.1%</w:t>
            </w:r>
          </w:p>
        </w:tc>
      </w:tr>
      <w:tr w:rsidR="00301186" w:rsidRPr="00D97B31" w:rsidTr="00F66AC7">
        <w:trPr>
          <w:cantSplit/>
        </w:trPr>
        <w:tc>
          <w:tcPr>
            <w:tcW w:w="9194" w:type="dxa"/>
            <w:gridSpan w:val="5"/>
            <w:vAlign w:val="center"/>
          </w:tcPr>
          <w:p w:rsidR="00301186" w:rsidRPr="00D97B31" w:rsidRDefault="00301186" w:rsidP="007953F2">
            <w:pPr>
              <w:pStyle w:val="Tabletext"/>
              <w:widowControl w:val="0"/>
              <w:rPr>
                <w:rFonts w:cs="Arial"/>
                <w:szCs w:val="20"/>
              </w:rPr>
            </w:pPr>
            <w:r w:rsidRPr="00D97B31">
              <w:t xml:space="preserve">mCRPC utility and OS data (base case: </w:t>
            </w:r>
            <w:r w:rsidR="003B5BDD">
              <w:rPr>
                <w:noProof/>
                <w:color w:val="000000"/>
                <w:highlight w:val="black"/>
              </w:rPr>
              <w:t>''''''''''''</w:t>
            </w:r>
            <w:r w:rsidRPr="00D97B31">
              <w:t xml:space="preserve"> and OS data unadjusted)</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OS data adjusted (IPE)</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1.01</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+4.3%</w:t>
            </w:r>
          </w:p>
        </w:tc>
      </w:tr>
      <w:tr w:rsidR="00301186" w:rsidRPr="00D97B31" w:rsidTr="00F66AC7">
        <w:trPr>
          <w:cantSplit/>
        </w:trPr>
        <w:tc>
          <w:tcPr>
            <w:tcW w:w="9194" w:type="dxa"/>
            <w:gridSpan w:val="5"/>
            <w:vAlign w:val="center"/>
          </w:tcPr>
          <w:p w:rsidR="00301186" w:rsidRPr="00D97B31" w:rsidRDefault="00301186" w:rsidP="007953F2">
            <w:pPr>
              <w:pStyle w:val="Tabletext"/>
              <w:widowControl w:val="0"/>
              <w:rPr>
                <w:rFonts w:cs="Arial"/>
                <w:szCs w:val="20"/>
              </w:rPr>
            </w:pPr>
            <w:r w:rsidRPr="00D97B31">
              <w:t xml:space="preserve">mCRPC utility and cost of terminal care (base case </w:t>
            </w:r>
            <w:r w:rsidR="003B5BDD">
              <w:rPr>
                <w:noProof/>
                <w:color w:val="000000"/>
                <w:highlight w:val="black"/>
              </w:rPr>
              <w:t>'''''''''''''</w:t>
            </w:r>
            <w:r w:rsidRPr="00D97B31">
              <w:t xml:space="preserve"> and $</w:t>
            </w:r>
            <w:r w:rsidR="003B5BDD">
              <w:rPr>
                <w:noProof/>
                <w:color w:val="000000"/>
                <w:highlight w:val="black"/>
              </w:rPr>
              <w:t>''''''''''''''''</w:t>
            </w:r>
            <w:r w:rsidRPr="00D97B31">
              <w:t>)</w:t>
            </w:r>
          </w:p>
        </w:tc>
      </w:tr>
      <w:tr w:rsidR="00301186" w:rsidRPr="00D97B31" w:rsidTr="00F66AC7">
        <w:trPr>
          <w:cantSplit/>
        </w:trPr>
        <w:tc>
          <w:tcPr>
            <w:tcW w:w="3823" w:type="dxa"/>
            <w:vAlign w:val="center"/>
          </w:tcPr>
          <w:p w:rsidR="00301186" w:rsidRPr="00D97B31" w:rsidRDefault="00301186" w:rsidP="007953F2">
            <w:pPr>
              <w:pStyle w:val="Tabletext"/>
              <w:widowControl w:val="0"/>
              <w:tabs>
                <w:tab w:val="left" w:pos="142"/>
              </w:tabs>
              <w:ind w:left="142" w:hanging="142"/>
            </w:pPr>
            <w:r w:rsidRPr="00D97B31">
              <w:tab/>
              <w:t>0.70 and $</w:t>
            </w:r>
            <w:r w:rsidR="003B5BDD">
              <w:rPr>
                <w:noProof/>
                <w:color w:val="000000"/>
                <w:highlight w:val="black"/>
              </w:rPr>
              <w:t>''''''''''''''''</w:t>
            </w:r>
          </w:p>
        </w:tc>
        <w:tc>
          <w:tcPr>
            <w:tcW w:w="1374"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w:t>
            </w:r>
            <w:r w:rsidR="003B5BDD">
              <w:rPr>
                <w:rFonts w:ascii="Arial Narrow" w:hAnsi="Arial Narrow" w:cs="Arial"/>
                <w:noProof/>
                <w:color w:val="000000"/>
                <w:sz w:val="20"/>
                <w:szCs w:val="20"/>
                <w:highlight w:val="black"/>
              </w:rPr>
              <w:t>'''''''''''''''''</w:t>
            </w:r>
          </w:p>
        </w:tc>
        <w:tc>
          <w:tcPr>
            <w:tcW w:w="1492" w:type="dxa"/>
            <w:vAlign w:val="center"/>
          </w:tcPr>
          <w:p w:rsidR="00301186" w:rsidRPr="00D97B31" w:rsidRDefault="00301186" w:rsidP="007953F2">
            <w:pPr>
              <w:jc w:val="center"/>
              <w:rPr>
                <w:rFonts w:ascii="Arial Narrow" w:hAnsi="Arial Narrow" w:cs="Arial"/>
                <w:color w:val="000000"/>
                <w:sz w:val="20"/>
                <w:szCs w:val="20"/>
              </w:rPr>
            </w:pPr>
            <w:r w:rsidRPr="00D97B31">
              <w:rPr>
                <w:rFonts w:ascii="Arial Narrow" w:hAnsi="Arial Narrow" w:cs="Arial"/>
                <w:color w:val="000000"/>
                <w:sz w:val="20"/>
                <w:szCs w:val="20"/>
              </w:rPr>
              <w:t>0.89</w:t>
            </w:r>
          </w:p>
        </w:tc>
        <w:tc>
          <w:tcPr>
            <w:tcW w:w="1179" w:type="dxa"/>
            <w:vAlign w:val="center"/>
          </w:tcPr>
          <w:p w:rsidR="00301186" w:rsidRPr="00D97B31" w:rsidRDefault="00301186" w:rsidP="007953F2">
            <w:pPr>
              <w:pStyle w:val="Tabletext"/>
              <w:widowControl w:val="0"/>
              <w:jc w:val="center"/>
              <w:rPr>
                <w:rFonts w:cs="Arial"/>
                <w:szCs w:val="20"/>
              </w:rPr>
            </w:pPr>
            <w:r w:rsidRPr="00D97B31">
              <w:rPr>
                <w:rFonts w:cs="Arial"/>
                <w:szCs w:val="20"/>
              </w:rPr>
              <w:t>$</w:t>
            </w:r>
            <w:r w:rsidR="003B5BDD">
              <w:rPr>
                <w:rFonts w:cs="Arial"/>
                <w:noProof/>
                <w:color w:val="000000"/>
                <w:szCs w:val="20"/>
                <w:highlight w:val="black"/>
              </w:rPr>
              <w:t>'''''''''''''''''</w:t>
            </w:r>
          </w:p>
        </w:tc>
        <w:tc>
          <w:tcPr>
            <w:tcW w:w="1325" w:type="dxa"/>
            <w:vAlign w:val="center"/>
          </w:tcPr>
          <w:p w:rsidR="00301186" w:rsidRPr="00D97B31" w:rsidRDefault="00301186" w:rsidP="007953F2">
            <w:pPr>
              <w:pStyle w:val="Tabletext"/>
              <w:widowControl w:val="0"/>
              <w:jc w:val="center"/>
              <w:rPr>
                <w:rFonts w:cs="Arial"/>
                <w:szCs w:val="20"/>
              </w:rPr>
            </w:pPr>
            <w:r w:rsidRPr="00D97B31">
              <w:rPr>
                <w:rFonts w:cs="Arial"/>
                <w:szCs w:val="20"/>
              </w:rPr>
              <w:t>+25.3%</w:t>
            </w:r>
          </w:p>
        </w:tc>
      </w:tr>
    </w:tbl>
    <w:p w:rsidR="00301186" w:rsidRPr="00D97B31" w:rsidRDefault="00301186" w:rsidP="00301186">
      <w:pPr>
        <w:pStyle w:val="TableFooter"/>
        <w:keepNext/>
        <w:keepLines/>
      </w:pPr>
      <w:r w:rsidRPr="00D97B31">
        <w:t>Source: Table 3-34, p250-252 of the submission.</w:t>
      </w:r>
    </w:p>
    <w:p w:rsidR="00301186" w:rsidRPr="005C3497" w:rsidRDefault="00DF5288" w:rsidP="00310FF4">
      <w:pPr>
        <w:pStyle w:val="TableFooter"/>
        <w:keepNext/>
        <w:keepLines/>
        <w:spacing w:after="120"/>
      </w:pPr>
      <w:r w:rsidRPr="00D97B31">
        <w:t xml:space="preserve">m0CRPC=non-metastatic castration resistant prostate cancer; </w:t>
      </w:r>
      <w:r w:rsidR="00301186" w:rsidRPr="00D97B31">
        <w:t xml:space="preserve">mCRPC=metastatic castration resistant prostate cancer; </w:t>
      </w:r>
      <w:r w:rsidRPr="00D97B31">
        <w:t>MFS=metastasis-</w:t>
      </w:r>
      <w:r w:rsidRPr="005C3497">
        <w:t xml:space="preserve">free survival; </w:t>
      </w:r>
      <w:r w:rsidR="00301186" w:rsidRPr="005C3497">
        <w:t>OS=overall survival</w:t>
      </w:r>
    </w:p>
    <w:p w:rsidR="008067E1" w:rsidRPr="008067E1" w:rsidRDefault="008067E1" w:rsidP="008067E1">
      <w:pPr>
        <w:pStyle w:val="3-BodyText"/>
        <w:numPr>
          <w:ilvl w:val="0"/>
          <w:numId w:val="0"/>
        </w:numPr>
        <w:ind w:left="720" w:hanging="720"/>
        <w:rPr>
          <w:i/>
        </w:rPr>
      </w:pPr>
      <w:r>
        <w:rPr>
          <w:i/>
        </w:rPr>
        <w:t xml:space="preserve">The redacted table shows ICERs in the range of </w:t>
      </w:r>
      <w:r w:rsidR="00AC56BC">
        <w:rPr>
          <w:i/>
        </w:rPr>
        <w:t>$45,000/QALY - $200,000/QALY.</w:t>
      </w:r>
    </w:p>
    <w:p w:rsidR="00301186" w:rsidRPr="005C3497" w:rsidRDefault="00F66AC7" w:rsidP="00080C18">
      <w:pPr>
        <w:pStyle w:val="3-BodyText"/>
      </w:pPr>
      <w:r w:rsidRPr="005C3497">
        <w:t>The ESC noted that u</w:t>
      </w:r>
      <w:r w:rsidR="00301186" w:rsidRPr="005C3497">
        <w:t>se of the trial-based utility value for mCRPC patients from ARAMIS (</w:t>
      </w:r>
      <w:r w:rsidR="003B5BDD">
        <w:rPr>
          <w:noProof/>
          <w:color w:val="000000"/>
          <w:highlight w:val="black"/>
        </w:rPr>
        <w:t>''''''''''</w:t>
      </w:r>
      <w:r w:rsidR="00301186" w:rsidRPr="005C3497">
        <w:t>)</w:t>
      </w:r>
      <w:r w:rsidR="000A0DFB" w:rsidRPr="005C3497">
        <w:t xml:space="preserve">, rather than the value used in the model of </w:t>
      </w:r>
      <w:r w:rsidR="003B5BDD">
        <w:rPr>
          <w:noProof/>
          <w:color w:val="000000"/>
          <w:highlight w:val="black"/>
        </w:rPr>
        <w:t>''''''''''</w:t>
      </w:r>
      <w:r w:rsidR="000A0DFB" w:rsidRPr="005C3497">
        <w:t xml:space="preserve"> from the ALSYMPCA trial, </w:t>
      </w:r>
      <w:r w:rsidR="00301186" w:rsidRPr="005C3497">
        <w:t>increased the ICER</w:t>
      </w:r>
      <w:r w:rsidR="000A0DFB" w:rsidRPr="005C3497">
        <w:t xml:space="preserve"> </w:t>
      </w:r>
      <w:r w:rsidR="00F90F73" w:rsidRPr="005C3497">
        <w:t>by</w:t>
      </w:r>
      <w:r w:rsidR="000B346D" w:rsidRPr="005C3497">
        <w:t xml:space="preserve"> approximately</w:t>
      </w:r>
      <w:r w:rsidR="00F90F73" w:rsidRPr="005C3497">
        <w:t xml:space="preserve"> 25%</w:t>
      </w:r>
      <w:r w:rsidR="00301186" w:rsidRPr="005C3497">
        <w:t xml:space="preserve"> to </w:t>
      </w:r>
      <w:r w:rsidR="00B47751">
        <w:t>$45,000/QALY - $75,000/</w:t>
      </w:r>
      <w:r w:rsidR="00321F03" w:rsidRPr="005C3497">
        <w:t xml:space="preserve"> QALY</w:t>
      </w:r>
      <w:r w:rsidR="00301186" w:rsidRPr="005C3497">
        <w:t>.</w:t>
      </w:r>
      <w:r w:rsidR="007D6522" w:rsidRPr="005C3497">
        <w:t xml:space="preserve"> </w:t>
      </w:r>
      <w:r w:rsidR="004805B0" w:rsidRPr="005C3497">
        <w:t>T</w:t>
      </w:r>
      <w:r w:rsidR="00301186" w:rsidRPr="005C3497">
        <w:t>he submission argued th</w:t>
      </w:r>
      <w:r w:rsidR="004805B0" w:rsidRPr="005C3497">
        <w:t>e ARAMIS</w:t>
      </w:r>
      <w:r w:rsidR="00301186" w:rsidRPr="005C3497">
        <w:t xml:space="preserve"> utility </w:t>
      </w:r>
      <w:r w:rsidR="004805B0" w:rsidRPr="005C3497">
        <w:t>value</w:t>
      </w:r>
      <w:r w:rsidR="00301186" w:rsidRPr="005C3497">
        <w:t xml:space="preserve"> was </w:t>
      </w:r>
      <w:r w:rsidR="00663433" w:rsidRPr="005C3497">
        <w:t>un</w:t>
      </w:r>
      <w:r w:rsidR="00301186" w:rsidRPr="005C3497">
        <w:t xml:space="preserve">likely to represent mCRPC patients over time, </w:t>
      </w:r>
      <w:r w:rsidR="004805B0" w:rsidRPr="005C3497">
        <w:t xml:space="preserve">as it was collected in patients who had </w:t>
      </w:r>
      <w:r w:rsidR="00CF15F1" w:rsidRPr="005C3497">
        <w:t xml:space="preserve">recently </w:t>
      </w:r>
      <w:r w:rsidR="004805B0" w:rsidRPr="005C3497">
        <w:t>been diagnosed with progressed disease</w:t>
      </w:r>
      <w:r w:rsidR="00301186" w:rsidRPr="005C3497">
        <w:t>.</w:t>
      </w:r>
      <w:r w:rsidR="007D6522" w:rsidRPr="005C3497">
        <w:t xml:space="preserve"> </w:t>
      </w:r>
      <w:r w:rsidR="00301186" w:rsidRPr="005C3497">
        <w:t xml:space="preserve">Another value sourced by the submission from the literature (0.70 from TRAPEZE) resulted in a 17% increase in the ICER, to </w:t>
      </w:r>
      <w:r w:rsidR="00B47751">
        <w:t>$45,000/QALY - $75,000/</w:t>
      </w:r>
      <w:r w:rsidR="00321F03" w:rsidRPr="005C3497">
        <w:t>QALY</w:t>
      </w:r>
      <w:r w:rsidR="00301186" w:rsidRPr="005C3497">
        <w:t>.</w:t>
      </w:r>
      <w:r w:rsidR="007D6522" w:rsidRPr="005C3497">
        <w:t xml:space="preserve"> </w:t>
      </w:r>
      <w:r w:rsidR="00301186" w:rsidRPr="005C3497">
        <w:t xml:space="preserve">This value </w:t>
      </w:r>
      <w:r w:rsidR="00321F03" w:rsidRPr="005C3497">
        <w:t>was</w:t>
      </w:r>
      <w:r w:rsidR="00301186" w:rsidRPr="005C3497">
        <w:t xml:space="preserve"> applied in multivariate analyses</w:t>
      </w:r>
      <w:r w:rsidR="00321F03" w:rsidRPr="005C3497">
        <w:t xml:space="preserve"> performed during the evaluation</w:t>
      </w:r>
      <w:r w:rsidR="00301186" w:rsidRPr="005C3497">
        <w:t>.</w:t>
      </w:r>
      <w:r w:rsidR="00AA0804" w:rsidRPr="005C3497">
        <w:t xml:space="preserve"> </w:t>
      </w:r>
      <w:r w:rsidR="00B30895" w:rsidRPr="005C3497">
        <w:t xml:space="preserve">The PSCR contended that the utility value of </w:t>
      </w:r>
      <w:r w:rsidR="003B5BDD">
        <w:rPr>
          <w:noProof/>
          <w:color w:val="000000"/>
          <w:highlight w:val="black"/>
        </w:rPr>
        <w:t>'''''''''''</w:t>
      </w:r>
      <w:r w:rsidR="00B30895" w:rsidRPr="005C3497">
        <w:t xml:space="preserve"> </w:t>
      </w:r>
      <w:r w:rsidR="000A0DFB" w:rsidRPr="005C3497">
        <w:t>wa</w:t>
      </w:r>
      <w:r w:rsidR="00B30895" w:rsidRPr="005C3497">
        <w:t xml:space="preserve">s </w:t>
      </w:r>
      <w:r w:rsidR="000A0DFB" w:rsidRPr="005C3497">
        <w:t>more</w:t>
      </w:r>
      <w:r w:rsidR="00B30895" w:rsidRPr="005C3497">
        <w:t xml:space="preserve"> representative of patients in the mCRPC health state as </w:t>
      </w:r>
      <w:r w:rsidR="00321F03" w:rsidRPr="005C3497">
        <w:t xml:space="preserve">the </w:t>
      </w:r>
      <w:r w:rsidR="00B30895" w:rsidRPr="005C3497">
        <w:t>ALYS</w:t>
      </w:r>
      <w:r w:rsidR="006E3C84" w:rsidRPr="005C3497">
        <w:t>Y</w:t>
      </w:r>
      <w:r w:rsidR="00B30895" w:rsidRPr="005C3497">
        <w:t xml:space="preserve">MPCA </w:t>
      </w:r>
      <w:r w:rsidR="00321F03" w:rsidRPr="005C3497">
        <w:t xml:space="preserve">trial </w:t>
      </w:r>
      <w:r w:rsidR="000A0DFB" w:rsidRPr="005C3497">
        <w:t>did not restrict prior use of cytotoxic chemotherapy and as patients</w:t>
      </w:r>
      <w:r w:rsidR="000A0DFB" w:rsidRPr="005C3497">
        <w:rPr>
          <w:i/>
        </w:rPr>
        <w:t xml:space="preserve"> </w:t>
      </w:r>
      <w:r w:rsidR="00B30895" w:rsidRPr="005C3497">
        <w:t xml:space="preserve">had </w:t>
      </w:r>
      <w:r w:rsidR="000A0DFB" w:rsidRPr="005C3497">
        <w:t xml:space="preserve">two or more </w:t>
      </w:r>
      <w:r w:rsidR="00B30895" w:rsidRPr="005C3497">
        <w:t>bone metastases at baseline</w:t>
      </w:r>
      <w:r w:rsidR="000A0DFB" w:rsidRPr="005C3497">
        <w:t>. The PSCR</w:t>
      </w:r>
      <w:r w:rsidR="00B30895" w:rsidRPr="005C3497">
        <w:t xml:space="preserve"> not</w:t>
      </w:r>
      <w:r w:rsidR="000A0DFB" w:rsidRPr="005C3497">
        <w:t>ed</w:t>
      </w:r>
      <w:r w:rsidR="00B30895" w:rsidRPr="005C3497">
        <w:t xml:space="preserve"> that 80% </w:t>
      </w:r>
      <w:r w:rsidR="000A0DFB" w:rsidRPr="005C3497">
        <w:t>to</w:t>
      </w:r>
      <w:r w:rsidR="00B30895" w:rsidRPr="005C3497">
        <w:t xml:space="preserve"> 90% of patients with advanced-stage prostate cancer develop bone metastases during the disease course.</w:t>
      </w:r>
      <w:r w:rsidR="006D087C" w:rsidRPr="005C3497">
        <w:t xml:space="preserve"> The PSCR further argued that </w:t>
      </w:r>
      <w:r w:rsidR="000A0DFB" w:rsidRPr="005C3497">
        <w:t xml:space="preserve">the </w:t>
      </w:r>
      <w:r w:rsidR="006D087C" w:rsidRPr="005C3497">
        <w:t xml:space="preserve">utility value of 0.70 </w:t>
      </w:r>
      <w:r w:rsidR="000A0DFB" w:rsidRPr="005C3497">
        <w:t>from the TRAPEZE trial wa</w:t>
      </w:r>
      <w:r w:rsidR="00033176" w:rsidRPr="005C3497">
        <w:t xml:space="preserve">s unlikely to capture all effects associated with </w:t>
      </w:r>
      <w:r w:rsidR="00EA7E66" w:rsidRPr="005C3497">
        <w:t>mCRPC</w:t>
      </w:r>
      <w:r w:rsidR="00033176" w:rsidRPr="005C3497">
        <w:t xml:space="preserve"> and this value was not consistent with values reported in the literature for late stage prostate cancer which range</w:t>
      </w:r>
      <w:r w:rsidR="004805B0" w:rsidRPr="005C3497">
        <w:t>d</w:t>
      </w:r>
      <w:r w:rsidR="00033176" w:rsidRPr="005C3497">
        <w:t xml:space="preserve"> from 0.45 to 0.55.</w:t>
      </w:r>
      <w:r w:rsidR="002B1A24" w:rsidRPr="005C3497">
        <w:t xml:space="preserve"> While the ESC acknowledged that the utility value for patients </w:t>
      </w:r>
      <w:r w:rsidR="001E3A70" w:rsidRPr="005C3497">
        <w:t xml:space="preserve">with mCRPC </w:t>
      </w:r>
      <w:r w:rsidR="00321F03" w:rsidRPr="005C3497">
        <w:t>would reduce</w:t>
      </w:r>
      <w:r w:rsidR="002B1A24" w:rsidRPr="005C3497">
        <w:t xml:space="preserve"> over time</w:t>
      </w:r>
      <w:r w:rsidR="00EA7E66" w:rsidRPr="005C3497">
        <w:t xml:space="preserve">, the ESC considered that the utility value of </w:t>
      </w:r>
      <w:r w:rsidR="003B5BDD">
        <w:rPr>
          <w:noProof/>
          <w:color w:val="000000"/>
          <w:highlight w:val="black"/>
        </w:rPr>
        <w:t>''''''''''</w:t>
      </w:r>
      <w:r w:rsidR="000A0DFB" w:rsidRPr="005C3497">
        <w:t xml:space="preserve"> was </w:t>
      </w:r>
      <w:r w:rsidR="001615EB" w:rsidRPr="005C3497">
        <w:t>more reflective of end stage palliation</w:t>
      </w:r>
      <w:r w:rsidR="000A0DFB" w:rsidRPr="005C3497">
        <w:t xml:space="preserve"> and </w:t>
      </w:r>
      <w:r w:rsidR="00EA7E66" w:rsidRPr="005C3497">
        <w:t xml:space="preserve">was </w:t>
      </w:r>
      <w:r w:rsidR="004805B0" w:rsidRPr="005C3497">
        <w:t xml:space="preserve">therefore </w:t>
      </w:r>
      <w:r w:rsidR="00EA7E66" w:rsidRPr="005C3497">
        <w:t xml:space="preserve">unlikely to reflect </w:t>
      </w:r>
      <w:r w:rsidR="000A0DFB" w:rsidRPr="005C3497">
        <w:t xml:space="preserve">a </w:t>
      </w:r>
      <w:r w:rsidR="00EA7E66" w:rsidRPr="005C3497">
        <w:t>patient</w:t>
      </w:r>
      <w:r w:rsidR="004805B0" w:rsidRPr="005C3497">
        <w:t>’</w:t>
      </w:r>
      <w:r w:rsidR="00EA7E66" w:rsidRPr="005C3497">
        <w:t>s</w:t>
      </w:r>
      <w:r w:rsidR="000A0DFB" w:rsidRPr="005C3497">
        <w:t xml:space="preserve"> utility</w:t>
      </w:r>
      <w:r w:rsidR="00EA7E66" w:rsidRPr="005C3497">
        <w:t xml:space="preserve"> throughout the</w:t>
      </w:r>
      <w:r w:rsidR="00816BCA" w:rsidRPr="005C3497">
        <w:t xml:space="preserve">ir entire time in the </w:t>
      </w:r>
      <w:r w:rsidR="00EA7E66" w:rsidRPr="005C3497">
        <w:t xml:space="preserve">mCRPC health state given patients may remain in this health state for several years. </w:t>
      </w:r>
      <w:r w:rsidR="00080C18" w:rsidRPr="005C3497">
        <w:t>The ESC considered that the utility value of 0.635 sourced from Wu et al. 2007</w:t>
      </w:r>
      <w:r w:rsidR="000A0DFB" w:rsidRPr="005C3497">
        <w:rPr>
          <w:rStyle w:val="FootnoteReference"/>
        </w:rPr>
        <w:footnoteReference w:id="3"/>
      </w:r>
      <w:r w:rsidR="008F61B1" w:rsidRPr="005C3497">
        <w:t>, which was</w:t>
      </w:r>
      <w:r w:rsidR="00080C18" w:rsidRPr="005C3497">
        <w:t xml:space="preserve"> based on multicentre observational data of patients with metastatic </w:t>
      </w:r>
      <w:r w:rsidR="00080C18" w:rsidRPr="005C3497">
        <w:rPr>
          <w:iCs/>
        </w:rPr>
        <w:t>hormone-refractory prostate cancer over two years, may be</w:t>
      </w:r>
      <w:r w:rsidR="00D33900" w:rsidRPr="005C3497">
        <w:rPr>
          <w:iCs/>
        </w:rPr>
        <w:t xml:space="preserve"> an appropriate alternative value for the mCRPC health state</w:t>
      </w:r>
      <w:r w:rsidR="000D4E3A" w:rsidRPr="005C3497">
        <w:rPr>
          <w:iCs/>
        </w:rPr>
        <w:t xml:space="preserve"> </w:t>
      </w:r>
      <w:r w:rsidR="00926051" w:rsidRPr="005C3497">
        <w:rPr>
          <w:iCs/>
        </w:rPr>
        <w:t>and may be</w:t>
      </w:r>
      <w:r w:rsidR="009B08E6" w:rsidRPr="005C3497">
        <w:rPr>
          <w:iCs/>
        </w:rPr>
        <w:t xml:space="preserve"> more reflective of </w:t>
      </w:r>
      <w:r w:rsidR="00853BB0" w:rsidRPr="005C3497">
        <w:rPr>
          <w:iCs/>
        </w:rPr>
        <w:t xml:space="preserve">the total time spent in the </w:t>
      </w:r>
      <w:r w:rsidR="009B08E6" w:rsidRPr="005C3497">
        <w:rPr>
          <w:iCs/>
        </w:rPr>
        <w:t xml:space="preserve">mCRPC </w:t>
      </w:r>
      <w:r w:rsidR="00853BB0" w:rsidRPr="005C3497">
        <w:rPr>
          <w:iCs/>
        </w:rPr>
        <w:t>state</w:t>
      </w:r>
      <w:r w:rsidR="009B08E6" w:rsidRPr="005C3497">
        <w:rPr>
          <w:iCs/>
        </w:rPr>
        <w:t>.</w:t>
      </w:r>
      <w:r w:rsidR="007D6522" w:rsidRPr="005C3497">
        <w:rPr>
          <w:iCs/>
        </w:rPr>
        <w:t xml:space="preserve"> </w:t>
      </w:r>
      <w:r w:rsidR="00620917" w:rsidRPr="005C3497">
        <w:rPr>
          <w:iCs/>
        </w:rPr>
        <w:t xml:space="preserve">The pre-PBAC Response </w:t>
      </w:r>
      <w:r w:rsidR="008B2042" w:rsidRPr="005C3497">
        <w:rPr>
          <w:iCs/>
        </w:rPr>
        <w:t xml:space="preserve">maintained that the utility value of </w:t>
      </w:r>
      <w:r w:rsidR="003B5BDD">
        <w:rPr>
          <w:iCs/>
          <w:noProof/>
          <w:color w:val="000000"/>
          <w:highlight w:val="black"/>
        </w:rPr>
        <w:t>''''''''''</w:t>
      </w:r>
      <w:r w:rsidR="008B2042" w:rsidRPr="005C3497">
        <w:rPr>
          <w:iCs/>
        </w:rPr>
        <w:t xml:space="preserve"> best reflect</w:t>
      </w:r>
      <w:r w:rsidR="00712689" w:rsidRPr="005C3497">
        <w:rPr>
          <w:iCs/>
        </w:rPr>
        <w:t>ed</w:t>
      </w:r>
      <w:r w:rsidR="008B2042" w:rsidRPr="005C3497">
        <w:rPr>
          <w:iCs/>
        </w:rPr>
        <w:t xml:space="preserve"> quality of life over the total time spent in the mCRPC health state. </w:t>
      </w:r>
      <w:r w:rsidR="005B5122" w:rsidRPr="005C3497">
        <w:rPr>
          <w:iCs/>
        </w:rPr>
        <w:t xml:space="preserve">The pre-PBAC Response noted that the utility value of 0.635 from Wu et al. 2007 </w:t>
      </w:r>
      <w:r w:rsidR="00712689" w:rsidRPr="005C3497">
        <w:rPr>
          <w:iCs/>
        </w:rPr>
        <w:t>was</w:t>
      </w:r>
      <w:r w:rsidR="00BA2DDF" w:rsidRPr="005C3497">
        <w:rPr>
          <w:iCs/>
        </w:rPr>
        <w:t xml:space="preserve"> the baseline utility value </w:t>
      </w:r>
      <w:r w:rsidR="00712689" w:rsidRPr="005C3497">
        <w:rPr>
          <w:iCs/>
        </w:rPr>
        <w:t>for</w:t>
      </w:r>
      <w:r w:rsidR="00BA2DDF" w:rsidRPr="005C3497">
        <w:rPr>
          <w:iCs/>
        </w:rPr>
        <w:t xml:space="preserve"> patients in the multicentre observational study and that the 3-month and 9-month utility values </w:t>
      </w:r>
      <w:r w:rsidR="006C6EDD" w:rsidRPr="005C3497">
        <w:rPr>
          <w:iCs/>
        </w:rPr>
        <w:t xml:space="preserve">from the study </w:t>
      </w:r>
      <w:r w:rsidR="00712689" w:rsidRPr="005C3497">
        <w:rPr>
          <w:iCs/>
        </w:rPr>
        <w:t>were</w:t>
      </w:r>
      <w:r w:rsidR="00BA2DDF" w:rsidRPr="005C3497">
        <w:rPr>
          <w:iCs/>
        </w:rPr>
        <w:t xml:space="preserve"> 0.565 and 0.555 respectively, which </w:t>
      </w:r>
      <w:r w:rsidR="00712689" w:rsidRPr="005C3497">
        <w:rPr>
          <w:iCs/>
        </w:rPr>
        <w:t>are</w:t>
      </w:r>
      <w:r w:rsidR="00BA2DDF" w:rsidRPr="005C3497">
        <w:rPr>
          <w:iCs/>
        </w:rPr>
        <w:t xml:space="preserve"> similar to the value </w:t>
      </w:r>
      <w:r w:rsidR="006C6EDD" w:rsidRPr="005C3497">
        <w:rPr>
          <w:iCs/>
        </w:rPr>
        <w:t>for the mCRPC health state in</w:t>
      </w:r>
      <w:r w:rsidR="00BA2DDF" w:rsidRPr="005C3497">
        <w:rPr>
          <w:iCs/>
        </w:rPr>
        <w:t xml:space="preserve"> the base-ca</w:t>
      </w:r>
      <w:r w:rsidR="006C6EDD" w:rsidRPr="005C3497">
        <w:rPr>
          <w:iCs/>
        </w:rPr>
        <w:t>se.</w:t>
      </w:r>
      <w:r w:rsidR="00E63777" w:rsidRPr="005C3497">
        <w:rPr>
          <w:iCs/>
        </w:rPr>
        <w:t xml:space="preserve"> </w:t>
      </w:r>
    </w:p>
    <w:p w:rsidR="00301186" w:rsidRDefault="009869E3" w:rsidP="00A132F2">
      <w:pPr>
        <w:pStyle w:val="3-BodyText"/>
        <w:rPr>
          <w:iCs/>
        </w:rPr>
      </w:pPr>
      <w:r w:rsidRPr="00D97B31">
        <w:rPr>
          <w:iCs/>
        </w:rPr>
        <w:t>T</w:t>
      </w:r>
      <w:r w:rsidR="004960CB" w:rsidRPr="00D97B31">
        <w:rPr>
          <w:iCs/>
        </w:rPr>
        <w:t>he model was sensitive to the choice of extrapolation</w:t>
      </w:r>
      <w:r w:rsidR="00C111AA" w:rsidRPr="00D97B31">
        <w:rPr>
          <w:iCs/>
        </w:rPr>
        <w:t xml:space="preserve"> function</w:t>
      </w:r>
      <w:r w:rsidR="00926947" w:rsidRPr="00D97B31">
        <w:rPr>
          <w:iCs/>
        </w:rPr>
        <w:t>s</w:t>
      </w:r>
      <w:r w:rsidR="00C111AA" w:rsidRPr="00D97B31">
        <w:rPr>
          <w:iCs/>
        </w:rPr>
        <w:t xml:space="preserve"> for OS and MFS</w:t>
      </w:r>
      <w:r w:rsidR="00926947" w:rsidRPr="00D97B31">
        <w:rPr>
          <w:iCs/>
        </w:rPr>
        <w:t xml:space="preserve">. A univariate sensitivity analysis using the Gompertz function (a model with visibly good fit for the </w:t>
      </w:r>
      <w:r w:rsidR="00A132F2">
        <w:rPr>
          <w:iCs/>
        </w:rPr>
        <w:t>Kaplan Meier</w:t>
      </w:r>
      <w:r w:rsidR="00926947" w:rsidRPr="00D97B31">
        <w:rPr>
          <w:iCs/>
        </w:rPr>
        <w:t xml:space="preserve"> OS data, but more conservative than the Weibull model) to extrapolate OS resulted in an ICER of </w:t>
      </w:r>
      <w:r w:rsidR="002A6990">
        <w:t>$45,000/QALY - $75,000/</w:t>
      </w:r>
      <w:r w:rsidR="008F61B1" w:rsidRPr="00D97B31">
        <w:rPr>
          <w:iCs/>
        </w:rPr>
        <w:t>QALY</w:t>
      </w:r>
      <w:r w:rsidR="00926947" w:rsidRPr="00D97B31">
        <w:rPr>
          <w:iCs/>
        </w:rPr>
        <w:t xml:space="preserve">, an increase of 29%. </w:t>
      </w:r>
      <w:r w:rsidR="004E7D3D" w:rsidRPr="00D97B31">
        <w:rPr>
          <w:iCs/>
        </w:rPr>
        <w:t>A</w:t>
      </w:r>
      <w:r w:rsidR="00301186" w:rsidRPr="00D97B31">
        <w:rPr>
          <w:iCs/>
        </w:rPr>
        <w:t>ltering</w:t>
      </w:r>
      <w:r w:rsidR="00926947" w:rsidRPr="00D97B31">
        <w:rPr>
          <w:iCs/>
        </w:rPr>
        <w:t xml:space="preserve"> both</w:t>
      </w:r>
      <w:r w:rsidR="00301186" w:rsidRPr="00D97B31">
        <w:rPr>
          <w:iCs/>
        </w:rPr>
        <w:t xml:space="preserve"> MFS extrapolation to </w:t>
      </w:r>
      <w:r w:rsidR="00C330F4" w:rsidRPr="00A132F2">
        <w:rPr>
          <w:iCs/>
        </w:rPr>
        <w:t xml:space="preserve">generalised </w:t>
      </w:r>
      <w:r w:rsidR="00301186" w:rsidRPr="00A132F2">
        <w:rPr>
          <w:iCs/>
        </w:rPr>
        <w:t xml:space="preserve">gamma </w:t>
      </w:r>
      <w:r w:rsidR="00C40BB7" w:rsidRPr="00A132F2">
        <w:rPr>
          <w:iCs/>
        </w:rPr>
        <w:t>(</w:t>
      </w:r>
      <w:r w:rsidR="00301186" w:rsidRPr="00A132F2">
        <w:rPr>
          <w:iCs/>
        </w:rPr>
        <w:t>from exponential</w:t>
      </w:r>
      <w:r w:rsidR="00C40BB7" w:rsidRPr="00A132F2">
        <w:rPr>
          <w:iCs/>
        </w:rPr>
        <w:t>)</w:t>
      </w:r>
      <w:r w:rsidR="00301186" w:rsidRPr="00A132F2">
        <w:rPr>
          <w:iCs/>
        </w:rPr>
        <w:t xml:space="preserve"> and OS extrapolation to log-logistic </w:t>
      </w:r>
      <w:r w:rsidR="00C40BB7" w:rsidRPr="00A132F2">
        <w:rPr>
          <w:iCs/>
        </w:rPr>
        <w:t>(</w:t>
      </w:r>
      <w:r w:rsidR="00301186" w:rsidRPr="00A132F2">
        <w:rPr>
          <w:iCs/>
        </w:rPr>
        <w:t>from Weibull</w:t>
      </w:r>
      <w:r w:rsidR="00C40BB7" w:rsidRPr="00A132F2">
        <w:rPr>
          <w:iCs/>
        </w:rPr>
        <w:t>)</w:t>
      </w:r>
      <w:r w:rsidR="004E7D3D" w:rsidRPr="00A132F2">
        <w:rPr>
          <w:iCs/>
        </w:rPr>
        <w:t>,</w:t>
      </w:r>
      <w:r w:rsidR="00301186" w:rsidRPr="00A132F2">
        <w:rPr>
          <w:iCs/>
        </w:rPr>
        <w:t xml:space="preserve"> </w:t>
      </w:r>
      <w:r w:rsidR="004E7D3D" w:rsidRPr="00A132F2">
        <w:rPr>
          <w:iCs/>
        </w:rPr>
        <w:t xml:space="preserve">decreased </w:t>
      </w:r>
      <w:r w:rsidR="00301186" w:rsidRPr="00A132F2">
        <w:rPr>
          <w:iCs/>
        </w:rPr>
        <w:t xml:space="preserve">the ICER to </w:t>
      </w:r>
      <w:r w:rsidR="002A6990">
        <w:t>$45,000/QALY - $75,000/</w:t>
      </w:r>
      <w:r w:rsidR="008F61B1" w:rsidRPr="00A132F2">
        <w:rPr>
          <w:iCs/>
        </w:rPr>
        <w:t>QALY</w:t>
      </w:r>
      <w:r w:rsidR="00301186" w:rsidRPr="00A132F2">
        <w:rPr>
          <w:iCs/>
        </w:rPr>
        <w:t>.</w:t>
      </w:r>
      <w:r w:rsidR="007D6522" w:rsidRPr="00A132F2">
        <w:rPr>
          <w:iCs/>
        </w:rPr>
        <w:t xml:space="preserve"> </w:t>
      </w:r>
      <w:r w:rsidR="0010136C" w:rsidRPr="00A132F2">
        <w:rPr>
          <w:iCs/>
        </w:rPr>
        <w:t xml:space="preserve">Alternatively, changing both the </w:t>
      </w:r>
      <w:r w:rsidR="00C330F4" w:rsidRPr="00A132F2">
        <w:rPr>
          <w:iCs/>
        </w:rPr>
        <w:t xml:space="preserve">MFS </w:t>
      </w:r>
      <w:r w:rsidR="0010136C" w:rsidRPr="00A132F2">
        <w:rPr>
          <w:iCs/>
        </w:rPr>
        <w:t xml:space="preserve">and OS </w:t>
      </w:r>
      <w:r w:rsidR="00C330F4" w:rsidRPr="00A132F2">
        <w:rPr>
          <w:iCs/>
        </w:rPr>
        <w:t>extrapolations to</w:t>
      </w:r>
      <w:r w:rsidR="0010136C" w:rsidRPr="00A132F2">
        <w:rPr>
          <w:iCs/>
        </w:rPr>
        <w:t xml:space="preserve"> the Gompertz function</w:t>
      </w:r>
      <w:r w:rsidR="00C330F4" w:rsidRPr="00A132F2">
        <w:rPr>
          <w:iCs/>
        </w:rPr>
        <w:t xml:space="preserve"> </w:t>
      </w:r>
      <w:r w:rsidR="0010136C" w:rsidRPr="00A132F2">
        <w:rPr>
          <w:iCs/>
        </w:rPr>
        <w:t>increas</w:t>
      </w:r>
      <w:r w:rsidR="00926947" w:rsidRPr="00A132F2">
        <w:rPr>
          <w:iCs/>
        </w:rPr>
        <w:t>ed</w:t>
      </w:r>
      <w:r w:rsidR="0010136C" w:rsidRPr="00A132F2">
        <w:rPr>
          <w:iCs/>
        </w:rPr>
        <w:t xml:space="preserve"> the ICER </w:t>
      </w:r>
      <w:r w:rsidR="00926947" w:rsidRPr="00A132F2">
        <w:rPr>
          <w:iCs/>
        </w:rPr>
        <w:t xml:space="preserve">by 27.8% </w:t>
      </w:r>
      <w:r w:rsidR="0010136C" w:rsidRPr="00A132F2">
        <w:rPr>
          <w:iCs/>
        </w:rPr>
        <w:t xml:space="preserve">to </w:t>
      </w:r>
      <w:r w:rsidR="002A6990">
        <w:t>$45,000/QALY - $75,000/</w:t>
      </w:r>
      <w:r w:rsidR="008F61B1" w:rsidRPr="00A132F2">
        <w:rPr>
          <w:iCs/>
        </w:rPr>
        <w:t>QALY</w:t>
      </w:r>
      <w:r w:rsidR="00BF195C" w:rsidRPr="00A132F2">
        <w:rPr>
          <w:iCs/>
        </w:rPr>
        <w:t>.</w:t>
      </w:r>
      <w:r w:rsidR="00631B8F" w:rsidRPr="00A132F2">
        <w:rPr>
          <w:iCs/>
        </w:rPr>
        <w:t xml:space="preserve"> The ESC </w:t>
      </w:r>
      <w:r w:rsidR="004805B0" w:rsidRPr="00A132F2">
        <w:rPr>
          <w:iCs/>
        </w:rPr>
        <w:t xml:space="preserve">noted </w:t>
      </w:r>
      <w:r w:rsidR="00C81976" w:rsidRPr="00A132F2">
        <w:rPr>
          <w:iCs/>
        </w:rPr>
        <w:t xml:space="preserve">that </w:t>
      </w:r>
      <w:r w:rsidR="00450E56" w:rsidRPr="00A132F2">
        <w:rPr>
          <w:iCs/>
        </w:rPr>
        <w:t>due to the immatur</w:t>
      </w:r>
      <w:r w:rsidR="00321F03" w:rsidRPr="00A132F2">
        <w:rPr>
          <w:iCs/>
        </w:rPr>
        <w:t xml:space="preserve">ity of the </w:t>
      </w:r>
      <w:r w:rsidR="00450E56" w:rsidRPr="00A132F2">
        <w:rPr>
          <w:iCs/>
        </w:rPr>
        <w:t>trial data the reliability of the</w:t>
      </w:r>
      <w:r w:rsidR="00F66AC7" w:rsidRPr="00A132F2">
        <w:rPr>
          <w:iCs/>
        </w:rPr>
        <w:t xml:space="preserve"> </w:t>
      </w:r>
      <w:r w:rsidR="00C81976" w:rsidRPr="00A132F2">
        <w:rPr>
          <w:iCs/>
        </w:rPr>
        <w:t xml:space="preserve">parametric extrapolation </w:t>
      </w:r>
      <w:r w:rsidR="004805B0" w:rsidRPr="00A132F2">
        <w:rPr>
          <w:iCs/>
        </w:rPr>
        <w:t>functions</w:t>
      </w:r>
      <w:r w:rsidR="00C81976" w:rsidRPr="00A132F2">
        <w:rPr>
          <w:iCs/>
        </w:rPr>
        <w:t xml:space="preserve"> </w:t>
      </w:r>
      <w:r w:rsidR="00450E56" w:rsidRPr="00A132F2">
        <w:rPr>
          <w:iCs/>
        </w:rPr>
        <w:t>w</w:t>
      </w:r>
      <w:r w:rsidR="001245C2" w:rsidRPr="00A132F2">
        <w:rPr>
          <w:iCs/>
        </w:rPr>
        <w:t>ere</w:t>
      </w:r>
      <w:r w:rsidR="00450E56" w:rsidRPr="00A132F2">
        <w:rPr>
          <w:iCs/>
        </w:rPr>
        <w:t xml:space="preserve"> highly uncertain</w:t>
      </w:r>
      <w:r w:rsidR="001245C2" w:rsidRPr="00A132F2">
        <w:rPr>
          <w:iCs/>
        </w:rPr>
        <w:t xml:space="preserve"> and that none of the extrapolations provided clinically plausible outcomes</w:t>
      </w:r>
      <w:r w:rsidR="0057771C" w:rsidRPr="00A132F2">
        <w:rPr>
          <w:iCs/>
        </w:rPr>
        <w:t xml:space="preserve">. </w:t>
      </w:r>
      <w:r w:rsidR="00A56972" w:rsidRPr="00A132F2">
        <w:rPr>
          <w:iCs/>
        </w:rPr>
        <w:t xml:space="preserve">The ESC advised that </w:t>
      </w:r>
      <w:r w:rsidR="00AC2FB0" w:rsidRPr="00A132F2">
        <w:rPr>
          <w:iCs/>
        </w:rPr>
        <w:t>alternative approaches to modelling such as flexible parametric extrapolations through the use of spline</w:t>
      </w:r>
      <w:r w:rsidRPr="00A132F2">
        <w:rPr>
          <w:iCs/>
        </w:rPr>
        <w:t xml:space="preserve"> function</w:t>
      </w:r>
      <w:r w:rsidR="00AC2FB0" w:rsidRPr="00A132F2">
        <w:rPr>
          <w:iCs/>
        </w:rPr>
        <w:t xml:space="preserve">s </w:t>
      </w:r>
      <w:r w:rsidR="00B50F40" w:rsidRPr="00A132F2">
        <w:rPr>
          <w:iCs/>
        </w:rPr>
        <w:t xml:space="preserve">to capture the time-dependent effects </w:t>
      </w:r>
      <w:r w:rsidR="00AC2FB0" w:rsidRPr="00A132F2">
        <w:rPr>
          <w:iCs/>
        </w:rPr>
        <w:t xml:space="preserve">could be explored. </w:t>
      </w:r>
      <w:r w:rsidR="006D208B" w:rsidRPr="00A132F2">
        <w:rPr>
          <w:iCs/>
        </w:rPr>
        <w:t>The pre-PBAC Response was uncertain whether the application of spline</w:t>
      </w:r>
      <w:r w:rsidR="00712689" w:rsidRPr="00A132F2">
        <w:rPr>
          <w:iCs/>
        </w:rPr>
        <w:t xml:space="preserve"> function</w:t>
      </w:r>
      <w:r w:rsidR="006D208B" w:rsidRPr="00A132F2">
        <w:rPr>
          <w:iCs/>
        </w:rPr>
        <w:t>s within the short time period of extrapolation</w:t>
      </w:r>
      <w:r w:rsidR="00261488" w:rsidRPr="00A132F2">
        <w:rPr>
          <w:iCs/>
        </w:rPr>
        <w:t xml:space="preserve"> would have a significant impact on cost-effectiveness or reduce uncertainty in the model. </w:t>
      </w:r>
      <w:r w:rsidR="005507C2" w:rsidRPr="00A132F2">
        <w:rPr>
          <w:iCs/>
        </w:rPr>
        <w:t>The PBAC considered that given the uncertainty around the magnitude of survival benefit and immature trial d</w:t>
      </w:r>
      <w:r w:rsidR="004C332D" w:rsidRPr="00A132F2">
        <w:rPr>
          <w:iCs/>
        </w:rPr>
        <w:t xml:space="preserve">ata, a conservative approach to extrapolation may be appropriate. </w:t>
      </w:r>
    </w:p>
    <w:p w:rsidR="00406F47" w:rsidRDefault="00406F47" w:rsidP="00406F47">
      <w:pPr>
        <w:pStyle w:val="4-SubsectionHeading"/>
        <w:rPr>
          <w:iCs/>
        </w:rPr>
      </w:pPr>
      <w:bookmarkStart w:id="24" w:name="_Toc22897646"/>
      <w:bookmarkStart w:id="25" w:name="_Toc40744337"/>
      <w:r w:rsidRPr="00D97B31">
        <w:t>Drug cost/patient/course</w:t>
      </w:r>
      <w:bookmarkEnd w:id="24"/>
      <w:bookmarkEnd w:id="25"/>
    </w:p>
    <w:p w:rsidR="00406F47" w:rsidRPr="00A132F2" w:rsidRDefault="00406F47" w:rsidP="00A132F2">
      <w:pPr>
        <w:pStyle w:val="3-BodyText"/>
        <w:rPr>
          <w:iCs/>
        </w:rPr>
      </w:pPr>
      <w:r>
        <w:t>The intervention costs per patient per month or course are shown in Table 14.</w:t>
      </w:r>
    </w:p>
    <w:p w:rsidR="00494207" w:rsidRPr="00D97B31" w:rsidRDefault="00494207" w:rsidP="00BB732D">
      <w:pPr>
        <w:pStyle w:val="TableFigureHeading"/>
        <w:rPr>
          <w:rStyle w:val="CommentReference"/>
          <w:b/>
          <w:szCs w:val="24"/>
        </w:rPr>
      </w:pPr>
      <w:r w:rsidRPr="00D97B31">
        <w:rPr>
          <w:rStyle w:val="CommentReference"/>
          <w:b/>
          <w:szCs w:val="24"/>
        </w:rPr>
        <w:t xml:space="preserve">Table </w:t>
      </w:r>
      <w:r w:rsidR="003813D7" w:rsidRPr="00D97B31">
        <w:rPr>
          <w:rStyle w:val="CommentReference"/>
          <w:b/>
          <w:szCs w:val="24"/>
        </w:rPr>
        <w:t>14</w:t>
      </w:r>
      <w:r w:rsidRPr="00D97B31">
        <w:rPr>
          <w:rStyle w:val="CommentReference"/>
          <w:b/>
          <w:szCs w:val="24"/>
        </w:rPr>
        <w:t xml:space="preserve">: </w:t>
      </w:r>
      <w:r w:rsidR="00070219" w:rsidRPr="00D97B31">
        <w:rPr>
          <w:bCs w:val="0"/>
          <w:szCs w:val="20"/>
        </w:rPr>
        <w:t>Intervention costs</w:t>
      </w:r>
      <w:r w:rsidR="00070219" w:rsidRPr="00D97B31">
        <w:rPr>
          <w:bCs w:val="0"/>
          <w:szCs w:val="20"/>
          <w:vertAlign w:val="superscript"/>
        </w:rPr>
        <w:t>a</w:t>
      </w:r>
      <w:r w:rsidR="00070219" w:rsidRPr="00D97B31">
        <w:rPr>
          <w:bCs w:val="0"/>
          <w:szCs w:val="20"/>
        </w:rPr>
        <w:t xml:space="preserve"> per patient across one month and model duration</w:t>
      </w: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5"/>
        <w:gridCol w:w="2125"/>
        <w:gridCol w:w="2127"/>
        <w:gridCol w:w="2057"/>
      </w:tblGrid>
      <w:tr w:rsidR="00070219" w:rsidRPr="00D97B31" w:rsidTr="00A644E8">
        <w:tc>
          <w:tcPr>
            <w:tcW w:w="1497" w:type="pct"/>
            <w:vMerge w:val="restart"/>
            <w:shd w:val="clear" w:color="auto" w:fill="auto"/>
            <w:vAlign w:val="center"/>
          </w:tcPr>
          <w:p w:rsidR="00070219" w:rsidRPr="00D97B31" w:rsidRDefault="00070219" w:rsidP="007953F2">
            <w:pPr>
              <w:keepNext/>
              <w:jc w:val="left"/>
              <w:rPr>
                <w:rFonts w:ascii="Arial Narrow" w:hAnsi="Arial Narrow"/>
                <w:b/>
                <w:sz w:val="20"/>
              </w:rPr>
            </w:pPr>
          </w:p>
        </w:tc>
        <w:tc>
          <w:tcPr>
            <w:tcW w:w="3503" w:type="pct"/>
            <w:gridSpan w:val="3"/>
            <w:shd w:val="clear" w:color="auto" w:fill="auto"/>
            <w:vAlign w:val="center"/>
          </w:tcPr>
          <w:p w:rsidR="00070219" w:rsidRPr="00D97B31" w:rsidRDefault="00070219" w:rsidP="007953F2">
            <w:pPr>
              <w:keepNext/>
              <w:jc w:val="center"/>
              <w:rPr>
                <w:rFonts w:ascii="Arial Narrow" w:hAnsi="Arial Narrow"/>
                <w:b/>
                <w:sz w:val="20"/>
              </w:rPr>
            </w:pPr>
            <w:r w:rsidRPr="00D97B31">
              <w:rPr>
                <w:rFonts w:ascii="Arial Narrow" w:hAnsi="Arial Narrow"/>
                <w:b/>
                <w:sz w:val="20"/>
              </w:rPr>
              <w:t>Darolutamide</w:t>
            </w:r>
          </w:p>
        </w:tc>
      </w:tr>
      <w:tr w:rsidR="00070219" w:rsidRPr="00D97B31" w:rsidTr="001F19B9">
        <w:tc>
          <w:tcPr>
            <w:tcW w:w="1497" w:type="pct"/>
            <w:vMerge/>
            <w:shd w:val="clear" w:color="auto" w:fill="auto"/>
            <w:vAlign w:val="center"/>
          </w:tcPr>
          <w:p w:rsidR="00070219" w:rsidRPr="00D97B31" w:rsidRDefault="00070219" w:rsidP="007953F2">
            <w:pPr>
              <w:keepNext/>
              <w:jc w:val="left"/>
              <w:rPr>
                <w:rFonts w:ascii="Arial Narrow" w:hAnsi="Arial Narrow"/>
                <w:b/>
                <w:sz w:val="20"/>
              </w:rPr>
            </w:pPr>
          </w:p>
        </w:tc>
        <w:tc>
          <w:tcPr>
            <w:tcW w:w="1180" w:type="pct"/>
            <w:shd w:val="clear" w:color="auto" w:fill="auto"/>
            <w:vAlign w:val="center"/>
          </w:tcPr>
          <w:p w:rsidR="00070219" w:rsidRPr="00D97B31" w:rsidRDefault="00070219" w:rsidP="007953F2">
            <w:pPr>
              <w:keepNext/>
              <w:jc w:val="center"/>
              <w:rPr>
                <w:rFonts w:ascii="Arial Narrow" w:hAnsi="Arial Narrow"/>
                <w:b/>
                <w:sz w:val="20"/>
              </w:rPr>
            </w:pPr>
            <w:r w:rsidRPr="00D97B31">
              <w:rPr>
                <w:rFonts w:ascii="Arial Narrow" w:hAnsi="Arial Narrow"/>
                <w:b/>
                <w:sz w:val="20"/>
              </w:rPr>
              <w:t>Trial dose and duration</w:t>
            </w:r>
          </w:p>
        </w:tc>
        <w:tc>
          <w:tcPr>
            <w:tcW w:w="1181" w:type="pct"/>
            <w:shd w:val="clear" w:color="auto" w:fill="auto"/>
            <w:vAlign w:val="center"/>
          </w:tcPr>
          <w:p w:rsidR="00070219" w:rsidRPr="00D97B31" w:rsidRDefault="00070219" w:rsidP="007953F2">
            <w:pPr>
              <w:keepNext/>
              <w:jc w:val="center"/>
              <w:rPr>
                <w:rFonts w:ascii="Arial Narrow" w:hAnsi="Arial Narrow"/>
                <w:b/>
                <w:sz w:val="20"/>
              </w:rPr>
            </w:pPr>
            <w:r w:rsidRPr="00D97B31">
              <w:rPr>
                <w:rFonts w:ascii="Arial Narrow" w:hAnsi="Arial Narrow"/>
                <w:b/>
                <w:sz w:val="20"/>
              </w:rPr>
              <w:t>Model</w:t>
            </w:r>
          </w:p>
        </w:tc>
        <w:tc>
          <w:tcPr>
            <w:tcW w:w="1142" w:type="pct"/>
            <w:shd w:val="clear" w:color="auto" w:fill="auto"/>
            <w:vAlign w:val="center"/>
          </w:tcPr>
          <w:p w:rsidR="00070219" w:rsidRPr="00D97B31" w:rsidRDefault="00070219" w:rsidP="007953F2">
            <w:pPr>
              <w:keepNext/>
              <w:jc w:val="center"/>
              <w:rPr>
                <w:rFonts w:ascii="Arial Narrow" w:hAnsi="Arial Narrow"/>
                <w:b/>
                <w:sz w:val="20"/>
              </w:rPr>
            </w:pPr>
            <w:r w:rsidRPr="00D97B31">
              <w:rPr>
                <w:rFonts w:ascii="Arial Narrow" w:hAnsi="Arial Narrow"/>
                <w:b/>
                <w:sz w:val="20"/>
              </w:rPr>
              <w:t>Financial estimates</w:t>
            </w:r>
          </w:p>
        </w:tc>
      </w:tr>
      <w:tr w:rsidR="00070219" w:rsidRPr="00D97B31" w:rsidTr="001F19B9">
        <w:tc>
          <w:tcPr>
            <w:tcW w:w="1497" w:type="pct"/>
            <w:shd w:val="clear" w:color="auto" w:fill="auto"/>
            <w:vAlign w:val="center"/>
          </w:tcPr>
          <w:p w:rsidR="00070219" w:rsidRPr="00D97B31" w:rsidRDefault="00070219" w:rsidP="007953F2">
            <w:pPr>
              <w:keepNext/>
              <w:jc w:val="left"/>
              <w:rPr>
                <w:rFonts w:ascii="Arial Narrow" w:hAnsi="Arial Narrow"/>
                <w:sz w:val="20"/>
              </w:rPr>
            </w:pPr>
            <w:r w:rsidRPr="00D97B31">
              <w:rPr>
                <w:rFonts w:ascii="Arial Narrow" w:hAnsi="Arial Narrow"/>
                <w:sz w:val="20"/>
              </w:rPr>
              <w:t>Mean dose</w:t>
            </w:r>
          </w:p>
        </w:tc>
        <w:tc>
          <w:tcPr>
            <w:tcW w:w="1180"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1</w:t>
            </w:r>
            <w:r w:rsidR="00C40BB7" w:rsidRPr="00D97B31">
              <w:rPr>
                <w:rFonts w:ascii="Arial Narrow" w:hAnsi="Arial Narrow"/>
                <w:sz w:val="20"/>
              </w:rPr>
              <w:t>,</w:t>
            </w:r>
            <w:r w:rsidRPr="00D97B31">
              <w:rPr>
                <w:rFonts w:ascii="Arial Narrow" w:hAnsi="Arial Narrow"/>
                <w:sz w:val="20"/>
              </w:rPr>
              <w:t>186.61</w:t>
            </w:r>
            <w:r w:rsidR="00C40BB7" w:rsidRPr="00D97B31">
              <w:rPr>
                <w:rFonts w:ascii="Arial Narrow" w:hAnsi="Arial Narrow"/>
                <w:sz w:val="20"/>
              </w:rPr>
              <w:t xml:space="preserve"> </w:t>
            </w:r>
            <w:r w:rsidRPr="00D97B31">
              <w:rPr>
                <w:rFonts w:ascii="Arial Narrow" w:hAnsi="Arial Narrow"/>
                <w:sz w:val="20"/>
              </w:rPr>
              <w:t>mg/day</w:t>
            </w:r>
          </w:p>
        </w:tc>
        <w:tc>
          <w:tcPr>
            <w:tcW w:w="1181"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1</w:t>
            </w:r>
            <w:r w:rsidR="00C40BB7" w:rsidRPr="00D97B31">
              <w:rPr>
                <w:rFonts w:ascii="Arial Narrow" w:hAnsi="Arial Narrow"/>
                <w:sz w:val="20"/>
              </w:rPr>
              <w:t>,</w:t>
            </w:r>
            <w:r w:rsidRPr="00D97B31">
              <w:rPr>
                <w:rFonts w:ascii="Arial Narrow" w:hAnsi="Arial Narrow"/>
                <w:sz w:val="20"/>
              </w:rPr>
              <w:t>200</w:t>
            </w:r>
            <w:r w:rsidR="00C40BB7" w:rsidRPr="00D97B31">
              <w:rPr>
                <w:rFonts w:ascii="Arial Narrow" w:hAnsi="Arial Narrow"/>
                <w:sz w:val="20"/>
              </w:rPr>
              <w:t xml:space="preserve"> </w:t>
            </w:r>
            <w:r w:rsidRPr="00D97B31">
              <w:rPr>
                <w:rFonts w:ascii="Arial Narrow" w:hAnsi="Arial Narrow"/>
                <w:sz w:val="20"/>
              </w:rPr>
              <w:t>mg/day</w:t>
            </w:r>
            <w:r w:rsidRPr="00D97B31">
              <w:rPr>
                <w:rFonts w:ascii="Arial Narrow" w:hAnsi="Arial Narrow"/>
                <w:sz w:val="20"/>
                <w:vertAlign w:val="superscript"/>
              </w:rPr>
              <w:t>a</w:t>
            </w:r>
          </w:p>
        </w:tc>
        <w:tc>
          <w:tcPr>
            <w:tcW w:w="1142"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1</w:t>
            </w:r>
            <w:r w:rsidR="00C40BB7" w:rsidRPr="00D97B31">
              <w:rPr>
                <w:rFonts w:ascii="Arial Narrow" w:hAnsi="Arial Narrow"/>
                <w:sz w:val="20"/>
              </w:rPr>
              <w:t>,</w:t>
            </w:r>
            <w:r w:rsidRPr="00D97B31">
              <w:rPr>
                <w:rFonts w:ascii="Arial Narrow" w:hAnsi="Arial Narrow"/>
                <w:sz w:val="20"/>
              </w:rPr>
              <w:t>200</w:t>
            </w:r>
            <w:r w:rsidR="00C40BB7" w:rsidRPr="00D97B31">
              <w:rPr>
                <w:rFonts w:ascii="Arial Narrow" w:hAnsi="Arial Narrow"/>
                <w:sz w:val="20"/>
              </w:rPr>
              <w:t xml:space="preserve"> </w:t>
            </w:r>
            <w:r w:rsidRPr="00D97B31">
              <w:rPr>
                <w:rFonts w:ascii="Arial Narrow" w:hAnsi="Arial Narrow"/>
                <w:sz w:val="20"/>
              </w:rPr>
              <w:t>mg/day</w:t>
            </w:r>
            <w:r w:rsidRPr="00D97B31">
              <w:rPr>
                <w:rFonts w:ascii="Arial Narrow" w:hAnsi="Arial Narrow"/>
                <w:sz w:val="20"/>
                <w:vertAlign w:val="superscript"/>
              </w:rPr>
              <w:t>b</w:t>
            </w:r>
          </w:p>
        </w:tc>
      </w:tr>
      <w:tr w:rsidR="00070219" w:rsidRPr="00D97B31" w:rsidTr="001F19B9">
        <w:tc>
          <w:tcPr>
            <w:tcW w:w="1497" w:type="pct"/>
            <w:shd w:val="clear" w:color="auto" w:fill="auto"/>
            <w:vAlign w:val="center"/>
          </w:tcPr>
          <w:p w:rsidR="00070219" w:rsidRPr="00D97B31" w:rsidRDefault="00070219" w:rsidP="007953F2">
            <w:pPr>
              <w:keepNext/>
              <w:jc w:val="left"/>
              <w:rPr>
                <w:rFonts w:ascii="Arial Narrow" w:hAnsi="Arial Narrow"/>
                <w:sz w:val="20"/>
              </w:rPr>
            </w:pPr>
            <w:r w:rsidRPr="00D97B31">
              <w:rPr>
                <w:rFonts w:ascii="Arial Narrow" w:hAnsi="Arial Narrow"/>
                <w:sz w:val="20"/>
              </w:rPr>
              <w:t>Mean duration</w:t>
            </w:r>
          </w:p>
        </w:tc>
        <w:tc>
          <w:tcPr>
            <w:tcW w:w="1180"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16.79 months</w:t>
            </w:r>
          </w:p>
        </w:tc>
        <w:tc>
          <w:tcPr>
            <w:tcW w:w="1181"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2.32 years</w:t>
            </w:r>
          </w:p>
        </w:tc>
        <w:tc>
          <w:tcPr>
            <w:tcW w:w="1142" w:type="pct"/>
            <w:shd w:val="clear" w:color="auto" w:fill="auto"/>
            <w:vAlign w:val="center"/>
          </w:tcPr>
          <w:p w:rsidR="00070219" w:rsidRPr="00D97B31" w:rsidRDefault="00832D0E" w:rsidP="00832D0E">
            <w:pPr>
              <w:keepNext/>
              <w:jc w:val="center"/>
              <w:rPr>
                <w:rFonts w:ascii="Arial Narrow" w:hAnsi="Arial Narrow"/>
                <w:sz w:val="20"/>
              </w:rPr>
            </w:pPr>
            <w:r w:rsidRPr="00D97B31">
              <w:rPr>
                <w:rFonts w:ascii="Arial Narrow" w:hAnsi="Arial Narrow"/>
                <w:sz w:val="20"/>
              </w:rPr>
              <w:t>NR</w:t>
            </w:r>
            <w:r w:rsidR="00070219" w:rsidRPr="00D97B31">
              <w:rPr>
                <w:rFonts w:ascii="Arial Narrow" w:hAnsi="Arial Narrow"/>
                <w:sz w:val="20"/>
                <w:vertAlign w:val="superscript"/>
              </w:rPr>
              <w:t>b</w:t>
            </w:r>
          </w:p>
        </w:tc>
      </w:tr>
      <w:tr w:rsidR="00070219" w:rsidRPr="00D97B31" w:rsidTr="001F19B9">
        <w:tc>
          <w:tcPr>
            <w:tcW w:w="1497" w:type="pct"/>
            <w:shd w:val="clear" w:color="auto" w:fill="auto"/>
            <w:vAlign w:val="center"/>
          </w:tcPr>
          <w:p w:rsidR="00070219" w:rsidRPr="00D97B31" w:rsidRDefault="00070219" w:rsidP="007953F2">
            <w:pPr>
              <w:keepNext/>
              <w:jc w:val="left"/>
              <w:rPr>
                <w:rFonts w:ascii="Arial Narrow" w:hAnsi="Arial Narrow"/>
                <w:sz w:val="20"/>
              </w:rPr>
            </w:pPr>
            <w:r w:rsidRPr="00D97B31">
              <w:rPr>
                <w:rFonts w:ascii="Arial Narrow" w:hAnsi="Arial Narrow"/>
                <w:sz w:val="20"/>
              </w:rPr>
              <w:t>Cost/patient/month</w:t>
            </w:r>
          </w:p>
        </w:tc>
        <w:tc>
          <w:tcPr>
            <w:tcW w:w="1180"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p>
        </w:tc>
        <w:tc>
          <w:tcPr>
            <w:tcW w:w="1181"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r w:rsidR="003B5BDD">
              <w:rPr>
                <w:rFonts w:ascii="Arial Narrow" w:hAnsi="Arial Narrow"/>
                <w:noProof/>
                <w:color w:val="000000"/>
                <w:sz w:val="20"/>
                <w:highlight w:val="black"/>
              </w:rPr>
              <w:t>''''''''''''''</w:t>
            </w:r>
          </w:p>
        </w:tc>
        <w:tc>
          <w:tcPr>
            <w:tcW w:w="1142"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r w:rsidR="003B5BDD">
              <w:rPr>
                <w:rFonts w:ascii="Arial Narrow" w:hAnsi="Arial Narrow"/>
                <w:noProof/>
                <w:color w:val="000000"/>
                <w:sz w:val="20"/>
                <w:highlight w:val="black"/>
              </w:rPr>
              <w:t>''''''''''''''''''''''</w:t>
            </w:r>
          </w:p>
        </w:tc>
      </w:tr>
      <w:tr w:rsidR="00070219" w:rsidRPr="00D97B31" w:rsidTr="001F19B9">
        <w:tc>
          <w:tcPr>
            <w:tcW w:w="1497" w:type="pct"/>
            <w:shd w:val="clear" w:color="auto" w:fill="auto"/>
            <w:vAlign w:val="center"/>
          </w:tcPr>
          <w:p w:rsidR="00070219" w:rsidRPr="00D97B31" w:rsidRDefault="00070219" w:rsidP="007953F2">
            <w:pPr>
              <w:keepNext/>
              <w:jc w:val="left"/>
              <w:rPr>
                <w:rFonts w:ascii="Arial Narrow" w:hAnsi="Arial Narrow"/>
                <w:sz w:val="20"/>
              </w:rPr>
            </w:pPr>
            <w:r w:rsidRPr="00D97B31">
              <w:rPr>
                <w:rFonts w:ascii="Arial Narrow" w:hAnsi="Arial Narrow"/>
                <w:sz w:val="20"/>
              </w:rPr>
              <w:t>Cost/patient/course</w:t>
            </w:r>
          </w:p>
        </w:tc>
        <w:tc>
          <w:tcPr>
            <w:tcW w:w="1180"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p>
        </w:tc>
        <w:tc>
          <w:tcPr>
            <w:tcW w:w="1181"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r w:rsidR="003B5BDD">
              <w:rPr>
                <w:rFonts w:ascii="Arial Narrow" w:hAnsi="Arial Narrow"/>
                <w:noProof/>
                <w:color w:val="000000"/>
                <w:sz w:val="20"/>
                <w:highlight w:val="black"/>
              </w:rPr>
              <w:t>''''''''''''''''</w:t>
            </w:r>
          </w:p>
        </w:tc>
        <w:tc>
          <w:tcPr>
            <w:tcW w:w="1142" w:type="pct"/>
            <w:shd w:val="clear" w:color="auto" w:fill="auto"/>
            <w:vAlign w:val="center"/>
          </w:tcPr>
          <w:p w:rsidR="00070219" w:rsidRPr="00D97B31" w:rsidRDefault="00070219" w:rsidP="007953F2">
            <w:pPr>
              <w:keepNext/>
              <w:jc w:val="center"/>
              <w:rPr>
                <w:rFonts w:ascii="Arial Narrow" w:hAnsi="Arial Narrow"/>
                <w:sz w:val="20"/>
              </w:rPr>
            </w:pPr>
            <w:r w:rsidRPr="00D97B31">
              <w:rPr>
                <w:rFonts w:ascii="Arial Narrow" w:hAnsi="Arial Narrow"/>
                <w:sz w:val="20"/>
              </w:rPr>
              <w:t>$</w:t>
            </w:r>
            <w:r w:rsidR="003B5BDD">
              <w:rPr>
                <w:rFonts w:ascii="Arial Narrow" w:hAnsi="Arial Narrow"/>
                <w:noProof/>
                <w:color w:val="000000"/>
                <w:sz w:val="20"/>
                <w:highlight w:val="black"/>
              </w:rPr>
              <w:t>'''''''''''''''</w:t>
            </w:r>
          </w:p>
        </w:tc>
      </w:tr>
    </w:tbl>
    <w:p w:rsidR="00070219" w:rsidRPr="00D97B31" w:rsidRDefault="00070219" w:rsidP="00070219">
      <w:pPr>
        <w:pStyle w:val="TableFooter"/>
        <w:tabs>
          <w:tab w:val="left" w:pos="142"/>
        </w:tabs>
        <w:ind w:left="142" w:hanging="142"/>
      </w:pPr>
      <w:r w:rsidRPr="00D97B31">
        <w:t>Source: ARAMIS CSR_Feb 2019; Excel workbook ‘DARO_Section3Model_March2020 FINAL’ and DARO_Section4model_March 2020_Supplementary.</w:t>
      </w:r>
    </w:p>
    <w:p w:rsidR="00070219" w:rsidRPr="00D97B31" w:rsidRDefault="00070219" w:rsidP="00070219">
      <w:pPr>
        <w:pStyle w:val="TableFooter"/>
        <w:tabs>
          <w:tab w:val="left" w:pos="142"/>
        </w:tabs>
        <w:ind w:left="142" w:hanging="142"/>
      </w:pPr>
      <w:r w:rsidRPr="00D97B31">
        <w:rPr>
          <w:vertAlign w:val="superscript"/>
        </w:rPr>
        <w:t>a</w:t>
      </w:r>
      <w:r w:rsidRPr="00D97B31">
        <w:rPr>
          <w:vertAlign w:val="superscript"/>
        </w:rPr>
        <w:tab/>
      </w:r>
      <w:r w:rsidRPr="00D97B31">
        <w:t xml:space="preserve">The economic model applied a dose intensity of 98.88% to darolutamide; cost for one month was assumed to match </w:t>
      </w:r>
      <w:r w:rsidR="0037460E" w:rsidRPr="00D97B31">
        <w:t xml:space="preserve">the </w:t>
      </w:r>
      <w:r w:rsidRPr="00D97B31">
        <w:t>cycle cost of 28 days.</w:t>
      </w:r>
    </w:p>
    <w:p w:rsidR="00070219" w:rsidRPr="00D97B31" w:rsidRDefault="00070219" w:rsidP="00070219">
      <w:pPr>
        <w:tabs>
          <w:tab w:val="left" w:pos="142"/>
        </w:tabs>
        <w:ind w:left="142" w:hanging="142"/>
        <w:rPr>
          <w:rFonts w:ascii="Arial Narrow" w:hAnsi="Arial Narrow"/>
          <w:sz w:val="18"/>
          <w:szCs w:val="18"/>
        </w:rPr>
      </w:pPr>
      <w:r w:rsidRPr="00D97B31">
        <w:rPr>
          <w:rFonts w:ascii="Arial Narrow" w:hAnsi="Arial Narrow"/>
          <w:sz w:val="18"/>
          <w:szCs w:val="18"/>
          <w:vertAlign w:val="superscript"/>
        </w:rPr>
        <w:t>b</w:t>
      </w:r>
      <w:r w:rsidRPr="00D97B31">
        <w:rPr>
          <w:vertAlign w:val="superscript"/>
        </w:rPr>
        <w:tab/>
      </w:r>
      <w:r w:rsidRPr="00D97B31">
        <w:rPr>
          <w:rFonts w:ascii="Arial Narrow" w:hAnsi="Arial Narrow"/>
          <w:sz w:val="18"/>
          <w:szCs w:val="18"/>
        </w:rPr>
        <w:t xml:space="preserve">A dose intensity of 98.88% was applied to darolutamide for the financial estimates and it was assumed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would be used in Year 1,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in Year 2,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in Year 3,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in Year 4,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in Year 5 and </w:t>
      </w:r>
      <w:r w:rsidR="003B5BDD">
        <w:rPr>
          <w:rFonts w:ascii="Arial Narrow" w:hAnsi="Arial Narrow"/>
          <w:noProof/>
          <w:color w:val="000000"/>
          <w:sz w:val="18"/>
          <w:szCs w:val="18"/>
          <w:highlight w:val="black"/>
        </w:rPr>
        <w:t>'''''''''''</w:t>
      </w:r>
      <w:r w:rsidRPr="00D97B31">
        <w:rPr>
          <w:rFonts w:ascii="Arial Narrow" w:hAnsi="Arial Narrow"/>
          <w:sz w:val="18"/>
          <w:szCs w:val="18"/>
        </w:rPr>
        <w:t xml:space="preserve"> packs in Year 6.</w:t>
      </w:r>
    </w:p>
    <w:p w:rsidR="00FB2B50" w:rsidRPr="00D97B31" w:rsidRDefault="00FB2B50" w:rsidP="00070219">
      <w:pPr>
        <w:tabs>
          <w:tab w:val="left" w:pos="142"/>
        </w:tabs>
        <w:ind w:left="142" w:hanging="142"/>
        <w:rPr>
          <w:rFonts w:ascii="Arial Narrow" w:hAnsi="Arial Narrow"/>
          <w:sz w:val="18"/>
          <w:szCs w:val="18"/>
        </w:rPr>
      </w:pPr>
    </w:p>
    <w:p w:rsidR="00B60939" w:rsidRPr="00D97B31" w:rsidRDefault="00B60939" w:rsidP="002B05A1">
      <w:pPr>
        <w:pStyle w:val="4-SubsectionHeading"/>
      </w:pPr>
      <w:bookmarkStart w:id="26" w:name="_Toc22897647"/>
      <w:bookmarkStart w:id="27" w:name="_Toc40744338"/>
      <w:r w:rsidRPr="00D97B31">
        <w:t>Estimated PBS usage &amp; financial implications</w:t>
      </w:r>
      <w:bookmarkEnd w:id="26"/>
      <w:bookmarkEnd w:id="27"/>
    </w:p>
    <w:p w:rsidR="00381E30" w:rsidRPr="00D97B31" w:rsidRDefault="002537D2" w:rsidP="00381E30">
      <w:pPr>
        <w:pStyle w:val="3-BodyText"/>
      </w:pPr>
      <w:r w:rsidRPr="00D97B31">
        <w:t>The submission was considered by DUSC.</w:t>
      </w:r>
    </w:p>
    <w:p w:rsidR="003D741F" w:rsidRPr="00D97B31" w:rsidRDefault="003D741F" w:rsidP="003D741F">
      <w:pPr>
        <w:pStyle w:val="3-BodyText"/>
      </w:pPr>
      <w:r w:rsidRPr="00D97B31">
        <w:t>The submission applied an epidemiological approach to estimate the number of patients eligible for treatment with darolutamide</w:t>
      </w:r>
      <w:r w:rsidR="00D97B31">
        <w:t xml:space="preserve">. </w:t>
      </w:r>
      <w:r w:rsidR="004643DD">
        <w:t>Table 15</w:t>
      </w:r>
      <w:r w:rsidRPr="00D97B31">
        <w:t xml:space="preserve"> summarises the inputs used for the financial estimates. </w:t>
      </w:r>
    </w:p>
    <w:p w:rsidR="003D741F" w:rsidRPr="00D97B31" w:rsidRDefault="003D741F" w:rsidP="003D741F">
      <w:pPr>
        <w:pStyle w:val="TableFigureHeading"/>
        <w:rPr>
          <w:rStyle w:val="CommentReference"/>
          <w:b/>
          <w:szCs w:val="24"/>
        </w:rPr>
      </w:pPr>
      <w:r w:rsidRPr="00D97B31">
        <w:rPr>
          <w:rStyle w:val="CommentReference"/>
          <w:b/>
          <w:szCs w:val="24"/>
        </w:rPr>
        <w:t>Table 15: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9"/>
        <w:gridCol w:w="3665"/>
        <w:gridCol w:w="3803"/>
      </w:tblGrid>
      <w:tr w:rsidR="003D741F" w:rsidRPr="00D97B31" w:rsidTr="001D2A80">
        <w:trPr>
          <w:tblHeader/>
        </w:trPr>
        <w:tc>
          <w:tcPr>
            <w:tcW w:w="859" w:type="pct"/>
            <w:shd w:val="clear" w:color="auto" w:fill="auto"/>
            <w:vAlign w:val="center"/>
          </w:tcPr>
          <w:p w:rsidR="003D741F" w:rsidRPr="00D97B31" w:rsidRDefault="003D741F" w:rsidP="001D2A80">
            <w:pPr>
              <w:pStyle w:val="In-tableHeading"/>
              <w:rPr>
                <w:lang w:val="en-AU"/>
              </w:rPr>
            </w:pPr>
            <w:r w:rsidRPr="00D97B31">
              <w:rPr>
                <w:lang w:val="en-AU"/>
              </w:rPr>
              <w:t>Parameter</w:t>
            </w:r>
          </w:p>
        </w:tc>
        <w:tc>
          <w:tcPr>
            <w:tcW w:w="2032" w:type="pct"/>
            <w:shd w:val="clear" w:color="auto" w:fill="auto"/>
            <w:vAlign w:val="center"/>
          </w:tcPr>
          <w:p w:rsidR="003D741F" w:rsidRPr="00D97B31" w:rsidRDefault="003D741F" w:rsidP="001D2A80">
            <w:pPr>
              <w:pStyle w:val="In-tableHeading"/>
              <w:jc w:val="center"/>
              <w:rPr>
                <w:lang w:val="en-AU"/>
              </w:rPr>
            </w:pPr>
            <w:r w:rsidRPr="00D97B31">
              <w:rPr>
                <w:lang w:val="en-AU"/>
              </w:rPr>
              <w:t>Value applied and source</w:t>
            </w:r>
          </w:p>
        </w:tc>
        <w:tc>
          <w:tcPr>
            <w:tcW w:w="2109" w:type="pct"/>
            <w:shd w:val="clear" w:color="auto" w:fill="auto"/>
            <w:vAlign w:val="center"/>
          </w:tcPr>
          <w:p w:rsidR="003D741F" w:rsidRPr="00D97B31" w:rsidRDefault="003D741F" w:rsidP="001D2A80">
            <w:pPr>
              <w:pStyle w:val="In-tableHeading"/>
              <w:jc w:val="center"/>
              <w:rPr>
                <w:lang w:val="en-AU"/>
              </w:rPr>
            </w:pPr>
            <w:r w:rsidRPr="00D97B31">
              <w:rPr>
                <w:lang w:val="en-AU"/>
              </w:rPr>
              <w:t>Comment</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Population</w:t>
            </w:r>
          </w:p>
        </w:tc>
        <w:tc>
          <w:tcPr>
            <w:tcW w:w="2032" w:type="pct"/>
            <w:shd w:val="clear" w:color="auto" w:fill="auto"/>
            <w:vAlign w:val="center"/>
          </w:tcPr>
          <w:p w:rsidR="003D741F" w:rsidRPr="00D97B31" w:rsidRDefault="003D741F" w:rsidP="001D2A80">
            <w:pPr>
              <w:pStyle w:val="TableText0"/>
              <w:rPr>
                <w:szCs w:val="20"/>
              </w:rPr>
            </w:pPr>
            <w:r w:rsidRPr="00D97B31">
              <w:rPr>
                <w:szCs w:val="20"/>
              </w:rPr>
              <w:t>Prevalence data: MFS Kaplan Meier data from the SOC arm of ARAMIS was used to estimate a prevalent pool of patients.</w:t>
            </w:r>
          </w:p>
          <w:p w:rsidR="003D741F" w:rsidRPr="00D97B31" w:rsidRDefault="003D741F" w:rsidP="001D2A80">
            <w:pPr>
              <w:pStyle w:val="TableText0"/>
            </w:pPr>
            <w:r w:rsidRPr="00D97B31">
              <w:rPr>
                <w:szCs w:val="20"/>
              </w:rPr>
              <w:t>Incidence data: ACIM, ACD, AIHW and PCBaSe Sweden database.</w:t>
            </w:r>
          </w:p>
        </w:tc>
        <w:tc>
          <w:tcPr>
            <w:tcW w:w="2109" w:type="pct"/>
            <w:shd w:val="clear" w:color="auto" w:fill="auto"/>
            <w:vAlign w:val="center"/>
          </w:tcPr>
          <w:p w:rsidR="003D741F" w:rsidRPr="00D97B31" w:rsidRDefault="003D741F" w:rsidP="008928C3">
            <w:pPr>
              <w:pStyle w:val="TableText0"/>
            </w:pPr>
            <w:r w:rsidRPr="00D97B31">
              <w:t>Estimation of incident and prevalent patients remains uncertain, as acknowledged by the submission.</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Uptake rate</w:t>
            </w:r>
          </w:p>
        </w:tc>
        <w:tc>
          <w:tcPr>
            <w:tcW w:w="2032" w:type="pct"/>
            <w:shd w:val="clear" w:color="auto" w:fill="auto"/>
            <w:vAlign w:val="center"/>
          </w:tcPr>
          <w:p w:rsidR="003D741F" w:rsidRPr="00D97B31" w:rsidRDefault="003D741F" w:rsidP="001D2A80">
            <w:pPr>
              <w:pStyle w:val="TableText0"/>
            </w:pPr>
            <w:r w:rsidRPr="00D97B31">
              <w:t xml:space="preserve">Sponsor assumption: </w:t>
            </w:r>
            <w:r w:rsidR="003B5BDD">
              <w:rPr>
                <w:noProof/>
                <w:color w:val="000000"/>
                <w:highlight w:val="black"/>
              </w:rPr>
              <w:t>''''''</w:t>
            </w:r>
            <w:r w:rsidRPr="00D97B31">
              <w:t xml:space="preserve">% in Year 1 increasing to </w:t>
            </w:r>
            <w:r w:rsidR="003B5BDD">
              <w:rPr>
                <w:noProof/>
                <w:color w:val="000000"/>
                <w:highlight w:val="black"/>
              </w:rPr>
              <w:t>''''''</w:t>
            </w:r>
            <w:r w:rsidRPr="00D97B31">
              <w:t xml:space="preserve">% in Year 6. </w:t>
            </w:r>
          </w:p>
        </w:tc>
        <w:tc>
          <w:tcPr>
            <w:tcW w:w="2109" w:type="pct"/>
            <w:shd w:val="clear" w:color="auto" w:fill="auto"/>
            <w:vAlign w:val="center"/>
          </w:tcPr>
          <w:p w:rsidR="003D741F" w:rsidRPr="00D97B31" w:rsidRDefault="003D741F" w:rsidP="001D2A80">
            <w:pPr>
              <w:pStyle w:val="TableText0"/>
            </w:pPr>
            <w:r w:rsidRPr="00D97B31">
              <w:t>Likely to be underestimated in early years of listing given no other agent is currently PBS-listed.</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Compliance rate</w:t>
            </w:r>
          </w:p>
        </w:tc>
        <w:tc>
          <w:tcPr>
            <w:tcW w:w="2032" w:type="pct"/>
            <w:shd w:val="clear" w:color="auto" w:fill="auto"/>
            <w:vAlign w:val="center"/>
          </w:tcPr>
          <w:p w:rsidR="003D741F" w:rsidRPr="00D97B31" w:rsidRDefault="003D741F" w:rsidP="001D2A80">
            <w:pPr>
              <w:pStyle w:val="TableText0"/>
            </w:pPr>
            <w:r w:rsidRPr="00D97B31">
              <w:t>98.88%</w:t>
            </w:r>
          </w:p>
        </w:tc>
        <w:tc>
          <w:tcPr>
            <w:tcW w:w="2109" w:type="pct"/>
            <w:shd w:val="clear" w:color="auto" w:fill="auto"/>
            <w:vAlign w:val="center"/>
          </w:tcPr>
          <w:p w:rsidR="003D741F" w:rsidRPr="00D97B31" w:rsidRDefault="003D741F" w:rsidP="001D2A80">
            <w:pPr>
              <w:pStyle w:val="TableText0"/>
            </w:pPr>
            <w:r w:rsidRPr="00D97B31">
              <w:t>Trial-sourced; considered in sensitivity analyses.</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Grandfather patients</w:t>
            </w:r>
          </w:p>
        </w:tc>
        <w:tc>
          <w:tcPr>
            <w:tcW w:w="2032" w:type="pct"/>
            <w:shd w:val="clear" w:color="auto" w:fill="auto"/>
            <w:vAlign w:val="center"/>
          </w:tcPr>
          <w:p w:rsidR="003D741F" w:rsidRPr="00D97B31" w:rsidRDefault="003D741F" w:rsidP="00B6455D">
            <w:pPr>
              <w:pStyle w:val="TableText0"/>
            </w:pPr>
            <w:r w:rsidRPr="00D97B31">
              <w:t>N=</w:t>
            </w:r>
            <w:r w:rsidR="00B6455D">
              <w:t>less than 10,000</w:t>
            </w:r>
          </w:p>
        </w:tc>
        <w:tc>
          <w:tcPr>
            <w:tcW w:w="2109" w:type="pct"/>
            <w:shd w:val="clear" w:color="auto" w:fill="auto"/>
            <w:vAlign w:val="center"/>
          </w:tcPr>
          <w:p w:rsidR="003D741F" w:rsidRPr="00D97B31" w:rsidRDefault="003D741F" w:rsidP="001D2A80">
            <w:pPr>
              <w:pStyle w:val="TableText0"/>
            </w:pPr>
            <w:r w:rsidRPr="00D97B31">
              <w:t>Included separately in financial estimates; not included as part of estimation of patient numbers for subsequent therapy. This is likely to have underestimated net cost to the PBS/RPBS.</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Dose</w:t>
            </w:r>
          </w:p>
        </w:tc>
        <w:tc>
          <w:tcPr>
            <w:tcW w:w="2032" w:type="pct"/>
            <w:shd w:val="clear" w:color="auto" w:fill="auto"/>
            <w:vAlign w:val="center"/>
          </w:tcPr>
          <w:p w:rsidR="003D741F" w:rsidRPr="00D97B31" w:rsidRDefault="003D741F" w:rsidP="001D2A80">
            <w:pPr>
              <w:pStyle w:val="TableText0"/>
            </w:pPr>
            <w:r w:rsidRPr="00D97B31">
              <w:t xml:space="preserve">600mg twice daily </w:t>
            </w:r>
          </w:p>
        </w:tc>
        <w:tc>
          <w:tcPr>
            <w:tcW w:w="2109" w:type="pct"/>
            <w:shd w:val="clear" w:color="auto" w:fill="auto"/>
            <w:vAlign w:val="center"/>
          </w:tcPr>
          <w:p w:rsidR="003D741F" w:rsidRPr="00D97B31" w:rsidRDefault="003D741F" w:rsidP="001D2A80">
            <w:pPr>
              <w:pStyle w:val="TableText0"/>
            </w:pPr>
            <w:r w:rsidRPr="00D97B31">
              <w:t>While dose of darolutamide was consistent with the economic model, the cost of background ADT, which was included in the economic model, was not included in the estimates.</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Offsets – subsequent therapy</w:t>
            </w:r>
          </w:p>
        </w:tc>
        <w:tc>
          <w:tcPr>
            <w:tcW w:w="2032" w:type="pct"/>
            <w:shd w:val="clear" w:color="auto" w:fill="auto"/>
            <w:vAlign w:val="center"/>
          </w:tcPr>
          <w:p w:rsidR="003D741F" w:rsidRPr="00D97B31" w:rsidRDefault="003D741F" w:rsidP="001D2A80">
            <w:pPr>
              <w:pStyle w:val="TableText0"/>
            </w:pPr>
            <w:r w:rsidRPr="00D97B31">
              <w:t>Cost offsets for subsequent therapy (docetaxel, cabazitaxel only for darolutamide) were estimated.</w:t>
            </w:r>
          </w:p>
        </w:tc>
        <w:tc>
          <w:tcPr>
            <w:tcW w:w="2109" w:type="pct"/>
            <w:shd w:val="clear" w:color="auto" w:fill="auto"/>
            <w:vAlign w:val="center"/>
          </w:tcPr>
          <w:p w:rsidR="003D741F" w:rsidRPr="00D97B31" w:rsidRDefault="003D741F" w:rsidP="001D2A80">
            <w:pPr>
              <w:pStyle w:val="TableText0"/>
            </w:pPr>
            <w:r w:rsidRPr="00D97B31">
              <w:t>Agents considered are consistent with the economic model.</w:t>
            </w:r>
          </w:p>
        </w:tc>
      </w:tr>
      <w:tr w:rsidR="003D741F" w:rsidRPr="00D97B31" w:rsidTr="001D2A80">
        <w:tc>
          <w:tcPr>
            <w:tcW w:w="859" w:type="pct"/>
            <w:shd w:val="clear" w:color="auto" w:fill="auto"/>
            <w:vAlign w:val="center"/>
          </w:tcPr>
          <w:p w:rsidR="003D741F" w:rsidRPr="00D97B31" w:rsidRDefault="003D741F" w:rsidP="001D2A80">
            <w:pPr>
              <w:pStyle w:val="TableText0"/>
            </w:pPr>
            <w:r w:rsidRPr="00D97B31">
              <w:t>MBS items</w:t>
            </w:r>
          </w:p>
        </w:tc>
        <w:tc>
          <w:tcPr>
            <w:tcW w:w="2032" w:type="pct"/>
            <w:shd w:val="clear" w:color="auto" w:fill="auto"/>
            <w:vAlign w:val="center"/>
          </w:tcPr>
          <w:p w:rsidR="003D741F" w:rsidRPr="00D97B31" w:rsidRDefault="003D741F" w:rsidP="001D2A80">
            <w:pPr>
              <w:pStyle w:val="TableText0"/>
            </w:pPr>
            <w:r w:rsidRPr="00D97B31">
              <w:t>Not included.</w:t>
            </w:r>
          </w:p>
        </w:tc>
        <w:tc>
          <w:tcPr>
            <w:tcW w:w="2109" w:type="pct"/>
            <w:shd w:val="clear" w:color="auto" w:fill="auto"/>
            <w:vAlign w:val="center"/>
          </w:tcPr>
          <w:p w:rsidR="003D741F" w:rsidRPr="00D97B31" w:rsidRDefault="003D741F" w:rsidP="001D2A80">
            <w:pPr>
              <w:pStyle w:val="TableText0"/>
            </w:pPr>
            <w:r w:rsidRPr="00D97B31">
              <w:t>Underestimated the financial implications.</w:t>
            </w:r>
          </w:p>
        </w:tc>
      </w:tr>
    </w:tbl>
    <w:p w:rsidR="003D741F" w:rsidRPr="00D97B31" w:rsidRDefault="003D741F" w:rsidP="003D741F">
      <w:pPr>
        <w:pStyle w:val="TableFooter"/>
      </w:pPr>
      <w:r w:rsidRPr="00D97B31">
        <w:t>Source: Section 4.1 to Section 4.5, p256-294 of the submission.</w:t>
      </w:r>
    </w:p>
    <w:p w:rsidR="003D741F" w:rsidRPr="00D97B31" w:rsidRDefault="003D741F" w:rsidP="003D741F">
      <w:pPr>
        <w:pStyle w:val="TableFooter"/>
      </w:pPr>
      <w:r w:rsidRPr="00D97B31">
        <w:t>ACD=Australian Cancer Database; ACIM=Australian Cancer Incidence and Mortality; ADT=androgen deprivation therapy; AE=adverse event; AIHW=Australian Institute of Health and Welfare; m0CRPC=non-metastatic castration-resistant prostate cancer; mCRPC=metastatic castration-resistant prostate cancer; MFS=metastasis-free survival; SOC=standard of care; TTD=time to treatment discontinuation</w:t>
      </w:r>
    </w:p>
    <w:p w:rsidR="000D1466" w:rsidRPr="00D97B31" w:rsidRDefault="000D1466" w:rsidP="003D741F">
      <w:pPr>
        <w:pStyle w:val="TableFooter"/>
      </w:pPr>
    </w:p>
    <w:p w:rsidR="00396918" w:rsidRPr="00D97B31" w:rsidRDefault="00396918" w:rsidP="00712689">
      <w:pPr>
        <w:pStyle w:val="3-BodyText"/>
        <w:rPr>
          <w:lang w:eastAsia="en-US"/>
        </w:rPr>
      </w:pPr>
      <w:r w:rsidRPr="00D97B31">
        <w:rPr>
          <w:lang w:eastAsia="en-US"/>
        </w:rPr>
        <w:t xml:space="preserve">DUSC noted there was no data on the incidence and prevalence of m0CRPC in Australia. </w:t>
      </w:r>
    </w:p>
    <w:p w:rsidR="00396918" w:rsidRPr="00D97B31" w:rsidRDefault="00396918" w:rsidP="00396918">
      <w:pPr>
        <w:pStyle w:val="3-BodyText"/>
        <w:rPr>
          <w:lang w:eastAsia="en-US"/>
        </w:rPr>
      </w:pPr>
      <w:r w:rsidRPr="00D97B31">
        <w:rPr>
          <w:lang w:eastAsia="en-US"/>
        </w:rPr>
        <w:t>DUSC consider</w:t>
      </w:r>
      <w:r w:rsidR="00712689" w:rsidRPr="00D97B31">
        <w:rPr>
          <w:lang w:eastAsia="en-US"/>
        </w:rPr>
        <w:t>ed that</w:t>
      </w:r>
      <w:r w:rsidRPr="00D97B31">
        <w:rPr>
          <w:lang w:eastAsia="en-US"/>
        </w:rPr>
        <w:t xml:space="preserve"> the estimates presented in the submission to be uncertain and likely underestimated due to the following:</w:t>
      </w:r>
    </w:p>
    <w:p w:rsidR="00396918" w:rsidRPr="00D97B31" w:rsidRDefault="00396918" w:rsidP="00740158">
      <w:pPr>
        <w:numPr>
          <w:ilvl w:val="0"/>
          <w:numId w:val="8"/>
        </w:numPr>
        <w:spacing w:after="120"/>
        <w:ind w:left="1077" w:hanging="357"/>
        <w:rPr>
          <w:rFonts w:asciiTheme="minorHAnsi" w:eastAsia="SimSun" w:hAnsiTheme="minorHAnsi" w:cs="Arial"/>
          <w:snapToGrid w:val="0"/>
          <w:lang w:eastAsia="en-US"/>
        </w:rPr>
      </w:pPr>
      <w:r w:rsidRPr="00D97B31">
        <w:rPr>
          <w:rFonts w:asciiTheme="minorHAnsi" w:eastAsia="SimSun" w:hAnsiTheme="minorHAnsi" w:cs="Arial"/>
          <w:snapToGrid w:val="0"/>
          <w:lang w:eastAsia="en-US"/>
        </w:rPr>
        <w:t>The submission stated that prevalence estimates most relevant to the Australian setting suggested that between 8% and 25% of all prostate cancer patients have m0CRPC and between 30% and 40% of these patients are high risk m0CRPC (i.e. have a PSA</w:t>
      </w:r>
      <w:r w:rsidR="00A132F2">
        <w:rPr>
          <w:rFonts w:asciiTheme="minorHAnsi" w:eastAsia="SimSun" w:hAnsiTheme="minorHAnsi" w:cs="Arial"/>
          <w:snapToGrid w:val="0"/>
          <w:lang w:eastAsia="en-US"/>
        </w:rPr>
        <w:t xml:space="preserve"> doubling time</w:t>
      </w:r>
      <w:r w:rsidRPr="00D97B31">
        <w:rPr>
          <w:rFonts w:asciiTheme="minorHAnsi" w:eastAsia="SimSun" w:hAnsiTheme="minorHAnsi" w:cs="Arial"/>
          <w:snapToGrid w:val="0"/>
          <w:lang w:eastAsia="en-US"/>
        </w:rPr>
        <w:t xml:space="preserve"> ≤ 10 months) (Liede </w:t>
      </w:r>
      <w:r w:rsidR="00A132F2">
        <w:rPr>
          <w:rFonts w:asciiTheme="minorHAnsi" w:eastAsia="SimSun" w:hAnsiTheme="minorHAnsi" w:cs="Arial"/>
          <w:snapToGrid w:val="0"/>
          <w:lang w:eastAsia="en-US"/>
        </w:rPr>
        <w:t>et al</w:t>
      </w:r>
      <w:r w:rsidR="00BC4E08">
        <w:rPr>
          <w:rFonts w:asciiTheme="minorHAnsi" w:eastAsia="SimSun" w:hAnsiTheme="minorHAnsi" w:cs="Arial"/>
          <w:snapToGrid w:val="0"/>
          <w:lang w:eastAsia="en-US"/>
        </w:rPr>
        <w:t>.</w:t>
      </w:r>
      <w:r w:rsidR="00A132F2">
        <w:rPr>
          <w:rFonts w:asciiTheme="minorHAnsi" w:eastAsia="SimSun" w:hAnsiTheme="minorHAnsi" w:cs="Arial"/>
          <w:snapToGrid w:val="0"/>
          <w:lang w:eastAsia="en-US"/>
        </w:rPr>
        <w:t xml:space="preserve"> 2013; Saad et al</w:t>
      </w:r>
      <w:r w:rsidR="00BC4E08">
        <w:rPr>
          <w:rFonts w:asciiTheme="minorHAnsi" w:eastAsia="SimSun" w:hAnsiTheme="minorHAnsi" w:cs="Arial"/>
          <w:snapToGrid w:val="0"/>
          <w:lang w:eastAsia="en-US"/>
        </w:rPr>
        <w:t>.</w:t>
      </w:r>
      <w:r w:rsidRPr="00D97B31">
        <w:rPr>
          <w:rFonts w:asciiTheme="minorHAnsi" w:eastAsia="SimSun" w:hAnsiTheme="minorHAnsi" w:cs="Arial"/>
          <w:snapToGrid w:val="0"/>
          <w:lang w:eastAsia="en-US"/>
        </w:rPr>
        <w:t xml:space="preserve"> 2018; Additional sources cited in Section 4 of the submission). DUSC considered th</w:t>
      </w:r>
      <w:r w:rsidR="004236A8" w:rsidRPr="00D97B31">
        <w:rPr>
          <w:rFonts w:asciiTheme="minorHAnsi" w:eastAsia="SimSun" w:hAnsiTheme="minorHAnsi" w:cs="Arial"/>
          <w:snapToGrid w:val="0"/>
          <w:lang w:eastAsia="en-US"/>
        </w:rPr>
        <w:t>ese</w:t>
      </w:r>
      <w:r w:rsidRPr="00D97B31">
        <w:rPr>
          <w:rFonts w:asciiTheme="minorHAnsi" w:eastAsia="SimSun" w:hAnsiTheme="minorHAnsi" w:cs="Arial"/>
          <w:snapToGrid w:val="0"/>
          <w:lang w:eastAsia="en-US"/>
        </w:rPr>
        <w:t xml:space="preserve"> assumption</w:t>
      </w:r>
      <w:r w:rsidR="004236A8" w:rsidRPr="00D97B31">
        <w:rPr>
          <w:rFonts w:asciiTheme="minorHAnsi" w:eastAsia="SimSun" w:hAnsiTheme="minorHAnsi" w:cs="Arial"/>
          <w:snapToGrid w:val="0"/>
          <w:lang w:eastAsia="en-US"/>
        </w:rPr>
        <w:t xml:space="preserve">s were </w:t>
      </w:r>
      <w:r w:rsidRPr="00D97B31">
        <w:rPr>
          <w:rFonts w:asciiTheme="minorHAnsi" w:eastAsia="SimSun" w:hAnsiTheme="minorHAnsi" w:cs="Arial"/>
          <w:snapToGrid w:val="0"/>
          <w:lang w:eastAsia="en-US"/>
        </w:rPr>
        <w:t xml:space="preserve">uncertain as there was insufficient detail provided in the Liede </w:t>
      </w:r>
      <w:r w:rsidR="00A132F2">
        <w:rPr>
          <w:rFonts w:asciiTheme="minorHAnsi" w:eastAsia="SimSun" w:hAnsiTheme="minorHAnsi" w:cs="Arial"/>
          <w:snapToGrid w:val="0"/>
          <w:lang w:eastAsia="en-US"/>
        </w:rPr>
        <w:t>et al</w:t>
      </w:r>
      <w:r w:rsidR="00BC4E08">
        <w:rPr>
          <w:rFonts w:asciiTheme="minorHAnsi" w:eastAsia="SimSun" w:hAnsiTheme="minorHAnsi" w:cs="Arial"/>
          <w:snapToGrid w:val="0"/>
          <w:lang w:eastAsia="en-US"/>
        </w:rPr>
        <w:t>.</w:t>
      </w:r>
      <w:r w:rsidR="00A132F2">
        <w:rPr>
          <w:rFonts w:asciiTheme="minorHAnsi" w:eastAsia="SimSun" w:hAnsiTheme="minorHAnsi" w:cs="Arial"/>
          <w:snapToGrid w:val="0"/>
          <w:lang w:eastAsia="en-US"/>
        </w:rPr>
        <w:t xml:space="preserve"> </w:t>
      </w:r>
      <w:r w:rsidR="00712689" w:rsidRPr="00D97B31">
        <w:rPr>
          <w:rFonts w:asciiTheme="minorHAnsi" w:eastAsia="SimSun" w:hAnsiTheme="minorHAnsi" w:cs="Arial"/>
          <w:snapToGrid w:val="0"/>
          <w:lang w:eastAsia="en-US"/>
        </w:rPr>
        <w:t xml:space="preserve">2013 </w:t>
      </w:r>
      <w:r w:rsidRPr="00D97B31">
        <w:rPr>
          <w:rFonts w:asciiTheme="minorHAnsi" w:eastAsia="SimSun" w:hAnsiTheme="minorHAnsi" w:cs="Arial"/>
          <w:snapToGrid w:val="0"/>
          <w:lang w:eastAsia="en-US"/>
        </w:rPr>
        <w:t xml:space="preserve">publication to verify how the proportion of m0CRPC </w:t>
      </w:r>
      <w:r w:rsidR="004236A8" w:rsidRPr="00D97B31">
        <w:rPr>
          <w:rFonts w:asciiTheme="minorHAnsi" w:eastAsia="SimSun" w:hAnsiTheme="minorHAnsi" w:cs="Arial"/>
          <w:snapToGrid w:val="0"/>
          <w:lang w:eastAsia="en-US"/>
        </w:rPr>
        <w:t xml:space="preserve">patients </w:t>
      </w:r>
      <w:r w:rsidRPr="00D97B31">
        <w:rPr>
          <w:rFonts w:asciiTheme="minorHAnsi" w:eastAsia="SimSun" w:hAnsiTheme="minorHAnsi" w:cs="Arial"/>
          <w:snapToGrid w:val="0"/>
          <w:lang w:eastAsia="en-US"/>
        </w:rPr>
        <w:t>in Australia was derived.</w:t>
      </w:r>
    </w:p>
    <w:p w:rsidR="00396918" w:rsidRPr="00D97B31" w:rsidRDefault="00396918" w:rsidP="00740158">
      <w:pPr>
        <w:numPr>
          <w:ilvl w:val="0"/>
          <w:numId w:val="8"/>
        </w:numPr>
        <w:spacing w:after="120"/>
        <w:ind w:left="1077" w:hanging="357"/>
        <w:rPr>
          <w:rFonts w:asciiTheme="minorHAnsi" w:eastAsia="SimSun" w:hAnsiTheme="minorHAnsi" w:cs="Arial"/>
          <w:b/>
          <w:snapToGrid w:val="0"/>
          <w:color w:val="1F497D" w:themeColor="text2"/>
          <w:lang w:eastAsia="en-US"/>
        </w:rPr>
      </w:pPr>
      <w:r w:rsidRPr="00D97B31">
        <w:rPr>
          <w:rFonts w:asciiTheme="minorHAnsi" w:hAnsiTheme="minorHAnsi" w:cs="Arial"/>
          <w:snapToGrid w:val="0"/>
          <w:lang w:eastAsia="en-US"/>
        </w:rPr>
        <w:t xml:space="preserve">The assumptions and data informing incidence and prevalence estimates of m0CRPC </w:t>
      </w:r>
      <w:r w:rsidR="001E3DFA" w:rsidRPr="00D97B31">
        <w:rPr>
          <w:rFonts w:asciiTheme="minorHAnsi" w:hAnsiTheme="minorHAnsi" w:cs="Arial"/>
          <w:snapToGrid w:val="0"/>
          <w:lang w:eastAsia="en-US"/>
        </w:rPr>
        <w:t>we</w:t>
      </w:r>
      <w:r w:rsidRPr="00D97B31">
        <w:rPr>
          <w:rFonts w:asciiTheme="minorHAnsi" w:hAnsiTheme="minorHAnsi" w:cs="Arial"/>
          <w:snapToGrid w:val="0"/>
          <w:lang w:eastAsia="en-US"/>
        </w:rPr>
        <w:t xml:space="preserve">re highly uncertain and based on published studies from Sweden and Spain. The data in these studies </w:t>
      </w:r>
      <w:r w:rsidR="001E3DFA" w:rsidRPr="00D97B31">
        <w:rPr>
          <w:rFonts w:asciiTheme="minorHAnsi" w:hAnsiTheme="minorHAnsi" w:cs="Arial"/>
          <w:snapToGrid w:val="0"/>
          <w:lang w:eastAsia="en-US"/>
        </w:rPr>
        <w:t>wa</w:t>
      </w:r>
      <w:r w:rsidRPr="00D97B31">
        <w:rPr>
          <w:rFonts w:asciiTheme="minorHAnsi" w:hAnsiTheme="minorHAnsi" w:cs="Arial"/>
          <w:snapToGrid w:val="0"/>
          <w:lang w:eastAsia="en-US"/>
        </w:rPr>
        <w:t xml:space="preserve">s relatively old and/or small in terms of sample size. It </w:t>
      </w:r>
      <w:r w:rsidR="001E3DFA" w:rsidRPr="00D97B31">
        <w:rPr>
          <w:rFonts w:asciiTheme="minorHAnsi" w:hAnsiTheme="minorHAnsi" w:cs="Arial"/>
          <w:snapToGrid w:val="0"/>
          <w:lang w:eastAsia="en-US"/>
        </w:rPr>
        <w:t>wa</w:t>
      </w:r>
      <w:r w:rsidRPr="00D97B31">
        <w:rPr>
          <w:rFonts w:asciiTheme="minorHAnsi" w:hAnsiTheme="minorHAnsi" w:cs="Arial"/>
          <w:snapToGrid w:val="0"/>
          <w:lang w:eastAsia="en-US"/>
        </w:rPr>
        <w:t xml:space="preserve">s uncertain how </w:t>
      </w:r>
      <w:r w:rsidR="004236A8" w:rsidRPr="00D97B31">
        <w:rPr>
          <w:rFonts w:asciiTheme="minorHAnsi" w:hAnsiTheme="minorHAnsi" w:cs="Arial"/>
          <w:snapToGrid w:val="0"/>
          <w:lang w:eastAsia="en-US"/>
        </w:rPr>
        <w:t xml:space="preserve">applicable </w:t>
      </w:r>
      <w:r w:rsidRPr="00D97B31">
        <w:rPr>
          <w:rFonts w:asciiTheme="minorHAnsi" w:hAnsiTheme="minorHAnsi" w:cs="Arial"/>
          <w:snapToGrid w:val="0"/>
          <w:lang w:eastAsia="en-US"/>
        </w:rPr>
        <w:t xml:space="preserve">these data </w:t>
      </w:r>
      <w:r w:rsidR="004236A8" w:rsidRPr="00D97B31">
        <w:rPr>
          <w:rFonts w:asciiTheme="minorHAnsi" w:hAnsiTheme="minorHAnsi" w:cs="Arial"/>
          <w:snapToGrid w:val="0"/>
          <w:lang w:eastAsia="en-US"/>
        </w:rPr>
        <w:t>were to the proposed PBS population</w:t>
      </w:r>
      <w:r w:rsidRPr="00D97B31">
        <w:rPr>
          <w:rFonts w:asciiTheme="minorHAnsi" w:hAnsiTheme="minorHAnsi" w:cs="Arial"/>
          <w:snapToGrid w:val="0"/>
          <w:lang w:eastAsia="en-US"/>
        </w:rPr>
        <w:t xml:space="preserve">. </w:t>
      </w:r>
      <w:r w:rsidRPr="00D97B31">
        <w:rPr>
          <w:rFonts w:asciiTheme="minorHAnsi" w:hAnsiTheme="minorHAnsi" w:cs="Arial"/>
          <w:snapToGrid w:val="0"/>
          <w:lang w:eastAsia="en-AU"/>
        </w:rPr>
        <w:t xml:space="preserve">DUSC commented that the incident and treated patient population </w:t>
      </w:r>
      <w:r w:rsidR="001E3DFA" w:rsidRPr="00D97B31">
        <w:rPr>
          <w:rFonts w:asciiTheme="minorHAnsi" w:hAnsiTheme="minorHAnsi" w:cs="Arial"/>
          <w:snapToGrid w:val="0"/>
          <w:lang w:eastAsia="en-AU"/>
        </w:rPr>
        <w:t>wa</w:t>
      </w:r>
      <w:r w:rsidRPr="00D97B31">
        <w:rPr>
          <w:rFonts w:asciiTheme="minorHAnsi" w:hAnsiTheme="minorHAnsi" w:cs="Arial"/>
          <w:snapToGrid w:val="0"/>
          <w:lang w:eastAsia="en-AU"/>
        </w:rPr>
        <w:t xml:space="preserve">s highly uncertain and suggested that the prevalent patient population </w:t>
      </w:r>
      <w:r w:rsidR="001E3DFA" w:rsidRPr="00D97B31">
        <w:rPr>
          <w:rFonts w:asciiTheme="minorHAnsi" w:hAnsiTheme="minorHAnsi" w:cs="Arial"/>
          <w:snapToGrid w:val="0"/>
          <w:lang w:eastAsia="en-AU"/>
        </w:rPr>
        <w:t>wa</w:t>
      </w:r>
      <w:r w:rsidRPr="00D97B31">
        <w:rPr>
          <w:rFonts w:asciiTheme="minorHAnsi" w:hAnsiTheme="minorHAnsi" w:cs="Arial"/>
          <w:snapToGrid w:val="0"/>
          <w:lang w:eastAsia="en-AU"/>
        </w:rPr>
        <w:t>s likely to be underestimate</w:t>
      </w:r>
      <w:r w:rsidR="004236A8" w:rsidRPr="00D97B31">
        <w:rPr>
          <w:rFonts w:asciiTheme="minorHAnsi" w:hAnsiTheme="minorHAnsi" w:cs="Arial"/>
          <w:snapToGrid w:val="0"/>
          <w:lang w:eastAsia="en-AU"/>
        </w:rPr>
        <w:t>d</w:t>
      </w:r>
      <w:r w:rsidRPr="00D97B31">
        <w:rPr>
          <w:rFonts w:asciiTheme="minorHAnsi" w:hAnsiTheme="minorHAnsi" w:cs="Arial"/>
          <w:snapToGrid w:val="0"/>
          <w:lang w:eastAsia="en-AU"/>
        </w:rPr>
        <w:t>.</w:t>
      </w:r>
      <w:r w:rsidR="007D1B54" w:rsidRPr="00D97B31">
        <w:rPr>
          <w:rFonts w:asciiTheme="minorHAnsi" w:hAnsiTheme="minorHAnsi" w:cs="Arial"/>
          <w:snapToGrid w:val="0"/>
          <w:lang w:eastAsia="en-AU"/>
        </w:rPr>
        <w:t xml:space="preserve"> The pre-PBAC Response argued that the health care systems and treatments available for CRPC would be comparable between Sweden and Australia given treatment options are largely limited to ADT.</w:t>
      </w:r>
    </w:p>
    <w:p w:rsidR="00396918" w:rsidRPr="00D97B31" w:rsidRDefault="00396918" w:rsidP="00740158">
      <w:pPr>
        <w:pStyle w:val="ListParagraph"/>
        <w:numPr>
          <w:ilvl w:val="0"/>
          <w:numId w:val="8"/>
        </w:numPr>
        <w:ind w:left="1077" w:hanging="357"/>
        <w:rPr>
          <w:rFonts w:eastAsia="SimSun"/>
          <w:lang w:eastAsia="en-US"/>
        </w:rPr>
      </w:pPr>
      <w:r w:rsidRPr="00D97B31">
        <w:rPr>
          <w:rFonts w:eastAsia="SimSun"/>
          <w:lang w:eastAsia="en-US"/>
        </w:rPr>
        <w:t>Darolutamide w</w:t>
      </w:r>
      <w:r w:rsidR="001E3DFA" w:rsidRPr="00D97B31">
        <w:rPr>
          <w:rFonts w:eastAsia="SimSun"/>
          <w:lang w:eastAsia="en-US"/>
        </w:rPr>
        <w:t>ould</w:t>
      </w:r>
      <w:r w:rsidRPr="00D97B31">
        <w:rPr>
          <w:rFonts w:eastAsia="SimSun"/>
          <w:lang w:eastAsia="en-US"/>
        </w:rPr>
        <w:t xml:space="preserve"> be the only available therapy on the PBS for m0CRPC and as such</w:t>
      </w:r>
      <w:r w:rsidR="001E3DFA" w:rsidRPr="00D97B31">
        <w:rPr>
          <w:rFonts w:eastAsia="SimSun"/>
          <w:lang w:eastAsia="en-US"/>
        </w:rPr>
        <w:t>,</w:t>
      </w:r>
      <w:r w:rsidRPr="00D97B31">
        <w:rPr>
          <w:rFonts w:eastAsia="SimSun"/>
          <w:lang w:eastAsia="en-US"/>
        </w:rPr>
        <w:t xml:space="preserve"> the uptake rate w</w:t>
      </w:r>
      <w:r w:rsidR="001E3DFA" w:rsidRPr="00D97B31">
        <w:rPr>
          <w:rFonts w:eastAsia="SimSun"/>
          <w:lang w:eastAsia="en-US"/>
        </w:rPr>
        <w:t>ould</w:t>
      </w:r>
      <w:r w:rsidRPr="00D97B31">
        <w:rPr>
          <w:rFonts w:eastAsia="SimSun"/>
          <w:lang w:eastAsia="en-US"/>
        </w:rPr>
        <w:t xml:space="preserve"> probably be higher than estimated in the early years of listing. </w:t>
      </w:r>
    </w:p>
    <w:p w:rsidR="007B7EBE" w:rsidRPr="00D97B31" w:rsidRDefault="007B7EBE" w:rsidP="007B7EBE">
      <w:pPr>
        <w:pStyle w:val="3-BodyText"/>
      </w:pPr>
      <w:r w:rsidRPr="00D97B31">
        <w:t xml:space="preserve">The estimated patient numbers, </w:t>
      </w:r>
      <w:r w:rsidR="001E3DFA" w:rsidRPr="00D97B31">
        <w:t>pre</w:t>
      </w:r>
      <w:r w:rsidRPr="00D97B31">
        <w:t>script</w:t>
      </w:r>
      <w:r w:rsidR="001E3DFA" w:rsidRPr="00D97B31">
        <w:t>ion</w:t>
      </w:r>
      <w:r w:rsidRPr="00D97B31">
        <w:t xml:space="preserve"> numbers and costs for the PBS listing of darolutamide are provided </w:t>
      </w:r>
      <w:r w:rsidR="004643DD">
        <w:t>in Table 16</w:t>
      </w:r>
      <w:r w:rsidRPr="00D97B31">
        <w:t>.</w:t>
      </w:r>
    </w:p>
    <w:p w:rsidR="003A1EE3" w:rsidRPr="00D97B31" w:rsidRDefault="003A1EE3" w:rsidP="003A1EE3">
      <w:pPr>
        <w:keepNext/>
        <w:jc w:val="left"/>
        <w:rPr>
          <w:rFonts w:ascii="Arial Narrow" w:eastAsiaTheme="majorEastAsia" w:hAnsi="Arial Narrow" w:cstheme="minorHAnsi"/>
          <w:bCs/>
          <w:szCs w:val="20"/>
          <w:lang w:eastAsia="en-AU"/>
        </w:rPr>
      </w:pPr>
      <w:r w:rsidRPr="00D97B31">
        <w:rPr>
          <w:rFonts w:ascii="Arial Narrow" w:eastAsiaTheme="majorEastAsia" w:hAnsi="Arial Narrow" w:cstheme="minorHAnsi"/>
          <w:b/>
          <w:bCs/>
          <w:sz w:val="20"/>
          <w:szCs w:val="20"/>
          <w:lang w:eastAsia="en-AU"/>
        </w:rPr>
        <w:t>Table 16: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A1EE3" w:rsidRPr="00D97B31" w:rsidTr="001D2A80">
        <w:trPr>
          <w:tblHeader/>
        </w:trPr>
        <w:tc>
          <w:tcPr>
            <w:tcW w:w="1116"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p>
        </w:tc>
        <w:tc>
          <w:tcPr>
            <w:tcW w:w="647"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1</w:t>
            </w:r>
          </w:p>
        </w:tc>
        <w:tc>
          <w:tcPr>
            <w:tcW w:w="647"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2</w:t>
            </w:r>
          </w:p>
        </w:tc>
        <w:tc>
          <w:tcPr>
            <w:tcW w:w="647"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3</w:t>
            </w:r>
          </w:p>
        </w:tc>
        <w:tc>
          <w:tcPr>
            <w:tcW w:w="647"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4</w:t>
            </w:r>
          </w:p>
        </w:tc>
        <w:tc>
          <w:tcPr>
            <w:tcW w:w="647" w:type="pct"/>
            <w:shd w:val="clear" w:color="auto" w:fill="auto"/>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5</w:t>
            </w:r>
          </w:p>
        </w:tc>
        <w:tc>
          <w:tcPr>
            <w:tcW w:w="649" w:type="pct"/>
            <w:vAlign w:val="center"/>
          </w:tcPr>
          <w:p w:rsidR="003A1EE3" w:rsidRPr="00D97B31" w:rsidRDefault="003A1EE3" w:rsidP="001E3DFA">
            <w:pPr>
              <w:keepNext/>
              <w:jc w:val="center"/>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Year 6</w:t>
            </w:r>
          </w:p>
        </w:tc>
      </w:tr>
      <w:tr w:rsidR="003A1EE3" w:rsidRPr="00D97B31" w:rsidTr="001D2A80">
        <w:tc>
          <w:tcPr>
            <w:tcW w:w="5000" w:type="pct"/>
            <w:gridSpan w:val="7"/>
            <w:shd w:val="clear" w:color="auto" w:fill="auto"/>
            <w:vAlign w:val="center"/>
          </w:tcPr>
          <w:p w:rsidR="003A1EE3" w:rsidRPr="00D97B31" w:rsidRDefault="003A1EE3" w:rsidP="001E3DFA">
            <w:pPr>
              <w:keepNext/>
              <w:jc w:val="left"/>
              <w:rPr>
                <w:rFonts w:ascii="Arial Narrow" w:eastAsiaTheme="majorEastAsia" w:hAnsi="Arial Narrow"/>
                <w:b/>
                <w:bCs/>
                <w:color w:val="000000"/>
                <w:sz w:val="20"/>
                <w:szCs w:val="20"/>
                <w:lang w:eastAsia="en-AU"/>
              </w:rPr>
            </w:pPr>
            <w:r w:rsidRPr="00D97B31">
              <w:rPr>
                <w:rFonts w:ascii="Arial Narrow" w:eastAsiaTheme="majorEastAsia" w:hAnsi="Arial Narrow"/>
                <w:b/>
                <w:bCs/>
                <w:color w:val="000000"/>
                <w:sz w:val="20"/>
                <w:szCs w:val="20"/>
                <w:lang w:eastAsia="en-AU"/>
              </w:rPr>
              <w:t>Estimated extent of use</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Number initiating treatment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9" w:type="pct"/>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Number of scripts</w:t>
            </w:r>
            <w:r w:rsidRPr="00D97B31">
              <w:rPr>
                <w:rFonts w:ascii="Arial Narrow" w:hAnsi="Arial Narrow" w:cs="Arial"/>
                <w:sz w:val="20"/>
                <w:szCs w:val="20"/>
                <w:vertAlign w:val="superscript"/>
                <w:lang w:eastAsia="en-AU"/>
              </w:rPr>
              <w:t>a</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c>
          <w:tcPr>
            <w:tcW w:w="649" w:type="pct"/>
            <w:vAlign w:val="center"/>
          </w:tcPr>
          <w:p w:rsidR="003A1EE3" w:rsidRPr="003B5BDD" w:rsidRDefault="003B5BDD" w:rsidP="001E3DFA">
            <w:pPr>
              <w:jc w:val="center"/>
              <w:rPr>
                <w:rFonts w:ascii="Arial Narrow" w:hAnsi="Arial Narrow" w:cs="Arial"/>
                <w:color w:val="000000"/>
                <w:sz w:val="20"/>
                <w:szCs w:val="20"/>
                <w:highlight w:val="black"/>
                <w:lang w:eastAsia="en-AU"/>
              </w:rPr>
            </w:pPr>
            <w:r>
              <w:rPr>
                <w:rFonts w:ascii="Arial Narrow" w:hAnsi="Arial Narrow" w:cs="Arial"/>
                <w:noProof/>
                <w:color w:val="000000"/>
                <w:sz w:val="20"/>
                <w:szCs w:val="20"/>
                <w:highlight w:val="black"/>
                <w:lang w:eastAsia="en-AU"/>
              </w:rPr>
              <w:t>''''''''''''''''''</w:t>
            </w:r>
          </w:p>
        </w:tc>
      </w:tr>
      <w:tr w:rsidR="003A1EE3" w:rsidRPr="00D97B31" w:rsidTr="001D2A80">
        <w:tc>
          <w:tcPr>
            <w:tcW w:w="5000" w:type="pct"/>
            <w:gridSpan w:val="7"/>
            <w:shd w:val="clear" w:color="auto" w:fill="auto"/>
            <w:vAlign w:val="center"/>
          </w:tcPr>
          <w:p w:rsidR="003A1EE3" w:rsidRPr="00D97B31" w:rsidRDefault="003A1EE3" w:rsidP="001E3DFA">
            <w:pPr>
              <w:keepNext/>
              <w:jc w:val="left"/>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Estimated financial implications of darolutamide</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Cost to PBS/RPBS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Copayments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Cost to PBS/RPBS less copayments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r>
      <w:tr w:rsidR="003A1EE3" w:rsidRPr="00D97B31" w:rsidTr="001D2A80">
        <w:tc>
          <w:tcPr>
            <w:tcW w:w="5000" w:type="pct"/>
            <w:gridSpan w:val="7"/>
            <w:shd w:val="clear" w:color="auto" w:fill="auto"/>
            <w:vAlign w:val="center"/>
          </w:tcPr>
          <w:p w:rsidR="003A1EE3" w:rsidRPr="00D97B31" w:rsidRDefault="003A1EE3" w:rsidP="001E3DFA">
            <w:pPr>
              <w:keepNext/>
              <w:jc w:val="left"/>
              <w:rPr>
                <w:rFonts w:ascii="Arial Narrow" w:eastAsiaTheme="majorEastAsia" w:hAnsi="Arial Narrow"/>
                <w:b/>
                <w:sz w:val="20"/>
                <w:szCs w:val="20"/>
                <w:lang w:eastAsia="en-AU"/>
              </w:rPr>
            </w:pPr>
            <w:r w:rsidRPr="00D97B31">
              <w:rPr>
                <w:rFonts w:ascii="Arial Narrow" w:eastAsiaTheme="majorEastAsia" w:hAnsi="Arial Narrow"/>
                <w:b/>
                <w:sz w:val="20"/>
                <w:szCs w:val="20"/>
                <w:lang w:eastAsia="en-AU"/>
              </w:rPr>
              <w:t>Net financial implications</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Cost to PBS/RPBS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sz w:val="20"/>
                <w:szCs w:val="20"/>
                <w:lang w:eastAsia="en-AU"/>
              </w:rPr>
              <w:t>Cost offsets for change in use of other medicines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sz w:val="20"/>
                <w:szCs w:val="20"/>
                <w:lang w:eastAsia="en-AU"/>
              </w:rPr>
              <w:t>-$</w:t>
            </w:r>
            <w:r w:rsidR="003B5BDD">
              <w:rPr>
                <w:rFonts w:ascii="Arial Narrow" w:hAnsi="Arial Narrow" w:cs="Arial"/>
                <w:noProof/>
                <w:color w:val="000000"/>
                <w:sz w:val="20"/>
                <w:szCs w:val="20"/>
                <w:highlight w:val="black"/>
                <w:lang w:eastAsia="en-AU"/>
              </w:rPr>
              <w:t>''''''''''''''''''''''''</w:t>
            </w:r>
          </w:p>
        </w:tc>
      </w:tr>
      <w:tr w:rsidR="003A1EE3" w:rsidRPr="00D97B31" w:rsidTr="001D2A80">
        <w:tc>
          <w:tcPr>
            <w:tcW w:w="1116" w:type="pct"/>
            <w:shd w:val="clear" w:color="auto" w:fill="auto"/>
            <w:vAlign w:val="center"/>
          </w:tcPr>
          <w:p w:rsidR="003A1EE3" w:rsidRPr="00D97B31" w:rsidRDefault="003A1EE3" w:rsidP="001E3DFA">
            <w:pPr>
              <w:jc w:val="left"/>
              <w:rPr>
                <w:rFonts w:ascii="Arial Narrow" w:hAnsi="Arial Narrow" w:cs="Arial"/>
                <w:sz w:val="20"/>
                <w:szCs w:val="20"/>
                <w:lang w:eastAsia="en-AU"/>
              </w:rPr>
            </w:pPr>
            <w:r w:rsidRPr="00D97B31">
              <w:rPr>
                <w:rFonts w:ascii="Arial Narrow" w:hAnsi="Arial Narrow" w:cs="Arial"/>
                <w:b/>
                <w:sz w:val="20"/>
                <w:szCs w:val="20"/>
                <w:lang w:eastAsia="en-AU"/>
              </w:rPr>
              <w:t>Overall net cost to PBS/RPBS</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w:t>
            </w:r>
            <w:r w:rsidRPr="00D97B31">
              <w:rPr>
                <w:rFonts w:ascii="Arial Narrow" w:hAnsi="Arial Narrow" w:cs="Arial"/>
                <w:b/>
                <w:sz w:val="20"/>
                <w:szCs w:val="20"/>
                <w:lang w:eastAsia="en-AU"/>
              </w:rPr>
              <w:t xml:space="preserve"> </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w:t>
            </w:r>
            <w:r w:rsidRPr="00D97B31">
              <w:rPr>
                <w:rFonts w:ascii="Arial Narrow" w:hAnsi="Arial Narrow" w:cs="Arial"/>
                <w:b/>
                <w:sz w:val="20"/>
                <w:szCs w:val="20"/>
                <w:lang w:eastAsia="en-AU"/>
              </w:rPr>
              <w:t xml:space="preserve"> </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w:t>
            </w:r>
            <w:r w:rsidRPr="00D97B31">
              <w:rPr>
                <w:rFonts w:ascii="Arial Narrow" w:hAnsi="Arial Narrow" w:cs="Arial"/>
                <w:b/>
                <w:sz w:val="20"/>
                <w:szCs w:val="20"/>
                <w:lang w:eastAsia="en-AU"/>
              </w:rPr>
              <w:t xml:space="preserve"> </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 xml:space="preserve">''''''''''''''''''' </w:t>
            </w:r>
          </w:p>
        </w:tc>
        <w:tc>
          <w:tcPr>
            <w:tcW w:w="647" w:type="pct"/>
            <w:shd w:val="clear" w:color="auto" w:fill="auto"/>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 xml:space="preserve">'''''''''''''''''''''''' </w:t>
            </w:r>
          </w:p>
        </w:tc>
        <w:tc>
          <w:tcPr>
            <w:tcW w:w="649" w:type="pct"/>
            <w:vAlign w:val="center"/>
          </w:tcPr>
          <w:p w:rsidR="003A1EE3" w:rsidRPr="00D97B31" w:rsidRDefault="003A1EE3" w:rsidP="001E3DFA">
            <w:pPr>
              <w:jc w:val="center"/>
              <w:rPr>
                <w:rFonts w:ascii="Arial Narrow" w:hAnsi="Arial Narrow" w:cs="Arial"/>
                <w:sz w:val="20"/>
                <w:szCs w:val="20"/>
                <w:lang w:eastAsia="en-AU"/>
              </w:rPr>
            </w:pPr>
            <w:r w:rsidRPr="00D97B31">
              <w:rPr>
                <w:rFonts w:ascii="Arial Narrow" w:hAnsi="Arial Narrow" w:cs="Arial"/>
                <w:b/>
                <w:sz w:val="20"/>
                <w:szCs w:val="20"/>
                <w:lang w:eastAsia="en-AU"/>
              </w:rPr>
              <w:t>$</w:t>
            </w:r>
            <w:r w:rsidR="003B5BDD">
              <w:rPr>
                <w:rFonts w:ascii="Arial Narrow" w:hAnsi="Arial Narrow" w:cs="Arial"/>
                <w:b/>
                <w:noProof/>
                <w:color w:val="000000"/>
                <w:sz w:val="20"/>
                <w:szCs w:val="20"/>
                <w:highlight w:val="black"/>
                <w:lang w:eastAsia="en-AU"/>
              </w:rPr>
              <w:t xml:space="preserve">''''''''''''''''''''''' </w:t>
            </w:r>
          </w:p>
        </w:tc>
      </w:tr>
    </w:tbl>
    <w:p w:rsidR="003A1EE3" w:rsidRPr="00D97B31" w:rsidRDefault="003A1EE3" w:rsidP="003A1EE3">
      <w:pPr>
        <w:spacing w:after="120"/>
        <w:contextualSpacing/>
        <w:rPr>
          <w:rFonts w:ascii="Arial Narrow" w:hAnsi="Arial Narrow"/>
          <w:snapToGrid w:val="0"/>
          <w:sz w:val="16"/>
          <w:szCs w:val="16"/>
        </w:rPr>
      </w:pPr>
      <w:r w:rsidRPr="00D97B31">
        <w:rPr>
          <w:rFonts w:ascii="Arial Narrow" w:hAnsi="Arial Narrow"/>
          <w:snapToGrid w:val="0"/>
          <w:sz w:val="18"/>
          <w:szCs w:val="22"/>
        </w:rPr>
        <w:t>Source: Table 4-22, p284; Table 4-23, p284; Table 4-41, p293 of the submission.</w:t>
      </w:r>
    </w:p>
    <w:p w:rsidR="003A1EE3" w:rsidRPr="00D97B31" w:rsidRDefault="003A1EE3" w:rsidP="003A1EE3">
      <w:pPr>
        <w:tabs>
          <w:tab w:val="left" w:pos="142"/>
        </w:tabs>
        <w:spacing w:after="120"/>
        <w:ind w:left="142" w:hanging="142"/>
        <w:contextualSpacing/>
        <w:rPr>
          <w:rFonts w:ascii="Arial Narrow" w:hAnsi="Arial Narrow"/>
          <w:snapToGrid w:val="0"/>
          <w:sz w:val="18"/>
          <w:szCs w:val="22"/>
        </w:rPr>
      </w:pPr>
      <w:r w:rsidRPr="00D97B31">
        <w:rPr>
          <w:rFonts w:ascii="Arial Narrow" w:hAnsi="Arial Narrow"/>
          <w:snapToGrid w:val="0"/>
          <w:sz w:val="18"/>
          <w:szCs w:val="22"/>
          <w:vertAlign w:val="superscript"/>
        </w:rPr>
        <w:t>a</w:t>
      </w:r>
      <w:r w:rsidRPr="00D97B31">
        <w:rPr>
          <w:rFonts w:ascii="Arial Narrow" w:hAnsi="Arial Narrow"/>
          <w:snapToGrid w:val="0"/>
          <w:sz w:val="18"/>
          <w:szCs w:val="22"/>
        </w:rPr>
        <w:tab/>
        <w:t xml:space="preserve">Number of scripts based on number initiating treatment, ARAMIS does intensity of 98.88% and expected time to treatment discontinuation sourced from ARAMIS. Patients were assumed to use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1,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2,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3,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4,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5 and </w:t>
      </w:r>
      <w:r w:rsidR="006B0ADF">
        <w:rPr>
          <w:rFonts w:ascii="Arial Narrow" w:hAnsi="Arial Narrow"/>
          <w:noProof/>
          <w:snapToGrid w:val="0"/>
          <w:color w:val="000000"/>
          <w:sz w:val="18"/>
          <w:szCs w:val="22"/>
          <w:highlight w:val="black"/>
        </w:rPr>
        <w:t>''''''''''</w:t>
      </w:r>
      <w:r w:rsidRPr="00D97B31">
        <w:rPr>
          <w:rFonts w:ascii="Arial Narrow" w:hAnsi="Arial Narrow"/>
          <w:snapToGrid w:val="0"/>
          <w:sz w:val="18"/>
          <w:szCs w:val="22"/>
        </w:rPr>
        <w:t xml:space="preserve"> packs in Year 6.</w:t>
      </w:r>
    </w:p>
    <w:p w:rsidR="007B7EBE" w:rsidRPr="00E54BA7" w:rsidRDefault="007B7EBE" w:rsidP="00396918">
      <w:pPr>
        <w:contextualSpacing/>
        <w:rPr>
          <w:rFonts w:asciiTheme="minorHAnsi" w:eastAsia="SimSun" w:hAnsiTheme="minorHAnsi" w:cs="Arial"/>
          <w:snapToGrid w:val="0"/>
          <w:lang w:eastAsia="en-US"/>
        </w:rPr>
      </w:pPr>
    </w:p>
    <w:p w:rsidR="00754F5A" w:rsidRDefault="00754F5A" w:rsidP="00754F5A">
      <w:pPr>
        <w:contextualSpacing/>
        <w:rPr>
          <w:rFonts w:asciiTheme="minorHAnsi" w:eastAsia="SimSun" w:hAnsiTheme="minorHAnsi" w:cs="Arial"/>
          <w:i/>
          <w:snapToGrid w:val="0"/>
          <w:lang w:eastAsia="en-US"/>
        </w:rPr>
      </w:pPr>
      <w:r w:rsidRPr="00E54BA7">
        <w:rPr>
          <w:rFonts w:asciiTheme="minorHAnsi" w:eastAsia="SimSun" w:hAnsiTheme="minorHAnsi" w:cs="Arial"/>
          <w:i/>
          <w:snapToGrid w:val="0"/>
          <w:lang w:eastAsia="en-US"/>
        </w:rPr>
        <w:t>The redacted table shows that at Year 6, the estimated number of scripts dispensed was 10,000 – 50,000.</w:t>
      </w:r>
    </w:p>
    <w:p w:rsidR="00E54BA7" w:rsidRPr="00E54BA7" w:rsidRDefault="00E54BA7" w:rsidP="00396918">
      <w:pPr>
        <w:contextualSpacing/>
        <w:rPr>
          <w:rFonts w:asciiTheme="minorHAnsi" w:eastAsia="SimSun" w:hAnsiTheme="minorHAnsi" w:cs="Arial"/>
          <w:i/>
          <w:snapToGrid w:val="0"/>
          <w:lang w:eastAsia="en-US"/>
        </w:rPr>
      </w:pPr>
    </w:p>
    <w:p w:rsidR="00CD0E35" w:rsidRPr="00D97B31" w:rsidRDefault="001E3DFA" w:rsidP="0054194D">
      <w:pPr>
        <w:pStyle w:val="3-BodyText"/>
      </w:pPr>
      <w:bookmarkStart w:id="28" w:name="_Toc22897649"/>
      <w:bookmarkStart w:id="29" w:name="_Toc40744340"/>
      <w:r w:rsidRPr="00D97B31">
        <w:rPr>
          <w:rFonts w:eastAsiaTheme="minorHAnsi" w:cstheme="minorHAnsi"/>
          <w:color w:val="000000" w:themeColor="text1"/>
        </w:rPr>
        <w:t>The total cost to the PBS/RPBS of listing darolutamide was estimated to be $</w:t>
      </w:r>
      <w:r w:rsidR="00CD47B3">
        <w:rPr>
          <w:rFonts w:eastAsiaTheme="minorHAnsi" w:cstheme="minorHAnsi"/>
          <w:color w:val="000000" w:themeColor="text1"/>
        </w:rPr>
        <w:t>60 - $100</w:t>
      </w:r>
      <w:r w:rsidRPr="00D97B31">
        <w:rPr>
          <w:rFonts w:eastAsiaTheme="minorHAnsi" w:cstheme="minorHAnsi"/>
          <w:color w:val="000000" w:themeColor="text1"/>
        </w:rPr>
        <w:t xml:space="preserve"> million in Year 6, and total </w:t>
      </w:r>
      <w:r w:rsidR="00BF30AA">
        <w:rPr>
          <w:rFonts w:eastAsiaTheme="minorHAnsi" w:cstheme="minorHAnsi"/>
          <w:color w:val="000000" w:themeColor="text1"/>
        </w:rPr>
        <w:t>more than $100</w:t>
      </w:r>
      <w:r w:rsidRPr="00D97B31">
        <w:rPr>
          <w:rFonts w:eastAsiaTheme="minorHAnsi" w:cstheme="minorHAnsi"/>
          <w:color w:val="000000" w:themeColor="text1"/>
        </w:rPr>
        <w:t xml:space="preserve"> million over the first 6 years of listing. DUSC considered that the accuracy of the estimates were limited by the sources used to determine the eligible patient population, the low uptake rate in at least the first 2 years of listing (</w:t>
      </w:r>
      <w:r w:rsidR="003B5BDD">
        <w:rPr>
          <w:rFonts w:eastAsiaTheme="minorHAnsi" w:cstheme="minorHAnsi"/>
          <w:noProof/>
          <w:color w:val="000000"/>
          <w:highlight w:val="black"/>
        </w:rPr>
        <w:t>''''''</w:t>
      </w:r>
      <w:r w:rsidRPr="00D97B31">
        <w:rPr>
          <w:rFonts w:eastAsiaTheme="minorHAnsi" w:cstheme="minorHAnsi"/>
          <w:color w:val="000000" w:themeColor="text1"/>
        </w:rPr>
        <w:t xml:space="preserve">% in Year 1, </w:t>
      </w:r>
      <w:r w:rsidR="003B5BDD">
        <w:rPr>
          <w:rFonts w:eastAsiaTheme="minorHAnsi" w:cstheme="minorHAnsi"/>
          <w:noProof/>
          <w:color w:val="000000"/>
          <w:highlight w:val="black"/>
        </w:rPr>
        <w:t>'''''</w:t>
      </w:r>
      <w:r w:rsidRPr="00D97B31">
        <w:rPr>
          <w:rFonts w:eastAsiaTheme="minorHAnsi" w:cstheme="minorHAnsi"/>
          <w:color w:val="000000" w:themeColor="text1"/>
        </w:rPr>
        <w:t>% in Year 2), and the reliance on economic model estimates largely based on the effectiveness of darolutamide observed in the ARAMIS trial to determine cost offsets for mCRPC treatment.</w:t>
      </w:r>
    </w:p>
    <w:p w:rsidR="001E3DFA" w:rsidRPr="00D97B31" w:rsidRDefault="001E3DFA" w:rsidP="0054194D">
      <w:pPr>
        <w:pStyle w:val="3-BodyText"/>
      </w:pPr>
      <w:r w:rsidRPr="00D97B31">
        <w:t xml:space="preserve">Compliance to darolutamide is based on the ARAMIS trial (98.88%). DUSC considered that </w:t>
      </w:r>
      <w:r w:rsidR="005B422E" w:rsidRPr="00D97B31">
        <w:t>compliance</w:t>
      </w:r>
      <w:r w:rsidRPr="00D97B31">
        <w:t xml:space="preserve"> was substantially overestimated. DUSC noted that in the real-world setting patients are likely to be older and frailer with less support than received under trial conditions. The pre-PBAC Response noted that a retrospective study by Behl et al. 2017 conducted using the Truven Health MarketScan research databases (October 2012 to December 2014), reported medical possession ratios (defined as the sum of the days of supply of the medication, divided by the number of days between the first fill and the last refill plus the days of supply of the last refill) at 12 months in mCRPC patients administered abiraterone or enzalutamide of 0.95 and 0.92 respectively. Further, the pre-PBAC Response stated that real-world compliance data in the mid-</w:t>
      </w:r>
      <w:r w:rsidR="00BC4E08">
        <w:t>19</w:t>
      </w:r>
      <w:r w:rsidRPr="00D97B31">
        <w:t>90s reported in mCRPC patients, for treatments that are known to have more severe adverse event profiles relative to darolutamide, support high rates of compliance in patients receiving darolutamide treatment.</w:t>
      </w:r>
    </w:p>
    <w:p w:rsidR="00CD0E35" w:rsidRPr="00D97B31" w:rsidRDefault="00CD0E35" w:rsidP="00CD0E35">
      <w:pPr>
        <w:pStyle w:val="3-BodyText"/>
      </w:pPr>
      <w:r w:rsidRPr="00D97B31">
        <w:t xml:space="preserve">DUSC </w:t>
      </w:r>
      <w:r w:rsidR="00ED56F5" w:rsidRPr="00D97B31">
        <w:t>noted</w:t>
      </w:r>
      <w:r w:rsidRPr="00D97B31">
        <w:t xml:space="preserve"> that </w:t>
      </w:r>
      <w:r w:rsidR="00ED56F5" w:rsidRPr="00D97B31">
        <w:t xml:space="preserve">the submission assumed </w:t>
      </w:r>
      <w:r w:rsidR="001E3DFA" w:rsidRPr="00D97B31">
        <w:t>that</w:t>
      </w:r>
      <w:r w:rsidR="007104C5" w:rsidRPr="00D97B31">
        <w:t xml:space="preserve"> </w:t>
      </w:r>
      <w:r w:rsidR="00DB49E3">
        <w:t>less than 10,000</w:t>
      </w:r>
      <w:r w:rsidR="00DB49E3" w:rsidRPr="00D97B31">
        <w:t xml:space="preserve"> </w:t>
      </w:r>
      <w:r w:rsidR="007104C5" w:rsidRPr="00D97B31">
        <w:t xml:space="preserve">patients </w:t>
      </w:r>
      <w:r w:rsidR="004236A8" w:rsidRPr="00D97B31">
        <w:t>receiving</w:t>
      </w:r>
      <w:r w:rsidR="00ED56F5" w:rsidRPr="00D97B31">
        <w:t xml:space="preserve"> therapy in the patient access program </w:t>
      </w:r>
      <w:r w:rsidR="004236A8" w:rsidRPr="00D97B31">
        <w:t>would</w:t>
      </w:r>
      <w:r w:rsidR="001E3DFA" w:rsidRPr="00D97B31">
        <w:t xml:space="preserve"> </w:t>
      </w:r>
      <w:r w:rsidR="00ED56F5" w:rsidRPr="00D97B31">
        <w:t xml:space="preserve">continue to </w:t>
      </w:r>
      <w:r w:rsidR="004236A8" w:rsidRPr="00D97B31">
        <w:t xml:space="preserve">receive </w:t>
      </w:r>
      <w:r w:rsidR="00ED56F5" w:rsidRPr="00D97B31">
        <w:t xml:space="preserve">PBS-subsidised therapy. DUSC considered </w:t>
      </w:r>
      <w:r w:rsidRPr="00D97B31">
        <w:t xml:space="preserve">the number of, and time on therapy for, grandfathered patients </w:t>
      </w:r>
      <w:r w:rsidR="001E3DFA" w:rsidRPr="00D97B31">
        <w:t>wa</w:t>
      </w:r>
      <w:r w:rsidRPr="00D97B31">
        <w:t xml:space="preserve">s uncertain as it </w:t>
      </w:r>
      <w:r w:rsidR="001E3DFA" w:rsidRPr="00D97B31">
        <w:t>wa</w:t>
      </w:r>
      <w:r w:rsidRPr="00D97B31">
        <w:t>s not possible to know how far through treatment patients will be if darolutamide becomes PBS listed.</w:t>
      </w:r>
    </w:p>
    <w:p w:rsidR="00ED56F5" w:rsidRPr="00D97B31" w:rsidRDefault="00885C49" w:rsidP="00CD0E35">
      <w:pPr>
        <w:pStyle w:val="3-BodyText"/>
      </w:pPr>
      <w:r w:rsidRPr="00D97B31">
        <w:t>DUSC noted that ADT costs and MBS item costs for doctor visits and PSA testing were not included in the estimates</w:t>
      </w:r>
      <w:r w:rsidR="001E3DFA" w:rsidRPr="00D97B31">
        <w:t>;</w:t>
      </w:r>
      <w:r w:rsidRPr="00D97B31">
        <w:t xml:space="preserve"> however, considered that these costs would likely be similar irrespective of whether darolutamide was available on the PBS</w:t>
      </w:r>
      <w:r w:rsidR="00D97B31">
        <w:t xml:space="preserve">. </w:t>
      </w:r>
    </w:p>
    <w:p w:rsidR="00576972" w:rsidRPr="00D97B31" w:rsidRDefault="00576972" w:rsidP="00606FBA">
      <w:pPr>
        <w:pStyle w:val="4-SubsectionHeading"/>
      </w:pPr>
      <w:r w:rsidRPr="00D97B31">
        <w:t>Financial Management – Risk Sharing Arrangements</w:t>
      </w:r>
      <w:bookmarkEnd w:id="28"/>
      <w:bookmarkEnd w:id="29"/>
    </w:p>
    <w:p w:rsidR="00166BD1" w:rsidRPr="00D97B31" w:rsidRDefault="00166BD1" w:rsidP="00F61C18">
      <w:pPr>
        <w:pStyle w:val="ListParagraph"/>
        <w:numPr>
          <w:ilvl w:val="1"/>
          <w:numId w:val="1"/>
        </w:numPr>
      </w:pPr>
      <w:r w:rsidRPr="00D97B31">
        <w:t>The submission stated that the</w:t>
      </w:r>
      <w:r w:rsidR="00487684">
        <w:t xml:space="preserve"> sponsor was willing to enter a</w:t>
      </w:r>
      <w:r w:rsidRPr="00D97B31">
        <w:t xml:space="preserve"> </w:t>
      </w:r>
      <w:r w:rsidR="00BC4E08">
        <w:t>risk sharing arrangement (</w:t>
      </w:r>
      <w:r w:rsidRPr="00D97B31">
        <w:t>RSA</w:t>
      </w:r>
      <w:r w:rsidR="00BC4E08">
        <w:t>)</w:t>
      </w:r>
      <w:r w:rsidRPr="00D97B31">
        <w:t xml:space="preserve"> structure with a proposed </w:t>
      </w:r>
      <w:r w:rsidR="003B5BDD">
        <w:rPr>
          <w:noProof/>
          <w:color w:val="000000"/>
          <w:highlight w:val="black"/>
        </w:rPr>
        <w:t>''''''''</w:t>
      </w:r>
      <w:r w:rsidRPr="00D97B31">
        <w:t xml:space="preserve">% rebate above caps informed by </w:t>
      </w:r>
      <w:r w:rsidR="000C3D51" w:rsidRPr="00D97B31">
        <w:t>the financial estimates</w:t>
      </w:r>
      <w:r w:rsidRPr="00D97B31">
        <w:t>.</w:t>
      </w:r>
      <w:r w:rsidR="00F61AC8" w:rsidRPr="00D97B31">
        <w:t xml:space="preserve"> </w:t>
      </w:r>
    </w:p>
    <w:p w:rsidR="00E60D9B" w:rsidRPr="00D97B31" w:rsidRDefault="00E60D9B" w:rsidP="00E60D9B">
      <w:pPr>
        <w:pStyle w:val="3-BodyText"/>
        <w:numPr>
          <w:ilvl w:val="0"/>
          <w:numId w:val="0"/>
        </w:numPr>
        <w:ind w:left="720"/>
        <w:rPr>
          <w:i/>
        </w:rPr>
      </w:pPr>
      <w:r w:rsidRPr="00D97B31">
        <w:rPr>
          <w:i/>
        </w:rPr>
        <w:t>For more detail on PBAC’s view, see section 7 PBAC outcome.</w:t>
      </w:r>
    </w:p>
    <w:p w:rsidR="00F22CA3" w:rsidRPr="00D97B31" w:rsidRDefault="00F22CA3" w:rsidP="00F22CA3">
      <w:pPr>
        <w:pStyle w:val="2-SectionHeading"/>
      </w:pPr>
      <w:r w:rsidRPr="00D97B31">
        <w:t xml:space="preserve">PBAC Outcome </w:t>
      </w:r>
    </w:p>
    <w:p w:rsidR="00F22CA3" w:rsidRPr="00D97B31" w:rsidRDefault="00C10355" w:rsidP="00FE6F4A">
      <w:pPr>
        <w:pStyle w:val="3-BodyText"/>
        <w:tabs>
          <w:tab w:val="left" w:pos="5921"/>
        </w:tabs>
      </w:pPr>
      <w:r w:rsidRPr="00D97B31">
        <w:t xml:space="preserve">The PBAC did not recommend the listing of darolutamide for the treatment of patients with </w:t>
      </w:r>
      <w:r w:rsidR="00BC4E08">
        <w:t>m0CRPC</w:t>
      </w:r>
      <w:r w:rsidRPr="00D97B31">
        <w:t xml:space="preserve"> who are at high risk of distant metastases. </w:t>
      </w:r>
      <w:r w:rsidR="00FD3AC8" w:rsidRPr="00D97B31">
        <w:t xml:space="preserve">While the PBAC considered that </w:t>
      </w:r>
      <w:r w:rsidR="00417A63" w:rsidRPr="00D97B31">
        <w:t xml:space="preserve">darolutamide </w:t>
      </w:r>
      <w:r w:rsidR="0083038B" w:rsidRPr="00D97B31">
        <w:t>provides a</w:t>
      </w:r>
      <w:r w:rsidR="00417A63" w:rsidRPr="00D97B31">
        <w:t xml:space="preserve"> substantial benefit for some patients</w:t>
      </w:r>
      <w:r w:rsidR="00F30E74" w:rsidRPr="00D97B31">
        <w:t xml:space="preserve"> compared with SOC</w:t>
      </w:r>
      <w:r w:rsidR="00417A63" w:rsidRPr="00D97B31">
        <w:t xml:space="preserve"> in terms of delaying disease progression</w:t>
      </w:r>
      <w:r w:rsidR="00FD3AC8" w:rsidRPr="00D97B31">
        <w:t xml:space="preserve">, it considered </w:t>
      </w:r>
      <w:r w:rsidR="002E1484" w:rsidRPr="00D97B31">
        <w:t xml:space="preserve">that </w:t>
      </w:r>
      <w:r w:rsidR="00061047" w:rsidRPr="00D97B31">
        <w:t xml:space="preserve">the </w:t>
      </w:r>
      <w:r w:rsidR="002E1484" w:rsidRPr="00D97B31">
        <w:t xml:space="preserve">magnitude of the </w:t>
      </w:r>
      <w:r w:rsidR="00BC4E08">
        <w:t>OS</w:t>
      </w:r>
      <w:r w:rsidR="0083038B" w:rsidRPr="00D97B31">
        <w:t xml:space="preserve"> benefit was</w:t>
      </w:r>
      <w:r w:rsidR="004271AD">
        <w:t xml:space="preserve"> modest, and </w:t>
      </w:r>
      <w:r w:rsidR="004236A8" w:rsidRPr="00D97B31">
        <w:t xml:space="preserve">uncertain given the immaturity of the data. The PBAC considered that </w:t>
      </w:r>
      <w:r w:rsidR="0083038B" w:rsidRPr="00D97B31">
        <w:t xml:space="preserve">the modelled survival benefit </w:t>
      </w:r>
      <w:r w:rsidR="001E6EF1" w:rsidRPr="00D97B31">
        <w:t xml:space="preserve">was </w:t>
      </w:r>
      <w:r w:rsidR="001D7117" w:rsidRPr="00D97B31">
        <w:t>likely</w:t>
      </w:r>
      <w:r w:rsidR="001E6EF1" w:rsidRPr="00D97B31">
        <w:t xml:space="preserve"> </w:t>
      </w:r>
      <w:r w:rsidR="00060A3D" w:rsidRPr="00D97B31">
        <w:t>overestimated</w:t>
      </w:r>
      <w:r w:rsidR="004236A8" w:rsidRPr="00D97B31">
        <w:t xml:space="preserve">, </w:t>
      </w:r>
      <w:r w:rsidR="0083038B" w:rsidRPr="00D97B31">
        <w:t xml:space="preserve">the ICER </w:t>
      </w:r>
      <w:r w:rsidR="004236A8" w:rsidRPr="00D97B31">
        <w:t xml:space="preserve">was </w:t>
      </w:r>
      <w:r w:rsidR="00BE202A" w:rsidRPr="00D97B31">
        <w:t xml:space="preserve">high and underestimated, and that a </w:t>
      </w:r>
      <w:r w:rsidR="004271AD">
        <w:t xml:space="preserve">substantial </w:t>
      </w:r>
      <w:r w:rsidR="00BE202A" w:rsidRPr="00D97B31">
        <w:t xml:space="preserve">price reduction would be required </w:t>
      </w:r>
      <w:r w:rsidR="00067B97" w:rsidRPr="00D97B31">
        <w:t xml:space="preserve">for darolutamide </w:t>
      </w:r>
      <w:r w:rsidR="00BE202A" w:rsidRPr="00D97B31">
        <w:t>to</w:t>
      </w:r>
      <w:r w:rsidR="00067B97" w:rsidRPr="00D97B31">
        <w:t xml:space="preserve"> be considered suitably</w:t>
      </w:r>
      <w:r w:rsidR="00BE202A" w:rsidRPr="00D97B31">
        <w:t xml:space="preserve"> cost-effective. </w:t>
      </w:r>
      <w:r w:rsidR="00230637" w:rsidRPr="00D97B31">
        <w:t xml:space="preserve">Further, the PBAC considered that the estimated financial impact of </w:t>
      </w:r>
      <w:r w:rsidR="006042DD" w:rsidRPr="00D97B31">
        <w:t xml:space="preserve">listing </w:t>
      </w:r>
      <w:r w:rsidR="002E1484" w:rsidRPr="00D97B31">
        <w:t xml:space="preserve">darolutamide </w:t>
      </w:r>
      <w:r w:rsidR="006042DD" w:rsidRPr="00D97B31">
        <w:t>on</w:t>
      </w:r>
      <w:r w:rsidR="002E1484" w:rsidRPr="00D97B31">
        <w:t xml:space="preserve"> the PBS</w:t>
      </w:r>
      <w:r w:rsidR="00230637" w:rsidRPr="00D97B31">
        <w:t xml:space="preserve"> </w:t>
      </w:r>
      <w:r w:rsidR="0040400C" w:rsidRPr="00D97B31">
        <w:t>was uncertain.</w:t>
      </w:r>
      <w:r w:rsidR="001E6EF1" w:rsidRPr="00D97B31">
        <w:t xml:space="preserve"> </w:t>
      </w:r>
    </w:p>
    <w:p w:rsidR="001E6EF1" w:rsidRPr="00D97B31" w:rsidRDefault="00311AC9" w:rsidP="00F22CA3">
      <w:pPr>
        <w:pStyle w:val="3-BodyText"/>
      </w:pPr>
      <w:r w:rsidRPr="00D97B31">
        <w:t xml:space="preserve">The PBAC acknowledged there </w:t>
      </w:r>
      <w:r w:rsidR="003E11E2" w:rsidRPr="00D97B31">
        <w:t>is</w:t>
      </w:r>
      <w:r w:rsidRPr="00D97B31">
        <w:t xml:space="preserve"> a clinical need for effective therapies for patients with m0CRPC</w:t>
      </w:r>
      <w:r w:rsidR="00E328B0" w:rsidRPr="00D97B31">
        <w:t xml:space="preserve"> who are not adequately controlled with ADT</w:t>
      </w:r>
      <w:r w:rsidR="00374057" w:rsidRPr="00D97B31">
        <w:t xml:space="preserve">. </w:t>
      </w:r>
      <w:r w:rsidR="00E26475" w:rsidRPr="00D97B31">
        <w:t xml:space="preserve">The PBAC noted that </w:t>
      </w:r>
      <w:r w:rsidR="00374057" w:rsidRPr="00D97B31">
        <w:t>PBS</w:t>
      </w:r>
      <w:r w:rsidRPr="00D97B31">
        <w:t xml:space="preserve"> subsidised treatment </w:t>
      </w:r>
      <w:r w:rsidR="00E328B0" w:rsidRPr="00D97B31">
        <w:t xml:space="preserve">with enzalutamide and abiraterone </w:t>
      </w:r>
      <w:r w:rsidRPr="00D97B31">
        <w:t>is currently available in the metastatic setting</w:t>
      </w:r>
      <w:r w:rsidR="00E26475" w:rsidRPr="00D97B31">
        <w:t xml:space="preserve"> only</w:t>
      </w:r>
      <w:r w:rsidRPr="00D97B31">
        <w:t xml:space="preserve">. </w:t>
      </w:r>
    </w:p>
    <w:p w:rsidR="00E26475" w:rsidRPr="00D97B31" w:rsidRDefault="00E26475" w:rsidP="00F22CA3">
      <w:pPr>
        <w:pStyle w:val="3-BodyText"/>
      </w:pPr>
      <w:r w:rsidRPr="00D97B31">
        <w:t>The PBAC noted the consumer comments which supported the listing of darolutamide on the PBS for the treatment of m0CRPC.</w:t>
      </w:r>
    </w:p>
    <w:p w:rsidR="0040400C" w:rsidRPr="00D97B31" w:rsidRDefault="003443E8" w:rsidP="00A70D14">
      <w:pPr>
        <w:pStyle w:val="3-BodyText"/>
      </w:pPr>
      <w:r w:rsidRPr="00D97B31">
        <w:t>The PBAC noted</w:t>
      </w:r>
      <w:r w:rsidR="00366D81" w:rsidRPr="00D97B31">
        <w:t xml:space="preserve"> there is limited data on the efficacy of </w:t>
      </w:r>
      <w:r w:rsidR="00A70D14" w:rsidRPr="00D97B31">
        <w:t xml:space="preserve">abiraterone or enzalutamide following darolutamide, </w:t>
      </w:r>
      <w:r w:rsidR="00E26475" w:rsidRPr="00D97B31">
        <w:t>but</w:t>
      </w:r>
      <w:r w:rsidR="00A70D14" w:rsidRPr="00D97B31">
        <w:t xml:space="preserve"> considered </w:t>
      </w:r>
      <w:r w:rsidR="00E26475" w:rsidRPr="00D97B31">
        <w:t xml:space="preserve">that </w:t>
      </w:r>
      <w:r w:rsidR="00A70D14" w:rsidRPr="00D97B31">
        <w:t xml:space="preserve">there is a likelihood of cross-resistance if </w:t>
      </w:r>
      <w:r w:rsidR="00E26475" w:rsidRPr="00D97B31">
        <w:t>abiraterone</w:t>
      </w:r>
      <w:r w:rsidR="00A70D14" w:rsidRPr="00D97B31">
        <w:t xml:space="preserve"> or enzalutamide are used sequentially after darolutamide. </w:t>
      </w:r>
      <w:r w:rsidR="00E26475" w:rsidRPr="00D97B31">
        <w:t>Thus</w:t>
      </w:r>
      <w:r w:rsidR="00A70D14" w:rsidRPr="00D97B31">
        <w:t>,</w:t>
      </w:r>
      <w:r w:rsidRPr="00D97B31">
        <w:t xml:space="preserve"> </w:t>
      </w:r>
      <w:r w:rsidR="00A70D14" w:rsidRPr="00D97B31">
        <w:t>t</w:t>
      </w:r>
      <w:r w:rsidR="001D3B9B" w:rsidRPr="00D97B31">
        <w:t xml:space="preserve">he PBAC advised that the PBS restrictions should </w:t>
      </w:r>
      <w:r w:rsidR="00E26475" w:rsidRPr="00D97B31">
        <w:t>prevent the use of</w:t>
      </w:r>
      <w:r w:rsidR="001D3B9B" w:rsidRPr="00D97B31">
        <w:t xml:space="preserve"> abiraterone or enzalutamide </w:t>
      </w:r>
      <w:r w:rsidR="00E26475" w:rsidRPr="00D97B31">
        <w:t>following</w:t>
      </w:r>
      <w:r w:rsidR="001D3B9B" w:rsidRPr="00D97B31">
        <w:t xml:space="preserve"> darolutamide, consistent with the current listings for abiraterone and enzalutamide in the metastatic setting. </w:t>
      </w:r>
    </w:p>
    <w:p w:rsidR="00722625" w:rsidRPr="00D97B31" w:rsidRDefault="00722625" w:rsidP="00933677">
      <w:pPr>
        <w:pStyle w:val="3-BodyText"/>
      </w:pPr>
      <w:r w:rsidRPr="00D97B31">
        <w:t xml:space="preserve">The PBAC considered that </w:t>
      </w:r>
      <w:r w:rsidR="00C33B6D" w:rsidRPr="00D97B31">
        <w:t>watchful waiting/</w:t>
      </w:r>
      <w:r w:rsidRPr="00D97B31">
        <w:t xml:space="preserve">SOC </w:t>
      </w:r>
      <w:r w:rsidR="004271AD">
        <w:t xml:space="preserve">with ADT </w:t>
      </w:r>
      <w:r w:rsidRPr="00D97B31">
        <w:t>was the appropriate comparator</w:t>
      </w:r>
      <w:r w:rsidR="00060A3D" w:rsidRPr="00D97B31">
        <w:t>, and</w:t>
      </w:r>
      <w:r w:rsidRPr="00D97B31">
        <w:t xml:space="preserve"> apalutamide and enzalutamide were appropriate near market comparators.</w:t>
      </w:r>
    </w:p>
    <w:p w:rsidR="00722625" w:rsidRPr="00D97B31" w:rsidRDefault="0051389E" w:rsidP="00933677">
      <w:pPr>
        <w:pStyle w:val="3-BodyText"/>
      </w:pPr>
      <w:r w:rsidRPr="00D97B31">
        <w:t>The PBAC noted that the submission was based on the ARAMIS trial</w:t>
      </w:r>
      <w:r w:rsidR="0036001E" w:rsidRPr="00D97B31">
        <w:t>, a</w:t>
      </w:r>
      <w:r w:rsidR="00AE31CA" w:rsidRPr="00D97B31">
        <w:t>n on-going</w:t>
      </w:r>
      <w:r w:rsidR="0036001E" w:rsidRPr="00D97B31">
        <w:t xml:space="preserve"> randomised, double-blind, multicentre trial comparing darolutamide and placebo</w:t>
      </w:r>
      <w:r w:rsidR="00722625" w:rsidRPr="00D97B31">
        <w:t xml:space="preserve"> (SOC)</w:t>
      </w:r>
      <w:r w:rsidR="0036001E" w:rsidRPr="00D97B31">
        <w:t>, each in combination with ADT</w:t>
      </w:r>
      <w:r w:rsidR="006042DD" w:rsidRPr="00D97B31">
        <w:t>,</w:t>
      </w:r>
      <w:r w:rsidR="0036001E" w:rsidRPr="00D97B31">
        <w:t xml:space="preserve"> in patients with m0CRPC at high risk of developing distant metastases. </w:t>
      </w:r>
      <w:r w:rsidR="00220524" w:rsidRPr="00D97B31">
        <w:t xml:space="preserve">The PBAC noted the trial </w:t>
      </w:r>
      <w:r w:rsidR="00060A3D" w:rsidRPr="00D97B31">
        <w:t>had</w:t>
      </w:r>
      <w:r w:rsidR="00220524" w:rsidRPr="00D97B31">
        <w:t xml:space="preserve"> a moderate risk of bias due to </w:t>
      </w:r>
      <w:r w:rsidR="007E5E0F" w:rsidRPr="00D97B31">
        <w:t xml:space="preserve">the </w:t>
      </w:r>
      <w:r w:rsidR="00220524" w:rsidRPr="00D97B31">
        <w:t xml:space="preserve">potential for unblinding based on </w:t>
      </w:r>
      <w:r w:rsidR="007E5E0F" w:rsidRPr="00D97B31">
        <w:t>known</w:t>
      </w:r>
      <w:r w:rsidR="00220524" w:rsidRPr="00D97B31">
        <w:t xml:space="preserve"> prominent adverse events</w:t>
      </w:r>
      <w:r w:rsidR="007E5E0F" w:rsidRPr="00D97B31">
        <w:t xml:space="preserve"> with </w:t>
      </w:r>
      <w:r w:rsidR="006042DD" w:rsidRPr="00D97B31">
        <w:t xml:space="preserve">nonsteroidal antiandrogen therapies like </w:t>
      </w:r>
      <w:r w:rsidR="007E5E0F" w:rsidRPr="00D97B31">
        <w:t>darolutamide.</w:t>
      </w:r>
    </w:p>
    <w:p w:rsidR="00E35A5E" w:rsidRPr="00D97B31" w:rsidRDefault="009924F8" w:rsidP="00CD4D5D">
      <w:pPr>
        <w:pStyle w:val="3-BodyText"/>
      </w:pPr>
      <w:r w:rsidRPr="00D97B31">
        <w:t>At</w:t>
      </w:r>
      <w:r w:rsidR="00306BB9" w:rsidRPr="00D97B31">
        <w:t xml:space="preserve"> a</w:t>
      </w:r>
      <w:r w:rsidR="00933677" w:rsidRPr="00D97B31">
        <w:t xml:space="preserve"> median follow-up of 17.9 months, </w:t>
      </w:r>
      <w:r w:rsidR="00306BB9" w:rsidRPr="00D97B31">
        <w:t xml:space="preserve">treatment with darolutamide resulted in a </w:t>
      </w:r>
      <w:r w:rsidR="00642098" w:rsidRPr="00D97B31">
        <w:t>59%</w:t>
      </w:r>
      <w:r w:rsidR="00306BB9" w:rsidRPr="00D97B31">
        <w:t xml:space="preserve"> reduction in the risk metas</w:t>
      </w:r>
      <w:r w:rsidR="0088240B" w:rsidRPr="00D97B31">
        <w:t>ta</w:t>
      </w:r>
      <w:r w:rsidR="00306BB9" w:rsidRPr="00D97B31">
        <w:t>ses or death</w:t>
      </w:r>
      <w:r w:rsidR="0088240B" w:rsidRPr="00D97B31">
        <w:t xml:space="preserve"> (MFS HR=0.41; 95% CI: 0.34, 0.50)</w:t>
      </w:r>
      <w:r w:rsidR="00067B97" w:rsidRPr="00D97B31">
        <w:t>,</w:t>
      </w:r>
      <w:r w:rsidR="0088240B" w:rsidRPr="00D97B31">
        <w:t xml:space="preserve"> </w:t>
      </w:r>
      <w:r w:rsidR="002B0775" w:rsidRPr="00D97B31">
        <w:t>and the</w:t>
      </w:r>
      <w:r w:rsidR="0088240B" w:rsidRPr="00D97B31">
        <w:t xml:space="preserve"> median MFS </w:t>
      </w:r>
      <w:r w:rsidR="002B0775" w:rsidRPr="00D97B31">
        <w:t>was</w:t>
      </w:r>
      <w:r w:rsidR="0088240B" w:rsidRPr="00D97B31">
        <w:t xml:space="preserve"> 40.4 months for darolutamide compared to 18.4 months for SOC. </w:t>
      </w:r>
      <w:r w:rsidR="004D237C" w:rsidRPr="00D97B31">
        <w:t>In the darolutamide arm, 221 (23.1%) patients had a MFS event</w:t>
      </w:r>
      <w:r w:rsidR="00557D6F" w:rsidRPr="00D97B31">
        <w:t>;</w:t>
      </w:r>
      <w:r w:rsidR="004D237C" w:rsidRPr="00D97B31">
        <w:t xml:space="preserve"> however</w:t>
      </w:r>
      <w:r w:rsidR="00557D6F" w:rsidRPr="00D97B31">
        <w:t>,</w:t>
      </w:r>
      <w:r w:rsidR="004D237C" w:rsidRPr="00D97B31">
        <w:t xml:space="preserve"> during the central efficacy imaging review, 50 patients (23% of those with events</w:t>
      </w:r>
      <w:r w:rsidR="00381992" w:rsidRPr="00D97B31">
        <w:t xml:space="preserve">; </w:t>
      </w:r>
      <w:r w:rsidR="004A2859" w:rsidRPr="00D97B31">
        <w:t xml:space="preserve">5% of </w:t>
      </w:r>
      <w:r w:rsidR="00FC435F" w:rsidRPr="00D97B31">
        <w:t xml:space="preserve">the </w:t>
      </w:r>
      <w:r w:rsidR="00BC4E08">
        <w:t>intention to treat (</w:t>
      </w:r>
      <w:r w:rsidR="004A2859" w:rsidRPr="00D97B31">
        <w:t>ITT</w:t>
      </w:r>
      <w:r w:rsidR="00BC4E08">
        <w:t>)</w:t>
      </w:r>
      <w:r w:rsidR="004A2859" w:rsidRPr="00D97B31">
        <w:t xml:space="preserve"> population</w:t>
      </w:r>
      <w:r w:rsidR="004D237C" w:rsidRPr="00D97B31">
        <w:t>) were retrospectively classified as having metastases at baseline. Similarly in the SOC arm, of the 216 (39.0%) patients with a MFS event, 39 (18%</w:t>
      </w:r>
      <w:r w:rsidR="004A2859" w:rsidRPr="00D97B31">
        <w:t xml:space="preserve"> of those with events; 7% of</w:t>
      </w:r>
      <w:r w:rsidR="00FC435F" w:rsidRPr="00D97B31">
        <w:t xml:space="preserve"> the</w:t>
      </w:r>
      <w:r w:rsidR="004A2859" w:rsidRPr="00D97B31">
        <w:t xml:space="preserve"> ITT population</w:t>
      </w:r>
      <w:r w:rsidR="004D237C" w:rsidRPr="00D97B31">
        <w:t xml:space="preserve">) were classified as </w:t>
      </w:r>
      <w:r w:rsidR="003061F4" w:rsidRPr="00D97B31">
        <w:t xml:space="preserve">having </w:t>
      </w:r>
      <w:r w:rsidR="004D237C" w:rsidRPr="00D97B31">
        <w:t>metastases at baseline.</w:t>
      </w:r>
      <w:r w:rsidR="00642098" w:rsidRPr="00D97B31">
        <w:t xml:space="preserve"> </w:t>
      </w:r>
      <w:r w:rsidR="00FC435F" w:rsidRPr="00D97B31">
        <w:t>A</w:t>
      </w:r>
      <w:r w:rsidR="00E35A5E" w:rsidRPr="00D97B31">
        <w:t xml:space="preserve">n additional analysis </w:t>
      </w:r>
      <w:r w:rsidR="007E5E0F" w:rsidRPr="00D97B31">
        <w:t>in which</w:t>
      </w:r>
      <w:r w:rsidR="00642098" w:rsidRPr="00D97B31">
        <w:t xml:space="preserve"> patients with documented metastases at baseline </w:t>
      </w:r>
      <w:r w:rsidR="007E5E0F" w:rsidRPr="00D97B31">
        <w:t xml:space="preserve">were </w:t>
      </w:r>
      <w:r w:rsidR="00642098" w:rsidRPr="00D97B31">
        <w:t>censored at randomisation</w:t>
      </w:r>
      <w:r w:rsidR="00FC435F" w:rsidRPr="00D97B31">
        <w:t xml:space="preserve"> demonstrated</w:t>
      </w:r>
      <w:r w:rsidR="00642098" w:rsidRPr="00D97B31">
        <w:t xml:space="preserve"> darolutamide reduc</w:t>
      </w:r>
      <w:r w:rsidR="00FC435F" w:rsidRPr="00D97B31">
        <w:t>ed</w:t>
      </w:r>
      <w:r w:rsidR="00642098" w:rsidRPr="00D97B31">
        <w:t xml:space="preserve"> the risk </w:t>
      </w:r>
      <w:r w:rsidR="00E35A5E" w:rsidRPr="00D97B31">
        <w:t>of metastases or death</w:t>
      </w:r>
      <w:r w:rsidR="00FC435F" w:rsidRPr="00D97B31">
        <w:t xml:space="preserve"> by 64%</w:t>
      </w:r>
      <w:r w:rsidR="00E35A5E" w:rsidRPr="00D97B31">
        <w:t xml:space="preserve"> (MFS </w:t>
      </w:r>
      <w:r w:rsidR="00E26475" w:rsidRPr="00D97B31">
        <w:t xml:space="preserve">HR=0.36; 95% CI: 0.29, 0.44). </w:t>
      </w:r>
    </w:p>
    <w:p w:rsidR="00E35A5E" w:rsidRPr="00D97B31" w:rsidRDefault="00E35A5E" w:rsidP="00CD4D5D">
      <w:pPr>
        <w:pStyle w:val="3-BodyText"/>
      </w:pPr>
      <w:r w:rsidRPr="00D97B31">
        <w:t xml:space="preserve">The PBAC noted </w:t>
      </w:r>
      <w:r w:rsidR="009924F8" w:rsidRPr="00D97B31">
        <w:t xml:space="preserve">that </w:t>
      </w:r>
      <w:r w:rsidRPr="00D97B31">
        <w:t>for OS</w:t>
      </w:r>
      <w:r w:rsidR="009924F8" w:rsidRPr="00D97B31">
        <w:t>,</w:t>
      </w:r>
      <w:r w:rsidRPr="00D97B31">
        <w:t xml:space="preserve"> an updated analysis of the ARAMIS trial with a median </w:t>
      </w:r>
      <w:r w:rsidR="002B0775" w:rsidRPr="00D97B31">
        <w:t xml:space="preserve">follow-up </w:t>
      </w:r>
      <w:r w:rsidRPr="00D97B31">
        <w:t>of 29.1 months was presented</w:t>
      </w:r>
      <w:r w:rsidR="008F63DC" w:rsidRPr="00D97B31">
        <w:t xml:space="preserve">. </w:t>
      </w:r>
      <w:r w:rsidR="00E26475" w:rsidRPr="00D97B31">
        <w:t>The PBAC noted a statistically significant improvement in OS (HR=0.69; 95% CI: 0.53, 0.88)</w:t>
      </w:r>
      <w:r w:rsidR="008F63DC" w:rsidRPr="00D97B31">
        <w:t xml:space="preserve"> was demonstrated</w:t>
      </w:r>
      <w:r w:rsidR="002B0775" w:rsidRPr="00D97B31">
        <w:t>.</w:t>
      </w:r>
      <w:r w:rsidR="00B23577" w:rsidRPr="00D97B31">
        <w:t xml:space="preserve"> </w:t>
      </w:r>
      <w:r w:rsidR="002B0775" w:rsidRPr="00D97B31">
        <w:t xml:space="preserve">However, the PBAC considered </w:t>
      </w:r>
      <w:r w:rsidRPr="00D97B31">
        <w:t xml:space="preserve">the magnitude of </w:t>
      </w:r>
      <w:r w:rsidR="008F63DC" w:rsidRPr="00D97B31">
        <w:t>the OS</w:t>
      </w:r>
      <w:r w:rsidRPr="00D97B31">
        <w:t xml:space="preserve"> benefit </w:t>
      </w:r>
      <w:r w:rsidR="002B0775" w:rsidRPr="00D97B31">
        <w:t>to be</w:t>
      </w:r>
      <w:r w:rsidRPr="00D97B31">
        <w:t xml:space="preserve"> </w:t>
      </w:r>
      <w:r w:rsidR="00CE0F86" w:rsidRPr="00D97B31">
        <w:t>modest</w:t>
      </w:r>
      <w:r w:rsidR="002B0775" w:rsidRPr="00D97B31">
        <w:t xml:space="preserve"> with an additional 5.7% of patients in the darolutamide arm alive at 36 months. The PBAC further considered the magnitude of the benefit to be</w:t>
      </w:r>
      <w:r w:rsidR="00CE0F86" w:rsidRPr="00D97B31">
        <w:t xml:space="preserve"> </w:t>
      </w:r>
      <w:r w:rsidRPr="00D97B31">
        <w:t xml:space="preserve">uncertain </w:t>
      </w:r>
      <w:r w:rsidR="002B0775" w:rsidRPr="00D97B31">
        <w:t>because of</w:t>
      </w:r>
      <w:r w:rsidRPr="00D97B31">
        <w:t xml:space="preserve"> the immaturity of the data with </w:t>
      </w:r>
      <w:r w:rsidR="008F63DC" w:rsidRPr="00D97B31">
        <w:t xml:space="preserve">death events in 148 (15.5%) patients in the darolutamide arm and 106 (19.1%) </w:t>
      </w:r>
      <w:r w:rsidR="003061F4" w:rsidRPr="00D97B31">
        <w:t>patients</w:t>
      </w:r>
      <w:r w:rsidR="008F63DC" w:rsidRPr="00D97B31">
        <w:t xml:space="preserve"> in the SOC arm. </w:t>
      </w:r>
      <w:r w:rsidR="003061F4" w:rsidRPr="00D97B31">
        <w:t>At</w:t>
      </w:r>
      <w:r w:rsidR="00603220" w:rsidRPr="00D97B31">
        <w:t xml:space="preserve"> the time of the updated analysis, 170/554 (30.7%</w:t>
      </w:r>
      <w:r w:rsidR="00D97B31" w:rsidRPr="00D97B31">
        <w:t>) patients</w:t>
      </w:r>
      <w:r w:rsidR="00603220" w:rsidRPr="00D97B31">
        <w:t xml:space="preserve"> in the SOC arm had crossed over to receive treatment with darolutamide</w:t>
      </w:r>
      <w:r w:rsidR="001D56AB" w:rsidRPr="00D97B31">
        <w:t xml:space="preserve">. The PBAC noted the ITT OS results were used in the economic evaluation which </w:t>
      </w:r>
      <w:r w:rsidR="009924F8" w:rsidRPr="00D97B31">
        <w:t>wa</w:t>
      </w:r>
      <w:r w:rsidR="001D56AB" w:rsidRPr="00D97B31">
        <w:t xml:space="preserve">s consistent with the availability of </w:t>
      </w:r>
      <w:r w:rsidR="009E5196" w:rsidRPr="00D97B31">
        <w:t xml:space="preserve">PBS </w:t>
      </w:r>
      <w:r w:rsidR="001D56AB" w:rsidRPr="00D97B31">
        <w:t>treatments, including abiraterone and enzalutamide</w:t>
      </w:r>
      <w:r w:rsidR="00220524" w:rsidRPr="00D97B31">
        <w:t>,</w:t>
      </w:r>
      <w:r w:rsidR="001D56AB" w:rsidRPr="00D97B31">
        <w:t xml:space="preserve"> for patients with metastatic disease. </w:t>
      </w:r>
    </w:p>
    <w:p w:rsidR="00785324" w:rsidRPr="00D97B31" w:rsidRDefault="007E5E0F" w:rsidP="00CD4D5D">
      <w:pPr>
        <w:pStyle w:val="3-BodyText"/>
      </w:pPr>
      <w:r w:rsidRPr="00D97B31">
        <w:t xml:space="preserve">The PBAC noted that darolutamide was associated with a significant </w:t>
      </w:r>
      <w:r w:rsidR="004271AD">
        <w:t>delay</w:t>
      </w:r>
      <w:r w:rsidRPr="00D97B31">
        <w:t xml:space="preserve"> in the time to </w:t>
      </w:r>
      <w:r w:rsidR="00D97738" w:rsidRPr="00D97B31">
        <w:t>a symptomatic skeletal event, initiation of cytotoxic chemotherapy</w:t>
      </w:r>
      <w:r w:rsidR="004271AD">
        <w:t>,</w:t>
      </w:r>
      <w:r w:rsidR="00D97738" w:rsidRPr="00D97B31">
        <w:t xml:space="preserve"> and pain progression. </w:t>
      </w:r>
      <w:r w:rsidR="001E6439" w:rsidRPr="00D97B31">
        <w:t>The PBAC noted that there were no clinically meaningful differences across the darolutamide and SOC arms for</w:t>
      </w:r>
      <w:r w:rsidR="003061F4" w:rsidRPr="00D97B31">
        <w:t xml:space="preserve"> any of</w:t>
      </w:r>
      <w:r w:rsidR="001E6439" w:rsidRPr="00D97B31">
        <w:t xml:space="preserve"> the quality of life measures.</w:t>
      </w:r>
    </w:p>
    <w:p w:rsidR="00814F47" w:rsidRPr="00D97B31" w:rsidRDefault="00B9764A" w:rsidP="00814F47">
      <w:pPr>
        <w:pStyle w:val="3-BodyText"/>
      </w:pPr>
      <w:r w:rsidRPr="00D97B31">
        <w:t xml:space="preserve">The PBAC considered that the claim of inferior safety compared with SOC was appropriate. </w:t>
      </w:r>
      <w:r w:rsidR="00FA69C2" w:rsidRPr="00D97B31">
        <w:t>The PBAC noted there was a significantly greater occurrence of rash, fatigue and cardiovascular disorders in the darolutamide treatment arm.</w:t>
      </w:r>
      <w:r w:rsidR="00580CE2" w:rsidRPr="00D97B31">
        <w:t xml:space="preserve"> The PBAC considered that fatigue/asthenia </w:t>
      </w:r>
      <w:r w:rsidR="00711448" w:rsidRPr="00D97B31">
        <w:t>may have a considerable</w:t>
      </w:r>
      <w:r w:rsidR="00580CE2" w:rsidRPr="00D97B31">
        <w:t xml:space="preserve"> impact on cognitive function given treatment is likely to be long-term </w:t>
      </w:r>
      <w:r w:rsidR="00711448" w:rsidRPr="00D97B31">
        <w:t>and the majority of</w:t>
      </w:r>
      <w:r w:rsidR="00AE630B" w:rsidRPr="00D97B31">
        <w:t xml:space="preserve"> </w:t>
      </w:r>
      <w:r w:rsidR="002F5599" w:rsidRPr="00D97B31">
        <w:t>the patient population</w:t>
      </w:r>
      <w:r w:rsidR="00AE630B" w:rsidRPr="00D97B31">
        <w:t xml:space="preserve"> are elderly. </w:t>
      </w:r>
    </w:p>
    <w:p w:rsidR="00814F47" w:rsidRPr="00D97B31" w:rsidRDefault="00814F47" w:rsidP="00933677">
      <w:pPr>
        <w:pStyle w:val="3-BodyText"/>
      </w:pPr>
      <w:r w:rsidRPr="00D97B31">
        <w:rPr>
          <w:iCs/>
        </w:rPr>
        <w:t>Although noting potential differences across the ARAMIS, SPARTAN and PROSPER trials, the PBAC considered</w:t>
      </w:r>
      <w:r w:rsidR="009924F8" w:rsidRPr="00D97B31">
        <w:rPr>
          <w:iCs/>
        </w:rPr>
        <w:t>,</w:t>
      </w:r>
      <w:r w:rsidRPr="00D97B31">
        <w:rPr>
          <w:iCs/>
        </w:rPr>
        <w:t xml:space="preserve"> based on the indirect comparison</w:t>
      </w:r>
      <w:r w:rsidR="00CE0F86" w:rsidRPr="00D97B31">
        <w:rPr>
          <w:iCs/>
        </w:rPr>
        <w:t>s</w:t>
      </w:r>
      <w:r w:rsidRPr="00D97B31">
        <w:rPr>
          <w:iCs/>
        </w:rPr>
        <w:t xml:space="preserve"> of the OS results</w:t>
      </w:r>
      <w:r w:rsidR="003061F4" w:rsidRPr="00D97B31">
        <w:rPr>
          <w:iCs/>
        </w:rPr>
        <w:t>,</w:t>
      </w:r>
      <w:r w:rsidRPr="00D97B31">
        <w:rPr>
          <w:iCs/>
        </w:rPr>
        <w:t xml:space="preserve"> that darolutamide was likely non-inferior to apalutamide and enzalutamide. The PBAC considered that darolutamide may be better tolerated compared to apalutamide and enzalutamide due to its </w:t>
      </w:r>
      <w:r w:rsidR="00CE0F86" w:rsidRPr="00D97B31">
        <w:rPr>
          <w:iCs/>
        </w:rPr>
        <w:t>reduced</w:t>
      </w:r>
      <w:r w:rsidRPr="00D97B31">
        <w:rPr>
          <w:iCs/>
        </w:rPr>
        <w:t xml:space="preserve"> </w:t>
      </w:r>
      <w:r w:rsidR="00BC4E08">
        <w:rPr>
          <w:iCs/>
        </w:rPr>
        <w:t xml:space="preserve">penetration of the </w:t>
      </w:r>
      <w:r w:rsidRPr="00D97B31">
        <w:rPr>
          <w:iCs/>
        </w:rPr>
        <w:t xml:space="preserve">blood-brain </w:t>
      </w:r>
      <w:r w:rsidR="00BC4E08">
        <w:rPr>
          <w:iCs/>
        </w:rPr>
        <w:t>barrier</w:t>
      </w:r>
      <w:r w:rsidRPr="00D97B31">
        <w:rPr>
          <w:iCs/>
        </w:rPr>
        <w:t xml:space="preserve"> which could potentially result in less central nervous system toxicity.</w:t>
      </w:r>
    </w:p>
    <w:p w:rsidR="00A51D26" w:rsidRPr="00D97B31" w:rsidRDefault="002B2CA8" w:rsidP="00C01A47">
      <w:pPr>
        <w:pStyle w:val="3-BodyText"/>
      </w:pPr>
      <w:r w:rsidRPr="00D97B31">
        <w:t>The PBAC noted that the economic model was similar in structure to the apalutamide model presented</w:t>
      </w:r>
      <w:r w:rsidR="00D671BF" w:rsidRPr="00D97B31">
        <w:t xml:space="preserve"> at the July 2019 PBAC meeting and incorporated the revisions advised by the PBAC </w:t>
      </w:r>
      <w:r w:rsidR="004A0445" w:rsidRPr="00D97B31">
        <w:t>at that time</w:t>
      </w:r>
      <w:r w:rsidR="00697629" w:rsidRPr="00D97B31">
        <w:t>,</w:t>
      </w:r>
      <w:r w:rsidR="00E4694B" w:rsidRPr="00D97B31">
        <w:t xml:space="preserve"> including </w:t>
      </w:r>
      <w:r w:rsidR="006D237E" w:rsidRPr="00D97B31">
        <w:t xml:space="preserve">use of blinded independent central review MFS, a 10-year time horizon and OS results that </w:t>
      </w:r>
      <w:r w:rsidR="004A0445" w:rsidRPr="00D97B31">
        <w:t>had not</w:t>
      </w:r>
      <w:r w:rsidR="006D237E" w:rsidRPr="00D97B31">
        <w:t xml:space="preserve"> been adjusted for treatment switching. </w:t>
      </w:r>
      <w:r w:rsidR="00A56915" w:rsidRPr="00D97B31">
        <w:t xml:space="preserve">The PBAC considered </w:t>
      </w:r>
      <w:r w:rsidR="00265C26" w:rsidRPr="00D97B31">
        <w:t xml:space="preserve">that </w:t>
      </w:r>
      <w:r w:rsidR="004A0445" w:rsidRPr="00D97B31">
        <w:t xml:space="preserve">the </w:t>
      </w:r>
      <w:r w:rsidR="00265C26" w:rsidRPr="00D97B31">
        <w:t>incorporati</w:t>
      </w:r>
      <w:r w:rsidR="004A0445" w:rsidRPr="00D97B31">
        <w:t>o</w:t>
      </w:r>
      <w:r w:rsidR="00265C26" w:rsidRPr="00D97B31">
        <w:t>n</w:t>
      </w:r>
      <w:r w:rsidR="004A0445" w:rsidRPr="00D97B31">
        <w:t xml:space="preserve"> of</w:t>
      </w:r>
      <w:r w:rsidR="00265C26" w:rsidRPr="00D97B31">
        <w:t xml:space="preserve"> the</w:t>
      </w:r>
      <w:r w:rsidR="009E5196" w:rsidRPr="00D97B31">
        <w:t>se</w:t>
      </w:r>
      <w:r w:rsidR="004A0445" w:rsidRPr="00D97B31">
        <w:t xml:space="preserve"> </w:t>
      </w:r>
      <w:r w:rsidR="00265C26" w:rsidRPr="00D97B31">
        <w:t xml:space="preserve">revisions </w:t>
      </w:r>
      <w:r w:rsidR="004A0445" w:rsidRPr="00D97B31">
        <w:t>in</w:t>
      </w:r>
      <w:r w:rsidR="00265C26" w:rsidRPr="00D97B31">
        <w:t xml:space="preserve">to the </w:t>
      </w:r>
      <w:r w:rsidR="004A0445" w:rsidRPr="00D97B31">
        <w:t xml:space="preserve">darolutamide </w:t>
      </w:r>
      <w:r w:rsidR="00265C26" w:rsidRPr="00D97B31">
        <w:t>mode</w:t>
      </w:r>
      <w:r w:rsidR="00D13F2E" w:rsidRPr="00D97B31">
        <w:t>l was appropriate</w:t>
      </w:r>
      <w:r w:rsidR="004A0445" w:rsidRPr="00D97B31">
        <w:t>.</w:t>
      </w:r>
    </w:p>
    <w:p w:rsidR="004A0445" w:rsidRPr="00D97B31" w:rsidRDefault="00697629" w:rsidP="00C01A47">
      <w:pPr>
        <w:pStyle w:val="3-BodyText"/>
      </w:pPr>
      <w:r w:rsidRPr="00D97B31">
        <w:t>T</w:t>
      </w:r>
      <w:r w:rsidR="004A0445" w:rsidRPr="00D97B31">
        <w:t xml:space="preserve">he PBAC noted </w:t>
      </w:r>
      <w:r w:rsidR="00265C26" w:rsidRPr="00D97B31">
        <w:t xml:space="preserve">that the </w:t>
      </w:r>
      <w:r w:rsidR="00D13F2E" w:rsidRPr="00D97B31">
        <w:t xml:space="preserve">ICER was </w:t>
      </w:r>
      <w:r w:rsidR="00814F47" w:rsidRPr="00D97B31">
        <w:t>sensitive to</w:t>
      </w:r>
      <w:r w:rsidR="00D2777A" w:rsidRPr="00D97B31">
        <w:t xml:space="preserve"> the method</w:t>
      </w:r>
      <w:r w:rsidR="00A15AC9" w:rsidRPr="00D97B31">
        <w:t>s</w:t>
      </w:r>
      <w:r w:rsidR="00D2777A" w:rsidRPr="00D97B31">
        <w:t xml:space="preserve"> used to extrapolate </w:t>
      </w:r>
      <w:r w:rsidR="00A15AC9" w:rsidRPr="00D97B31">
        <w:t>MFS and OS</w:t>
      </w:r>
      <w:r w:rsidR="004A0445" w:rsidRPr="00D97B31">
        <w:t xml:space="preserve"> </w:t>
      </w:r>
      <w:r w:rsidR="002E1484" w:rsidRPr="00D97B31">
        <w:t>and that</w:t>
      </w:r>
      <w:r w:rsidR="004A0445" w:rsidRPr="00D97B31">
        <w:t xml:space="preserve"> </w:t>
      </w:r>
      <w:r w:rsidR="007C056A" w:rsidRPr="00D97B31">
        <w:t xml:space="preserve">the majority of the life years and QALYs </w:t>
      </w:r>
      <w:r w:rsidR="004A0445" w:rsidRPr="00D97B31">
        <w:t xml:space="preserve">were </w:t>
      </w:r>
      <w:r w:rsidR="007C056A" w:rsidRPr="00D97B31">
        <w:t>gained</w:t>
      </w:r>
      <w:r w:rsidR="009E5196" w:rsidRPr="00D97B31">
        <w:t xml:space="preserve"> were</w:t>
      </w:r>
      <w:r w:rsidR="007C056A" w:rsidRPr="00D97B31">
        <w:t xml:space="preserve"> </w:t>
      </w:r>
      <w:r w:rsidR="00950271" w:rsidRPr="00D97B31">
        <w:t>in the extrapolated period of the model (i.e. beyond the 4 year</w:t>
      </w:r>
      <w:r w:rsidR="001D7117" w:rsidRPr="00D97B31">
        <w:t>s of the ARAMIS trial)</w:t>
      </w:r>
      <w:r w:rsidR="004A0445" w:rsidRPr="00D97B31">
        <w:t xml:space="preserve">. </w:t>
      </w:r>
      <w:r w:rsidR="00A51D26" w:rsidRPr="00D97B31">
        <w:t>The PBAC noted that the model</w:t>
      </w:r>
      <w:r w:rsidR="004D6B88" w:rsidRPr="00D97B31">
        <w:t>led OS curves did not converge within the 10 year time horizon, and difference in OS at 10 years (</w:t>
      </w:r>
      <w:r w:rsidR="003B5BDD">
        <w:rPr>
          <w:noProof/>
          <w:color w:val="000000"/>
          <w:highlight w:val="black"/>
        </w:rPr>
        <w:t>''''''</w:t>
      </w:r>
      <w:r w:rsidR="004D6B88" w:rsidRPr="00D97B31">
        <w:t>%) was substantially larger than that observed in the ARAMIS trial (5.7% at 3 years). The PBAC further noted that the model</w:t>
      </w:r>
      <w:r w:rsidR="00A51D26" w:rsidRPr="00D97B31">
        <w:t xml:space="preserve"> predicted </w:t>
      </w:r>
      <w:r w:rsidR="003B5BDD">
        <w:rPr>
          <w:noProof/>
          <w:color w:val="000000"/>
          <w:highlight w:val="black"/>
        </w:rPr>
        <w:t>'''''''''</w:t>
      </w:r>
      <w:r w:rsidR="00A51D26" w:rsidRPr="00D97B31">
        <w:t xml:space="preserve"> of patients treated with darolutamide would be alive at 10 years. The PBAC considered that this was unlikely</w:t>
      </w:r>
      <w:r w:rsidR="00802CFC" w:rsidRPr="00D97B31">
        <w:t xml:space="preserve"> given the prognosis of patients with mCRPC and</w:t>
      </w:r>
      <w:r w:rsidR="00A51D26" w:rsidRPr="00D97B31">
        <w:t xml:space="preserve"> the average age </w:t>
      </w:r>
      <w:r w:rsidRPr="00D97B31">
        <w:t xml:space="preserve">at entry to the model was </w:t>
      </w:r>
      <w:r w:rsidR="00A51D26" w:rsidRPr="00D97B31">
        <w:t xml:space="preserve">73.6 years. </w:t>
      </w:r>
      <w:r w:rsidR="004D6B88" w:rsidRPr="00D97B31">
        <w:t>Overall, t</w:t>
      </w:r>
      <w:r w:rsidR="004A0445" w:rsidRPr="00D97B31">
        <w:t xml:space="preserve">he PBAC </w:t>
      </w:r>
      <w:r w:rsidRPr="00D97B31">
        <w:t>considered that</w:t>
      </w:r>
      <w:r w:rsidR="004D6B88" w:rsidRPr="00D97B31">
        <w:t xml:space="preserve"> </w:t>
      </w:r>
      <w:r w:rsidRPr="00D97B31">
        <w:t xml:space="preserve">the OS parametric extrapolations were highly optimistic. </w:t>
      </w:r>
    </w:p>
    <w:p w:rsidR="00D55DBB" w:rsidRPr="00D97B31" w:rsidRDefault="00F73795" w:rsidP="0011221C">
      <w:pPr>
        <w:pStyle w:val="3-BodyText"/>
      </w:pPr>
      <w:r w:rsidRPr="00D97B31">
        <w:t xml:space="preserve">The PBAC </w:t>
      </w:r>
      <w:r w:rsidR="00985959" w:rsidRPr="00D97B31">
        <w:t>noted that the</w:t>
      </w:r>
      <w:r w:rsidR="007212C0" w:rsidRPr="00D97B31">
        <w:t xml:space="preserve"> </w:t>
      </w:r>
      <w:r w:rsidR="00212B9F" w:rsidRPr="00D97B31">
        <w:t>ICER was also sensitive to the</w:t>
      </w:r>
      <w:r w:rsidR="00A51D26" w:rsidRPr="00D97B31">
        <w:t xml:space="preserve"> </w:t>
      </w:r>
      <w:r w:rsidR="007212C0" w:rsidRPr="00D97B31">
        <w:t xml:space="preserve">utility value </w:t>
      </w:r>
      <w:r w:rsidR="00212B9F" w:rsidRPr="00D97B31">
        <w:t>for</w:t>
      </w:r>
      <w:r w:rsidR="00542C56" w:rsidRPr="00D97B31">
        <w:t xml:space="preserve"> the </w:t>
      </w:r>
      <w:r w:rsidR="00365F90" w:rsidRPr="00D97B31">
        <w:t>mCRPC health state</w:t>
      </w:r>
      <w:r w:rsidR="008E3799" w:rsidRPr="00D97B31">
        <w:t xml:space="preserve">, with </w:t>
      </w:r>
      <w:r w:rsidR="002575B7" w:rsidRPr="00D97B31">
        <w:t>the value</w:t>
      </w:r>
      <w:r w:rsidR="00212B9F" w:rsidRPr="00D97B31">
        <w:t xml:space="preserve"> of </w:t>
      </w:r>
      <w:r w:rsidR="003B5BDD">
        <w:rPr>
          <w:noProof/>
          <w:color w:val="000000"/>
          <w:highlight w:val="black"/>
        </w:rPr>
        <w:t>''''''''''''</w:t>
      </w:r>
      <w:r w:rsidR="00212B9F" w:rsidRPr="00D97B31">
        <w:t xml:space="preserve"> </w:t>
      </w:r>
      <w:r w:rsidR="008E3799" w:rsidRPr="00D97B31">
        <w:t>being</w:t>
      </w:r>
      <w:r w:rsidR="002575B7" w:rsidRPr="00D97B31">
        <w:t xml:space="preserve"> </w:t>
      </w:r>
      <w:r w:rsidR="00B01572" w:rsidRPr="00D97B31">
        <w:t xml:space="preserve">substantially </w:t>
      </w:r>
      <w:r w:rsidR="002575B7" w:rsidRPr="00D97B31">
        <w:t xml:space="preserve">lower than the values applied </w:t>
      </w:r>
      <w:r w:rsidR="008E3799" w:rsidRPr="00D97B31">
        <w:t>in</w:t>
      </w:r>
      <w:r w:rsidR="002575B7" w:rsidRPr="00D97B31">
        <w:t xml:space="preserve"> the m0CRPC health state (</w:t>
      </w:r>
      <w:r w:rsidR="003B5BDD">
        <w:rPr>
          <w:noProof/>
          <w:color w:val="000000"/>
          <w:highlight w:val="black"/>
        </w:rPr>
        <w:t>'''''''''''</w:t>
      </w:r>
      <w:r w:rsidR="002575B7" w:rsidRPr="00D97B31">
        <w:t xml:space="preserve"> for darolutamide and </w:t>
      </w:r>
      <w:r w:rsidR="003B5BDD">
        <w:rPr>
          <w:noProof/>
          <w:color w:val="000000"/>
          <w:highlight w:val="black"/>
        </w:rPr>
        <w:t>''''''''''''</w:t>
      </w:r>
      <w:r w:rsidR="002575B7" w:rsidRPr="00D97B31">
        <w:t xml:space="preserve"> for SOC)</w:t>
      </w:r>
      <w:r w:rsidR="00697629" w:rsidRPr="00D97B31">
        <w:t xml:space="preserve">. </w:t>
      </w:r>
      <w:r w:rsidR="006D4C23" w:rsidRPr="00D97B31">
        <w:rPr>
          <w:iCs/>
        </w:rPr>
        <w:t>The PBAC agreed with ESC that the same utility value should be applied to all patients in the m0CRPC health state</w:t>
      </w:r>
      <w:r w:rsidR="00360762" w:rsidRPr="00D97B31">
        <w:rPr>
          <w:iCs/>
        </w:rPr>
        <w:t xml:space="preserve">, and that the value applied for mCRPC was too low given that metastatic disease may initially be </w:t>
      </w:r>
      <w:r w:rsidR="008E3799" w:rsidRPr="00D97B31">
        <w:rPr>
          <w:iCs/>
        </w:rPr>
        <w:t>a</w:t>
      </w:r>
      <w:r w:rsidR="00360762" w:rsidRPr="00D97B31">
        <w:rPr>
          <w:iCs/>
        </w:rPr>
        <w:t>symptomatic</w:t>
      </w:r>
      <w:r w:rsidR="009924F8" w:rsidRPr="00D97B31">
        <w:rPr>
          <w:iCs/>
        </w:rPr>
        <w:t xml:space="preserve">. The PBAC considered that </w:t>
      </w:r>
      <w:r w:rsidR="003B5BDD">
        <w:rPr>
          <w:noProof/>
          <w:color w:val="000000"/>
          <w:highlight w:val="black"/>
        </w:rPr>
        <w:t>'''''''''</w:t>
      </w:r>
      <w:r w:rsidR="008E3799" w:rsidRPr="00D97B31">
        <w:t xml:space="preserve"> was more reflective of end stage palliation.</w:t>
      </w:r>
    </w:p>
    <w:p w:rsidR="00FD1C0A" w:rsidRPr="00D97B31" w:rsidRDefault="005A2E02" w:rsidP="00212B9F">
      <w:pPr>
        <w:pStyle w:val="3-BodyText"/>
        <w:tabs>
          <w:tab w:val="left" w:pos="2142"/>
        </w:tabs>
      </w:pPr>
      <w:r w:rsidRPr="00D97B31">
        <w:t xml:space="preserve">Overall, the PBAC considered that the </w:t>
      </w:r>
      <w:r w:rsidR="00D92FCE" w:rsidRPr="00D97B31">
        <w:t xml:space="preserve">base case </w:t>
      </w:r>
      <w:r w:rsidRPr="00D97B31">
        <w:t xml:space="preserve">ICER </w:t>
      </w:r>
      <w:r w:rsidR="00D92FCE" w:rsidRPr="00D97B31">
        <w:t xml:space="preserve">presented in the submission </w:t>
      </w:r>
      <w:r w:rsidR="00A51D26" w:rsidRPr="00D97B31">
        <w:t xml:space="preserve">of </w:t>
      </w:r>
      <w:r w:rsidR="008A26AF">
        <w:t>$45,000/QALY - $75,000/</w:t>
      </w:r>
      <w:r w:rsidR="00A51D26" w:rsidRPr="00D97B31">
        <w:t xml:space="preserve">QALY </w:t>
      </w:r>
      <w:r w:rsidRPr="00D97B31">
        <w:t xml:space="preserve">was high and underestimated. </w:t>
      </w:r>
      <w:r w:rsidR="00260413" w:rsidRPr="00D97B31">
        <w:t xml:space="preserve">The PBAC recalled that </w:t>
      </w:r>
      <w:r w:rsidR="00A51D26" w:rsidRPr="00D97B31">
        <w:t>in</w:t>
      </w:r>
      <w:r w:rsidR="00260413" w:rsidRPr="00D97B31">
        <w:t xml:space="preserve"> July 2019, it considered that an ICER in the range of $40,000 to $45,000 </w:t>
      </w:r>
      <w:r w:rsidR="00A51D26" w:rsidRPr="00D97B31">
        <w:t xml:space="preserve">per QALY </w:t>
      </w:r>
      <w:r w:rsidR="00260413" w:rsidRPr="00D97B31">
        <w:t>would be acceptable for apalutamide</w:t>
      </w:r>
      <w:r w:rsidR="00D921CB" w:rsidRPr="00D97B31">
        <w:t xml:space="preserve">. The PBAC </w:t>
      </w:r>
      <w:r w:rsidR="00C75978" w:rsidRPr="00D97B31">
        <w:t>considered</w:t>
      </w:r>
      <w:r w:rsidR="00D921CB" w:rsidRPr="00D97B31">
        <w:t xml:space="preserve"> that</w:t>
      </w:r>
      <w:r w:rsidR="00566E72" w:rsidRPr="00D97B31">
        <w:t xml:space="preserve"> </w:t>
      </w:r>
      <w:r w:rsidR="00273400" w:rsidRPr="00D97B31">
        <w:t xml:space="preserve">an ICER in the range of $40,000 to $45,000 per QALY would also be </w:t>
      </w:r>
      <w:r w:rsidR="00802CFC" w:rsidRPr="00D97B31">
        <w:t>required</w:t>
      </w:r>
      <w:r w:rsidR="00273400" w:rsidRPr="00D97B31">
        <w:t xml:space="preserve"> for </w:t>
      </w:r>
      <w:r w:rsidR="00AF0BD9" w:rsidRPr="00D97B31">
        <w:t>darolutamide</w:t>
      </w:r>
      <w:r w:rsidR="00802CFC" w:rsidRPr="00D97B31">
        <w:t xml:space="preserve"> to be considered suitably cost-effective</w:t>
      </w:r>
      <w:r w:rsidR="00273400" w:rsidRPr="00D97B31">
        <w:t>.</w:t>
      </w:r>
      <w:r w:rsidR="00566E72" w:rsidRPr="00D97B31">
        <w:t xml:space="preserve"> </w:t>
      </w:r>
      <w:r w:rsidR="009C4739" w:rsidRPr="00D97B31">
        <w:t xml:space="preserve">The PBAC </w:t>
      </w:r>
      <w:r w:rsidR="0077379E" w:rsidRPr="00D97B31">
        <w:t xml:space="preserve">further </w:t>
      </w:r>
      <w:r w:rsidR="009C4739" w:rsidRPr="00D97B31">
        <w:t xml:space="preserve">noted the base case ICER presented in the submission increased substantially with </w:t>
      </w:r>
      <w:r w:rsidR="00D774F4" w:rsidRPr="00D97B31">
        <w:t xml:space="preserve">a </w:t>
      </w:r>
      <w:r w:rsidR="009C4739" w:rsidRPr="00D97B31">
        <w:t xml:space="preserve">more </w:t>
      </w:r>
      <w:r w:rsidR="004377B8" w:rsidRPr="00D97B31">
        <w:t>clinically appropriate</w:t>
      </w:r>
      <w:r w:rsidR="009C4739" w:rsidRPr="00D97B31">
        <w:t xml:space="preserve"> </w:t>
      </w:r>
      <w:r w:rsidR="0077379E" w:rsidRPr="00D97B31">
        <w:t xml:space="preserve">OS </w:t>
      </w:r>
      <w:r w:rsidR="009C4739" w:rsidRPr="00D97B31">
        <w:t>extrapolation</w:t>
      </w:r>
      <w:r w:rsidR="00D774F4" w:rsidRPr="00D97B31">
        <w:t xml:space="preserve"> (Gompertz)</w:t>
      </w:r>
      <w:r w:rsidR="009C4739" w:rsidRPr="00D97B31">
        <w:t xml:space="preserve"> </w:t>
      </w:r>
      <w:r w:rsidR="004377B8" w:rsidRPr="00D97B31">
        <w:t xml:space="preserve">and </w:t>
      </w:r>
      <w:r w:rsidR="0077379E" w:rsidRPr="00D97B31">
        <w:t>mCRPC utility value</w:t>
      </w:r>
      <w:r w:rsidR="00EE437A">
        <w:t xml:space="preserve"> (0.635</w:t>
      </w:r>
      <w:r w:rsidR="00915A65">
        <w:t xml:space="preserve"> from Wu et al. 2007</w:t>
      </w:r>
      <w:r w:rsidR="00D774F4" w:rsidRPr="00D97B31">
        <w:t xml:space="preserve">) </w:t>
      </w:r>
      <w:r w:rsidR="0077379E" w:rsidRPr="00D97B31">
        <w:t xml:space="preserve">to approximately </w:t>
      </w:r>
      <w:r w:rsidR="008A26AF">
        <w:t>$75,000/QALY - $105,000/</w:t>
      </w:r>
      <w:r w:rsidR="0077379E" w:rsidRPr="00D97B31">
        <w:t>QALY</w:t>
      </w:r>
      <w:r w:rsidR="00711395" w:rsidRPr="00D97B31">
        <w:t>.</w:t>
      </w:r>
    </w:p>
    <w:p w:rsidR="00273400" w:rsidRPr="00D97B31" w:rsidRDefault="000D1466" w:rsidP="0011221C">
      <w:pPr>
        <w:pStyle w:val="3-BodyText"/>
      </w:pPr>
      <w:r w:rsidRPr="00D97B31">
        <w:t>The PBAC</w:t>
      </w:r>
      <w:r w:rsidR="00711395" w:rsidRPr="00D97B31">
        <w:t xml:space="preserve"> considered the e</w:t>
      </w:r>
      <w:r w:rsidR="00DC2C6F" w:rsidRPr="00D97B31">
        <w:t xml:space="preserve">stimated financial impact of </w:t>
      </w:r>
      <w:r w:rsidR="00BD0C57">
        <w:t xml:space="preserve">more than $100 </w:t>
      </w:r>
      <w:r w:rsidR="00915A65">
        <w:t>million</w:t>
      </w:r>
      <w:r w:rsidR="00DC2C6F" w:rsidRPr="00D97B31">
        <w:t xml:space="preserve"> over 6 years </w:t>
      </w:r>
      <w:r w:rsidR="00711395" w:rsidRPr="00D97B31">
        <w:t>to be</w:t>
      </w:r>
      <w:r w:rsidR="00DC2C6F" w:rsidRPr="00D97B31">
        <w:t xml:space="preserve"> high and uncertain</w:t>
      </w:r>
      <w:r w:rsidR="00711395" w:rsidRPr="00D97B31">
        <w:t>. The PBAC</w:t>
      </w:r>
      <w:r w:rsidRPr="00D97B31">
        <w:t xml:space="preserve"> noted DUSC’s concerns </w:t>
      </w:r>
      <w:r w:rsidR="00711395" w:rsidRPr="00D97B31">
        <w:t xml:space="preserve">regarding </w:t>
      </w:r>
      <w:r w:rsidRPr="00D97B31">
        <w:t xml:space="preserve">the estimated utilisation </w:t>
      </w:r>
      <w:r w:rsidR="0016553E" w:rsidRPr="00D97B31">
        <w:t xml:space="preserve">outlined </w:t>
      </w:r>
      <w:r w:rsidRPr="00D97B31">
        <w:t xml:space="preserve">in </w:t>
      </w:r>
      <w:r w:rsidRPr="001D0097">
        <w:t>paragraph 6.5</w:t>
      </w:r>
      <w:r w:rsidR="001D0097" w:rsidRPr="001D0097">
        <w:t>1</w:t>
      </w:r>
      <w:r w:rsidR="0077379E" w:rsidRPr="00D97B31">
        <w:t>, and specifically that</w:t>
      </w:r>
      <w:r w:rsidR="008E0C6D" w:rsidRPr="00D97B31">
        <w:t xml:space="preserve"> the number of incident and prevalent patients was highly uncertain </w:t>
      </w:r>
      <w:r w:rsidR="00816B1C" w:rsidRPr="00D97B31">
        <w:t xml:space="preserve">given the lack of Australian data. </w:t>
      </w:r>
      <w:r w:rsidR="0077379E" w:rsidRPr="00D97B31">
        <w:t>T</w:t>
      </w:r>
      <w:r w:rsidR="00B651EF" w:rsidRPr="00D97B31">
        <w:t xml:space="preserve">he PBAC considered </w:t>
      </w:r>
      <w:r w:rsidR="0077379E" w:rsidRPr="00D97B31">
        <w:t xml:space="preserve">the uncertainty with the financial estimates could be addressed </w:t>
      </w:r>
      <w:r w:rsidR="004E4E61" w:rsidRPr="00D97B31">
        <w:t>with</w:t>
      </w:r>
      <w:r w:rsidR="00B651EF" w:rsidRPr="00D97B31">
        <w:t xml:space="preserve"> a </w:t>
      </w:r>
      <w:r w:rsidR="004E4E61" w:rsidRPr="00D97B31">
        <w:t xml:space="preserve">RSA </w:t>
      </w:r>
      <w:r w:rsidR="00566E72" w:rsidRPr="00D97B31">
        <w:t xml:space="preserve">based on </w:t>
      </w:r>
      <w:r w:rsidR="004E4E61" w:rsidRPr="00D97B31">
        <w:t>revised financial caps and a</w:t>
      </w:r>
      <w:r w:rsidR="00B651EF" w:rsidRPr="00D97B31">
        <w:t xml:space="preserve"> </w:t>
      </w:r>
      <w:r w:rsidR="003B5BDD">
        <w:rPr>
          <w:noProof/>
          <w:color w:val="000000"/>
          <w:highlight w:val="black"/>
        </w:rPr>
        <w:t>'''''''</w:t>
      </w:r>
      <w:r w:rsidR="00B651EF" w:rsidRPr="00D97B31">
        <w:t xml:space="preserve">% rebate for expenditure </w:t>
      </w:r>
      <w:r w:rsidR="00DB36CC" w:rsidRPr="00D97B31">
        <w:t xml:space="preserve">beyond </w:t>
      </w:r>
      <w:r w:rsidR="004E4E61" w:rsidRPr="00D97B31">
        <w:t>the</w:t>
      </w:r>
      <w:r w:rsidR="00DB36CC" w:rsidRPr="00D97B31">
        <w:t xml:space="preserve"> caps</w:t>
      </w:r>
      <w:r w:rsidR="00B651EF" w:rsidRPr="00D97B31">
        <w:t>.</w:t>
      </w:r>
    </w:p>
    <w:p w:rsidR="00AF0BD9" w:rsidRPr="00D97B31" w:rsidRDefault="009C4739" w:rsidP="00FD49D1">
      <w:pPr>
        <w:pStyle w:val="3-BodyText"/>
      </w:pPr>
      <w:r w:rsidRPr="00D97B31">
        <w:t xml:space="preserve">The PBAC advised that any future resubmission for darolutamide should </w:t>
      </w:r>
      <w:r w:rsidR="004E4E61" w:rsidRPr="00D97B31">
        <w:t xml:space="preserve">be a major submission and </w:t>
      </w:r>
      <w:r w:rsidRPr="00D97B31">
        <w:t xml:space="preserve">include a revised economic model which incorporates more </w:t>
      </w:r>
      <w:r w:rsidR="00FD49D1" w:rsidRPr="00D97B31">
        <w:t xml:space="preserve">clinically </w:t>
      </w:r>
      <w:r w:rsidR="004E4E61" w:rsidRPr="00D97B31">
        <w:t>appropriate</w:t>
      </w:r>
      <w:r w:rsidRPr="00D97B31">
        <w:t xml:space="preserve"> methods of MFS and OS extrapolation</w:t>
      </w:r>
      <w:r w:rsidR="00D774F4" w:rsidRPr="00D97B31">
        <w:t>,</w:t>
      </w:r>
      <w:r w:rsidR="00755DD8" w:rsidRPr="00D97B31">
        <w:t xml:space="preserve"> </w:t>
      </w:r>
      <w:r w:rsidR="00D774F4" w:rsidRPr="00D97B31">
        <w:t xml:space="preserve">a more clinically appropriate </w:t>
      </w:r>
      <w:r w:rsidRPr="00D97B31">
        <w:t>utility value for the mCRPC health state</w:t>
      </w:r>
      <w:r w:rsidR="004271AD">
        <w:t>,</w:t>
      </w:r>
      <w:r w:rsidRPr="00D97B31">
        <w:t xml:space="preserve"> and a </w:t>
      </w:r>
      <w:r w:rsidR="004271AD">
        <w:t xml:space="preserve">substantial </w:t>
      </w:r>
      <w:r w:rsidRPr="00D97B31">
        <w:t>price reduction</w:t>
      </w:r>
      <w:r w:rsidR="0075516A" w:rsidRPr="00D97B31">
        <w:t xml:space="preserve"> to achieve an ICER in the range of $40,000 to $45,000 per QALY</w:t>
      </w:r>
      <w:r w:rsidR="00FD49D1" w:rsidRPr="00D97B31">
        <w:t xml:space="preserve">. </w:t>
      </w:r>
      <w:r w:rsidR="004E4E61" w:rsidRPr="00D97B31">
        <w:t>The resubmission should also include details of a RSA which appropriately addresses the uncertainty with the financial estimates.</w:t>
      </w:r>
    </w:p>
    <w:p w:rsidR="00B669F1" w:rsidRPr="00D97B31" w:rsidRDefault="00B669F1" w:rsidP="00F22CA3">
      <w:pPr>
        <w:pStyle w:val="3-BodyText"/>
      </w:pPr>
      <w:r w:rsidRPr="00D97B31">
        <w:t>The PBAC noted that this submission is eligible for an Independent Review</w:t>
      </w:r>
      <w:r w:rsidR="00D97B31">
        <w:t xml:space="preserve">. </w:t>
      </w:r>
    </w:p>
    <w:p w:rsidR="00EF0F31" w:rsidRPr="00D97B31" w:rsidRDefault="00EF0F31" w:rsidP="00EF0F31">
      <w:pPr>
        <w:spacing w:before="240"/>
        <w:rPr>
          <w:rFonts w:asciiTheme="minorHAnsi" w:hAnsiTheme="minorHAnsi" w:cs="Arial"/>
          <w:b/>
          <w:bCs/>
          <w:snapToGrid w:val="0"/>
        </w:rPr>
      </w:pPr>
      <w:r w:rsidRPr="00D97B31">
        <w:rPr>
          <w:rFonts w:asciiTheme="minorHAnsi" w:hAnsiTheme="minorHAnsi" w:cs="Arial"/>
          <w:b/>
          <w:bCs/>
          <w:snapToGrid w:val="0"/>
        </w:rPr>
        <w:t>Outcome:</w:t>
      </w:r>
    </w:p>
    <w:p w:rsidR="00EF0F31" w:rsidRPr="00D97B31" w:rsidRDefault="001F2C81" w:rsidP="00EF0F31">
      <w:pPr>
        <w:rPr>
          <w:rFonts w:asciiTheme="minorHAnsi" w:hAnsiTheme="minorHAnsi" w:cs="Arial"/>
          <w:bCs/>
          <w:snapToGrid w:val="0"/>
        </w:rPr>
      </w:pPr>
      <w:r w:rsidRPr="00D97B31">
        <w:rPr>
          <w:rFonts w:asciiTheme="minorHAnsi" w:hAnsiTheme="minorHAnsi" w:cs="Arial"/>
          <w:bCs/>
          <w:snapToGrid w:val="0"/>
        </w:rPr>
        <w:t>Rejected</w:t>
      </w:r>
    </w:p>
    <w:p w:rsidR="00EF0F31" w:rsidRPr="00D97B31" w:rsidRDefault="00EF0F31" w:rsidP="00EF0F31">
      <w:pPr>
        <w:widowControl w:val="0"/>
        <w:rPr>
          <w:rFonts w:asciiTheme="minorHAnsi" w:hAnsiTheme="minorHAnsi" w:cs="Arial"/>
          <w:b/>
          <w:bCs/>
          <w:snapToGrid w:val="0"/>
        </w:rPr>
      </w:pPr>
    </w:p>
    <w:p w:rsidR="005034F8" w:rsidRPr="005034F8" w:rsidRDefault="005034F8" w:rsidP="005034F8">
      <w:pPr>
        <w:pStyle w:val="2-SectionHeading"/>
      </w:pPr>
      <w:r w:rsidRPr="005034F8">
        <w:t>Context for Decision</w:t>
      </w:r>
    </w:p>
    <w:p w:rsidR="005034F8" w:rsidRPr="007129F2" w:rsidRDefault="005034F8" w:rsidP="005034F8">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034F8" w:rsidRPr="00C07617" w:rsidRDefault="005034F8" w:rsidP="005034F8">
      <w:pPr>
        <w:pStyle w:val="2-SectionHeading"/>
        <w:rPr>
          <w:b w:val="0"/>
        </w:rPr>
      </w:pPr>
      <w:r w:rsidRPr="005034F8">
        <w:t>Sponsor’s Comment</w:t>
      </w:r>
    </w:p>
    <w:p w:rsidR="00606FBA" w:rsidRPr="00915A65" w:rsidRDefault="00B962D4" w:rsidP="007112E9">
      <w:pPr>
        <w:pStyle w:val="3-BodyText"/>
        <w:numPr>
          <w:ilvl w:val="0"/>
          <w:numId w:val="0"/>
        </w:numPr>
        <w:ind w:left="709" w:hanging="11"/>
      </w:pPr>
      <w:r w:rsidRPr="00A02637">
        <w:rPr>
          <w:bCs/>
          <w:lang w:val="en-GB"/>
        </w:rPr>
        <w:t>Bayer will continue to work with the PBAC and the Department of Health on the listing of</w:t>
      </w:r>
      <w:r>
        <w:rPr>
          <w:bCs/>
          <w:lang w:val="en-GB"/>
        </w:rPr>
        <w:t xml:space="preserve"> Darolutamide</w:t>
      </w:r>
      <w:r w:rsidRPr="00A02637">
        <w:rPr>
          <w:bCs/>
          <w:lang w:val="en-GB"/>
        </w:rPr>
        <w:t>.</w:t>
      </w:r>
    </w:p>
    <w:sectPr w:rsidR="00606FBA" w:rsidRPr="00915A65" w:rsidSect="00ED7C8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AF12" w16cex:dateUtc="2020-05-18T15:04:00Z"/>
  <w16cex:commentExtensible w16cex:durableId="226DA720" w16cex:dateUtc="2020-05-18T14:30:00Z"/>
  <w16cex:commentExtensible w16cex:durableId="226DADEB" w16cex:dateUtc="2020-05-18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26CA8C" w16cid:durableId="226D9DD8"/>
  <w16cid:commentId w16cid:paraId="47F458B4" w16cid:durableId="226D9DD9"/>
  <w16cid:commentId w16cid:paraId="5A945A1E" w16cid:durableId="226D9DDA"/>
  <w16cid:commentId w16cid:paraId="28D9CD63" w16cid:durableId="226D9DDB"/>
  <w16cid:commentId w16cid:paraId="03300735" w16cid:durableId="226D9DDC"/>
  <w16cid:commentId w16cid:paraId="344E0266" w16cid:durableId="226D9DDD"/>
  <w16cid:commentId w16cid:paraId="6E7C9433" w16cid:durableId="226D9DDE"/>
  <w16cid:commentId w16cid:paraId="1A4A9D47" w16cid:durableId="226D9DDF"/>
  <w16cid:commentId w16cid:paraId="19C3EAA6" w16cid:durableId="226D9DE0"/>
  <w16cid:commentId w16cid:paraId="1321704B" w16cid:durableId="226DAF12"/>
  <w16cid:commentId w16cid:paraId="0D631862" w16cid:durableId="226D9DE1"/>
  <w16cid:commentId w16cid:paraId="12910A38" w16cid:durableId="226D9DE2"/>
  <w16cid:commentId w16cid:paraId="08FE8F79" w16cid:durableId="226D9DE3"/>
  <w16cid:commentId w16cid:paraId="3663C966" w16cid:durableId="226D9DE4"/>
  <w16cid:commentId w16cid:paraId="37FA011B" w16cid:durableId="226D9DE5"/>
  <w16cid:commentId w16cid:paraId="2BFCE74B" w16cid:durableId="226D9DE6"/>
  <w16cid:commentId w16cid:paraId="6A2F96BB" w16cid:durableId="226D9DE7"/>
  <w16cid:commentId w16cid:paraId="7DD01909" w16cid:durableId="226D9DE8"/>
  <w16cid:commentId w16cid:paraId="37B31E45" w16cid:durableId="226D9DE9"/>
  <w16cid:commentId w16cid:paraId="2D17D65D" w16cid:durableId="226D9DEA"/>
  <w16cid:commentId w16cid:paraId="366332A0" w16cid:durableId="226D9DEB"/>
  <w16cid:commentId w16cid:paraId="6D57A783" w16cid:durableId="226D9DEC"/>
  <w16cid:commentId w16cid:paraId="0E76076E" w16cid:durableId="226D9DED"/>
  <w16cid:commentId w16cid:paraId="2D79E7EC" w16cid:durableId="226D9DEE"/>
  <w16cid:commentId w16cid:paraId="69DF1D2F" w16cid:durableId="226D9DEF"/>
  <w16cid:commentId w16cid:paraId="1031D160" w16cid:durableId="226D9DF0"/>
  <w16cid:commentId w16cid:paraId="34647AA0" w16cid:durableId="226D9DF1"/>
  <w16cid:commentId w16cid:paraId="7F0C01A1" w16cid:durableId="226D9DF2"/>
  <w16cid:commentId w16cid:paraId="6CB9AFE0" w16cid:durableId="226D9DF3"/>
  <w16cid:commentId w16cid:paraId="70FD150E" w16cid:durableId="226D9DF4"/>
  <w16cid:commentId w16cid:paraId="3F9A6488" w16cid:durableId="226D9DF5"/>
  <w16cid:commentId w16cid:paraId="60128BB6" w16cid:durableId="226D9DF6"/>
  <w16cid:commentId w16cid:paraId="764F6F48" w16cid:durableId="226D9DF7"/>
  <w16cid:commentId w16cid:paraId="2FE5F696" w16cid:durableId="226D9DF8"/>
  <w16cid:commentId w16cid:paraId="603578B3" w16cid:durableId="226D9DF9"/>
  <w16cid:commentId w16cid:paraId="6341D5C0" w16cid:durableId="226D9DFA"/>
  <w16cid:commentId w16cid:paraId="3820D295" w16cid:durableId="226D9DFB"/>
  <w16cid:commentId w16cid:paraId="4CA73573" w16cid:durableId="226D9DFC"/>
  <w16cid:commentId w16cid:paraId="24DBEC0A" w16cid:durableId="226D9DFD"/>
  <w16cid:commentId w16cid:paraId="3219E33F" w16cid:durableId="226D9DFE"/>
  <w16cid:commentId w16cid:paraId="0C10C8AF" w16cid:durableId="226D9DFF"/>
  <w16cid:commentId w16cid:paraId="217699F4" w16cid:durableId="226D9E00"/>
  <w16cid:commentId w16cid:paraId="3543E83A" w16cid:durableId="226D9E01"/>
  <w16cid:commentId w16cid:paraId="2C711BBF" w16cid:durableId="226D9E02"/>
  <w16cid:commentId w16cid:paraId="047C3B89" w16cid:durableId="226D9E03"/>
  <w16cid:commentId w16cid:paraId="253AD4CC" w16cid:durableId="226D9E04"/>
  <w16cid:commentId w16cid:paraId="64635619" w16cid:durableId="226D9E05"/>
  <w16cid:commentId w16cid:paraId="3656E7A8" w16cid:durableId="226D9E06"/>
  <w16cid:commentId w16cid:paraId="120DADBF" w16cid:durableId="226D9E07"/>
  <w16cid:commentId w16cid:paraId="2659D1AC" w16cid:durableId="226D9E08"/>
  <w16cid:commentId w16cid:paraId="3CD6759D" w16cid:durableId="226D9E09"/>
  <w16cid:commentId w16cid:paraId="6E67C96C" w16cid:durableId="226D9E0A"/>
  <w16cid:commentId w16cid:paraId="0F234F12" w16cid:durableId="226D9E0B"/>
  <w16cid:commentId w16cid:paraId="2A6BDBF8" w16cid:durableId="226D9E0C"/>
  <w16cid:commentId w16cid:paraId="0FF732F8" w16cid:durableId="226D9E0D"/>
  <w16cid:commentId w16cid:paraId="7160850E" w16cid:durableId="226D9E0E"/>
  <w16cid:commentId w16cid:paraId="66A0B854" w16cid:durableId="226D9E0F"/>
  <w16cid:commentId w16cid:paraId="03CAB4C5" w16cid:durableId="226D9E10"/>
  <w16cid:commentId w16cid:paraId="6EB66A7C" w16cid:durableId="226D9E11"/>
  <w16cid:commentId w16cid:paraId="2528A2E1" w16cid:durableId="226D9E12"/>
  <w16cid:commentId w16cid:paraId="6344E1C0" w16cid:durableId="226D9E13"/>
  <w16cid:commentId w16cid:paraId="0A6C8F21" w16cid:durableId="226D9E14"/>
  <w16cid:commentId w16cid:paraId="2EE0A334" w16cid:durableId="226D9E15"/>
  <w16cid:commentId w16cid:paraId="2EED0317" w16cid:durableId="226D9E16"/>
  <w16cid:commentId w16cid:paraId="43EA9F36" w16cid:durableId="226D9E19"/>
  <w16cid:commentId w16cid:paraId="67CA1A30" w16cid:durableId="226D9E1A"/>
  <w16cid:commentId w16cid:paraId="2CBEA759" w16cid:durableId="226D9E1B"/>
  <w16cid:commentId w16cid:paraId="4E87A29E" w16cid:durableId="226D9E1C"/>
  <w16cid:commentId w16cid:paraId="2E454331" w16cid:durableId="226D9E1E"/>
  <w16cid:commentId w16cid:paraId="4FBEE926" w16cid:durableId="226D9E1F"/>
  <w16cid:commentId w16cid:paraId="61461C88" w16cid:durableId="226D9E20"/>
  <w16cid:commentId w16cid:paraId="302B4F43" w16cid:durableId="226D9E21"/>
  <w16cid:commentId w16cid:paraId="5F1B56EC" w16cid:durableId="226D9E22"/>
  <w16cid:commentId w16cid:paraId="744FBF71" w16cid:durableId="226D9E23"/>
  <w16cid:commentId w16cid:paraId="4CABCBA3" w16cid:durableId="226D9E25"/>
  <w16cid:commentId w16cid:paraId="2A4F8261" w16cid:durableId="226D9E26"/>
  <w16cid:commentId w16cid:paraId="66409D72" w16cid:durableId="226D9E27"/>
  <w16cid:commentId w16cid:paraId="621B50FE" w16cid:durableId="226D9E28"/>
  <w16cid:commentId w16cid:paraId="69C3D6FC" w16cid:durableId="226D9E29"/>
  <w16cid:commentId w16cid:paraId="429E7B9B" w16cid:durableId="226D9E2A"/>
  <w16cid:commentId w16cid:paraId="1176880F" w16cid:durableId="226D9E2B"/>
  <w16cid:commentId w16cid:paraId="62E33E96" w16cid:durableId="226D9E2C"/>
  <w16cid:commentId w16cid:paraId="6A32A1EF" w16cid:durableId="226D9E2D"/>
  <w16cid:commentId w16cid:paraId="43BD3D23" w16cid:durableId="226D9E2E"/>
  <w16cid:commentId w16cid:paraId="4FBE923C" w16cid:durableId="226D9E2F"/>
  <w16cid:commentId w16cid:paraId="635D1D84" w16cid:durableId="226D9E30"/>
  <w16cid:commentId w16cid:paraId="15D895F5" w16cid:durableId="226D9E31"/>
  <w16cid:commentId w16cid:paraId="3D4A9F30" w16cid:durableId="226D9E32"/>
  <w16cid:commentId w16cid:paraId="2A6D2A61" w16cid:durableId="226D9E33"/>
  <w16cid:commentId w16cid:paraId="79285B81" w16cid:durableId="226DA720"/>
  <w16cid:commentId w16cid:paraId="7C6BCF17" w16cid:durableId="226D9E34"/>
  <w16cid:commentId w16cid:paraId="54D163DB" w16cid:durableId="226D9E35"/>
  <w16cid:commentId w16cid:paraId="4D865058" w16cid:durableId="226D9FA8"/>
  <w16cid:commentId w16cid:paraId="33C99826" w16cid:durableId="226DADEB"/>
  <w16cid:commentId w16cid:paraId="5E43AF92" w16cid:durableId="226D9E37"/>
  <w16cid:commentId w16cid:paraId="564F6D51" w16cid:durableId="226D9E38"/>
  <w16cid:commentId w16cid:paraId="3FD9849E" w16cid:durableId="226D9E39"/>
  <w16cid:commentId w16cid:paraId="73F2CFED" w16cid:durableId="226D9E3A"/>
  <w16cid:commentId w16cid:paraId="59B8C649" w16cid:durableId="226D9E3B"/>
  <w16cid:commentId w16cid:paraId="535D1E72" w16cid:durableId="226D9E3C"/>
  <w16cid:commentId w16cid:paraId="54BAAD67" w16cid:durableId="226D9E3D"/>
  <w16cid:commentId w16cid:paraId="6C82BABC" w16cid:durableId="226D9E3E"/>
  <w16cid:commentId w16cid:paraId="7E29D115" w16cid:durableId="226D9E3F"/>
  <w16cid:commentId w16cid:paraId="12DD51C3" w16cid:durableId="226D9E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DF" w:rsidRDefault="006B0ADF" w:rsidP="00124A51">
      <w:r>
        <w:separator/>
      </w:r>
    </w:p>
    <w:p w:rsidR="006B0ADF" w:rsidRDefault="006B0ADF"/>
  </w:endnote>
  <w:endnote w:type="continuationSeparator" w:id="0">
    <w:p w:rsidR="006B0ADF" w:rsidRDefault="006B0ADF" w:rsidP="00124A51">
      <w:r>
        <w:continuationSeparator/>
      </w:r>
    </w:p>
    <w:p w:rsidR="006B0ADF" w:rsidRDefault="006B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8" w:rsidRDefault="0034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FA" w:rsidRPr="00E12995" w:rsidRDefault="00E379FA" w:rsidP="00327B70">
    <w:pPr>
      <w:jc w:val="center"/>
      <w:rPr>
        <w:rFonts w:cs="Calibri"/>
      </w:rPr>
    </w:pPr>
  </w:p>
  <w:p w:rsidR="00E379FA" w:rsidRPr="000C75ED" w:rsidRDefault="00E379FA" w:rsidP="000C75ED">
    <w:pPr>
      <w:keepNext/>
      <w:tabs>
        <w:tab w:val="center" w:pos="4153"/>
        <w:tab w:val="right" w:pos="8306"/>
      </w:tabs>
      <w:spacing w:after="120"/>
      <w:ind w:left="360"/>
      <w:jc w:val="center"/>
      <w:rPr>
        <w:rFonts w:cs="Arial"/>
        <w:lang w:eastAsia="en-US"/>
      </w:rPr>
    </w:pPr>
    <w:r w:rsidRPr="00823B8F">
      <w:rPr>
        <w:rFonts w:cs="Arial"/>
        <w:b/>
        <w:lang w:eastAsia="en-US"/>
      </w:rPr>
      <w:fldChar w:fldCharType="begin"/>
    </w:r>
    <w:r w:rsidRPr="00823B8F">
      <w:rPr>
        <w:rFonts w:cs="Arial"/>
        <w:b/>
        <w:lang w:eastAsia="en-US"/>
      </w:rPr>
      <w:instrText xml:space="preserve"> PAGE   \* MERGEFORMAT </w:instrText>
    </w:r>
    <w:r w:rsidRPr="00823B8F">
      <w:rPr>
        <w:rFonts w:cs="Arial"/>
        <w:b/>
        <w:lang w:eastAsia="en-US"/>
      </w:rPr>
      <w:fldChar w:fldCharType="separate"/>
    </w:r>
    <w:r w:rsidR="006B0ADF">
      <w:rPr>
        <w:rFonts w:cs="Arial"/>
        <w:b/>
        <w:noProof/>
        <w:lang w:eastAsia="en-US"/>
      </w:rPr>
      <w:t>3</w:t>
    </w:r>
    <w:r w:rsidRPr="00823B8F">
      <w:rPr>
        <w:rFonts w:cs="Arial"/>
        <w:b/>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8" w:rsidRDefault="0034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DF" w:rsidRDefault="006B0ADF" w:rsidP="00124A51">
      <w:r>
        <w:separator/>
      </w:r>
    </w:p>
    <w:p w:rsidR="006B0ADF" w:rsidRDefault="006B0ADF"/>
  </w:footnote>
  <w:footnote w:type="continuationSeparator" w:id="0">
    <w:p w:rsidR="006B0ADF" w:rsidRDefault="006B0ADF" w:rsidP="00124A51">
      <w:r>
        <w:continuationSeparator/>
      </w:r>
    </w:p>
    <w:p w:rsidR="006B0ADF" w:rsidRDefault="006B0ADF"/>
  </w:footnote>
  <w:footnote w:id="1">
    <w:p w:rsidR="00E379FA" w:rsidRDefault="00E379FA">
      <w:pPr>
        <w:pStyle w:val="FootnoteText"/>
      </w:pPr>
      <w:r>
        <w:rPr>
          <w:rStyle w:val="FootnoteReference"/>
        </w:rPr>
        <w:footnoteRef/>
      </w:r>
      <w:r>
        <w:t xml:space="preserve"> </w:t>
      </w:r>
      <w:r w:rsidRPr="00430A65">
        <w:t>Cherny NI, Dafni U, Bogaerts J, et al: ESMO-Magnitude of Clinical Benefit Scale version 1.1. Annals of Oncology 28:2340-2366, 2017]</w:t>
      </w:r>
    </w:p>
  </w:footnote>
  <w:footnote w:id="2">
    <w:p w:rsidR="00E379FA" w:rsidRDefault="00E379FA" w:rsidP="000A59BE">
      <w:pPr>
        <w:pStyle w:val="FootnoteText"/>
        <w:jc w:val="left"/>
      </w:pPr>
      <w:r>
        <w:rPr>
          <w:rStyle w:val="FootnoteReference"/>
        </w:rPr>
        <w:footnoteRef/>
      </w:r>
      <w:r>
        <w:t>Available at:</w:t>
      </w:r>
      <w:r w:rsidR="000A59BE">
        <w:t xml:space="preserve"> </w:t>
      </w:r>
      <w:hyperlink r:id="rId1" w:history="1">
        <w:r w:rsidRPr="00492825">
          <w:rPr>
            <w:rStyle w:val="Hyperlink"/>
          </w:rPr>
          <w:t>https://www.cadth.ca/sites/default/files/pcodr/Reviews2020/10196DarolutamidenmCRPC_inCGR_REDACT_Post02Apr2020_final.pdf</w:t>
        </w:r>
      </w:hyperlink>
    </w:p>
  </w:footnote>
  <w:footnote w:id="3">
    <w:p w:rsidR="00E379FA" w:rsidRPr="000A0DFB" w:rsidRDefault="00E379FA" w:rsidP="000A0DFB">
      <w:pPr>
        <w:autoSpaceDE w:val="0"/>
        <w:autoSpaceDN w:val="0"/>
        <w:adjustRightInd w:val="0"/>
        <w:jc w:val="left"/>
        <w:rPr>
          <w:rFonts w:asciiTheme="minorHAnsi" w:hAnsiTheme="minorHAnsi" w:cstheme="minorHAnsi"/>
          <w:sz w:val="20"/>
          <w:szCs w:val="20"/>
        </w:rPr>
      </w:pPr>
      <w:r w:rsidRPr="000A0DFB">
        <w:rPr>
          <w:rStyle w:val="FootnoteReference"/>
          <w:rFonts w:asciiTheme="minorHAnsi" w:hAnsiTheme="minorHAnsi" w:cstheme="minorHAnsi"/>
          <w:sz w:val="20"/>
          <w:szCs w:val="20"/>
        </w:rPr>
        <w:footnoteRef/>
      </w:r>
      <w:r w:rsidRPr="000A0DFB">
        <w:rPr>
          <w:rFonts w:asciiTheme="minorHAnsi" w:hAnsiTheme="minorHAnsi" w:cstheme="minorHAnsi"/>
          <w:sz w:val="20"/>
          <w:szCs w:val="20"/>
        </w:rPr>
        <w:t xml:space="preserve"> </w:t>
      </w:r>
      <w:r w:rsidRPr="000A0DFB">
        <w:rPr>
          <w:rFonts w:asciiTheme="minorHAnsi" w:hAnsiTheme="minorHAnsi" w:cstheme="minorHAnsi"/>
          <w:sz w:val="20"/>
          <w:szCs w:val="20"/>
          <w:lang w:eastAsia="en-AU"/>
        </w:rPr>
        <w:t xml:space="preserve">Wu EQ, Mulani P, Farrell MH, Sleep D. Mapping FACTP and EORTC QLQ-C30 to patient health status </w:t>
      </w:r>
      <w:r>
        <w:rPr>
          <w:rFonts w:asciiTheme="minorHAnsi" w:hAnsiTheme="minorHAnsi" w:cstheme="minorHAnsi"/>
          <w:sz w:val="20"/>
          <w:szCs w:val="20"/>
          <w:lang w:eastAsia="en-AU"/>
        </w:rPr>
        <w:t>m</w:t>
      </w:r>
      <w:r w:rsidRPr="000A0DFB">
        <w:rPr>
          <w:rFonts w:asciiTheme="minorHAnsi" w:hAnsiTheme="minorHAnsi" w:cstheme="minorHAnsi"/>
          <w:sz w:val="20"/>
          <w:szCs w:val="20"/>
          <w:lang w:eastAsia="en-AU"/>
        </w:rPr>
        <w:t>easured by EQ-5D in metastatic hormone-refractory prostate cancer patients. Value Health. 2007;10(5):408–14.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8" w:rsidRDefault="0034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FA" w:rsidRPr="00E12995" w:rsidRDefault="00E379FA" w:rsidP="00284DAD">
    <w:pPr>
      <w:keepNext/>
      <w:tabs>
        <w:tab w:val="center" w:pos="4153"/>
        <w:tab w:val="right" w:pos="8306"/>
      </w:tabs>
      <w:ind w:left="360"/>
      <w:jc w:val="center"/>
      <w:rPr>
        <w:rFonts w:cs="Arial"/>
        <w:i/>
        <w:color w:val="808080"/>
        <w:lang w:eastAsia="en-US"/>
      </w:rPr>
    </w:pPr>
    <w:r>
      <w:rPr>
        <w:rFonts w:cs="Arial"/>
        <w:i/>
        <w:color w:val="808080"/>
        <w:lang w:eastAsia="en-US"/>
      </w:rPr>
      <w:t>Public Summary Document</w:t>
    </w:r>
    <w:r w:rsidRPr="00E12995">
      <w:rPr>
        <w:rFonts w:cs="Arial"/>
        <w:i/>
        <w:color w:val="808080"/>
        <w:lang w:eastAsia="en-US"/>
      </w:rPr>
      <w:t xml:space="preserve"> – July 2020 PBAC Meeting</w:t>
    </w:r>
  </w:p>
  <w:p w:rsidR="00E379FA" w:rsidRDefault="00E379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8" w:rsidRDefault="0034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709E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7A51F5"/>
    <w:multiLevelType w:val="hybridMultilevel"/>
    <w:tmpl w:val="D9565BDE"/>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E4438"/>
    <w:multiLevelType w:val="hybridMultilevel"/>
    <w:tmpl w:val="B73CFA84"/>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EC5D1D"/>
    <w:multiLevelType w:val="hybridMultilevel"/>
    <w:tmpl w:val="BCFA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B9767D1E"/>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4"/>
  </w:num>
  <w:num w:numId="4">
    <w:abstractNumId w:val="0"/>
  </w:num>
  <w:num w:numId="5">
    <w:abstractNumId w:val="1"/>
  </w:num>
  <w:num w:numId="6">
    <w:abstractNumId w:val="7"/>
  </w:num>
  <w:num w:numId="7">
    <w:abstractNumId w:val="5"/>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AC0"/>
    <w:rsid w:val="00001E3A"/>
    <w:rsid w:val="00003499"/>
    <w:rsid w:val="000035CA"/>
    <w:rsid w:val="000039B7"/>
    <w:rsid w:val="00004369"/>
    <w:rsid w:val="00004436"/>
    <w:rsid w:val="000047E0"/>
    <w:rsid w:val="0000621A"/>
    <w:rsid w:val="000062AD"/>
    <w:rsid w:val="0000639A"/>
    <w:rsid w:val="00007E48"/>
    <w:rsid w:val="00011464"/>
    <w:rsid w:val="00013247"/>
    <w:rsid w:val="0001346F"/>
    <w:rsid w:val="00013A0B"/>
    <w:rsid w:val="00013A86"/>
    <w:rsid w:val="0001456D"/>
    <w:rsid w:val="00015886"/>
    <w:rsid w:val="000162EF"/>
    <w:rsid w:val="00016734"/>
    <w:rsid w:val="00017286"/>
    <w:rsid w:val="0001732B"/>
    <w:rsid w:val="000174C5"/>
    <w:rsid w:val="000207C9"/>
    <w:rsid w:val="00021067"/>
    <w:rsid w:val="00021231"/>
    <w:rsid w:val="00021EB6"/>
    <w:rsid w:val="00021FF8"/>
    <w:rsid w:val="0002225F"/>
    <w:rsid w:val="00023763"/>
    <w:rsid w:val="00023E66"/>
    <w:rsid w:val="0002698E"/>
    <w:rsid w:val="000274B8"/>
    <w:rsid w:val="0003120C"/>
    <w:rsid w:val="000319C7"/>
    <w:rsid w:val="00031FC0"/>
    <w:rsid w:val="00033176"/>
    <w:rsid w:val="00033863"/>
    <w:rsid w:val="00034FEC"/>
    <w:rsid w:val="00035DC0"/>
    <w:rsid w:val="0003633C"/>
    <w:rsid w:val="000363B6"/>
    <w:rsid w:val="00036829"/>
    <w:rsid w:val="000373CD"/>
    <w:rsid w:val="00040649"/>
    <w:rsid w:val="00040895"/>
    <w:rsid w:val="000419B1"/>
    <w:rsid w:val="00042E4C"/>
    <w:rsid w:val="000430D5"/>
    <w:rsid w:val="000435EE"/>
    <w:rsid w:val="0004361E"/>
    <w:rsid w:val="00043C37"/>
    <w:rsid w:val="00044429"/>
    <w:rsid w:val="000444D9"/>
    <w:rsid w:val="000448FF"/>
    <w:rsid w:val="00045017"/>
    <w:rsid w:val="00045A2B"/>
    <w:rsid w:val="0004698F"/>
    <w:rsid w:val="00046CA7"/>
    <w:rsid w:val="000519B4"/>
    <w:rsid w:val="000539D0"/>
    <w:rsid w:val="00054621"/>
    <w:rsid w:val="000546D7"/>
    <w:rsid w:val="00054B98"/>
    <w:rsid w:val="00055276"/>
    <w:rsid w:val="00055A7F"/>
    <w:rsid w:val="00056ECF"/>
    <w:rsid w:val="00057DC5"/>
    <w:rsid w:val="000604DF"/>
    <w:rsid w:val="00060A3D"/>
    <w:rsid w:val="00061047"/>
    <w:rsid w:val="000653B5"/>
    <w:rsid w:val="00066360"/>
    <w:rsid w:val="00066474"/>
    <w:rsid w:val="000668D0"/>
    <w:rsid w:val="00066AF8"/>
    <w:rsid w:val="00067142"/>
    <w:rsid w:val="00067981"/>
    <w:rsid w:val="00067B97"/>
    <w:rsid w:val="00070219"/>
    <w:rsid w:val="00070C61"/>
    <w:rsid w:val="00070D36"/>
    <w:rsid w:val="00071248"/>
    <w:rsid w:val="000720B9"/>
    <w:rsid w:val="000737F7"/>
    <w:rsid w:val="00073E1D"/>
    <w:rsid w:val="00074648"/>
    <w:rsid w:val="00074B9E"/>
    <w:rsid w:val="0007525B"/>
    <w:rsid w:val="00075AF4"/>
    <w:rsid w:val="0007672F"/>
    <w:rsid w:val="00076AE6"/>
    <w:rsid w:val="00076B54"/>
    <w:rsid w:val="00076FA4"/>
    <w:rsid w:val="0007711A"/>
    <w:rsid w:val="000774F0"/>
    <w:rsid w:val="00077920"/>
    <w:rsid w:val="0008077C"/>
    <w:rsid w:val="00080909"/>
    <w:rsid w:val="00080C18"/>
    <w:rsid w:val="00080DE2"/>
    <w:rsid w:val="000810B5"/>
    <w:rsid w:val="000812CA"/>
    <w:rsid w:val="00081608"/>
    <w:rsid w:val="00081E63"/>
    <w:rsid w:val="0008258D"/>
    <w:rsid w:val="000834D8"/>
    <w:rsid w:val="00083E99"/>
    <w:rsid w:val="00084BB9"/>
    <w:rsid w:val="00084DFB"/>
    <w:rsid w:val="00084FA8"/>
    <w:rsid w:val="000855EF"/>
    <w:rsid w:val="000856C5"/>
    <w:rsid w:val="0008574F"/>
    <w:rsid w:val="00085C31"/>
    <w:rsid w:val="00085DA8"/>
    <w:rsid w:val="00086BC5"/>
    <w:rsid w:val="000870D2"/>
    <w:rsid w:val="000902D9"/>
    <w:rsid w:val="000902DC"/>
    <w:rsid w:val="00090C7E"/>
    <w:rsid w:val="00091C7A"/>
    <w:rsid w:val="00092600"/>
    <w:rsid w:val="0009262B"/>
    <w:rsid w:val="00093310"/>
    <w:rsid w:val="0009434C"/>
    <w:rsid w:val="0009445C"/>
    <w:rsid w:val="00095200"/>
    <w:rsid w:val="000958A3"/>
    <w:rsid w:val="00095FE5"/>
    <w:rsid w:val="0009621E"/>
    <w:rsid w:val="00096284"/>
    <w:rsid w:val="00096828"/>
    <w:rsid w:val="00096960"/>
    <w:rsid w:val="00096EEE"/>
    <w:rsid w:val="000A00C1"/>
    <w:rsid w:val="000A0DFB"/>
    <w:rsid w:val="000A1BC0"/>
    <w:rsid w:val="000A1BC8"/>
    <w:rsid w:val="000A1F3D"/>
    <w:rsid w:val="000A273A"/>
    <w:rsid w:val="000A4209"/>
    <w:rsid w:val="000A4D3B"/>
    <w:rsid w:val="000A536E"/>
    <w:rsid w:val="000A59BE"/>
    <w:rsid w:val="000A6039"/>
    <w:rsid w:val="000A7453"/>
    <w:rsid w:val="000A7D08"/>
    <w:rsid w:val="000B0121"/>
    <w:rsid w:val="000B0411"/>
    <w:rsid w:val="000B0670"/>
    <w:rsid w:val="000B0E6F"/>
    <w:rsid w:val="000B0E75"/>
    <w:rsid w:val="000B1514"/>
    <w:rsid w:val="000B1B98"/>
    <w:rsid w:val="000B2690"/>
    <w:rsid w:val="000B2DCB"/>
    <w:rsid w:val="000B346D"/>
    <w:rsid w:val="000B5CE0"/>
    <w:rsid w:val="000B6CAC"/>
    <w:rsid w:val="000B71AA"/>
    <w:rsid w:val="000B7612"/>
    <w:rsid w:val="000B78AE"/>
    <w:rsid w:val="000C0DA3"/>
    <w:rsid w:val="000C1530"/>
    <w:rsid w:val="000C2C0F"/>
    <w:rsid w:val="000C3A9A"/>
    <w:rsid w:val="000C3D51"/>
    <w:rsid w:val="000C3DF9"/>
    <w:rsid w:val="000C43E9"/>
    <w:rsid w:val="000C6713"/>
    <w:rsid w:val="000C75ED"/>
    <w:rsid w:val="000D0902"/>
    <w:rsid w:val="000D0962"/>
    <w:rsid w:val="000D10DD"/>
    <w:rsid w:val="000D1466"/>
    <w:rsid w:val="000D1BFC"/>
    <w:rsid w:val="000D1D5D"/>
    <w:rsid w:val="000D2635"/>
    <w:rsid w:val="000D281A"/>
    <w:rsid w:val="000D2848"/>
    <w:rsid w:val="000D326A"/>
    <w:rsid w:val="000D3A8D"/>
    <w:rsid w:val="000D3C6A"/>
    <w:rsid w:val="000D4E3A"/>
    <w:rsid w:val="000D51FB"/>
    <w:rsid w:val="000D713D"/>
    <w:rsid w:val="000E0640"/>
    <w:rsid w:val="000E0FAE"/>
    <w:rsid w:val="000E135D"/>
    <w:rsid w:val="000E47CD"/>
    <w:rsid w:val="000E4D72"/>
    <w:rsid w:val="000E55FB"/>
    <w:rsid w:val="000E6431"/>
    <w:rsid w:val="000E7934"/>
    <w:rsid w:val="000E7ACA"/>
    <w:rsid w:val="000E7C5D"/>
    <w:rsid w:val="000F00BA"/>
    <w:rsid w:val="000F0CC6"/>
    <w:rsid w:val="000F316A"/>
    <w:rsid w:val="000F35DA"/>
    <w:rsid w:val="000F3C74"/>
    <w:rsid w:val="000F466D"/>
    <w:rsid w:val="000F4BB8"/>
    <w:rsid w:val="000F4C0F"/>
    <w:rsid w:val="000F4FA9"/>
    <w:rsid w:val="000F510C"/>
    <w:rsid w:val="000F53FB"/>
    <w:rsid w:val="000F672A"/>
    <w:rsid w:val="000F690E"/>
    <w:rsid w:val="000F7127"/>
    <w:rsid w:val="000F7B54"/>
    <w:rsid w:val="00100899"/>
    <w:rsid w:val="00100F8A"/>
    <w:rsid w:val="00101135"/>
    <w:rsid w:val="001012B1"/>
    <w:rsid w:val="0010136C"/>
    <w:rsid w:val="00102367"/>
    <w:rsid w:val="00103054"/>
    <w:rsid w:val="0010452E"/>
    <w:rsid w:val="00104BCC"/>
    <w:rsid w:val="0010565D"/>
    <w:rsid w:val="00105961"/>
    <w:rsid w:val="00105A3C"/>
    <w:rsid w:val="00105AE2"/>
    <w:rsid w:val="001060C6"/>
    <w:rsid w:val="0010671F"/>
    <w:rsid w:val="00106B80"/>
    <w:rsid w:val="00107E43"/>
    <w:rsid w:val="0011032E"/>
    <w:rsid w:val="001114B4"/>
    <w:rsid w:val="0011183A"/>
    <w:rsid w:val="0011221C"/>
    <w:rsid w:val="001128EC"/>
    <w:rsid w:val="0011348B"/>
    <w:rsid w:val="00113513"/>
    <w:rsid w:val="00114F54"/>
    <w:rsid w:val="00115982"/>
    <w:rsid w:val="00116C53"/>
    <w:rsid w:val="00117B25"/>
    <w:rsid w:val="00117F89"/>
    <w:rsid w:val="00121799"/>
    <w:rsid w:val="001222FC"/>
    <w:rsid w:val="00123505"/>
    <w:rsid w:val="001236E1"/>
    <w:rsid w:val="00123902"/>
    <w:rsid w:val="001245C2"/>
    <w:rsid w:val="00124A51"/>
    <w:rsid w:val="001264C9"/>
    <w:rsid w:val="00126621"/>
    <w:rsid w:val="00126B1D"/>
    <w:rsid w:val="00127211"/>
    <w:rsid w:val="00127573"/>
    <w:rsid w:val="0012790F"/>
    <w:rsid w:val="001301E9"/>
    <w:rsid w:val="00130B16"/>
    <w:rsid w:val="001314EE"/>
    <w:rsid w:val="0013172E"/>
    <w:rsid w:val="001317C8"/>
    <w:rsid w:val="00131D82"/>
    <w:rsid w:val="00132AC2"/>
    <w:rsid w:val="00132B22"/>
    <w:rsid w:val="00133D36"/>
    <w:rsid w:val="001344C6"/>
    <w:rsid w:val="0013587D"/>
    <w:rsid w:val="00137645"/>
    <w:rsid w:val="0014015A"/>
    <w:rsid w:val="00140E99"/>
    <w:rsid w:val="00141F03"/>
    <w:rsid w:val="0014220B"/>
    <w:rsid w:val="001439FC"/>
    <w:rsid w:val="00143F18"/>
    <w:rsid w:val="00143F67"/>
    <w:rsid w:val="00145540"/>
    <w:rsid w:val="001456B0"/>
    <w:rsid w:val="00146179"/>
    <w:rsid w:val="001463C2"/>
    <w:rsid w:val="00150BA3"/>
    <w:rsid w:val="00151458"/>
    <w:rsid w:val="00151614"/>
    <w:rsid w:val="00152C73"/>
    <w:rsid w:val="00152E7C"/>
    <w:rsid w:val="00154056"/>
    <w:rsid w:val="00154C14"/>
    <w:rsid w:val="001559CC"/>
    <w:rsid w:val="00156F8F"/>
    <w:rsid w:val="00157130"/>
    <w:rsid w:val="001576B1"/>
    <w:rsid w:val="0016047B"/>
    <w:rsid w:val="00160A4C"/>
    <w:rsid w:val="00161483"/>
    <w:rsid w:val="001615EB"/>
    <w:rsid w:val="0016186D"/>
    <w:rsid w:val="00162913"/>
    <w:rsid w:val="00163218"/>
    <w:rsid w:val="00163EFF"/>
    <w:rsid w:val="00163F66"/>
    <w:rsid w:val="001642C9"/>
    <w:rsid w:val="00164747"/>
    <w:rsid w:val="0016553E"/>
    <w:rsid w:val="00165C2A"/>
    <w:rsid w:val="001661FB"/>
    <w:rsid w:val="00166920"/>
    <w:rsid w:val="00166BD1"/>
    <w:rsid w:val="001671A0"/>
    <w:rsid w:val="001675DB"/>
    <w:rsid w:val="0016767F"/>
    <w:rsid w:val="00167D0F"/>
    <w:rsid w:val="00170576"/>
    <w:rsid w:val="0017079F"/>
    <w:rsid w:val="001708DA"/>
    <w:rsid w:val="00170C0B"/>
    <w:rsid w:val="001710F2"/>
    <w:rsid w:val="00171118"/>
    <w:rsid w:val="00172486"/>
    <w:rsid w:val="00173565"/>
    <w:rsid w:val="00173622"/>
    <w:rsid w:val="00173766"/>
    <w:rsid w:val="00173B07"/>
    <w:rsid w:val="00173C6D"/>
    <w:rsid w:val="00173F8B"/>
    <w:rsid w:val="001751FA"/>
    <w:rsid w:val="00175D4F"/>
    <w:rsid w:val="001805E1"/>
    <w:rsid w:val="0018115B"/>
    <w:rsid w:val="00181185"/>
    <w:rsid w:val="00181D9C"/>
    <w:rsid w:val="001822B4"/>
    <w:rsid w:val="00184B0E"/>
    <w:rsid w:val="00184FAE"/>
    <w:rsid w:val="00184FC9"/>
    <w:rsid w:val="0018511C"/>
    <w:rsid w:val="00185980"/>
    <w:rsid w:val="00185B91"/>
    <w:rsid w:val="00186745"/>
    <w:rsid w:val="00186DA4"/>
    <w:rsid w:val="0018735E"/>
    <w:rsid w:val="0018752F"/>
    <w:rsid w:val="0019162B"/>
    <w:rsid w:val="00191774"/>
    <w:rsid w:val="00191BE4"/>
    <w:rsid w:val="0019318A"/>
    <w:rsid w:val="00193838"/>
    <w:rsid w:val="00194A66"/>
    <w:rsid w:val="00194AD8"/>
    <w:rsid w:val="00195222"/>
    <w:rsid w:val="00196986"/>
    <w:rsid w:val="0019753C"/>
    <w:rsid w:val="001975D8"/>
    <w:rsid w:val="00197FD1"/>
    <w:rsid w:val="001A0A88"/>
    <w:rsid w:val="001A1452"/>
    <w:rsid w:val="001A178E"/>
    <w:rsid w:val="001A1FF5"/>
    <w:rsid w:val="001A29CD"/>
    <w:rsid w:val="001A378C"/>
    <w:rsid w:val="001A41A1"/>
    <w:rsid w:val="001A43FA"/>
    <w:rsid w:val="001A47C5"/>
    <w:rsid w:val="001A4CAB"/>
    <w:rsid w:val="001A59FB"/>
    <w:rsid w:val="001A5E9E"/>
    <w:rsid w:val="001A6354"/>
    <w:rsid w:val="001A6366"/>
    <w:rsid w:val="001A64B7"/>
    <w:rsid w:val="001A70CA"/>
    <w:rsid w:val="001A7AE8"/>
    <w:rsid w:val="001A7C55"/>
    <w:rsid w:val="001B204E"/>
    <w:rsid w:val="001B2372"/>
    <w:rsid w:val="001B3295"/>
    <w:rsid w:val="001B3443"/>
    <w:rsid w:val="001B36F6"/>
    <w:rsid w:val="001B3BCB"/>
    <w:rsid w:val="001B4D20"/>
    <w:rsid w:val="001B53FD"/>
    <w:rsid w:val="001B6AC9"/>
    <w:rsid w:val="001C02A0"/>
    <w:rsid w:val="001C0E15"/>
    <w:rsid w:val="001C2A9B"/>
    <w:rsid w:val="001C4299"/>
    <w:rsid w:val="001C4874"/>
    <w:rsid w:val="001C4C6C"/>
    <w:rsid w:val="001C4D26"/>
    <w:rsid w:val="001C4E24"/>
    <w:rsid w:val="001C5640"/>
    <w:rsid w:val="001C5F94"/>
    <w:rsid w:val="001C60B1"/>
    <w:rsid w:val="001C6E66"/>
    <w:rsid w:val="001C71D4"/>
    <w:rsid w:val="001C74F1"/>
    <w:rsid w:val="001D0097"/>
    <w:rsid w:val="001D0664"/>
    <w:rsid w:val="001D0847"/>
    <w:rsid w:val="001D0B64"/>
    <w:rsid w:val="001D1100"/>
    <w:rsid w:val="001D1391"/>
    <w:rsid w:val="001D1C5E"/>
    <w:rsid w:val="001D1FD6"/>
    <w:rsid w:val="001D25D7"/>
    <w:rsid w:val="001D2A80"/>
    <w:rsid w:val="001D34A9"/>
    <w:rsid w:val="001D38EB"/>
    <w:rsid w:val="001D3B9B"/>
    <w:rsid w:val="001D4AE5"/>
    <w:rsid w:val="001D50B2"/>
    <w:rsid w:val="001D56AB"/>
    <w:rsid w:val="001D581E"/>
    <w:rsid w:val="001D6EBE"/>
    <w:rsid w:val="001D6F45"/>
    <w:rsid w:val="001D7117"/>
    <w:rsid w:val="001D7645"/>
    <w:rsid w:val="001D7FEF"/>
    <w:rsid w:val="001E06B2"/>
    <w:rsid w:val="001E0C75"/>
    <w:rsid w:val="001E1E86"/>
    <w:rsid w:val="001E238E"/>
    <w:rsid w:val="001E2483"/>
    <w:rsid w:val="001E2B1E"/>
    <w:rsid w:val="001E2CFF"/>
    <w:rsid w:val="001E2F24"/>
    <w:rsid w:val="001E30D4"/>
    <w:rsid w:val="001E34DF"/>
    <w:rsid w:val="001E3A70"/>
    <w:rsid w:val="001E3DFA"/>
    <w:rsid w:val="001E40F9"/>
    <w:rsid w:val="001E49E3"/>
    <w:rsid w:val="001E52EB"/>
    <w:rsid w:val="001E5F0D"/>
    <w:rsid w:val="001E61D2"/>
    <w:rsid w:val="001E6439"/>
    <w:rsid w:val="001E6A98"/>
    <w:rsid w:val="001E6EF1"/>
    <w:rsid w:val="001E740C"/>
    <w:rsid w:val="001E7B21"/>
    <w:rsid w:val="001F05E1"/>
    <w:rsid w:val="001F0AFF"/>
    <w:rsid w:val="001F1235"/>
    <w:rsid w:val="001F1619"/>
    <w:rsid w:val="001F19B9"/>
    <w:rsid w:val="001F1CB3"/>
    <w:rsid w:val="001F2C81"/>
    <w:rsid w:val="001F2F91"/>
    <w:rsid w:val="001F38B5"/>
    <w:rsid w:val="001F3984"/>
    <w:rsid w:val="001F3CAD"/>
    <w:rsid w:val="001F3CD5"/>
    <w:rsid w:val="001F4081"/>
    <w:rsid w:val="001F4AFB"/>
    <w:rsid w:val="001F4F4F"/>
    <w:rsid w:val="001F506D"/>
    <w:rsid w:val="001F5CC4"/>
    <w:rsid w:val="001F61C8"/>
    <w:rsid w:val="001F7361"/>
    <w:rsid w:val="001F7CB3"/>
    <w:rsid w:val="001F7FF8"/>
    <w:rsid w:val="00200850"/>
    <w:rsid w:val="00200EA8"/>
    <w:rsid w:val="002011B0"/>
    <w:rsid w:val="0020225A"/>
    <w:rsid w:val="00203181"/>
    <w:rsid w:val="00203783"/>
    <w:rsid w:val="0020385F"/>
    <w:rsid w:val="00204EFC"/>
    <w:rsid w:val="002068A0"/>
    <w:rsid w:val="00207021"/>
    <w:rsid w:val="0020711F"/>
    <w:rsid w:val="0020732F"/>
    <w:rsid w:val="00207881"/>
    <w:rsid w:val="00207D00"/>
    <w:rsid w:val="0021037E"/>
    <w:rsid w:val="002105C1"/>
    <w:rsid w:val="002119A2"/>
    <w:rsid w:val="0021261B"/>
    <w:rsid w:val="00212B9F"/>
    <w:rsid w:val="00213716"/>
    <w:rsid w:val="00213C3A"/>
    <w:rsid w:val="00213EF5"/>
    <w:rsid w:val="00214454"/>
    <w:rsid w:val="0021465A"/>
    <w:rsid w:val="002146FC"/>
    <w:rsid w:val="00214DE4"/>
    <w:rsid w:val="00216BF5"/>
    <w:rsid w:val="00217C51"/>
    <w:rsid w:val="00220524"/>
    <w:rsid w:val="00220A79"/>
    <w:rsid w:val="00221A8D"/>
    <w:rsid w:val="002228D0"/>
    <w:rsid w:val="0022291A"/>
    <w:rsid w:val="00222FA2"/>
    <w:rsid w:val="00223B49"/>
    <w:rsid w:val="00223D5A"/>
    <w:rsid w:val="002245FF"/>
    <w:rsid w:val="002247CF"/>
    <w:rsid w:val="0022496F"/>
    <w:rsid w:val="00224DD4"/>
    <w:rsid w:val="00224F81"/>
    <w:rsid w:val="00226FC2"/>
    <w:rsid w:val="002278A0"/>
    <w:rsid w:val="002302BD"/>
    <w:rsid w:val="00230637"/>
    <w:rsid w:val="002309CC"/>
    <w:rsid w:val="0023140F"/>
    <w:rsid w:val="00231CEA"/>
    <w:rsid w:val="0023209F"/>
    <w:rsid w:val="00232D03"/>
    <w:rsid w:val="0023312F"/>
    <w:rsid w:val="0023314E"/>
    <w:rsid w:val="00233511"/>
    <w:rsid w:val="0023375E"/>
    <w:rsid w:val="00233C01"/>
    <w:rsid w:val="0023413C"/>
    <w:rsid w:val="002346F0"/>
    <w:rsid w:val="00234B1D"/>
    <w:rsid w:val="00234D27"/>
    <w:rsid w:val="00235656"/>
    <w:rsid w:val="00235BB8"/>
    <w:rsid w:val="00235E3D"/>
    <w:rsid w:val="0023629D"/>
    <w:rsid w:val="00237255"/>
    <w:rsid w:val="00240396"/>
    <w:rsid w:val="00240562"/>
    <w:rsid w:val="0024066D"/>
    <w:rsid w:val="0024091A"/>
    <w:rsid w:val="00240E91"/>
    <w:rsid w:val="00240F4D"/>
    <w:rsid w:val="00241038"/>
    <w:rsid w:val="002424AF"/>
    <w:rsid w:val="00242FFC"/>
    <w:rsid w:val="002439DC"/>
    <w:rsid w:val="0024415A"/>
    <w:rsid w:val="002441D2"/>
    <w:rsid w:val="0024484C"/>
    <w:rsid w:val="00244DC8"/>
    <w:rsid w:val="0024507D"/>
    <w:rsid w:val="002458BA"/>
    <w:rsid w:val="00245C4E"/>
    <w:rsid w:val="00245CE9"/>
    <w:rsid w:val="002461F8"/>
    <w:rsid w:val="0024636C"/>
    <w:rsid w:val="00247925"/>
    <w:rsid w:val="002505D2"/>
    <w:rsid w:val="00250696"/>
    <w:rsid w:val="00250E9C"/>
    <w:rsid w:val="00251006"/>
    <w:rsid w:val="002519E9"/>
    <w:rsid w:val="002524D5"/>
    <w:rsid w:val="0025268E"/>
    <w:rsid w:val="00252A20"/>
    <w:rsid w:val="00252CA6"/>
    <w:rsid w:val="002537D2"/>
    <w:rsid w:val="002537FF"/>
    <w:rsid w:val="00253B1D"/>
    <w:rsid w:val="00254066"/>
    <w:rsid w:val="0025448B"/>
    <w:rsid w:val="00254DCF"/>
    <w:rsid w:val="002552FF"/>
    <w:rsid w:val="0025534B"/>
    <w:rsid w:val="0025594D"/>
    <w:rsid w:val="00255B4E"/>
    <w:rsid w:val="00255BB7"/>
    <w:rsid w:val="00256352"/>
    <w:rsid w:val="00256C6F"/>
    <w:rsid w:val="00257541"/>
    <w:rsid w:val="002575B7"/>
    <w:rsid w:val="00257A39"/>
    <w:rsid w:val="00257AC4"/>
    <w:rsid w:val="00260413"/>
    <w:rsid w:val="00260D39"/>
    <w:rsid w:val="00261488"/>
    <w:rsid w:val="00261EEF"/>
    <w:rsid w:val="00262A1A"/>
    <w:rsid w:val="00262A87"/>
    <w:rsid w:val="00263721"/>
    <w:rsid w:val="00264926"/>
    <w:rsid w:val="00264D26"/>
    <w:rsid w:val="00265C26"/>
    <w:rsid w:val="00265F85"/>
    <w:rsid w:val="00266071"/>
    <w:rsid w:val="00266807"/>
    <w:rsid w:val="00267642"/>
    <w:rsid w:val="00267AEA"/>
    <w:rsid w:val="002700E6"/>
    <w:rsid w:val="00270165"/>
    <w:rsid w:val="0027294B"/>
    <w:rsid w:val="00272BE7"/>
    <w:rsid w:val="00273400"/>
    <w:rsid w:val="00273EB4"/>
    <w:rsid w:val="00274682"/>
    <w:rsid w:val="00275647"/>
    <w:rsid w:val="00275909"/>
    <w:rsid w:val="00275C5A"/>
    <w:rsid w:val="00275D31"/>
    <w:rsid w:val="00276CD1"/>
    <w:rsid w:val="00277060"/>
    <w:rsid w:val="0027710D"/>
    <w:rsid w:val="0028038B"/>
    <w:rsid w:val="00280881"/>
    <w:rsid w:val="00281014"/>
    <w:rsid w:val="0028186A"/>
    <w:rsid w:val="00282787"/>
    <w:rsid w:val="0028338E"/>
    <w:rsid w:val="00284DAD"/>
    <w:rsid w:val="0028665D"/>
    <w:rsid w:val="00286BF2"/>
    <w:rsid w:val="00292B9E"/>
    <w:rsid w:val="00293176"/>
    <w:rsid w:val="002933F3"/>
    <w:rsid w:val="00296D4D"/>
    <w:rsid w:val="00297124"/>
    <w:rsid w:val="002A0321"/>
    <w:rsid w:val="002A0814"/>
    <w:rsid w:val="002A09F2"/>
    <w:rsid w:val="002A0CD5"/>
    <w:rsid w:val="002A14AB"/>
    <w:rsid w:val="002A232E"/>
    <w:rsid w:val="002A2ADE"/>
    <w:rsid w:val="002A2F50"/>
    <w:rsid w:val="002A31DF"/>
    <w:rsid w:val="002A41A2"/>
    <w:rsid w:val="002A5F5B"/>
    <w:rsid w:val="002A6990"/>
    <w:rsid w:val="002A6A77"/>
    <w:rsid w:val="002A7478"/>
    <w:rsid w:val="002A7B7B"/>
    <w:rsid w:val="002A7DD6"/>
    <w:rsid w:val="002A7E2F"/>
    <w:rsid w:val="002B05A1"/>
    <w:rsid w:val="002B0775"/>
    <w:rsid w:val="002B09A4"/>
    <w:rsid w:val="002B18F8"/>
    <w:rsid w:val="002B1A24"/>
    <w:rsid w:val="002B1C1F"/>
    <w:rsid w:val="002B1DCD"/>
    <w:rsid w:val="002B2CA8"/>
    <w:rsid w:val="002B3737"/>
    <w:rsid w:val="002B3966"/>
    <w:rsid w:val="002B3A96"/>
    <w:rsid w:val="002B432F"/>
    <w:rsid w:val="002B4CF2"/>
    <w:rsid w:val="002B5BB7"/>
    <w:rsid w:val="002B62B3"/>
    <w:rsid w:val="002B6754"/>
    <w:rsid w:val="002B6CCE"/>
    <w:rsid w:val="002B7045"/>
    <w:rsid w:val="002B7FAA"/>
    <w:rsid w:val="002C00EC"/>
    <w:rsid w:val="002C235F"/>
    <w:rsid w:val="002C2510"/>
    <w:rsid w:val="002C2775"/>
    <w:rsid w:val="002C27C1"/>
    <w:rsid w:val="002C4169"/>
    <w:rsid w:val="002C5099"/>
    <w:rsid w:val="002C5135"/>
    <w:rsid w:val="002C5889"/>
    <w:rsid w:val="002C5E36"/>
    <w:rsid w:val="002C682B"/>
    <w:rsid w:val="002C71CE"/>
    <w:rsid w:val="002D08F8"/>
    <w:rsid w:val="002D1DD0"/>
    <w:rsid w:val="002D3662"/>
    <w:rsid w:val="002D476D"/>
    <w:rsid w:val="002D53AC"/>
    <w:rsid w:val="002D577C"/>
    <w:rsid w:val="002D6053"/>
    <w:rsid w:val="002D68D3"/>
    <w:rsid w:val="002D787F"/>
    <w:rsid w:val="002D7DD1"/>
    <w:rsid w:val="002E1071"/>
    <w:rsid w:val="002E1484"/>
    <w:rsid w:val="002E15B9"/>
    <w:rsid w:val="002E2158"/>
    <w:rsid w:val="002E31E7"/>
    <w:rsid w:val="002E43A2"/>
    <w:rsid w:val="002E4F02"/>
    <w:rsid w:val="002E7722"/>
    <w:rsid w:val="002F02D6"/>
    <w:rsid w:val="002F07BA"/>
    <w:rsid w:val="002F0DA9"/>
    <w:rsid w:val="002F1014"/>
    <w:rsid w:val="002F2D80"/>
    <w:rsid w:val="002F5599"/>
    <w:rsid w:val="002F5C86"/>
    <w:rsid w:val="002F643C"/>
    <w:rsid w:val="002F6A1B"/>
    <w:rsid w:val="002F7101"/>
    <w:rsid w:val="002F71C0"/>
    <w:rsid w:val="002F72BC"/>
    <w:rsid w:val="002F74F1"/>
    <w:rsid w:val="003003E9"/>
    <w:rsid w:val="00301017"/>
    <w:rsid w:val="00301108"/>
    <w:rsid w:val="00301186"/>
    <w:rsid w:val="0030155F"/>
    <w:rsid w:val="003032F5"/>
    <w:rsid w:val="00304667"/>
    <w:rsid w:val="0030587B"/>
    <w:rsid w:val="00305A65"/>
    <w:rsid w:val="003061F4"/>
    <w:rsid w:val="00306B6D"/>
    <w:rsid w:val="00306BB9"/>
    <w:rsid w:val="00306D98"/>
    <w:rsid w:val="0030786C"/>
    <w:rsid w:val="0031031A"/>
    <w:rsid w:val="0031065A"/>
    <w:rsid w:val="00310981"/>
    <w:rsid w:val="00310FF4"/>
    <w:rsid w:val="00311AC9"/>
    <w:rsid w:val="003124D9"/>
    <w:rsid w:val="00312594"/>
    <w:rsid w:val="003129F2"/>
    <w:rsid w:val="00312FA2"/>
    <w:rsid w:val="00314107"/>
    <w:rsid w:val="00315498"/>
    <w:rsid w:val="003156DD"/>
    <w:rsid w:val="00315A16"/>
    <w:rsid w:val="00316474"/>
    <w:rsid w:val="0032002E"/>
    <w:rsid w:val="003217E3"/>
    <w:rsid w:val="00321F03"/>
    <w:rsid w:val="00322107"/>
    <w:rsid w:val="00322355"/>
    <w:rsid w:val="00322846"/>
    <w:rsid w:val="00322F48"/>
    <w:rsid w:val="0032491D"/>
    <w:rsid w:val="003262E8"/>
    <w:rsid w:val="003269D1"/>
    <w:rsid w:val="00326DA7"/>
    <w:rsid w:val="003270E4"/>
    <w:rsid w:val="00327B70"/>
    <w:rsid w:val="00327D81"/>
    <w:rsid w:val="003300CF"/>
    <w:rsid w:val="00330519"/>
    <w:rsid w:val="00330DAA"/>
    <w:rsid w:val="00330F5C"/>
    <w:rsid w:val="00331F83"/>
    <w:rsid w:val="00333791"/>
    <w:rsid w:val="00334928"/>
    <w:rsid w:val="00334D49"/>
    <w:rsid w:val="003366C9"/>
    <w:rsid w:val="00336B13"/>
    <w:rsid w:val="003371B0"/>
    <w:rsid w:val="00337AF1"/>
    <w:rsid w:val="00340DF1"/>
    <w:rsid w:val="00344328"/>
    <w:rsid w:val="003443E8"/>
    <w:rsid w:val="003447F5"/>
    <w:rsid w:val="00346CFC"/>
    <w:rsid w:val="003476AA"/>
    <w:rsid w:val="00347B56"/>
    <w:rsid w:val="00347F54"/>
    <w:rsid w:val="003510E1"/>
    <w:rsid w:val="003517F9"/>
    <w:rsid w:val="00351BA9"/>
    <w:rsid w:val="00351E1C"/>
    <w:rsid w:val="00352794"/>
    <w:rsid w:val="00352AA8"/>
    <w:rsid w:val="00353C98"/>
    <w:rsid w:val="0035403A"/>
    <w:rsid w:val="00354268"/>
    <w:rsid w:val="003544FE"/>
    <w:rsid w:val="00354EE9"/>
    <w:rsid w:val="00354F64"/>
    <w:rsid w:val="003557DE"/>
    <w:rsid w:val="0035620E"/>
    <w:rsid w:val="00357405"/>
    <w:rsid w:val="0036001E"/>
    <w:rsid w:val="00360345"/>
    <w:rsid w:val="00360762"/>
    <w:rsid w:val="0036181A"/>
    <w:rsid w:val="003618E2"/>
    <w:rsid w:val="00361A05"/>
    <w:rsid w:val="003624C4"/>
    <w:rsid w:val="0036315C"/>
    <w:rsid w:val="00363712"/>
    <w:rsid w:val="00363B00"/>
    <w:rsid w:val="00364615"/>
    <w:rsid w:val="0036480D"/>
    <w:rsid w:val="003654AC"/>
    <w:rsid w:val="00365989"/>
    <w:rsid w:val="00365F90"/>
    <w:rsid w:val="00366AFB"/>
    <w:rsid w:val="00366D81"/>
    <w:rsid w:val="00366E41"/>
    <w:rsid w:val="003710CF"/>
    <w:rsid w:val="0037198A"/>
    <w:rsid w:val="003727E0"/>
    <w:rsid w:val="0037358A"/>
    <w:rsid w:val="00374057"/>
    <w:rsid w:val="0037460E"/>
    <w:rsid w:val="003750F6"/>
    <w:rsid w:val="003757C0"/>
    <w:rsid w:val="003760FC"/>
    <w:rsid w:val="0037631F"/>
    <w:rsid w:val="0037726A"/>
    <w:rsid w:val="00377E93"/>
    <w:rsid w:val="00377F5A"/>
    <w:rsid w:val="003812E1"/>
    <w:rsid w:val="003813D7"/>
    <w:rsid w:val="00381992"/>
    <w:rsid w:val="00381E30"/>
    <w:rsid w:val="0038365C"/>
    <w:rsid w:val="0038369B"/>
    <w:rsid w:val="00383B78"/>
    <w:rsid w:val="00385A9D"/>
    <w:rsid w:val="00386D89"/>
    <w:rsid w:val="00386FF8"/>
    <w:rsid w:val="003879CF"/>
    <w:rsid w:val="003902B1"/>
    <w:rsid w:val="00390D0D"/>
    <w:rsid w:val="0039126D"/>
    <w:rsid w:val="0039179C"/>
    <w:rsid w:val="003927ED"/>
    <w:rsid w:val="00393607"/>
    <w:rsid w:val="00395536"/>
    <w:rsid w:val="00395B84"/>
    <w:rsid w:val="00396650"/>
    <w:rsid w:val="00396896"/>
    <w:rsid w:val="00396918"/>
    <w:rsid w:val="0039695F"/>
    <w:rsid w:val="00396ED1"/>
    <w:rsid w:val="00396FD0"/>
    <w:rsid w:val="00397ABA"/>
    <w:rsid w:val="003A003C"/>
    <w:rsid w:val="003A04B4"/>
    <w:rsid w:val="003A0637"/>
    <w:rsid w:val="003A1A7A"/>
    <w:rsid w:val="003A1DFD"/>
    <w:rsid w:val="003A1EE3"/>
    <w:rsid w:val="003A2003"/>
    <w:rsid w:val="003A2392"/>
    <w:rsid w:val="003A2831"/>
    <w:rsid w:val="003A2FE5"/>
    <w:rsid w:val="003A3575"/>
    <w:rsid w:val="003A3CB6"/>
    <w:rsid w:val="003A3ED1"/>
    <w:rsid w:val="003A44DB"/>
    <w:rsid w:val="003A6365"/>
    <w:rsid w:val="003A6964"/>
    <w:rsid w:val="003A72BF"/>
    <w:rsid w:val="003B0D93"/>
    <w:rsid w:val="003B1887"/>
    <w:rsid w:val="003B2AEE"/>
    <w:rsid w:val="003B3126"/>
    <w:rsid w:val="003B3971"/>
    <w:rsid w:val="003B4365"/>
    <w:rsid w:val="003B55D1"/>
    <w:rsid w:val="003B590D"/>
    <w:rsid w:val="003B5B61"/>
    <w:rsid w:val="003B5BDD"/>
    <w:rsid w:val="003B7338"/>
    <w:rsid w:val="003C01A7"/>
    <w:rsid w:val="003C05A1"/>
    <w:rsid w:val="003C0666"/>
    <w:rsid w:val="003C073C"/>
    <w:rsid w:val="003C07DD"/>
    <w:rsid w:val="003C0E7E"/>
    <w:rsid w:val="003C0F0C"/>
    <w:rsid w:val="003C0FEA"/>
    <w:rsid w:val="003C1654"/>
    <w:rsid w:val="003C2142"/>
    <w:rsid w:val="003C229B"/>
    <w:rsid w:val="003C2A8B"/>
    <w:rsid w:val="003C5542"/>
    <w:rsid w:val="003C59CE"/>
    <w:rsid w:val="003C5AF9"/>
    <w:rsid w:val="003C5EF9"/>
    <w:rsid w:val="003C7D19"/>
    <w:rsid w:val="003C7D2F"/>
    <w:rsid w:val="003D0DAF"/>
    <w:rsid w:val="003D1828"/>
    <w:rsid w:val="003D1DE4"/>
    <w:rsid w:val="003D1E68"/>
    <w:rsid w:val="003D1E9A"/>
    <w:rsid w:val="003D2422"/>
    <w:rsid w:val="003D28F9"/>
    <w:rsid w:val="003D39A1"/>
    <w:rsid w:val="003D3FBF"/>
    <w:rsid w:val="003D4A30"/>
    <w:rsid w:val="003D5130"/>
    <w:rsid w:val="003D6935"/>
    <w:rsid w:val="003D6E87"/>
    <w:rsid w:val="003D702B"/>
    <w:rsid w:val="003D741F"/>
    <w:rsid w:val="003D7452"/>
    <w:rsid w:val="003D7843"/>
    <w:rsid w:val="003D79BB"/>
    <w:rsid w:val="003D7B7C"/>
    <w:rsid w:val="003D7C98"/>
    <w:rsid w:val="003D7D9D"/>
    <w:rsid w:val="003E0543"/>
    <w:rsid w:val="003E11E2"/>
    <w:rsid w:val="003E1877"/>
    <w:rsid w:val="003E43EC"/>
    <w:rsid w:val="003E4724"/>
    <w:rsid w:val="003E613F"/>
    <w:rsid w:val="003E669C"/>
    <w:rsid w:val="003E749E"/>
    <w:rsid w:val="003F2E54"/>
    <w:rsid w:val="003F2FD6"/>
    <w:rsid w:val="003F3DD9"/>
    <w:rsid w:val="003F4156"/>
    <w:rsid w:val="003F52AF"/>
    <w:rsid w:val="003F53BA"/>
    <w:rsid w:val="003F5ADF"/>
    <w:rsid w:val="003F6985"/>
    <w:rsid w:val="00400B29"/>
    <w:rsid w:val="00403765"/>
    <w:rsid w:val="00403D8B"/>
    <w:rsid w:val="0040400C"/>
    <w:rsid w:val="00404569"/>
    <w:rsid w:val="0040504B"/>
    <w:rsid w:val="004059F4"/>
    <w:rsid w:val="00406920"/>
    <w:rsid w:val="00406A95"/>
    <w:rsid w:val="00406F47"/>
    <w:rsid w:val="00407F30"/>
    <w:rsid w:val="00407FE5"/>
    <w:rsid w:val="004101B0"/>
    <w:rsid w:val="00410326"/>
    <w:rsid w:val="004104BA"/>
    <w:rsid w:val="00410708"/>
    <w:rsid w:val="00410EC7"/>
    <w:rsid w:val="00411A23"/>
    <w:rsid w:val="00411B39"/>
    <w:rsid w:val="00411D6B"/>
    <w:rsid w:val="004127A7"/>
    <w:rsid w:val="00413842"/>
    <w:rsid w:val="00413A1E"/>
    <w:rsid w:val="00413D52"/>
    <w:rsid w:val="00414476"/>
    <w:rsid w:val="00414C2E"/>
    <w:rsid w:val="004151CF"/>
    <w:rsid w:val="00415C3A"/>
    <w:rsid w:val="00416364"/>
    <w:rsid w:val="00417A63"/>
    <w:rsid w:val="0042047F"/>
    <w:rsid w:val="00420AA6"/>
    <w:rsid w:val="00420B9F"/>
    <w:rsid w:val="00421547"/>
    <w:rsid w:val="004218D4"/>
    <w:rsid w:val="0042192C"/>
    <w:rsid w:val="00422260"/>
    <w:rsid w:val="00422A02"/>
    <w:rsid w:val="00423341"/>
    <w:rsid w:val="004236A8"/>
    <w:rsid w:val="0042413F"/>
    <w:rsid w:val="00425408"/>
    <w:rsid w:val="00426BB3"/>
    <w:rsid w:val="00426FE1"/>
    <w:rsid w:val="004271AD"/>
    <w:rsid w:val="0043097B"/>
    <w:rsid w:val="00430A65"/>
    <w:rsid w:val="004317AE"/>
    <w:rsid w:val="004319F8"/>
    <w:rsid w:val="00431DC6"/>
    <w:rsid w:val="00431E55"/>
    <w:rsid w:val="004321F6"/>
    <w:rsid w:val="00433044"/>
    <w:rsid w:val="004336ED"/>
    <w:rsid w:val="00434088"/>
    <w:rsid w:val="00435B9B"/>
    <w:rsid w:val="00435F79"/>
    <w:rsid w:val="004375B9"/>
    <w:rsid w:val="004377B8"/>
    <w:rsid w:val="00441A2B"/>
    <w:rsid w:val="00441E9B"/>
    <w:rsid w:val="004428D0"/>
    <w:rsid w:val="00442DB4"/>
    <w:rsid w:val="00443F73"/>
    <w:rsid w:val="00444185"/>
    <w:rsid w:val="004443A7"/>
    <w:rsid w:val="0044442C"/>
    <w:rsid w:val="00444431"/>
    <w:rsid w:val="00445941"/>
    <w:rsid w:val="004464EB"/>
    <w:rsid w:val="0044713B"/>
    <w:rsid w:val="00447D26"/>
    <w:rsid w:val="00447DFC"/>
    <w:rsid w:val="00450B42"/>
    <w:rsid w:val="00450C13"/>
    <w:rsid w:val="00450E56"/>
    <w:rsid w:val="0045137C"/>
    <w:rsid w:val="00451614"/>
    <w:rsid w:val="00451D49"/>
    <w:rsid w:val="0045252B"/>
    <w:rsid w:val="00453CCC"/>
    <w:rsid w:val="00453CF3"/>
    <w:rsid w:val="00454E32"/>
    <w:rsid w:val="00455D45"/>
    <w:rsid w:val="00460FEC"/>
    <w:rsid w:val="00461C49"/>
    <w:rsid w:val="004630DE"/>
    <w:rsid w:val="004643DD"/>
    <w:rsid w:val="00464595"/>
    <w:rsid w:val="00465353"/>
    <w:rsid w:val="004658B5"/>
    <w:rsid w:val="0046688E"/>
    <w:rsid w:val="00466A3F"/>
    <w:rsid w:val="00466CCA"/>
    <w:rsid w:val="004672B4"/>
    <w:rsid w:val="00467B29"/>
    <w:rsid w:val="00467D8B"/>
    <w:rsid w:val="00467E19"/>
    <w:rsid w:val="004715A6"/>
    <w:rsid w:val="00471EA5"/>
    <w:rsid w:val="00472A79"/>
    <w:rsid w:val="004733B6"/>
    <w:rsid w:val="00473F19"/>
    <w:rsid w:val="00474321"/>
    <w:rsid w:val="00475E22"/>
    <w:rsid w:val="00477449"/>
    <w:rsid w:val="00477861"/>
    <w:rsid w:val="00480060"/>
    <w:rsid w:val="0048015F"/>
    <w:rsid w:val="004805B0"/>
    <w:rsid w:val="0048088E"/>
    <w:rsid w:val="00480F2B"/>
    <w:rsid w:val="00482720"/>
    <w:rsid w:val="004835E7"/>
    <w:rsid w:val="00483F5A"/>
    <w:rsid w:val="004845BA"/>
    <w:rsid w:val="00485973"/>
    <w:rsid w:val="00485D85"/>
    <w:rsid w:val="004867E2"/>
    <w:rsid w:val="00487684"/>
    <w:rsid w:val="0048773C"/>
    <w:rsid w:val="00490259"/>
    <w:rsid w:val="004903EB"/>
    <w:rsid w:val="00490766"/>
    <w:rsid w:val="00490B17"/>
    <w:rsid w:val="00490F3C"/>
    <w:rsid w:val="00491B3A"/>
    <w:rsid w:val="00492072"/>
    <w:rsid w:val="0049277A"/>
    <w:rsid w:val="00492CFD"/>
    <w:rsid w:val="00493921"/>
    <w:rsid w:val="00493D56"/>
    <w:rsid w:val="00494207"/>
    <w:rsid w:val="00494DD5"/>
    <w:rsid w:val="00495066"/>
    <w:rsid w:val="00495EE0"/>
    <w:rsid w:val="004960CB"/>
    <w:rsid w:val="004962D2"/>
    <w:rsid w:val="004A0445"/>
    <w:rsid w:val="004A0DA1"/>
    <w:rsid w:val="004A13D6"/>
    <w:rsid w:val="004A2859"/>
    <w:rsid w:val="004A373A"/>
    <w:rsid w:val="004A4683"/>
    <w:rsid w:val="004A52E9"/>
    <w:rsid w:val="004A6040"/>
    <w:rsid w:val="004A61E6"/>
    <w:rsid w:val="004A6597"/>
    <w:rsid w:val="004A6A02"/>
    <w:rsid w:val="004A7848"/>
    <w:rsid w:val="004A786E"/>
    <w:rsid w:val="004A7C9D"/>
    <w:rsid w:val="004B1000"/>
    <w:rsid w:val="004B11EB"/>
    <w:rsid w:val="004B16B9"/>
    <w:rsid w:val="004B1A3A"/>
    <w:rsid w:val="004B1CB4"/>
    <w:rsid w:val="004B2F18"/>
    <w:rsid w:val="004B3DDB"/>
    <w:rsid w:val="004B44FD"/>
    <w:rsid w:val="004B5CFC"/>
    <w:rsid w:val="004B6201"/>
    <w:rsid w:val="004B62A1"/>
    <w:rsid w:val="004B6F79"/>
    <w:rsid w:val="004B774D"/>
    <w:rsid w:val="004C0B68"/>
    <w:rsid w:val="004C0DCF"/>
    <w:rsid w:val="004C332D"/>
    <w:rsid w:val="004C45A0"/>
    <w:rsid w:val="004C4AED"/>
    <w:rsid w:val="004C62CA"/>
    <w:rsid w:val="004C6578"/>
    <w:rsid w:val="004C7025"/>
    <w:rsid w:val="004C785D"/>
    <w:rsid w:val="004D237C"/>
    <w:rsid w:val="004D28E5"/>
    <w:rsid w:val="004D2C2D"/>
    <w:rsid w:val="004D2EDD"/>
    <w:rsid w:val="004D3554"/>
    <w:rsid w:val="004D3E41"/>
    <w:rsid w:val="004D4295"/>
    <w:rsid w:val="004D455D"/>
    <w:rsid w:val="004D471F"/>
    <w:rsid w:val="004D5BCF"/>
    <w:rsid w:val="004D6668"/>
    <w:rsid w:val="004D69B5"/>
    <w:rsid w:val="004D6B88"/>
    <w:rsid w:val="004D6FB9"/>
    <w:rsid w:val="004D7227"/>
    <w:rsid w:val="004D7606"/>
    <w:rsid w:val="004D7D55"/>
    <w:rsid w:val="004E0E7F"/>
    <w:rsid w:val="004E0EB8"/>
    <w:rsid w:val="004E100F"/>
    <w:rsid w:val="004E18E9"/>
    <w:rsid w:val="004E1E0E"/>
    <w:rsid w:val="004E24CD"/>
    <w:rsid w:val="004E2ADC"/>
    <w:rsid w:val="004E3451"/>
    <w:rsid w:val="004E3481"/>
    <w:rsid w:val="004E43B2"/>
    <w:rsid w:val="004E4E61"/>
    <w:rsid w:val="004E5513"/>
    <w:rsid w:val="004E62EB"/>
    <w:rsid w:val="004E6C25"/>
    <w:rsid w:val="004E7547"/>
    <w:rsid w:val="004E7D3D"/>
    <w:rsid w:val="004F0924"/>
    <w:rsid w:val="004F17CB"/>
    <w:rsid w:val="004F1810"/>
    <w:rsid w:val="004F1BC5"/>
    <w:rsid w:val="004F1D02"/>
    <w:rsid w:val="004F2679"/>
    <w:rsid w:val="004F2F21"/>
    <w:rsid w:val="004F35CB"/>
    <w:rsid w:val="004F3DE5"/>
    <w:rsid w:val="004F4BAC"/>
    <w:rsid w:val="004F51F4"/>
    <w:rsid w:val="004F5D65"/>
    <w:rsid w:val="004F66AE"/>
    <w:rsid w:val="004F6777"/>
    <w:rsid w:val="004F6913"/>
    <w:rsid w:val="004F6C9D"/>
    <w:rsid w:val="004F7118"/>
    <w:rsid w:val="004F7337"/>
    <w:rsid w:val="004F73A8"/>
    <w:rsid w:val="004F73CF"/>
    <w:rsid w:val="004F7865"/>
    <w:rsid w:val="0050174E"/>
    <w:rsid w:val="00501854"/>
    <w:rsid w:val="00501A52"/>
    <w:rsid w:val="0050219B"/>
    <w:rsid w:val="0050261A"/>
    <w:rsid w:val="00502991"/>
    <w:rsid w:val="005031D0"/>
    <w:rsid w:val="005034F8"/>
    <w:rsid w:val="00503EFF"/>
    <w:rsid w:val="00503F17"/>
    <w:rsid w:val="005040BF"/>
    <w:rsid w:val="0050512A"/>
    <w:rsid w:val="0050566F"/>
    <w:rsid w:val="00505A6F"/>
    <w:rsid w:val="00506928"/>
    <w:rsid w:val="0050733F"/>
    <w:rsid w:val="0050744B"/>
    <w:rsid w:val="005077EF"/>
    <w:rsid w:val="00507C93"/>
    <w:rsid w:val="0051132D"/>
    <w:rsid w:val="00511AD5"/>
    <w:rsid w:val="00511DC7"/>
    <w:rsid w:val="00512EE8"/>
    <w:rsid w:val="0051316D"/>
    <w:rsid w:val="0051389E"/>
    <w:rsid w:val="005141BE"/>
    <w:rsid w:val="005142C5"/>
    <w:rsid w:val="00514469"/>
    <w:rsid w:val="00514F2C"/>
    <w:rsid w:val="0051501B"/>
    <w:rsid w:val="005152B5"/>
    <w:rsid w:val="00515C52"/>
    <w:rsid w:val="0051727E"/>
    <w:rsid w:val="0051799F"/>
    <w:rsid w:val="0052020C"/>
    <w:rsid w:val="0052123C"/>
    <w:rsid w:val="00521319"/>
    <w:rsid w:val="00522BC8"/>
    <w:rsid w:val="00523C28"/>
    <w:rsid w:val="00525A5A"/>
    <w:rsid w:val="00526387"/>
    <w:rsid w:val="005270B2"/>
    <w:rsid w:val="00527CDC"/>
    <w:rsid w:val="0053025B"/>
    <w:rsid w:val="00530DD5"/>
    <w:rsid w:val="00530FA9"/>
    <w:rsid w:val="00531649"/>
    <w:rsid w:val="0053176B"/>
    <w:rsid w:val="00532EBD"/>
    <w:rsid w:val="00532F7E"/>
    <w:rsid w:val="00533A7D"/>
    <w:rsid w:val="00534201"/>
    <w:rsid w:val="005355A6"/>
    <w:rsid w:val="00535B1B"/>
    <w:rsid w:val="0053633A"/>
    <w:rsid w:val="005366FD"/>
    <w:rsid w:val="00536932"/>
    <w:rsid w:val="00536F42"/>
    <w:rsid w:val="00537182"/>
    <w:rsid w:val="005374F5"/>
    <w:rsid w:val="00537521"/>
    <w:rsid w:val="0054102D"/>
    <w:rsid w:val="005417C6"/>
    <w:rsid w:val="0054194D"/>
    <w:rsid w:val="005419EC"/>
    <w:rsid w:val="00541D73"/>
    <w:rsid w:val="00541EDD"/>
    <w:rsid w:val="005425F7"/>
    <w:rsid w:val="00542743"/>
    <w:rsid w:val="00542C2D"/>
    <w:rsid w:val="00542C56"/>
    <w:rsid w:val="0054387A"/>
    <w:rsid w:val="00543A1C"/>
    <w:rsid w:val="00544345"/>
    <w:rsid w:val="00545484"/>
    <w:rsid w:val="00545A06"/>
    <w:rsid w:val="00546943"/>
    <w:rsid w:val="00546BFC"/>
    <w:rsid w:val="005478BD"/>
    <w:rsid w:val="005479E3"/>
    <w:rsid w:val="00547BF9"/>
    <w:rsid w:val="00550178"/>
    <w:rsid w:val="005501D8"/>
    <w:rsid w:val="0055031C"/>
    <w:rsid w:val="005505CD"/>
    <w:rsid w:val="005507C2"/>
    <w:rsid w:val="00550FA1"/>
    <w:rsid w:val="00551985"/>
    <w:rsid w:val="00552BD3"/>
    <w:rsid w:val="00552E0D"/>
    <w:rsid w:val="005532A0"/>
    <w:rsid w:val="0055450C"/>
    <w:rsid w:val="005546A9"/>
    <w:rsid w:val="00554B6C"/>
    <w:rsid w:val="00555109"/>
    <w:rsid w:val="00555BA7"/>
    <w:rsid w:val="00556B35"/>
    <w:rsid w:val="0055741A"/>
    <w:rsid w:val="00557BDA"/>
    <w:rsid w:val="00557D6F"/>
    <w:rsid w:val="005611B7"/>
    <w:rsid w:val="00561722"/>
    <w:rsid w:val="005618D4"/>
    <w:rsid w:val="00561929"/>
    <w:rsid w:val="00562D04"/>
    <w:rsid w:val="00562F65"/>
    <w:rsid w:val="00564B31"/>
    <w:rsid w:val="00565DF0"/>
    <w:rsid w:val="00565FA6"/>
    <w:rsid w:val="0056696F"/>
    <w:rsid w:val="00566E72"/>
    <w:rsid w:val="00572269"/>
    <w:rsid w:val="005722B5"/>
    <w:rsid w:val="0057244A"/>
    <w:rsid w:val="00572F26"/>
    <w:rsid w:val="00573CA3"/>
    <w:rsid w:val="00574EDA"/>
    <w:rsid w:val="005750C5"/>
    <w:rsid w:val="005752DE"/>
    <w:rsid w:val="00575D8D"/>
    <w:rsid w:val="00575F3A"/>
    <w:rsid w:val="00576972"/>
    <w:rsid w:val="00577522"/>
    <w:rsid w:val="0057771C"/>
    <w:rsid w:val="00577A13"/>
    <w:rsid w:val="00580CE2"/>
    <w:rsid w:val="00582C04"/>
    <w:rsid w:val="00583699"/>
    <w:rsid w:val="00583B22"/>
    <w:rsid w:val="005853A3"/>
    <w:rsid w:val="00585CDD"/>
    <w:rsid w:val="00587058"/>
    <w:rsid w:val="00590841"/>
    <w:rsid w:val="00591957"/>
    <w:rsid w:val="00592293"/>
    <w:rsid w:val="00594771"/>
    <w:rsid w:val="0059579F"/>
    <w:rsid w:val="005976A9"/>
    <w:rsid w:val="00597BF9"/>
    <w:rsid w:val="005A11E6"/>
    <w:rsid w:val="005A1455"/>
    <w:rsid w:val="005A2E02"/>
    <w:rsid w:val="005A309A"/>
    <w:rsid w:val="005A373D"/>
    <w:rsid w:val="005A5B9C"/>
    <w:rsid w:val="005A672A"/>
    <w:rsid w:val="005A6C89"/>
    <w:rsid w:val="005B0850"/>
    <w:rsid w:val="005B0B58"/>
    <w:rsid w:val="005B1993"/>
    <w:rsid w:val="005B1D31"/>
    <w:rsid w:val="005B422E"/>
    <w:rsid w:val="005B4AB6"/>
    <w:rsid w:val="005B4E53"/>
    <w:rsid w:val="005B5122"/>
    <w:rsid w:val="005B5857"/>
    <w:rsid w:val="005B5E37"/>
    <w:rsid w:val="005B5F15"/>
    <w:rsid w:val="005B6765"/>
    <w:rsid w:val="005C08CC"/>
    <w:rsid w:val="005C0EF8"/>
    <w:rsid w:val="005C1B83"/>
    <w:rsid w:val="005C1FC7"/>
    <w:rsid w:val="005C25FF"/>
    <w:rsid w:val="005C2D55"/>
    <w:rsid w:val="005C3257"/>
    <w:rsid w:val="005C346B"/>
    <w:rsid w:val="005C3497"/>
    <w:rsid w:val="005C34FD"/>
    <w:rsid w:val="005C4BD2"/>
    <w:rsid w:val="005C5C86"/>
    <w:rsid w:val="005C674D"/>
    <w:rsid w:val="005D044D"/>
    <w:rsid w:val="005D0ABD"/>
    <w:rsid w:val="005D0C54"/>
    <w:rsid w:val="005D18AD"/>
    <w:rsid w:val="005D1D9C"/>
    <w:rsid w:val="005D1F62"/>
    <w:rsid w:val="005D26B4"/>
    <w:rsid w:val="005D2BBD"/>
    <w:rsid w:val="005D34A4"/>
    <w:rsid w:val="005D422F"/>
    <w:rsid w:val="005D4C36"/>
    <w:rsid w:val="005D4DD8"/>
    <w:rsid w:val="005D53A4"/>
    <w:rsid w:val="005D59A3"/>
    <w:rsid w:val="005E31F7"/>
    <w:rsid w:val="005E39FF"/>
    <w:rsid w:val="005E3ED1"/>
    <w:rsid w:val="005E4B49"/>
    <w:rsid w:val="005E6067"/>
    <w:rsid w:val="005E6A81"/>
    <w:rsid w:val="005E6CBC"/>
    <w:rsid w:val="005E72FF"/>
    <w:rsid w:val="005E73C0"/>
    <w:rsid w:val="005F047F"/>
    <w:rsid w:val="005F1F99"/>
    <w:rsid w:val="005F2706"/>
    <w:rsid w:val="005F36FC"/>
    <w:rsid w:val="005F56DF"/>
    <w:rsid w:val="005F6A8F"/>
    <w:rsid w:val="005F6BB7"/>
    <w:rsid w:val="005F6EDE"/>
    <w:rsid w:val="005F6F3D"/>
    <w:rsid w:val="005F7588"/>
    <w:rsid w:val="005F7B1C"/>
    <w:rsid w:val="006003C6"/>
    <w:rsid w:val="00600BEA"/>
    <w:rsid w:val="006012D7"/>
    <w:rsid w:val="0060151A"/>
    <w:rsid w:val="00601909"/>
    <w:rsid w:val="0060258C"/>
    <w:rsid w:val="00602761"/>
    <w:rsid w:val="00603220"/>
    <w:rsid w:val="00603DB9"/>
    <w:rsid w:val="006042DD"/>
    <w:rsid w:val="00604D6D"/>
    <w:rsid w:val="006053ED"/>
    <w:rsid w:val="00606C76"/>
    <w:rsid w:val="00606FBA"/>
    <w:rsid w:val="00607669"/>
    <w:rsid w:val="006076F4"/>
    <w:rsid w:val="00607AFD"/>
    <w:rsid w:val="00612A34"/>
    <w:rsid w:val="00612F97"/>
    <w:rsid w:val="00613083"/>
    <w:rsid w:val="006130F1"/>
    <w:rsid w:val="0061345D"/>
    <w:rsid w:val="0061549B"/>
    <w:rsid w:val="0061567D"/>
    <w:rsid w:val="00616268"/>
    <w:rsid w:val="00616802"/>
    <w:rsid w:val="00616D4D"/>
    <w:rsid w:val="00617E12"/>
    <w:rsid w:val="00620917"/>
    <w:rsid w:val="00620C25"/>
    <w:rsid w:val="00621477"/>
    <w:rsid w:val="0062195E"/>
    <w:rsid w:val="00621ADA"/>
    <w:rsid w:val="006220D1"/>
    <w:rsid w:val="0062215C"/>
    <w:rsid w:val="00623E07"/>
    <w:rsid w:val="00623F7B"/>
    <w:rsid w:val="00624575"/>
    <w:rsid w:val="00625451"/>
    <w:rsid w:val="006259C5"/>
    <w:rsid w:val="00625EA1"/>
    <w:rsid w:val="00626F78"/>
    <w:rsid w:val="00631565"/>
    <w:rsid w:val="0063158F"/>
    <w:rsid w:val="00631B8F"/>
    <w:rsid w:val="00631D6B"/>
    <w:rsid w:val="00632141"/>
    <w:rsid w:val="00632183"/>
    <w:rsid w:val="00632E9E"/>
    <w:rsid w:val="006330A1"/>
    <w:rsid w:val="00633871"/>
    <w:rsid w:val="006340FE"/>
    <w:rsid w:val="0063479F"/>
    <w:rsid w:val="006353F0"/>
    <w:rsid w:val="006354D9"/>
    <w:rsid w:val="006357B5"/>
    <w:rsid w:val="00636162"/>
    <w:rsid w:val="0063630D"/>
    <w:rsid w:val="006364A1"/>
    <w:rsid w:val="0063678E"/>
    <w:rsid w:val="00636DF0"/>
    <w:rsid w:val="00637BFD"/>
    <w:rsid w:val="00640566"/>
    <w:rsid w:val="00641710"/>
    <w:rsid w:val="00641C4E"/>
    <w:rsid w:val="00641FB3"/>
    <w:rsid w:val="00642098"/>
    <w:rsid w:val="00643919"/>
    <w:rsid w:val="00643B67"/>
    <w:rsid w:val="0064434C"/>
    <w:rsid w:val="00645318"/>
    <w:rsid w:val="006471CC"/>
    <w:rsid w:val="0064755C"/>
    <w:rsid w:val="00647A29"/>
    <w:rsid w:val="00647BD3"/>
    <w:rsid w:val="006505F8"/>
    <w:rsid w:val="00650797"/>
    <w:rsid w:val="0065079F"/>
    <w:rsid w:val="00650AA6"/>
    <w:rsid w:val="00650C38"/>
    <w:rsid w:val="00651445"/>
    <w:rsid w:val="00651680"/>
    <w:rsid w:val="00652A28"/>
    <w:rsid w:val="0065379F"/>
    <w:rsid w:val="00653E21"/>
    <w:rsid w:val="006541B9"/>
    <w:rsid w:val="00655260"/>
    <w:rsid w:val="00656188"/>
    <w:rsid w:val="00656526"/>
    <w:rsid w:val="0065715A"/>
    <w:rsid w:val="00657B36"/>
    <w:rsid w:val="00657B87"/>
    <w:rsid w:val="006610F1"/>
    <w:rsid w:val="00661C6B"/>
    <w:rsid w:val="00661FA3"/>
    <w:rsid w:val="006628A9"/>
    <w:rsid w:val="00663433"/>
    <w:rsid w:val="00664A09"/>
    <w:rsid w:val="00664E20"/>
    <w:rsid w:val="00664ED8"/>
    <w:rsid w:val="00665073"/>
    <w:rsid w:val="0066594C"/>
    <w:rsid w:val="006661B8"/>
    <w:rsid w:val="00666455"/>
    <w:rsid w:val="006666D0"/>
    <w:rsid w:val="00666BA1"/>
    <w:rsid w:val="0066758D"/>
    <w:rsid w:val="00667F26"/>
    <w:rsid w:val="00670977"/>
    <w:rsid w:val="00671004"/>
    <w:rsid w:val="00672646"/>
    <w:rsid w:val="00672FA6"/>
    <w:rsid w:val="00673B7A"/>
    <w:rsid w:val="00674792"/>
    <w:rsid w:val="00674E42"/>
    <w:rsid w:val="0067571E"/>
    <w:rsid w:val="00677A84"/>
    <w:rsid w:val="006800E2"/>
    <w:rsid w:val="006813F8"/>
    <w:rsid w:val="00682112"/>
    <w:rsid w:val="006828E9"/>
    <w:rsid w:val="00682BA6"/>
    <w:rsid w:val="00683263"/>
    <w:rsid w:val="0068489A"/>
    <w:rsid w:val="00686957"/>
    <w:rsid w:val="006872BA"/>
    <w:rsid w:val="006904EC"/>
    <w:rsid w:val="00690795"/>
    <w:rsid w:val="00691052"/>
    <w:rsid w:val="00691648"/>
    <w:rsid w:val="006916DA"/>
    <w:rsid w:val="006917D7"/>
    <w:rsid w:val="00691BDE"/>
    <w:rsid w:val="00691CD2"/>
    <w:rsid w:val="00691E36"/>
    <w:rsid w:val="00692684"/>
    <w:rsid w:val="0069434C"/>
    <w:rsid w:val="00694F44"/>
    <w:rsid w:val="00695166"/>
    <w:rsid w:val="00696F51"/>
    <w:rsid w:val="00697629"/>
    <w:rsid w:val="006979A5"/>
    <w:rsid w:val="006A1B50"/>
    <w:rsid w:val="006A3F1A"/>
    <w:rsid w:val="006A4FD3"/>
    <w:rsid w:val="006A546F"/>
    <w:rsid w:val="006A613C"/>
    <w:rsid w:val="006A6B99"/>
    <w:rsid w:val="006A7E5F"/>
    <w:rsid w:val="006B0738"/>
    <w:rsid w:val="006B0ADF"/>
    <w:rsid w:val="006B134E"/>
    <w:rsid w:val="006B261B"/>
    <w:rsid w:val="006B29DC"/>
    <w:rsid w:val="006B2C90"/>
    <w:rsid w:val="006B35E6"/>
    <w:rsid w:val="006B3F84"/>
    <w:rsid w:val="006B42A7"/>
    <w:rsid w:val="006B45FF"/>
    <w:rsid w:val="006B465A"/>
    <w:rsid w:val="006B6DD0"/>
    <w:rsid w:val="006B7040"/>
    <w:rsid w:val="006B75C5"/>
    <w:rsid w:val="006B7B52"/>
    <w:rsid w:val="006C0399"/>
    <w:rsid w:val="006C0F8A"/>
    <w:rsid w:val="006C1847"/>
    <w:rsid w:val="006C1894"/>
    <w:rsid w:val="006C2507"/>
    <w:rsid w:val="006C2A8E"/>
    <w:rsid w:val="006C3255"/>
    <w:rsid w:val="006C32E2"/>
    <w:rsid w:val="006C39DA"/>
    <w:rsid w:val="006C3F26"/>
    <w:rsid w:val="006C5E9B"/>
    <w:rsid w:val="006C62FB"/>
    <w:rsid w:val="006C6EDD"/>
    <w:rsid w:val="006C6F79"/>
    <w:rsid w:val="006D057D"/>
    <w:rsid w:val="006D087C"/>
    <w:rsid w:val="006D0D17"/>
    <w:rsid w:val="006D1CF9"/>
    <w:rsid w:val="006D208B"/>
    <w:rsid w:val="006D237E"/>
    <w:rsid w:val="006D3C7D"/>
    <w:rsid w:val="006D4659"/>
    <w:rsid w:val="006D4B7A"/>
    <w:rsid w:val="006D4C23"/>
    <w:rsid w:val="006D5D5F"/>
    <w:rsid w:val="006D68FB"/>
    <w:rsid w:val="006D6CAC"/>
    <w:rsid w:val="006D74C4"/>
    <w:rsid w:val="006D74E9"/>
    <w:rsid w:val="006E2868"/>
    <w:rsid w:val="006E3C84"/>
    <w:rsid w:val="006E4922"/>
    <w:rsid w:val="006E49E7"/>
    <w:rsid w:val="006E6C4A"/>
    <w:rsid w:val="006E7371"/>
    <w:rsid w:val="006F1813"/>
    <w:rsid w:val="006F1A43"/>
    <w:rsid w:val="006F306C"/>
    <w:rsid w:val="006F33D7"/>
    <w:rsid w:val="006F5396"/>
    <w:rsid w:val="006F63A5"/>
    <w:rsid w:val="006F7DA2"/>
    <w:rsid w:val="0070142B"/>
    <w:rsid w:val="00701AE1"/>
    <w:rsid w:val="007021FA"/>
    <w:rsid w:val="0070259E"/>
    <w:rsid w:val="00702659"/>
    <w:rsid w:val="0070276E"/>
    <w:rsid w:val="00702F8F"/>
    <w:rsid w:val="00703C20"/>
    <w:rsid w:val="00704777"/>
    <w:rsid w:val="00704C5A"/>
    <w:rsid w:val="00706DA4"/>
    <w:rsid w:val="007079FC"/>
    <w:rsid w:val="00707D23"/>
    <w:rsid w:val="007104C5"/>
    <w:rsid w:val="00710950"/>
    <w:rsid w:val="007112E9"/>
    <w:rsid w:val="00711395"/>
    <w:rsid w:val="00711448"/>
    <w:rsid w:val="00711A36"/>
    <w:rsid w:val="00711A6C"/>
    <w:rsid w:val="00711A95"/>
    <w:rsid w:val="00712689"/>
    <w:rsid w:val="00712EBC"/>
    <w:rsid w:val="00714028"/>
    <w:rsid w:val="00714C26"/>
    <w:rsid w:val="0071529C"/>
    <w:rsid w:val="00715ABC"/>
    <w:rsid w:val="007170DA"/>
    <w:rsid w:val="007172AD"/>
    <w:rsid w:val="00717794"/>
    <w:rsid w:val="007179EE"/>
    <w:rsid w:val="007200DE"/>
    <w:rsid w:val="00720529"/>
    <w:rsid w:val="00720801"/>
    <w:rsid w:val="00720BE4"/>
    <w:rsid w:val="00720C40"/>
    <w:rsid w:val="00721051"/>
    <w:rsid w:val="007211FB"/>
    <w:rsid w:val="007212C0"/>
    <w:rsid w:val="00722625"/>
    <w:rsid w:val="00722B1B"/>
    <w:rsid w:val="00722BFE"/>
    <w:rsid w:val="00723605"/>
    <w:rsid w:val="00723619"/>
    <w:rsid w:val="0072416F"/>
    <w:rsid w:val="00725381"/>
    <w:rsid w:val="007258B7"/>
    <w:rsid w:val="007275E8"/>
    <w:rsid w:val="00727C94"/>
    <w:rsid w:val="00730261"/>
    <w:rsid w:val="00730BCD"/>
    <w:rsid w:val="00731B0A"/>
    <w:rsid w:val="00731EAE"/>
    <w:rsid w:val="00731F57"/>
    <w:rsid w:val="007322E9"/>
    <w:rsid w:val="00732537"/>
    <w:rsid w:val="00733073"/>
    <w:rsid w:val="0073376C"/>
    <w:rsid w:val="0073414A"/>
    <w:rsid w:val="00734E25"/>
    <w:rsid w:val="00735033"/>
    <w:rsid w:val="00735328"/>
    <w:rsid w:val="00735E05"/>
    <w:rsid w:val="00735F67"/>
    <w:rsid w:val="0073685B"/>
    <w:rsid w:val="00736EA3"/>
    <w:rsid w:val="00737683"/>
    <w:rsid w:val="00740158"/>
    <w:rsid w:val="00740466"/>
    <w:rsid w:val="00742E68"/>
    <w:rsid w:val="007430DF"/>
    <w:rsid w:val="0074394A"/>
    <w:rsid w:val="00743CEC"/>
    <w:rsid w:val="00743DDB"/>
    <w:rsid w:val="00743E75"/>
    <w:rsid w:val="00744367"/>
    <w:rsid w:val="007449BF"/>
    <w:rsid w:val="00744F48"/>
    <w:rsid w:val="00745857"/>
    <w:rsid w:val="00746BC0"/>
    <w:rsid w:val="00747E17"/>
    <w:rsid w:val="00750AC4"/>
    <w:rsid w:val="007510B4"/>
    <w:rsid w:val="00751243"/>
    <w:rsid w:val="00751A85"/>
    <w:rsid w:val="0075202D"/>
    <w:rsid w:val="00752142"/>
    <w:rsid w:val="00752315"/>
    <w:rsid w:val="007523F9"/>
    <w:rsid w:val="00752751"/>
    <w:rsid w:val="00753248"/>
    <w:rsid w:val="0075357E"/>
    <w:rsid w:val="00753609"/>
    <w:rsid w:val="00754F5A"/>
    <w:rsid w:val="0075516A"/>
    <w:rsid w:val="00755926"/>
    <w:rsid w:val="00755928"/>
    <w:rsid w:val="00755BC8"/>
    <w:rsid w:val="00755BD8"/>
    <w:rsid w:val="00755DD8"/>
    <w:rsid w:val="00756461"/>
    <w:rsid w:val="007573E8"/>
    <w:rsid w:val="00760C4E"/>
    <w:rsid w:val="00760F9E"/>
    <w:rsid w:val="00762654"/>
    <w:rsid w:val="007627BE"/>
    <w:rsid w:val="00762E6A"/>
    <w:rsid w:val="00763390"/>
    <w:rsid w:val="00763505"/>
    <w:rsid w:val="00764F03"/>
    <w:rsid w:val="00765B1A"/>
    <w:rsid w:val="00765F44"/>
    <w:rsid w:val="00767672"/>
    <w:rsid w:val="00770045"/>
    <w:rsid w:val="00770A3A"/>
    <w:rsid w:val="007719D6"/>
    <w:rsid w:val="00771B5B"/>
    <w:rsid w:val="007724FF"/>
    <w:rsid w:val="0077305B"/>
    <w:rsid w:val="007732CB"/>
    <w:rsid w:val="0077379E"/>
    <w:rsid w:val="00774BD8"/>
    <w:rsid w:val="007751F7"/>
    <w:rsid w:val="007753E5"/>
    <w:rsid w:val="00775C0E"/>
    <w:rsid w:val="00776D2F"/>
    <w:rsid w:val="00777335"/>
    <w:rsid w:val="007807FC"/>
    <w:rsid w:val="00782B9E"/>
    <w:rsid w:val="007832D5"/>
    <w:rsid w:val="007838E3"/>
    <w:rsid w:val="007843F2"/>
    <w:rsid w:val="00784ED6"/>
    <w:rsid w:val="00785324"/>
    <w:rsid w:val="007854C9"/>
    <w:rsid w:val="00785A9F"/>
    <w:rsid w:val="0078711A"/>
    <w:rsid w:val="0078724E"/>
    <w:rsid w:val="0078748D"/>
    <w:rsid w:val="00787F3C"/>
    <w:rsid w:val="00790402"/>
    <w:rsid w:val="00790A19"/>
    <w:rsid w:val="00791C53"/>
    <w:rsid w:val="007925DF"/>
    <w:rsid w:val="00793EDF"/>
    <w:rsid w:val="007953F2"/>
    <w:rsid w:val="00796919"/>
    <w:rsid w:val="00796ACA"/>
    <w:rsid w:val="00797560"/>
    <w:rsid w:val="007A08AA"/>
    <w:rsid w:val="007A0A12"/>
    <w:rsid w:val="007A132D"/>
    <w:rsid w:val="007A1345"/>
    <w:rsid w:val="007A16B1"/>
    <w:rsid w:val="007A2888"/>
    <w:rsid w:val="007A2DDB"/>
    <w:rsid w:val="007A2F01"/>
    <w:rsid w:val="007A2F4B"/>
    <w:rsid w:val="007A3207"/>
    <w:rsid w:val="007A348A"/>
    <w:rsid w:val="007A4207"/>
    <w:rsid w:val="007A4CBF"/>
    <w:rsid w:val="007A4D64"/>
    <w:rsid w:val="007A5BF6"/>
    <w:rsid w:val="007A62CF"/>
    <w:rsid w:val="007A67CA"/>
    <w:rsid w:val="007A6843"/>
    <w:rsid w:val="007A70BA"/>
    <w:rsid w:val="007B0AA8"/>
    <w:rsid w:val="007B0D68"/>
    <w:rsid w:val="007B15FC"/>
    <w:rsid w:val="007B1FF6"/>
    <w:rsid w:val="007B251D"/>
    <w:rsid w:val="007B2A3F"/>
    <w:rsid w:val="007B3A8E"/>
    <w:rsid w:val="007B484B"/>
    <w:rsid w:val="007B4F58"/>
    <w:rsid w:val="007B528D"/>
    <w:rsid w:val="007B52EF"/>
    <w:rsid w:val="007B57AB"/>
    <w:rsid w:val="007B5CCC"/>
    <w:rsid w:val="007B5E31"/>
    <w:rsid w:val="007B601C"/>
    <w:rsid w:val="007B63CA"/>
    <w:rsid w:val="007B663E"/>
    <w:rsid w:val="007B6B33"/>
    <w:rsid w:val="007B77D1"/>
    <w:rsid w:val="007B7A63"/>
    <w:rsid w:val="007B7E1E"/>
    <w:rsid w:val="007B7EBE"/>
    <w:rsid w:val="007B7FB3"/>
    <w:rsid w:val="007C02FD"/>
    <w:rsid w:val="007C056A"/>
    <w:rsid w:val="007C079D"/>
    <w:rsid w:val="007C07C7"/>
    <w:rsid w:val="007C084B"/>
    <w:rsid w:val="007C190F"/>
    <w:rsid w:val="007C1CD9"/>
    <w:rsid w:val="007C32EF"/>
    <w:rsid w:val="007C32FC"/>
    <w:rsid w:val="007C361D"/>
    <w:rsid w:val="007C3B0B"/>
    <w:rsid w:val="007C4A58"/>
    <w:rsid w:val="007C4B84"/>
    <w:rsid w:val="007C6FC3"/>
    <w:rsid w:val="007C70FF"/>
    <w:rsid w:val="007C7C25"/>
    <w:rsid w:val="007D004F"/>
    <w:rsid w:val="007D071E"/>
    <w:rsid w:val="007D0B38"/>
    <w:rsid w:val="007D0BF3"/>
    <w:rsid w:val="007D0D57"/>
    <w:rsid w:val="007D1B54"/>
    <w:rsid w:val="007D2A58"/>
    <w:rsid w:val="007D45B9"/>
    <w:rsid w:val="007D5440"/>
    <w:rsid w:val="007D64AC"/>
    <w:rsid w:val="007D6522"/>
    <w:rsid w:val="007D69EB"/>
    <w:rsid w:val="007D6E50"/>
    <w:rsid w:val="007E0059"/>
    <w:rsid w:val="007E128F"/>
    <w:rsid w:val="007E362C"/>
    <w:rsid w:val="007E4248"/>
    <w:rsid w:val="007E488D"/>
    <w:rsid w:val="007E533D"/>
    <w:rsid w:val="007E5B27"/>
    <w:rsid w:val="007E5E0F"/>
    <w:rsid w:val="007E6038"/>
    <w:rsid w:val="007E6A2B"/>
    <w:rsid w:val="007E7269"/>
    <w:rsid w:val="007E76C4"/>
    <w:rsid w:val="007E7EDF"/>
    <w:rsid w:val="007F04A6"/>
    <w:rsid w:val="007F0556"/>
    <w:rsid w:val="007F06B5"/>
    <w:rsid w:val="007F1017"/>
    <w:rsid w:val="007F1B5D"/>
    <w:rsid w:val="007F2049"/>
    <w:rsid w:val="007F2AFB"/>
    <w:rsid w:val="007F4A3F"/>
    <w:rsid w:val="007F4A61"/>
    <w:rsid w:val="007F51A0"/>
    <w:rsid w:val="007F521E"/>
    <w:rsid w:val="007F5255"/>
    <w:rsid w:val="007F56CC"/>
    <w:rsid w:val="007F5C51"/>
    <w:rsid w:val="007F61C2"/>
    <w:rsid w:val="007F7949"/>
    <w:rsid w:val="008002FC"/>
    <w:rsid w:val="008003F3"/>
    <w:rsid w:val="00802CFC"/>
    <w:rsid w:val="008036C0"/>
    <w:rsid w:val="00803980"/>
    <w:rsid w:val="00805142"/>
    <w:rsid w:val="008055B2"/>
    <w:rsid w:val="00805FCE"/>
    <w:rsid w:val="008061C9"/>
    <w:rsid w:val="008067E1"/>
    <w:rsid w:val="008070B1"/>
    <w:rsid w:val="00807A8B"/>
    <w:rsid w:val="00807CED"/>
    <w:rsid w:val="00807EB2"/>
    <w:rsid w:val="00807EFF"/>
    <w:rsid w:val="00811383"/>
    <w:rsid w:val="008115EC"/>
    <w:rsid w:val="00812149"/>
    <w:rsid w:val="008126AD"/>
    <w:rsid w:val="00812CAC"/>
    <w:rsid w:val="00813BAC"/>
    <w:rsid w:val="008143DE"/>
    <w:rsid w:val="00814881"/>
    <w:rsid w:val="00814F47"/>
    <w:rsid w:val="00816361"/>
    <w:rsid w:val="008166EF"/>
    <w:rsid w:val="00816B1C"/>
    <w:rsid w:val="00816BCA"/>
    <w:rsid w:val="00816FEF"/>
    <w:rsid w:val="0081797B"/>
    <w:rsid w:val="00820A8C"/>
    <w:rsid w:val="008215FB"/>
    <w:rsid w:val="00821774"/>
    <w:rsid w:val="00821A97"/>
    <w:rsid w:val="0082258E"/>
    <w:rsid w:val="00823174"/>
    <w:rsid w:val="00823298"/>
    <w:rsid w:val="00823B8F"/>
    <w:rsid w:val="00824160"/>
    <w:rsid w:val="00825215"/>
    <w:rsid w:val="00825751"/>
    <w:rsid w:val="008264EB"/>
    <w:rsid w:val="00826DE7"/>
    <w:rsid w:val="008271B8"/>
    <w:rsid w:val="008272E9"/>
    <w:rsid w:val="00827CE6"/>
    <w:rsid w:val="0083038B"/>
    <w:rsid w:val="00832A91"/>
    <w:rsid w:val="00832D0E"/>
    <w:rsid w:val="00833B05"/>
    <w:rsid w:val="00834207"/>
    <w:rsid w:val="008362B4"/>
    <w:rsid w:val="00836AFA"/>
    <w:rsid w:val="00837430"/>
    <w:rsid w:val="0083786E"/>
    <w:rsid w:val="00837C94"/>
    <w:rsid w:val="008402BE"/>
    <w:rsid w:val="00840742"/>
    <w:rsid w:val="00840CA2"/>
    <w:rsid w:val="00842E37"/>
    <w:rsid w:val="0084374F"/>
    <w:rsid w:val="00844351"/>
    <w:rsid w:val="0084477F"/>
    <w:rsid w:val="00844A22"/>
    <w:rsid w:val="00844C9E"/>
    <w:rsid w:val="00847617"/>
    <w:rsid w:val="00847703"/>
    <w:rsid w:val="00847CFA"/>
    <w:rsid w:val="00847DF5"/>
    <w:rsid w:val="00847FB2"/>
    <w:rsid w:val="0085309D"/>
    <w:rsid w:val="008535BC"/>
    <w:rsid w:val="00853BB0"/>
    <w:rsid w:val="00854AAC"/>
    <w:rsid w:val="00854DEF"/>
    <w:rsid w:val="00855CCC"/>
    <w:rsid w:val="0085644E"/>
    <w:rsid w:val="00856897"/>
    <w:rsid w:val="00856E9A"/>
    <w:rsid w:val="00857A19"/>
    <w:rsid w:val="0086075D"/>
    <w:rsid w:val="008607B6"/>
    <w:rsid w:val="0086098E"/>
    <w:rsid w:val="00861A95"/>
    <w:rsid w:val="00862502"/>
    <w:rsid w:val="00862CC1"/>
    <w:rsid w:val="00862F1B"/>
    <w:rsid w:val="008660D4"/>
    <w:rsid w:val="008661BB"/>
    <w:rsid w:val="00866E6B"/>
    <w:rsid w:val="00867733"/>
    <w:rsid w:val="0087001E"/>
    <w:rsid w:val="00870838"/>
    <w:rsid w:val="00871FA9"/>
    <w:rsid w:val="008728E9"/>
    <w:rsid w:val="00872F4A"/>
    <w:rsid w:val="00873414"/>
    <w:rsid w:val="00873B05"/>
    <w:rsid w:val="008763AC"/>
    <w:rsid w:val="0087745A"/>
    <w:rsid w:val="0087764D"/>
    <w:rsid w:val="00877663"/>
    <w:rsid w:val="00877C8B"/>
    <w:rsid w:val="00880E00"/>
    <w:rsid w:val="0088240B"/>
    <w:rsid w:val="00882874"/>
    <w:rsid w:val="00882E3C"/>
    <w:rsid w:val="008836C4"/>
    <w:rsid w:val="00883787"/>
    <w:rsid w:val="00883FFB"/>
    <w:rsid w:val="0088533C"/>
    <w:rsid w:val="008855E4"/>
    <w:rsid w:val="00885C49"/>
    <w:rsid w:val="00885F58"/>
    <w:rsid w:val="00886CD2"/>
    <w:rsid w:val="00887F80"/>
    <w:rsid w:val="00890829"/>
    <w:rsid w:val="0089104A"/>
    <w:rsid w:val="00891E6F"/>
    <w:rsid w:val="008922BA"/>
    <w:rsid w:val="0089275D"/>
    <w:rsid w:val="008928C3"/>
    <w:rsid w:val="00892A36"/>
    <w:rsid w:val="00893239"/>
    <w:rsid w:val="00894489"/>
    <w:rsid w:val="008958B2"/>
    <w:rsid w:val="008963A5"/>
    <w:rsid w:val="00896D5D"/>
    <w:rsid w:val="00897397"/>
    <w:rsid w:val="00897661"/>
    <w:rsid w:val="008A245C"/>
    <w:rsid w:val="008A26AF"/>
    <w:rsid w:val="008A2F3E"/>
    <w:rsid w:val="008A3363"/>
    <w:rsid w:val="008A3371"/>
    <w:rsid w:val="008A3C3E"/>
    <w:rsid w:val="008A4455"/>
    <w:rsid w:val="008A79DE"/>
    <w:rsid w:val="008A7D92"/>
    <w:rsid w:val="008B004D"/>
    <w:rsid w:val="008B0A89"/>
    <w:rsid w:val="008B1757"/>
    <w:rsid w:val="008B1782"/>
    <w:rsid w:val="008B2042"/>
    <w:rsid w:val="008B3A79"/>
    <w:rsid w:val="008B515F"/>
    <w:rsid w:val="008B5DC3"/>
    <w:rsid w:val="008B7992"/>
    <w:rsid w:val="008B7D7E"/>
    <w:rsid w:val="008C17AF"/>
    <w:rsid w:val="008C2936"/>
    <w:rsid w:val="008C3D8D"/>
    <w:rsid w:val="008C47F8"/>
    <w:rsid w:val="008C5462"/>
    <w:rsid w:val="008C5610"/>
    <w:rsid w:val="008C5739"/>
    <w:rsid w:val="008C6823"/>
    <w:rsid w:val="008C6DDA"/>
    <w:rsid w:val="008C7ECB"/>
    <w:rsid w:val="008D0D9A"/>
    <w:rsid w:val="008D0F99"/>
    <w:rsid w:val="008D3B86"/>
    <w:rsid w:val="008D430B"/>
    <w:rsid w:val="008D439A"/>
    <w:rsid w:val="008D462B"/>
    <w:rsid w:val="008D4755"/>
    <w:rsid w:val="008D4C3D"/>
    <w:rsid w:val="008D5B40"/>
    <w:rsid w:val="008D5B62"/>
    <w:rsid w:val="008D743C"/>
    <w:rsid w:val="008D7A57"/>
    <w:rsid w:val="008E0C6D"/>
    <w:rsid w:val="008E0D3C"/>
    <w:rsid w:val="008E1B9E"/>
    <w:rsid w:val="008E2FB1"/>
    <w:rsid w:val="008E315D"/>
    <w:rsid w:val="008E341D"/>
    <w:rsid w:val="008E3799"/>
    <w:rsid w:val="008E3E96"/>
    <w:rsid w:val="008E52F9"/>
    <w:rsid w:val="008E55AB"/>
    <w:rsid w:val="008E6663"/>
    <w:rsid w:val="008E7D70"/>
    <w:rsid w:val="008E7EE0"/>
    <w:rsid w:val="008E7EFB"/>
    <w:rsid w:val="008F0B6E"/>
    <w:rsid w:val="008F120A"/>
    <w:rsid w:val="008F2413"/>
    <w:rsid w:val="008F27E0"/>
    <w:rsid w:val="008F2D59"/>
    <w:rsid w:val="008F2D81"/>
    <w:rsid w:val="008F38AC"/>
    <w:rsid w:val="008F4678"/>
    <w:rsid w:val="008F4785"/>
    <w:rsid w:val="008F48EB"/>
    <w:rsid w:val="008F49A6"/>
    <w:rsid w:val="008F4F0B"/>
    <w:rsid w:val="008F558B"/>
    <w:rsid w:val="008F5B0D"/>
    <w:rsid w:val="008F61B1"/>
    <w:rsid w:val="008F63DC"/>
    <w:rsid w:val="008F7261"/>
    <w:rsid w:val="008F7500"/>
    <w:rsid w:val="00900E48"/>
    <w:rsid w:val="0090138B"/>
    <w:rsid w:val="00903557"/>
    <w:rsid w:val="009041D6"/>
    <w:rsid w:val="009046C4"/>
    <w:rsid w:val="009062A5"/>
    <w:rsid w:val="00910FA7"/>
    <w:rsid w:val="00911272"/>
    <w:rsid w:val="009114E1"/>
    <w:rsid w:val="00911A8C"/>
    <w:rsid w:val="00912CD8"/>
    <w:rsid w:val="0091351E"/>
    <w:rsid w:val="009135D6"/>
    <w:rsid w:val="00914C77"/>
    <w:rsid w:val="00915A65"/>
    <w:rsid w:val="009161AB"/>
    <w:rsid w:val="009217B8"/>
    <w:rsid w:val="009219BD"/>
    <w:rsid w:val="00921ACB"/>
    <w:rsid w:val="00921B83"/>
    <w:rsid w:val="0092369B"/>
    <w:rsid w:val="00923821"/>
    <w:rsid w:val="0092417B"/>
    <w:rsid w:val="00924689"/>
    <w:rsid w:val="009249FB"/>
    <w:rsid w:val="00924D08"/>
    <w:rsid w:val="00925122"/>
    <w:rsid w:val="00926051"/>
    <w:rsid w:val="00926947"/>
    <w:rsid w:val="00931E10"/>
    <w:rsid w:val="0093241F"/>
    <w:rsid w:val="00932E84"/>
    <w:rsid w:val="00932F1F"/>
    <w:rsid w:val="00933677"/>
    <w:rsid w:val="009345B1"/>
    <w:rsid w:val="0093460E"/>
    <w:rsid w:val="00934731"/>
    <w:rsid w:val="00934988"/>
    <w:rsid w:val="009358F1"/>
    <w:rsid w:val="009366CF"/>
    <w:rsid w:val="00937089"/>
    <w:rsid w:val="00937438"/>
    <w:rsid w:val="00942A6E"/>
    <w:rsid w:val="00942B2A"/>
    <w:rsid w:val="009433D1"/>
    <w:rsid w:val="00944812"/>
    <w:rsid w:val="00944F8A"/>
    <w:rsid w:val="00946D46"/>
    <w:rsid w:val="00950271"/>
    <w:rsid w:val="009510A2"/>
    <w:rsid w:val="00951889"/>
    <w:rsid w:val="0095293F"/>
    <w:rsid w:val="00953225"/>
    <w:rsid w:val="00953257"/>
    <w:rsid w:val="00954672"/>
    <w:rsid w:val="0095474C"/>
    <w:rsid w:val="00954B2A"/>
    <w:rsid w:val="009550BF"/>
    <w:rsid w:val="00955803"/>
    <w:rsid w:val="00956CA7"/>
    <w:rsid w:val="0096066E"/>
    <w:rsid w:val="00961585"/>
    <w:rsid w:val="009621F7"/>
    <w:rsid w:val="00962CB9"/>
    <w:rsid w:val="00964312"/>
    <w:rsid w:val="00964A1E"/>
    <w:rsid w:val="00965576"/>
    <w:rsid w:val="00965B8A"/>
    <w:rsid w:val="0096648B"/>
    <w:rsid w:val="009678A8"/>
    <w:rsid w:val="00967996"/>
    <w:rsid w:val="0097071F"/>
    <w:rsid w:val="00971648"/>
    <w:rsid w:val="009717AC"/>
    <w:rsid w:val="0097358C"/>
    <w:rsid w:val="009735D5"/>
    <w:rsid w:val="00973BA6"/>
    <w:rsid w:val="009745BE"/>
    <w:rsid w:val="00974BF3"/>
    <w:rsid w:val="00974DA2"/>
    <w:rsid w:val="009751C1"/>
    <w:rsid w:val="0097653E"/>
    <w:rsid w:val="00977491"/>
    <w:rsid w:val="00977ACB"/>
    <w:rsid w:val="009811F1"/>
    <w:rsid w:val="00981385"/>
    <w:rsid w:val="00981502"/>
    <w:rsid w:val="00982EAA"/>
    <w:rsid w:val="009835C9"/>
    <w:rsid w:val="00983E57"/>
    <w:rsid w:val="0098493D"/>
    <w:rsid w:val="00984AE0"/>
    <w:rsid w:val="009851C4"/>
    <w:rsid w:val="00985959"/>
    <w:rsid w:val="00985DE2"/>
    <w:rsid w:val="00985EC0"/>
    <w:rsid w:val="0098675D"/>
    <w:rsid w:val="0098684C"/>
    <w:rsid w:val="009869E3"/>
    <w:rsid w:val="00986F54"/>
    <w:rsid w:val="00990626"/>
    <w:rsid w:val="009924F8"/>
    <w:rsid w:val="009926E0"/>
    <w:rsid w:val="00992E17"/>
    <w:rsid w:val="0099451E"/>
    <w:rsid w:val="00996B1A"/>
    <w:rsid w:val="00996B7C"/>
    <w:rsid w:val="009A262E"/>
    <w:rsid w:val="009A2DCC"/>
    <w:rsid w:val="009A3328"/>
    <w:rsid w:val="009A3B8A"/>
    <w:rsid w:val="009A3E8C"/>
    <w:rsid w:val="009A417A"/>
    <w:rsid w:val="009A5ABC"/>
    <w:rsid w:val="009A66BA"/>
    <w:rsid w:val="009A7B45"/>
    <w:rsid w:val="009A7B65"/>
    <w:rsid w:val="009A7E7F"/>
    <w:rsid w:val="009A7F10"/>
    <w:rsid w:val="009B08E6"/>
    <w:rsid w:val="009B110A"/>
    <w:rsid w:val="009B1447"/>
    <w:rsid w:val="009B17EB"/>
    <w:rsid w:val="009B1972"/>
    <w:rsid w:val="009B1C4A"/>
    <w:rsid w:val="009B289B"/>
    <w:rsid w:val="009B2E0E"/>
    <w:rsid w:val="009B3E26"/>
    <w:rsid w:val="009B4356"/>
    <w:rsid w:val="009B7A91"/>
    <w:rsid w:val="009C0514"/>
    <w:rsid w:val="009C12B7"/>
    <w:rsid w:val="009C16EA"/>
    <w:rsid w:val="009C3275"/>
    <w:rsid w:val="009C3706"/>
    <w:rsid w:val="009C3A3A"/>
    <w:rsid w:val="009C3D87"/>
    <w:rsid w:val="009C4739"/>
    <w:rsid w:val="009C59D3"/>
    <w:rsid w:val="009C628D"/>
    <w:rsid w:val="009C6CEA"/>
    <w:rsid w:val="009C7057"/>
    <w:rsid w:val="009C79FF"/>
    <w:rsid w:val="009C7B85"/>
    <w:rsid w:val="009D0254"/>
    <w:rsid w:val="009D0D05"/>
    <w:rsid w:val="009D1A64"/>
    <w:rsid w:val="009D40F2"/>
    <w:rsid w:val="009D456A"/>
    <w:rsid w:val="009D45C7"/>
    <w:rsid w:val="009D50BE"/>
    <w:rsid w:val="009D54B9"/>
    <w:rsid w:val="009D5B91"/>
    <w:rsid w:val="009D603A"/>
    <w:rsid w:val="009D6244"/>
    <w:rsid w:val="009D792E"/>
    <w:rsid w:val="009E0363"/>
    <w:rsid w:val="009E0DFE"/>
    <w:rsid w:val="009E0F8A"/>
    <w:rsid w:val="009E108A"/>
    <w:rsid w:val="009E31F6"/>
    <w:rsid w:val="009E3B81"/>
    <w:rsid w:val="009E4C07"/>
    <w:rsid w:val="009E5196"/>
    <w:rsid w:val="009E565D"/>
    <w:rsid w:val="009E5FBF"/>
    <w:rsid w:val="009E6D7F"/>
    <w:rsid w:val="009E71A1"/>
    <w:rsid w:val="009E7661"/>
    <w:rsid w:val="009F025B"/>
    <w:rsid w:val="009F04AF"/>
    <w:rsid w:val="009F0F77"/>
    <w:rsid w:val="009F25BC"/>
    <w:rsid w:val="009F3B5E"/>
    <w:rsid w:val="009F4017"/>
    <w:rsid w:val="009F6E9C"/>
    <w:rsid w:val="009F7308"/>
    <w:rsid w:val="009F79C0"/>
    <w:rsid w:val="009F7F21"/>
    <w:rsid w:val="00A01184"/>
    <w:rsid w:val="00A037C2"/>
    <w:rsid w:val="00A03D43"/>
    <w:rsid w:val="00A042F5"/>
    <w:rsid w:val="00A0431C"/>
    <w:rsid w:val="00A04380"/>
    <w:rsid w:val="00A04AFE"/>
    <w:rsid w:val="00A04BB7"/>
    <w:rsid w:val="00A05472"/>
    <w:rsid w:val="00A05932"/>
    <w:rsid w:val="00A05BDD"/>
    <w:rsid w:val="00A05C32"/>
    <w:rsid w:val="00A0653F"/>
    <w:rsid w:val="00A06E26"/>
    <w:rsid w:val="00A07390"/>
    <w:rsid w:val="00A07C8C"/>
    <w:rsid w:val="00A102A6"/>
    <w:rsid w:val="00A10C1E"/>
    <w:rsid w:val="00A11CD0"/>
    <w:rsid w:val="00A132F2"/>
    <w:rsid w:val="00A1362B"/>
    <w:rsid w:val="00A13948"/>
    <w:rsid w:val="00A14706"/>
    <w:rsid w:val="00A1555B"/>
    <w:rsid w:val="00A155C5"/>
    <w:rsid w:val="00A15AC9"/>
    <w:rsid w:val="00A16843"/>
    <w:rsid w:val="00A16AD8"/>
    <w:rsid w:val="00A16F51"/>
    <w:rsid w:val="00A2079B"/>
    <w:rsid w:val="00A20D89"/>
    <w:rsid w:val="00A21234"/>
    <w:rsid w:val="00A21C95"/>
    <w:rsid w:val="00A21CB7"/>
    <w:rsid w:val="00A21CF3"/>
    <w:rsid w:val="00A22015"/>
    <w:rsid w:val="00A22C29"/>
    <w:rsid w:val="00A24813"/>
    <w:rsid w:val="00A24AE4"/>
    <w:rsid w:val="00A26D31"/>
    <w:rsid w:val="00A27AEC"/>
    <w:rsid w:val="00A320DB"/>
    <w:rsid w:val="00A3224B"/>
    <w:rsid w:val="00A32A28"/>
    <w:rsid w:val="00A32ADB"/>
    <w:rsid w:val="00A32D9C"/>
    <w:rsid w:val="00A34333"/>
    <w:rsid w:val="00A35D16"/>
    <w:rsid w:val="00A365AA"/>
    <w:rsid w:val="00A37BCD"/>
    <w:rsid w:val="00A40797"/>
    <w:rsid w:val="00A41689"/>
    <w:rsid w:val="00A42162"/>
    <w:rsid w:val="00A42592"/>
    <w:rsid w:val="00A42CBB"/>
    <w:rsid w:val="00A43C59"/>
    <w:rsid w:val="00A43D61"/>
    <w:rsid w:val="00A4583D"/>
    <w:rsid w:val="00A45EEE"/>
    <w:rsid w:val="00A4606C"/>
    <w:rsid w:val="00A50E1F"/>
    <w:rsid w:val="00A50ECD"/>
    <w:rsid w:val="00A512E4"/>
    <w:rsid w:val="00A518F3"/>
    <w:rsid w:val="00A51D26"/>
    <w:rsid w:val="00A52729"/>
    <w:rsid w:val="00A53675"/>
    <w:rsid w:val="00A53B68"/>
    <w:rsid w:val="00A53F43"/>
    <w:rsid w:val="00A54230"/>
    <w:rsid w:val="00A550DF"/>
    <w:rsid w:val="00A562DE"/>
    <w:rsid w:val="00A564D7"/>
    <w:rsid w:val="00A566B2"/>
    <w:rsid w:val="00A56915"/>
    <w:rsid w:val="00A56972"/>
    <w:rsid w:val="00A56B6A"/>
    <w:rsid w:val="00A575B9"/>
    <w:rsid w:val="00A578DC"/>
    <w:rsid w:val="00A621B9"/>
    <w:rsid w:val="00A62A94"/>
    <w:rsid w:val="00A62C08"/>
    <w:rsid w:val="00A640E2"/>
    <w:rsid w:val="00A644E8"/>
    <w:rsid w:val="00A64D65"/>
    <w:rsid w:val="00A65424"/>
    <w:rsid w:val="00A65508"/>
    <w:rsid w:val="00A6725B"/>
    <w:rsid w:val="00A67EDB"/>
    <w:rsid w:val="00A70605"/>
    <w:rsid w:val="00A70D14"/>
    <w:rsid w:val="00A730EA"/>
    <w:rsid w:val="00A73134"/>
    <w:rsid w:val="00A73C09"/>
    <w:rsid w:val="00A74B98"/>
    <w:rsid w:val="00A74E8F"/>
    <w:rsid w:val="00A759B2"/>
    <w:rsid w:val="00A75D39"/>
    <w:rsid w:val="00A76001"/>
    <w:rsid w:val="00A76CE3"/>
    <w:rsid w:val="00A772DC"/>
    <w:rsid w:val="00A777B2"/>
    <w:rsid w:val="00A8121D"/>
    <w:rsid w:val="00A825D4"/>
    <w:rsid w:val="00A82835"/>
    <w:rsid w:val="00A828F6"/>
    <w:rsid w:val="00A82AD2"/>
    <w:rsid w:val="00A82B73"/>
    <w:rsid w:val="00A8324F"/>
    <w:rsid w:val="00A83406"/>
    <w:rsid w:val="00A8497B"/>
    <w:rsid w:val="00A84AF3"/>
    <w:rsid w:val="00A85123"/>
    <w:rsid w:val="00A857BD"/>
    <w:rsid w:val="00A86E8B"/>
    <w:rsid w:val="00A87164"/>
    <w:rsid w:val="00A91056"/>
    <w:rsid w:val="00A9202A"/>
    <w:rsid w:val="00A92E7C"/>
    <w:rsid w:val="00A93072"/>
    <w:rsid w:val="00A938BD"/>
    <w:rsid w:val="00A93953"/>
    <w:rsid w:val="00A93C3F"/>
    <w:rsid w:val="00A94A7E"/>
    <w:rsid w:val="00A94D1A"/>
    <w:rsid w:val="00A9551B"/>
    <w:rsid w:val="00A959D8"/>
    <w:rsid w:val="00A961B3"/>
    <w:rsid w:val="00A97631"/>
    <w:rsid w:val="00AA0804"/>
    <w:rsid w:val="00AA0A8E"/>
    <w:rsid w:val="00AA113D"/>
    <w:rsid w:val="00AA6BD5"/>
    <w:rsid w:val="00AA6BD8"/>
    <w:rsid w:val="00AA6C7D"/>
    <w:rsid w:val="00AA6D6C"/>
    <w:rsid w:val="00AA7A91"/>
    <w:rsid w:val="00AA7AAE"/>
    <w:rsid w:val="00AA7B9B"/>
    <w:rsid w:val="00AA7BB3"/>
    <w:rsid w:val="00AA7FD6"/>
    <w:rsid w:val="00AB042A"/>
    <w:rsid w:val="00AB0F50"/>
    <w:rsid w:val="00AB1990"/>
    <w:rsid w:val="00AB19EF"/>
    <w:rsid w:val="00AB2D34"/>
    <w:rsid w:val="00AB31B7"/>
    <w:rsid w:val="00AB3430"/>
    <w:rsid w:val="00AB36B0"/>
    <w:rsid w:val="00AB37B9"/>
    <w:rsid w:val="00AB4439"/>
    <w:rsid w:val="00AB4AD1"/>
    <w:rsid w:val="00AB4EFE"/>
    <w:rsid w:val="00AB5435"/>
    <w:rsid w:val="00AB5E07"/>
    <w:rsid w:val="00AB62D5"/>
    <w:rsid w:val="00AB7CFA"/>
    <w:rsid w:val="00AB7DEF"/>
    <w:rsid w:val="00AC1E69"/>
    <w:rsid w:val="00AC2FB0"/>
    <w:rsid w:val="00AC56BC"/>
    <w:rsid w:val="00AC5B48"/>
    <w:rsid w:val="00AC7055"/>
    <w:rsid w:val="00AC77BD"/>
    <w:rsid w:val="00AD0A66"/>
    <w:rsid w:val="00AD1450"/>
    <w:rsid w:val="00AD380D"/>
    <w:rsid w:val="00AD3F42"/>
    <w:rsid w:val="00AD4902"/>
    <w:rsid w:val="00AD4A22"/>
    <w:rsid w:val="00AD4D7D"/>
    <w:rsid w:val="00AD6502"/>
    <w:rsid w:val="00AE0695"/>
    <w:rsid w:val="00AE195C"/>
    <w:rsid w:val="00AE25C0"/>
    <w:rsid w:val="00AE31CA"/>
    <w:rsid w:val="00AE31D2"/>
    <w:rsid w:val="00AE3E7E"/>
    <w:rsid w:val="00AE4053"/>
    <w:rsid w:val="00AE630B"/>
    <w:rsid w:val="00AE727A"/>
    <w:rsid w:val="00AF0B07"/>
    <w:rsid w:val="00AF0BD9"/>
    <w:rsid w:val="00AF1244"/>
    <w:rsid w:val="00AF1315"/>
    <w:rsid w:val="00AF19BF"/>
    <w:rsid w:val="00AF2A58"/>
    <w:rsid w:val="00AF2DC3"/>
    <w:rsid w:val="00AF321E"/>
    <w:rsid w:val="00AF490E"/>
    <w:rsid w:val="00AF4D4E"/>
    <w:rsid w:val="00AF50A8"/>
    <w:rsid w:val="00AF61F5"/>
    <w:rsid w:val="00AF7AC5"/>
    <w:rsid w:val="00AF7C7E"/>
    <w:rsid w:val="00AF7E50"/>
    <w:rsid w:val="00AF7FEE"/>
    <w:rsid w:val="00B00270"/>
    <w:rsid w:val="00B01153"/>
    <w:rsid w:val="00B01572"/>
    <w:rsid w:val="00B01B30"/>
    <w:rsid w:val="00B0223E"/>
    <w:rsid w:val="00B026C1"/>
    <w:rsid w:val="00B033E5"/>
    <w:rsid w:val="00B0398B"/>
    <w:rsid w:val="00B03A63"/>
    <w:rsid w:val="00B04FCC"/>
    <w:rsid w:val="00B0550E"/>
    <w:rsid w:val="00B06607"/>
    <w:rsid w:val="00B06B81"/>
    <w:rsid w:val="00B10697"/>
    <w:rsid w:val="00B10820"/>
    <w:rsid w:val="00B10857"/>
    <w:rsid w:val="00B11084"/>
    <w:rsid w:val="00B12722"/>
    <w:rsid w:val="00B13B08"/>
    <w:rsid w:val="00B13FF5"/>
    <w:rsid w:val="00B1537A"/>
    <w:rsid w:val="00B15DDD"/>
    <w:rsid w:val="00B16930"/>
    <w:rsid w:val="00B17790"/>
    <w:rsid w:val="00B201A4"/>
    <w:rsid w:val="00B201D1"/>
    <w:rsid w:val="00B2027C"/>
    <w:rsid w:val="00B213A6"/>
    <w:rsid w:val="00B23577"/>
    <w:rsid w:val="00B235B0"/>
    <w:rsid w:val="00B24DF6"/>
    <w:rsid w:val="00B26C3F"/>
    <w:rsid w:val="00B30709"/>
    <w:rsid w:val="00B30895"/>
    <w:rsid w:val="00B316B8"/>
    <w:rsid w:val="00B3197D"/>
    <w:rsid w:val="00B33336"/>
    <w:rsid w:val="00B34074"/>
    <w:rsid w:val="00B3462E"/>
    <w:rsid w:val="00B34C22"/>
    <w:rsid w:val="00B34C2E"/>
    <w:rsid w:val="00B34FE2"/>
    <w:rsid w:val="00B35166"/>
    <w:rsid w:val="00B357D8"/>
    <w:rsid w:val="00B360F4"/>
    <w:rsid w:val="00B36872"/>
    <w:rsid w:val="00B36A00"/>
    <w:rsid w:val="00B37092"/>
    <w:rsid w:val="00B371F4"/>
    <w:rsid w:val="00B37BFC"/>
    <w:rsid w:val="00B40358"/>
    <w:rsid w:val="00B409D6"/>
    <w:rsid w:val="00B41060"/>
    <w:rsid w:val="00B41614"/>
    <w:rsid w:val="00B42851"/>
    <w:rsid w:val="00B42DC6"/>
    <w:rsid w:val="00B42F80"/>
    <w:rsid w:val="00B42FF0"/>
    <w:rsid w:val="00B435CB"/>
    <w:rsid w:val="00B44357"/>
    <w:rsid w:val="00B44902"/>
    <w:rsid w:val="00B452C4"/>
    <w:rsid w:val="00B46CFE"/>
    <w:rsid w:val="00B47751"/>
    <w:rsid w:val="00B505C8"/>
    <w:rsid w:val="00B50DB8"/>
    <w:rsid w:val="00B50F40"/>
    <w:rsid w:val="00B51080"/>
    <w:rsid w:val="00B51A53"/>
    <w:rsid w:val="00B527D2"/>
    <w:rsid w:val="00B53654"/>
    <w:rsid w:val="00B53905"/>
    <w:rsid w:val="00B54B5B"/>
    <w:rsid w:val="00B5562E"/>
    <w:rsid w:val="00B55D65"/>
    <w:rsid w:val="00B57000"/>
    <w:rsid w:val="00B60799"/>
    <w:rsid w:val="00B60939"/>
    <w:rsid w:val="00B60AFD"/>
    <w:rsid w:val="00B61D37"/>
    <w:rsid w:val="00B62715"/>
    <w:rsid w:val="00B628F2"/>
    <w:rsid w:val="00B62F3D"/>
    <w:rsid w:val="00B6455D"/>
    <w:rsid w:val="00B651EF"/>
    <w:rsid w:val="00B65611"/>
    <w:rsid w:val="00B665FF"/>
    <w:rsid w:val="00B669F1"/>
    <w:rsid w:val="00B67A2B"/>
    <w:rsid w:val="00B67DA1"/>
    <w:rsid w:val="00B70D74"/>
    <w:rsid w:val="00B70E8E"/>
    <w:rsid w:val="00B72254"/>
    <w:rsid w:val="00B7552F"/>
    <w:rsid w:val="00B75887"/>
    <w:rsid w:val="00B76C92"/>
    <w:rsid w:val="00B77862"/>
    <w:rsid w:val="00B77D3D"/>
    <w:rsid w:val="00B818A4"/>
    <w:rsid w:val="00B81E85"/>
    <w:rsid w:val="00B82346"/>
    <w:rsid w:val="00B84117"/>
    <w:rsid w:val="00B84DB3"/>
    <w:rsid w:val="00B858F0"/>
    <w:rsid w:val="00B85AA2"/>
    <w:rsid w:val="00B863A1"/>
    <w:rsid w:val="00B8649C"/>
    <w:rsid w:val="00B8695D"/>
    <w:rsid w:val="00B86B75"/>
    <w:rsid w:val="00B87DD2"/>
    <w:rsid w:val="00B87F0A"/>
    <w:rsid w:val="00B90237"/>
    <w:rsid w:val="00B9083F"/>
    <w:rsid w:val="00B9088E"/>
    <w:rsid w:val="00B9227C"/>
    <w:rsid w:val="00B92D0B"/>
    <w:rsid w:val="00B93078"/>
    <w:rsid w:val="00B934EA"/>
    <w:rsid w:val="00B94945"/>
    <w:rsid w:val="00B94DD6"/>
    <w:rsid w:val="00B95A3B"/>
    <w:rsid w:val="00B962D4"/>
    <w:rsid w:val="00B9764A"/>
    <w:rsid w:val="00BA2DDF"/>
    <w:rsid w:val="00BA2E42"/>
    <w:rsid w:val="00BA322D"/>
    <w:rsid w:val="00BA383F"/>
    <w:rsid w:val="00BA5A1E"/>
    <w:rsid w:val="00BA63FA"/>
    <w:rsid w:val="00BA7F75"/>
    <w:rsid w:val="00BB00B3"/>
    <w:rsid w:val="00BB04B1"/>
    <w:rsid w:val="00BB0BDD"/>
    <w:rsid w:val="00BB176C"/>
    <w:rsid w:val="00BB27A4"/>
    <w:rsid w:val="00BB2A73"/>
    <w:rsid w:val="00BB3325"/>
    <w:rsid w:val="00BB3A45"/>
    <w:rsid w:val="00BB4ACC"/>
    <w:rsid w:val="00BB4B50"/>
    <w:rsid w:val="00BB703E"/>
    <w:rsid w:val="00BB732D"/>
    <w:rsid w:val="00BB7405"/>
    <w:rsid w:val="00BB746F"/>
    <w:rsid w:val="00BC03B5"/>
    <w:rsid w:val="00BC09AC"/>
    <w:rsid w:val="00BC2A6B"/>
    <w:rsid w:val="00BC3631"/>
    <w:rsid w:val="00BC3FAE"/>
    <w:rsid w:val="00BC47CA"/>
    <w:rsid w:val="00BC482B"/>
    <w:rsid w:val="00BC4E08"/>
    <w:rsid w:val="00BC591F"/>
    <w:rsid w:val="00BC78B4"/>
    <w:rsid w:val="00BC7D6D"/>
    <w:rsid w:val="00BD0C57"/>
    <w:rsid w:val="00BD1A32"/>
    <w:rsid w:val="00BD2108"/>
    <w:rsid w:val="00BD2618"/>
    <w:rsid w:val="00BD39A3"/>
    <w:rsid w:val="00BD3A31"/>
    <w:rsid w:val="00BD3D58"/>
    <w:rsid w:val="00BD3F00"/>
    <w:rsid w:val="00BD484B"/>
    <w:rsid w:val="00BD487B"/>
    <w:rsid w:val="00BD5F64"/>
    <w:rsid w:val="00BD6238"/>
    <w:rsid w:val="00BD68A3"/>
    <w:rsid w:val="00BD6938"/>
    <w:rsid w:val="00BD6B27"/>
    <w:rsid w:val="00BD6CF3"/>
    <w:rsid w:val="00BD76F3"/>
    <w:rsid w:val="00BD7E5A"/>
    <w:rsid w:val="00BE02B6"/>
    <w:rsid w:val="00BE0ECA"/>
    <w:rsid w:val="00BE202A"/>
    <w:rsid w:val="00BE2180"/>
    <w:rsid w:val="00BE21F2"/>
    <w:rsid w:val="00BE32A5"/>
    <w:rsid w:val="00BE3B58"/>
    <w:rsid w:val="00BE4275"/>
    <w:rsid w:val="00BE55C4"/>
    <w:rsid w:val="00BE6A8C"/>
    <w:rsid w:val="00BE7FC2"/>
    <w:rsid w:val="00BF06AE"/>
    <w:rsid w:val="00BF0F95"/>
    <w:rsid w:val="00BF195C"/>
    <w:rsid w:val="00BF1D3C"/>
    <w:rsid w:val="00BF2433"/>
    <w:rsid w:val="00BF25BB"/>
    <w:rsid w:val="00BF30AA"/>
    <w:rsid w:val="00BF393E"/>
    <w:rsid w:val="00BF4AC0"/>
    <w:rsid w:val="00BF57FD"/>
    <w:rsid w:val="00BF61C9"/>
    <w:rsid w:val="00BF64CF"/>
    <w:rsid w:val="00BF6557"/>
    <w:rsid w:val="00BF677E"/>
    <w:rsid w:val="00BF6C94"/>
    <w:rsid w:val="00BF70B3"/>
    <w:rsid w:val="00BF734C"/>
    <w:rsid w:val="00C002D2"/>
    <w:rsid w:val="00C00424"/>
    <w:rsid w:val="00C0074E"/>
    <w:rsid w:val="00C01A47"/>
    <w:rsid w:val="00C020B5"/>
    <w:rsid w:val="00C027C2"/>
    <w:rsid w:val="00C02912"/>
    <w:rsid w:val="00C02CDF"/>
    <w:rsid w:val="00C0332E"/>
    <w:rsid w:val="00C03B27"/>
    <w:rsid w:val="00C03EFF"/>
    <w:rsid w:val="00C04AC2"/>
    <w:rsid w:val="00C05044"/>
    <w:rsid w:val="00C05A92"/>
    <w:rsid w:val="00C05D3A"/>
    <w:rsid w:val="00C07FF8"/>
    <w:rsid w:val="00C101B6"/>
    <w:rsid w:val="00C10355"/>
    <w:rsid w:val="00C111AA"/>
    <w:rsid w:val="00C1179F"/>
    <w:rsid w:val="00C11ABC"/>
    <w:rsid w:val="00C123D4"/>
    <w:rsid w:val="00C12C14"/>
    <w:rsid w:val="00C12D85"/>
    <w:rsid w:val="00C15BBE"/>
    <w:rsid w:val="00C15CC4"/>
    <w:rsid w:val="00C15F04"/>
    <w:rsid w:val="00C1616D"/>
    <w:rsid w:val="00C16315"/>
    <w:rsid w:val="00C179B3"/>
    <w:rsid w:val="00C17CB5"/>
    <w:rsid w:val="00C17E3F"/>
    <w:rsid w:val="00C200AA"/>
    <w:rsid w:val="00C20C12"/>
    <w:rsid w:val="00C2101D"/>
    <w:rsid w:val="00C21493"/>
    <w:rsid w:val="00C23572"/>
    <w:rsid w:val="00C236F8"/>
    <w:rsid w:val="00C237ED"/>
    <w:rsid w:val="00C23CD6"/>
    <w:rsid w:val="00C24632"/>
    <w:rsid w:val="00C24863"/>
    <w:rsid w:val="00C25369"/>
    <w:rsid w:val="00C25418"/>
    <w:rsid w:val="00C25D59"/>
    <w:rsid w:val="00C25D9C"/>
    <w:rsid w:val="00C26C9D"/>
    <w:rsid w:val="00C2778B"/>
    <w:rsid w:val="00C31403"/>
    <w:rsid w:val="00C31649"/>
    <w:rsid w:val="00C31744"/>
    <w:rsid w:val="00C31FF3"/>
    <w:rsid w:val="00C32AFD"/>
    <w:rsid w:val="00C3306D"/>
    <w:rsid w:val="00C330F4"/>
    <w:rsid w:val="00C33B6D"/>
    <w:rsid w:val="00C33D02"/>
    <w:rsid w:val="00C3434C"/>
    <w:rsid w:val="00C35824"/>
    <w:rsid w:val="00C35FB2"/>
    <w:rsid w:val="00C3707B"/>
    <w:rsid w:val="00C377A9"/>
    <w:rsid w:val="00C40385"/>
    <w:rsid w:val="00C40BB7"/>
    <w:rsid w:val="00C41768"/>
    <w:rsid w:val="00C41931"/>
    <w:rsid w:val="00C4193A"/>
    <w:rsid w:val="00C438BA"/>
    <w:rsid w:val="00C43A83"/>
    <w:rsid w:val="00C44881"/>
    <w:rsid w:val="00C44E4C"/>
    <w:rsid w:val="00C44FBE"/>
    <w:rsid w:val="00C45839"/>
    <w:rsid w:val="00C475AA"/>
    <w:rsid w:val="00C50084"/>
    <w:rsid w:val="00C53493"/>
    <w:rsid w:val="00C53A27"/>
    <w:rsid w:val="00C53C98"/>
    <w:rsid w:val="00C5482C"/>
    <w:rsid w:val="00C55070"/>
    <w:rsid w:val="00C555E0"/>
    <w:rsid w:val="00C56FCF"/>
    <w:rsid w:val="00C57B6C"/>
    <w:rsid w:val="00C61C5B"/>
    <w:rsid w:val="00C628A6"/>
    <w:rsid w:val="00C62A5C"/>
    <w:rsid w:val="00C62E23"/>
    <w:rsid w:val="00C63A13"/>
    <w:rsid w:val="00C64319"/>
    <w:rsid w:val="00C64344"/>
    <w:rsid w:val="00C65108"/>
    <w:rsid w:val="00C65576"/>
    <w:rsid w:val="00C65844"/>
    <w:rsid w:val="00C65C73"/>
    <w:rsid w:val="00C66165"/>
    <w:rsid w:val="00C665E5"/>
    <w:rsid w:val="00C66D7D"/>
    <w:rsid w:val="00C673F6"/>
    <w:rsid w:val="00C67F68"/>
    <w:rsid w:val="00C7060A"/>
    <w:rsid w:val="00C7123D"/>
    <w:rsid w:val="00C7151A"/>
    <w:rsid w:val="00C717E3"/>
    <w:rsid w:val="00C71987"/>
    <w:rsid w:val="00C71F2F"/>
    <w:rsid w:val="00C71F60"/>
    <w:rsid w:val="00C72241"/>
    <w:rsid w:val="00C724A3"/>
    <w:rsid w:val="00C7378A"/>
    <w:rsid w:val="00C746E6"/>
    <w:rsid w:val="00C750C8"/>
    <w:rsid w:val="00C7560F"/>
    <w:rsid w:val="00C75978"/>
    <w:rsid w:val="00C765A8"/>
    <w:rsid w:val="00C768BB"/>
    <w:rsid w:val="00C80A0E"/>
    <w:rsid w:val="00C80B38"/>
    <w:rsid w:val="00C8195E"/>
    <w:rsid w:val="00C81976"/>
    <w:rsid w:val="00C81A9A"/>
    <w:rsid w:val="00C8213F"/>
    <w:rsid w:val="00C84C37"/>
    <w:rsid w:val="00C84EBD"/>
    <w:rsid w:val="00C84EF8"/>
    <w:rsid w:val="00C85154"/>
    <w:rsid w:val="00C867F6"/>
    <w:rsid w:val="00C86A7E"/>
    <w:rsid w:val="00C86ED4"/>
    <w:rsid w:val="00C8797A"/>
    <w:rsid w:val="00C900B8"/>
    <w:rsid w:val="00C908C1"/>
    <w:rsid w:val="00C90C71"/>
    <w:rsid w:val="00C90F25"/>
    <w:rsid w:val="00C91143"/>
    <w:rsid w:val="00C9158C"/>
    <w:rsid w:val="00C91FD1"/>
    <w:rsid w:val="00C931CF"/>
    <w:rsid w:val="00C938CF"/>
    <w:rsid w:val="00C93B6D"/>
    <w:rsid w:val="00C94053"/>
    <w:rsid w:val="00C94ADA"/>
    <w:rsid w:val="00C95A11"/>
    <w:rsid w:val="00C9624D"/>
    <w:rsid w:val="00C969DA"/>
    <w:rsid w:val="00C97748"/>
    <w:rsid w:val="00C977AC"/>
    <w:rsid w:val="00C97A1A"/>
    <w:rsid w:val="00CA14AF"/>
    <w:rsid w:val="00CA1986"/>
    <w:rsid w:val="00CA23B1"/>
    <w:rsid w:val="00CA2C77"/>
    <w:rsid w:val="00CA3979"/>
    <w:rsid w:val="00CA425D"/>
    <w:rsid w:val="00CA43DD"/>
    <w:rsid w:val="00CA444F"/>
    <w:rsid w:val="00CA5245"/>
    <w:rsid w:val="00CA5886"/>
    <w:rsid w:val="00CA71F4"/>
    <w:rsid w:val="00CA7901"/>
    <w:rsid w:val="00CA7B09"/>
    <w:rsid w:val="00CB08D8"/>
    <w:rsid w:val="00CB0B58"/>
    <w:rsid w:val="00CB0BBD"/>
    <w:rsid w:val="00CB12A5"/>
    <w:rsid w:val="00CB1614"/>
    <w:rsid w:val="00CB1CAC"/>
    <w:rsid w:val="00CB2956"/>
    <w:rsid w:val="00CB2F2A"/>
    <w:rsid w:val="00CB37CF"/>
    <w:rsid w:val="00CB3EE5"/>
    <w:rsid w:val="00CB4982"/>
    <w:rsid w:val="00CB50AA"/>
    <w:rsid w:val="00CB5B1A"/>
    <w:rsid w:val="00CB66E5"/>
    <w:rsid w:val="00CB6B22"/>
    <w:rsid w:val="00CB7A59"/>
    <w:rsid w:val="00CB7F5F"/>
    <w:rsid w:val="00CC0ED0"/>
    <w:rsid w:val="00CC188E"/>
    <w:rsid w:val="00CC18EB"/>
    <w:rsid w:val="00CC1B39"/>
    <w:rsid w:val="00CC2373"/>
    <w:rsid w:val="00CC2425"/>
    <w:rsid w:val="00CC2F1A"/>
    <w:rsid w:val="00CC35EA"/>
    <w:rsid w:val="00CC3848"/>
    <w:rsid w:val="00CC5149"/>
    <w:rsid w:val="00CC7AF7"/>
    <w:rsid w:val="00CD0E35"/>
    <w:rsid w:val="00CD0F20"/>
    <w:rsid w:val="00CD1ACE"/>
    <w:rsid w:val="00CD2E12"/>
    <w:rsid w:val="00CD2E98"/>
    <w:rsid w:val="00CD3621"/>
    <w:rsid w:val="00CD379C"/>
    <w:rsid w:val="00CD3F69"/>
    <w:rsid w:val="00CD3F77"/>
    <w:rsid w:val="00CD45C1"/>
    <w:rsid w:val="00CD47B3"/>
    <w:rsid w:val="00CD4D5D"/>
    <w:rsid w:val="00CD6178"/>
    <w:rsid w:val="00CD6ADC"/>
    <w:rsid w:val="00CD7193"/>
    <w:rsid w:val="00CD7E90"/>
    <w:rsid w:val="00CE0F86"/>
    <w:rsid w:val="00CE110D"/>
    <w:rsid w:val="00CE1A90"/>
    <w:rsid w:val="00CE1C2B"/>
    <w:rsid w:val="00CE317A"/>
    <w:rsid w:val="00CE38C8"/>
    <w:rsid w:val="00CE3E25"/>
    <w:rsid w:val="00CE47F2"/>
    <w:rsid w:val="00CE506B"/>
    <w:rsid w:val="00CE5927"/>
    <w:rsid w:val="00CE6274"/>
    <w:rsid w:val="00CE77B6"/>
    <w:rsid w:val="00CF0F5C"/>
    <w:rsid w:val="00CF15F1"/>
    <w:rsid w:val="00CF2177"/>
    <w:rsid w:val="00CF2B2C"/>
    <w:rsid w:val="00CF2B8D"/>
    <w:rsid w:val="00CF456B"/>
    <w:rsid w:val="00CF4978"/>
    <w:rsid w:val="00CF533F"/>
    <w:rsid w:val="00CF5A22"/>
    <w:rsid w:val="00CF6F22"/>
    <w:rsid w:val="00D00B69"/>
    <w:rsid w:val="00D02033"/>
    <w:rsid w:val="00D0262E"/>
    <w:rsid w:val="00D0428D"/>
    <w:rsid w:val="00D04440"/>
    <w:rsid w:val="00D04729"/>
    <w:rsid w:val="00D05CA3"/>
    <w:rsid w:val="00D05E3D"/>
    <w:rsid w:val="00D06139"/>
    <w:rsid w:val="00D067F8"/>
    <w:rsid w:val="00D10D00"/>
    <w:rsid w:val="00D110BD"/>
    <w:rsid w:val="00D1129A"/>
    <w:rsid w:val="00D11687"/>
    <w:rsid w:val="00D13675"/>
    <w:rsid w:val="00D13F2E"/>
    <w:rsid w:val="00D141E1"/>
    <w:rsid w:val="00D1522C"/>
    <w:rsid w:val="00D15314"/>
    <w:rsid w:val="00D157EE"/>
    <w:rsid w:val="00D15EEB"/>
    <w:rsid w:val="00D16E6F"/>
    <w:rsid w:val="00D16F3E"/>
    <w:rsid w:val="00D17D6C"/>
    <w:rsid w:val="00D2155B"/>
    <w:rsid w:val="00D23D11"/>
    <w:rsid w:val="00D244B6"/>
    <w:rsid w:val="00D24722"/>
    <w:rsid w:val="00D2508C"/>
    <w:rsid w:val="00D26150"/>
    <w:rsid w:val="00D26538"/>
    <w:rsid w:val="00D26B03"/>
    <w:rsid w:val="00D26F86"/>
    <w:rsid w:val="00D27480"/>
    <w:rsid w:val="00D2754D"/>
    <w:rsid w:val="00D276F7"/>
    <w:rsid w:val="00D2777A"/>
    <w:rsid w:val="00D27B27"/>
    <w:rsid w:val="00D30380"/>
    <w:rsid w:val="00D30B35"/>
    <w:rsid w:val="00D316CE"/>
    <w:rsid w:val="00D31983"/>
    <w:rsid w:val="00D31D1A"/>
    <w:rsid w:val="00D327FA"/>
    <w:rsid w:val="00D32BDA"/>
    <w:rsid w:val="00D33900"/>
    <w:rsid w:val="00D33BE9"/>
    <w:rsid w:val="00D33F93"/>
    <w:rsid w:val="00D34F46"/>
    <w:rsid w:val="00D357FF"/>
    <w:rsid w:val="00D359FE"/>
    <w:rsid w:val="00D41314"/>
    <w:rsid w:val="00D41482"/>
    <w:rsid w:val="00D4170E"/>
    <w:rsid w:val="00D41F0D"/>
    <w:rsid w:val="00D41F99"/>
    <w:rsid w:val="00D424C7"/>
    <w:rsid w:val="00D42C8D"/>
    <w:rsid w:val="00D4344B"/>
    <w:rsid w:val="00D43B2A"/>
    <w:rsid w:val="00D43D83"/>
    <w:rsid w:val="00D44815"/>
    <w:rsid w:val="00D450D7"/>
    <w:rsid w:val="00D45A31"/>
    <w:rsid w:val="00D47575"/>
    <w:rsid w:val="00D51326"/>
    <w:rsid w:val="00D5243B"/>
    <w:rsid w:val="00D53212"/>
    <w:rsid w:val="00D533EC"/>
    <w:rsid w:val="00D55DBB"/>
    <w:rsid w:val="00D56026"/>
    <w:rsid w:val="00D56A95"/>
    <w:rsid w:val="00D56CE0"/>
    <w:rsid w:val="00D57597"/>
    <w:rsid w:val="00D5771A"/>
    <w:rsid w:val="00D57C2E"/>
    <w:rsid w:val="00D60EFB"/>
    <w:rsid w:val="00D613B1"/>
    <w:rsid w:val="00D61519"/>
    <w:rsid w:val="00D61CE2"/>
    <w:rsid w:val="00D627A4"/>
    <w:rsid w:val="00D63C3B"/>
    <w:rsid w:val="00D63D19"/>
    <w:rsid w:val="00D63D23"/>
    <w:rsid w:val="00D64DE3"/>
    <w:rsid w:val="00D65F8B"/>
    <w:rsid w:val="00D663FB"/>
    <w:rsid w:val="00D671BF"/>
    <w:rsid w:val="00D70204"/>
    <w:rsid w:val="00D70AAA"/>
    <w:rsid w:val="00D70F16"/>
    <w:rsid w:val="00D711D1"/>
    <w:rsid w:val="00D71555"/>
    <w:rsid w:val="00D72970"/>
    <w:rsid w:val="00D72BEF"/>
    <w:rsid w:val="00D72F57"/>
    <w:rsid w:val="00D73D0D"/>
    <w:rsid w:val="00D7476A"/>
    <w:rsid w:val="00D747CD"/>
    <w:rsid w:val="00D75062"/>
    <w:rsid w:val="00D750B3"/>
    <w:rsid w:val="00D75825"/>
    <w:rsid w:val="00D76A44"/>
    <w:rsid w:val="00D774F4"/>
    <w:rsid w:val="00D778E0"/>
    <w:rsid w:val="00D815EF"/>
    <w:rsid w:val="00D81640"/>
    <w:rsid w:val="00D81DC6"/>
    <w:rsid w:val="00D81F26"/>
    <w:rsid w:val="00D83294"/>
    <w:rsid w:val="00D8447C"/>
    <w:rsid w:val="00D85357"/>
    <w:rsid w:val="00D85614"/>
    <w:rsid w:val="00D8614D"/>
    <w:rsid w:val="00D86231"/>
    <w:rsid w:val="00D87D2F"/>
    <w:rsid w:val="00D90858"/>
    <w:rsid w:val="00D9179B"/>
    <w:rsid w:val="00D91923"/>
    <w:rsid w:val="00D91F43"/>
    <w:rsid w:val="00D921CB"/>
    <w:rsid w:val="00D92FCE"/>
    <w:rsid w:val="00D93753"/>
    <w:rsid w:val="00D94646"/>
    <w:rsid w:val="00D94AC6"/>
    <w:rsid w:val="00D957C0"/>
    <w:rsid w:val="00D972CB"/>
    <w:rsid w:val="00D97738"/>
    <w:rsid w:val="00D97B31"/>
    <w:rsid w:val="00DA02FB"/>
    <w:rsid w:val="00DA0441"/>
    <w:rsid w:val="00DA1DBE"/>
    <w:rsid w:val="00DA22D4"/>
    <w:rsid w:val="00DA2687"/>
    <w:rsid w:val="00DA2A3E"/>
    <w:rsid w:val="00DA2D8D"/>
    <w:rsid w:val="00DA3167"/>
    <w:rsid w:val="00DA3F8C"/>
    <w:rsid w:val="00DA43F2"/>
    <w:rsid w:val="00DA4706"/>
    <w:rsid w:val="00DA4A76"/>
    <w:rsid w:val="00DA4DC3"/>
    <w:rsid w:val="00DA77A5"/>
    <w:rsid w:val="00DA7C5F"/>
    <w:rsid w:val="00DB33C3"/>
    <w:rsid w:val="00DB36CC"/>
    <w:rsid w:val="00DB3DBF"/>
    <w:rsid w:val="00DB484F"/>
    <w:rsid w:val="00DB49E3"/>
    <w:rsid w:val="00DB4C65"/>
    <w:rsid w:val="00DB5CF8"/>
    <w:rsid w:val="00DB5E0C"/>
    <w:rsid w:val="00DB6BEA"/>
    <w:rsid w:val="00DC04F6"/>
    <w:rsid w:val="00DC0690"/>
    <w:rsid w:val="00DC1D65"/>
    <w:rsid w:val="00DC2C6F"/>
    <w:rsid w:val="00DC3C57"/>
    <w:rsid w:val="00DC4A47"/>
    <w:rsid w:val="00DC4DC8"/>
    <w:rsid w:val="00DC4F90"/>
    <w:rsid w:val="00DC5501"/>
    <w:rsid w:val="00DC5697"/>
    <w:rsid w:val="00DC5C54"/>
    <w:rsid w:val="00DC619B"/>
    <w:rsid w:val="00DC623C"/>
    <w:rsid w:val="00DC7154"/>
    <w:rsid w:val="00DC7E8A"/>
    <w:rsid w:val="00DD06BD"/>
    <w:rsid w:val="00DD0F78"/>
    <w:rsid w:val="00DD1847"/>
    <w:rsid w:val="00DD249B"/>
    <w:rsid w:val="00DD273C"/>
    <w:rsid w:val="00DD3F28"/>
    <w:rsid w:val="00DD4537"/>
    <w:rsid w:val="00DD4D65"/>
    <w:rsid w:val="00DD4E15"/>
    <w:rsid w:val="00DD515A"/>
    <w:rsid w:val="00DD53E0"/>
    <w:rsid w:val="00DD55C9"/>
    <w:rsid w:val="00DD78E4"/>
    <w:rsid w:val="00DD7BD2"/>
    <w:rsid w:val="00DE1A2B"/>
    <w:rsid w:val="00DE2304"/>
    <w:rsid w:val="00DE2771"/>
    <w:rsid w:val="00DE3138"/>
    <w:rsid w:val="00DE37F8"/>
    <w:rsid w:val="00DE3C04"/>
    <w:rsid w:val="00DE3E37"/>
    <w:rsid w:val="00DE4FCB"/>
    <w:rsid w:val="00DE58E3"/>
    <w:rsid w:val="00DE5D07"/>
    <w:rsid w:val="00DE6A4B"/>
    <w:rsid w:val="00DE72A7"/>
    <w:rsid w:val="00DE74C8"/>
    <w:rsid w:val="00DE76E6"/>
    <w:rsid w:val="00DE7832"/>
    <w:rsid w:val="00DF103D"/>
    <w:rsid w:val="00DF18D5"/>
    <w:rsid w:val="00DF18FC"/>
    <w:rsid w:val="00DF5288"/>
    <w:rsid w:val="00DF53BB"/>
    <w:rsid w:val="00DF5D2B"/>
    <w:rsid w:val="00DF7473"/>
    <w:rsid w:val="00E00E8E"/>
    <w:rsid w:val="00E019CB"/>
    <w:rsid w:val="00E02451"/>
    <w:rsid w:val="00E02784"/>
    <w:rsid w:val="00E03353"/>
    <w:rsid w:val="00E03478"/>
    <w:rsid w:val="00E03D76"/>
    <w:rsid w:val="00E04C48"/>
    <w:rsid w:val="00E05630"/>
    <w:rsid w:val="00E0605C"/>
    <w:rsid w:val="00E06DBB"/>
    <w:rsid w:val="00E07E4E"/>
    <w:rsid w:val="00E10149"/>
    <w:rsid w:val="00E11340"/>
    <w:rsid w:val="00E1168D"/>
    <w:rsid w:val="00E122A1"/>
    <w:rsid w:val="00E12995"/>
    <w:rsid w:val="00E134F7"/>
    <w:rsid w:val="00E13C62"/>
    <w:rsid w:val="00E14DC1"/>
    <w:rsid w:val="00E16372"/>
    <w:rsid w:val="00E163DE"/>
    <w:rsid w:val="00E16BFC"/>
    <w:rsid w:val="00E17057"/>
    <w:rsid w:val="00E20E4D"/>
    <w:rsid w:val="00E20ED6"/>
    <w:rsid w:val="00E20FBE"/>
    <w:rsid w:val="00E21358"/>
    <w:rsid w:val="00E215DA"/>
    <w:rsid w:val="00E21EB9"/>
    <w:rsid w:val="00E2249B"/>
    <w:rsid w:val="00E22A0D"/>
    <w:rsid w:val="00E23386"/>
    <w:rsid w:val="00E23818"/>
    <w:rsid w:val="00E23C51"/>
    <w:rsid w:val="00E244F6"/>
    <w:rsid w:val="00E24B27"/>
    <w:rsid w:val="00E25561"/>
    <w:rsid w:val="00E25D8A"/>
    <w:rsid w:val="00E26475"/>
    <w:rsid w:val="00E265A7"/>
    <w:rsid w:val="00E27121"/>
    <w:rsid w:val="00E2771E"/>
    <w:rsid w:val="00E27ED5"/>
    <w:rsid w:val="00E30D66"/>
    <w:rsid w:val="00E311EF"/>
    <w:rsid w:val="00E31A3E"/>
    <w:rsid w:val="00E32180"/>
    <w:rsid w:val="00E328B0"/>
    <w:rsid w:val="00E32A78"/>
    <w:rsid w:val="00E32D52"/>
    <w:rsid w:val="00E339E3"/>
    <w:rsid w:val="00E33F5B"/>
    <w:rsid w:val="00E34948"/>
    <w:rsid w:val="00E34EFC"/>
    <w:rsid w:val="00E35A5E"/>
    <w:rsid w:val="00E35D93"/>
    <w:rsid w:val="00E3700C"/>
    <w:rsid w:val="00E37569"/>
    <w:rsid w:val="00E379FA"/>
    <w:rsid w:val="00E400F2"/>
    <w:rsid w:val="00E401B2"/>
    <w:rsid w:val="00E40692"/>
    <w:rsid w:val="00E41E30"/>
    <w:rsid w:val="00E4252A"/>
    <w:rsid w:val="00E428A1"/>
    <w:rsid w:val="00E42B6A"/>
    <w:rsid w:val="00E42C0F"/>
    <w:rsid w:val="00E42F73"/>
    <w:rsid w:val="00E43D70"/>
    <w:rsid w:val="00E466F3"/>
    <w:rsid w:val="00E4694B"/>
    <w:rsid w:val="00E47B2C"/>
    <w:rsid w:val="00E5085C"/>
    <w:rsid w:val="00E509BB"/>
    <w:rsid w:val="00E50F7D"/>
    <w:rsid w:val="00E51560"/>
    <w:rsid w:val="00E52761"/>
    <w:rsid w:val="00E53548"/>
    <w:rsid w:val="00E5398F"/>
    <w:rsid w:val="00E53AA3"/>
    <w:rsid w:val="00E53FC8"/>
    <w:rsid w:val="00E54347"/>
    <w:rsid w:val="00E547B8"/>
    <w:rsid w:val="00E54BA7"/>
    <w:rsid w:val="00E55424"/>
    <w:rsid w:val="00E55915"/>
    <w:rsid w:val="00E55BB5"/>
    <w:rsid w:val="00E577AE"/>
    <w:rsid w:val="00E5791E"/>
    <w:rsid w:val="00E60435"/>
    <w:rsid w:val="00E60D9B"/>
    <w:rsid w:val="00E613E3"/>
    <w:rsid w:val="00E61CD6"/>
    <w:rsid w:val="00E62344"/>
    <w:rsid w:val="00E62F7B"/>
    <w:rsid w:val="00E63777"/>
    <w:rsid w:val="00E64B3F"/>
    <w:rsid w:val="00E64F1B"/>
    <w:rsid w:val="00E65888"/>
    <w:rsid w:val="00E65E79"/>
    <w:rsid w:val="00E66577"/>
    <w:rsid w:val="00E66A0F"/>
    <w:rsid w:val="00E66BA2"/>
    <w:rsid w:val="00E6736B"/>
    <w:rsid w:val="00E67416"/>
    <w:rsid w:val="00E67F74"/>
    <w:rsid w:val="00E7058E"/>
    <w:rsid w:val="00E718B6"/>
    <w:rsid w:val="00E723BA"/>
    <w:rsid w:val="00E72EF5"/>
    <w:rsid w:val="00E73581"/>
    <w:rsid w:val="00E739F4"/>
    <w:rsid w:val="00E75453"/>
    <w:rsid w:val="00E75CE6"/>
    <w:rsid w:val="00E75F75"/>
    <w:rsid w:val="00E75FC7"/>
    <w:rsid w:val="00E765C2"/>
    <w:rsid w:val="00E77680"/>
    <w:rsid w:val="00E80B04"/>
    <w:rsid w:val="00E80B0B"/>
    <w:rsid w:val="00E80F9F"/>
    <w:rsid w:val="00E82133"/>
    <w:rsid w:val="00E829DD"/>
    <w:rsid w:val="00E833F7"/>
    <w:rsid w:val="00E838AF"/>
    <w:rsid w:val="00E83BDF"/>
    <w:rsid w:val="00E87A1D"/>
    <w:rsid w:val="00E87C6E"/>
    <w:rsid w:val="00E90539"/>
    <w:rsid w:val="00E9078B"/>
    <w:rsid w:val="00E9094A"/>
    <w:rsid w:val="00E90E3A"/>
    <w:rsid w:val="00E91D35"/>
    <w:rsid w:val="00E923D3"/>
    <w:rsid w:val="00E926A5"/>
    <w:rsid w:val="00E93050"/>
    <w:rsid w:val="00E93907"/>
    <w:rsid w:val="00E93DF7"/>
    <w:rsid w:val="00E96BD6"/>
    <w:rsid w:val="00E96FE9"/>
    <w:rsid w:val="00E97829"/>
    <w:rsid w:val="00E9786D"/>
    <w:rsid w:val="00E97DEF"/>
    <w:rsid w:val="00EA0F54"/>
    <w:rsid w:val="00EA1672"/>
    <w:rsid w:val="00EA17C3"/>
    <w:rsid w:val="00EA2CAA"/>
    <w:rsid w:val="00EA312E"/>
    <w:rsid w:val="00EA375D"/>
    <w:rsid w:val="00EA3864"/>
    <w:rsid w:val="00EA39D0"/>
    <w:rsid w:val="00EA54E0"/>
    <w:rsid w:val="00EA633F"/>
    <w:rsid w:val="00EA7E66"/>
    <w:rsid w:val="00EA7F1C"/>
    <w:rsid w:val="00EB026B"/>
    <w:rsid w:val="00EB15B6"/>
    <w:rsid w:val="00EB3D06"/>
    <w:rsid w:val="00EB48C6"/>
    <w:rsid w:val="00EB4916"/>
    <w:rsid w:val="00EB4AA9"/>
    <w:rsid w:val="00EB628D"/>
    <w:rsid w:val="00EB724E"/>
    <w:rsid w:val="00EC00C9"/>
    <w:rsid w:val="00EC0DD9"/>
    <w:rsid w:val="00EC128A"/>
    <w:rsid w:val="00EC1A41"/>
    <w:rsid w:val="00EC20E7"/>
    <w:rsid w:val="00EC214D"/>
    <w:rsid w:val="00EC2649"/>
    <w:rsid w:val="00EC2676"/>
    <w:rsid w:val="00EC31ED"/>
    <w:rsid w:val="00EC36B3"/>
    <w:rsid w:val="00EC4683"/>
    <w:rsid w:val="00EC4EDC"/>
    <w:rsid w:val="00EC531D"/>
    <w:rsid w:val="00EC5836"/>
    <w:rsid w:val="00EC688C"/>
    <w:rsid w:val="00ED009D"/>
    <w:rsid w:val="00ED193D"/>
    <w:rsid w:val="00ED3F0D"/>
    <w:rsid w:val="00ED56F5"/>
    <w:rsid w:val="00ED57EA"/>
    <w:rsid w:val="00ED5BD4"/>
    <w:rsid w:val="00ED5FFB"/>
    <w:rsid w:val="00ED6B43"/>
    <w:rsid w:val="00ED6D60"/>
    <w:rsid w:val="00ED7C2A"/>
    <w:rsid w:val="00ED7C80"/>
    <w:rsid w:val="00EE07D3"/>
    <w:rsid w:val="00EE16E0"/>
    <w:rsid w:val="00EE1996"/>
    <w:rsid w:val="00EE1C01"/>
    <w:rsid w:val="00EE22AF"/>
    <w:rsid w:val="00EE2C8D"/>
    <w:rsid w:val="00EE2F9C"/>
    <w:rsid w:val="00EE3067"/>
    <w:rsid w:val="00EE437A"/>
    <w:rsid w:val="00EE6678"/>
    <w:rsid w:val="00EE7864"/>
    <w:rsid w:val="00EE7D3F"/>
    <w:rsid w:val="00EF0171"/>
    <w:rsid w:val="00EF0F31"/>
    <w:rsid w:val="00EF15D8"/>
    <w:rsid w:val="00EF1B25"/>
    <w:rsid w:val="00EF1D1F"/>
    <w:rsid w:val="00EF1DA0"/>
    <w:rsid w:val="00EF3650"/>
    <w:rsid w:val="00EF3D8B"/>
    <w:rsid w:val="00EF41EE"/>
    <w:rsid w:val="00EF4305"/>
    <w:rsid w:val="00EF4747"/>
    <w:rsid w:val="00EF4BF8"/>
    <w:rsid w:val="00EF4E48"/>
    <w:rsid w:val="00EF4ED5"/>
    <w:rsid w:val="00EF500E"/>
    <w:rsid w:val="00EF5200"/>
    <w:rsid w:val="00EF5F2C"/>
    <w:rsid w:val="00EF7441"/>
    <w:rsid w:val="00EF7867"/>
    <w:rsid w:val="00F00112"/>
    <w:rsid w:val="00F00A6B"/>
    <w:rsid w:val="00F02253"/>
    <w:rsid w:val="00F03C2E"/>
    <w:rsid w:val="00F0424C"/>
    <w:rsid w:val="00F0447D"/>
    <w:rsid w:val="00F045AF"/>
    <w:rsid w:val="00F04A66"/>
    <w:rsid w:val="00F04B4B"/>
    <w:rsid w:val="00F0516C"/>
    <w:rsid w:val="00F05FBD"/>
    <w:rsid w:val="00F0612E"/>
    <w:rsid w:val="00F067A2"/>
    <w:rsid w:val="00F079C0"/>
    <w:rsid w:val="00F07B9E"/>
    <w:rsid w:val="00F10C69"/>
    <w:rsid w:val="00F1116F"/>
    <w:rsid w:val="00F1225E"/>
    <w:rsid w:val="00F1263A"/>
    <w:rsid w:val="00F13BC4"/>
    <w:rsid w:val="00F15B77"/>
    <w:rsid w:val="00F15FE7"/>
    <w:rsid w:val="00F160E1"/>
    <w:rsid w:val="00F20F19"/>
    <w:rsid w:val="00F210B6"/>
    <w:rsid w:val="00F2137A"/>
    <w:rsid w:val="00F22CA3"/>
    <w:rsid w:val="00F233BB"/>
    <w:rsid w:val="00F234B5"/>
    <w:rsid w:val="00F234CA"/>
    <w:rsid w:val="00F24837"/>
    <w:rsid w:val="00F2575F"/>
    <w:rsid w:val="00F266B7"/>
    <w:rsid w:val="00F27275"/>
    <w:rsid w:val="00F27565"/>
    <w:rsid w:val="00F30860"/>
    <w:rsid w:val="00F308D4"/>
    <w:rsid w:val="00F30E74"/>
    <w:rsid w:val="00F31036"/>
    <w:rsid w:val="00F310D4"/>
    <w:rsid w:val="00F31D5A"/>
    <w:rsid w:val="00F31E08"/>
    <w:rsid w:val="00F3293E"/>
    <w:rsid w:val="00F329D7"/>
    <w:rsid w:val="00F33937"/>
    <w:rsid w:val="00F33975"/>
    <w:rsid w:val="00F33A20"/>
    <w:rsid w:val="00F33DE9"/>
    <w:rsid w:val="00F34C63"/>
    <w:rsid w:val="00F35E26"/>
    <w:rsid w:val="00F35E6D"/>
    <w:rsid w:val="00F3619A"/>
    <w:rsid w:val="00F3758B"/>
    <w:rsid w:val="00F37C99"/>
    <w:rsid w:val="00F40AAA"/>
    <w:rsid w:val="00F40BA7"/>
    <w:rsid w:val="00F40F9D"/>
    <w:rsid w:val="00F40FA8"/>
    <w:rsid w:val="00F41ACD"/>
    <w:rsid w:val="00F41BCD"/>
    <w:rsid w:val="00F423CF"/>
    <w:rsid w:val="00F464E2"/>
    <w:rsid w:val="00F46941"/>
    <w:rsid w:val="00F46CB6"/>
    <w:rsid w:val="00F4726F"/>
    <w:rsid w:val="00F4756D"/>
    <w:rsid w:val="00F47CAB"/>
    <w:rsid w:val="00F47DE8"/>
    <w:rsid w:val="00F5016F"/>
    <w:rsid w:val="00F50497"/>
    <w:rsid w:val="00F50AEC"/>
    <w:rsid w:val="00F526E4"/>
    <w:rsid w:val="00F53011"/>
    <w:rsid w:val="00F542C1"/>
    <w:rsid w:val="00F55E73"/>
    <w:rsid w:val="00F55EDA"/>
    <w:rsid w:val="00F56AB1"/>
    <w:rsid w:val="00F56C80"/>
    <w:rsid w:val="00F60092"/>
    <w:rsid w:val="00F60484"/>
    <w:rsid w:val="00F60CB6"/>
    <w:rsid w:val="00F61197"/>
    <w:rsid w:val="00F61A84"/>
    <w:rsid w:val="00F61AC8"/>
    <w:rsid w:val="00F61C18"/>
    <w:rsid w:val="00F62129"/>
    <w:rsid w:val="00F6293F"/>
    <w:rsid w:val="00F64F1E"/>
    <w:rsid w:val="00F65229"/>
    <w:rsid w:val="00F65F4B"/>
    <w:rsid w:val="00F66AC7"/>
    <w:rsid w:val="00F671C3"/>
    <w:rsid w:val="00F67A69"/>
    <w:rsid w:val="00F67AC4"/>
    <w:rsid w:val="00F70BFF"/>
    <w:rsid w:val="00F70C9D"/>
    <w:rsid w:val="00F73795"/>
    <w:rsid w:val="00F740EA"/>
    <w:rsid w:val="00F7494C"/>
    <w:rsid w:val="00F74CD9"/>
    <w:rsid w:val="00F7610A"/>
    <w:rsid w:val="00F76DE2"/>
    <w:rsid w:val="00F77AD1"/>
    <w:rsid w:val="00F80A7B"/>
    <w:rsid w:val="00F80E5D"/>
    <w:rsid w:val="00F81BFF"/>
    <w:rsid w:val="00F81E78"/>
    <w:rsid w:val="00F820AE"/>
    <w:rsid w:val="00F82401"/>
    <w:rsid w:val="00F8275F"/>
    <w:rsid w:val="00F83476"/>
    <w:rsid w:val="00F84751"/>
    <w:rsid w:val="00F851CE"/>
    <w:rsid w:val="00F8520F"/>
    <w:rsid w:val="00F86B0C"/>
    <w:rsid w:val="00F86D7E"/>
    <w:rsid w:val="00F90CA1"/>
    <w:rsid w:val="00F90F73"/>
    <w:rsid w:val="00F91219"/>
    <w:rsid w:val="00F92444"/>
    <w:rsid w:val="00F9393E"/>
    <w:rsid w:val="00F93C43"/>
    <w:rsid w:val="00F94509"/>
    <w:rsid w:val="00F94A1D"/>
    <w:rsid w:val="00F95FFA"/>
    <w:rsid w:val="00F96FD0"/>
    <w:rsid w:val="00F97420"/>
    <w:rsid w:val="00F97A78"/>
    <w:rsid w:val="00FA0B20"/>
    <w:rsid w:val="00FA128E"/>
    <w:rsid w:val="00FA1E6C"/>
    <w:rsid w:val="00FA24E7"/>
    <w:rsid w:val="00FA34F0"/>
    <w:rsid w:val="00FA5988"/>
    <w:rsid w:val="00FA5E39"/>
    <w:rsid w:val="00FA5EE6"/>
    <w:rsid w:val="00FA69C2"/>
    <w:rsid w:val="00FA6EB2"/>
    <w:rsid w:val="00FA6FA9"/>
    <w:rsid w:val="00FA7228"/>
    <w:rsid w:val="00FA7956"/>
    <w:rsid w:val="00FB0C8F"/>
    <w:rsid w:val="00FB2B50"/>
    <w:rsid w:val="00FB2FCB"/>
    <w:rsid w:val="00FB3023"/>
    <w:rsid w:val="00FB47A1"/>
    <w:rsid w:val="00FB65B5"/>
    <w:rsid w:val="00FB711B"/>
    <w:rsid w:val="00FB7C55"/>
    <w:rsid w:val="00FB7ED9"/>
    <w:rsid w:val="00FC1074"/>
    <w:rsid w:val="00FC1322"/>
    <w:rsid w:val="00FC1884"/>
    <w:rsid w:val="00FC3440"/>
    <w:rsid w:val="00FC371D"/>
    <w:rsid w:val="00FC435F"/>
    <w:rsid w:val="00FC4584"/>
    <w:rsid w:val="00FC4595"/>
    <w:rsid w:val="00FC4872"/>
    <w:rsid w:val="00FC5394"/>
    <w:rsid w:val="00FC5BD2"/>
    <w:rsid w:val="00FC5C55"/>
    <w:rsid w:val="00FC5F0B"/>
    <w:rsid w:val="00FD1C0A"/>
    <w:rsid w:val="00FD2100"/>
    <w:rsid w:val="00FD2D2D"/>
    <w:rsid w:val="00FD3AC8"/>
    <w:rsid w:val="00FD407B"/>
    <w:rsid w:val="00FD436C"/>
    <w:rsid w:val="00FD446D"/>
    <w:rsid w:val="00FD49D1"/>
    <w:rsid w:val="00FD4F2C"/>
    <w:rsid w:val="00FD5E96"/>
    <w:rsid w:val="00FD6394"/>
    <w:rsid w:val="00FE0E6C"/>
    <w:rsid w:val="00FE1CDC"/>
    <w:rsid w:val="00FE5789"/>
    <w:rsid w:val="00FE6A6E"/>
    <w:rsid w:val="00FE6EC5"/>
    <w:rsid w:val="00FE6F4A"/>
    <w:rsid w:val="00FE70C3"/>
    <w:rsid w:val="00FE730B"/>
    <w:rsid w:val="00FF2AD9"/>
    <w:rsid w:val="00FF359F"/>
    <w:rsid w:val="00FF3DCF"/>
    <w:rsid w:val="00FF4789"/>
    <w:rsid w:val="00FF492C"/>
    <w:rsid w:val="00FF4935"/>
    <w:rsid w:val="00FF4A21"/>
    <w:rsid w:val="00FF57F1"/>
    <w:rsid w:val="00FF5AA3"/>
    <w:rsid w:val="00FF5AD8"/>
    <w:rsid w:val="00FF69EC"/>
    <w:rsid w:val="00FF7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BC"/>
    <w:pPr>
      <w:jc w:val="both"/>
    </w:pPr>
    <w:rPr>
      <w:rFonts w:ascii="Calibri" w:hAnsi="Calibri"/>
      <w:sz w:val="24"/>
      <w:szCs w:val="24"/>
      <w:lang w:eastAsia="en-GB"/>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qFormat/>
    <w:rsid w:val="00FD2100"/>
    <w:rPr>
      <w:rFonts w:ascii="Times New Roman" w:hAnsi="Times New Roman"/>
      <w:sz w:val="20"/>
    </w:rPr>
  </w:style>
  <w:style w:type="character" w:customStyle="1" w:styleId="CommentTextChar">
    <w:name w:val="Comment Text Char"/>
    <w:aliases w:val="- H19 Char"/>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683263"/>
    <w:pPr>
      <w:outlineLvl w:val="0"/>
    </w:pPr>
    <w:rPr>
      <w:rFonts w:ascii="Calibri" w:hAnsi="Calibri" w:cs="Arial"/>
      <w:b/>
      <w:i/>
      <w:iCs/>
      <w:snapToGrid w:val="0"/>
      <w:sz w:val="28"/>
      <w:szCs w:val="28"/>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D31983"/>
    <w:pPr>
      <w:numPr>
        <w:ilvl w:val="1"/>
        <w:numId w:val="1"/>
      </w:numPr>
      <w:spacing w:after="160"/>
    </w:pPr>
  </w:style>
  <w:style w:type="character" w:customStyle="1" w:styleId="3-BodyTextChar">
    <w:name w:val="3-Body Text Char"/>
    <w:basedOn w:val="ListParagraphChar"/>
    <w:link w:val="3-BodyText"/>
    <w:rsid w:val="00D31983"/>
    <w:rPr>
      <w:rFonts w:asciiTheme="minorHAnsi" w:hAnsiTheme="minorHAnsi" w:cs="Arial"/>
      <w:snapToGrid w:val="0"/>
      <w:sz w:val="24"/>
      <w:szCs w:val="24"/>
    </w:rPr>
  </w:style>
  <w:style w:type="paragraph" w:customStyle="1" w:styleId="PageFooter">
    <w:name w:val="Page Footer"/>
    <w:basedOn w:val="TableFigureFooter"/>
    <w:link w:val="PageFooterChar"/>
    <w:qFormat/>
    <w:rsid w:val="004D7606"/>
    <w:pPr>
      <w:spacing w:after="0"/>
    </w:pPr>
  </w:style>
  <w:style w:type="character" w:customStyle="1" w:styleId="PageFooterChar">
    <w:name w:val="Page Footer Char"/>
    <w:basedOn w:val="DefaultParagraphFont"/>
    <w:link w:val="PageFooter"/>
    <w:rsid w:val="004D7606"/>
    <w:rPr>
      <w:rFonts w:ascii="Arial Narrow" w:hAnsi="Arial Narrow"/>
      <w:snapToGrid w:val="0"/>
      <w:sz w:val="18"/>
      <w:szCs w:val="22"/>
      <w:lang w:eastAsia="en-GB"/>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apple-converted-space">
    <w:name w:val="apple-converted-space"/>
    <w:basedOn w:val="DefaultParagraphFont"/>
    <w:rsid w:val="00C05044"/>
  </w:style>
  <w:style w:type="character" w:customStyle="1" w:styleId="contribdegrees">
    <w:name w:val="contribdegrees"/>
    <w:basedOn w:val="DefaultParagraphFont"/>
    <w:rsid w:val="0091351E"/>
  </w:style>
  <w:style w:type="character" w:styleId="HTMLCite">
    <w:name w:val="HTML Cite"/>
    <w:basedOn w:val="DefaultParagraphFont"/>
    <w:uiPriority w:val="99"/>
    <w:semiHidden/>
    <w:unhideWhenUsed/>
    <w:rsid w:val="0091351E"/>
    <w:rPr>
      <w:i/>
      <w:iCs/>
    </w:rPr>
  </w:style>
  <w:style w:type="paragraph" w:styleId="FootnoteText">
    <w:name w:val="footnote text"/>
    <w:aliases w:val="Footnote Text Char1,Footnote Text Char Char,Footnote Text Char2,Footnote Text Char Char1"/>
    <w:basedOn w:val="Normal"/>
    <w:link w:val="FootnoteTextChar"/>
    <w:unhideWhenUsed/>
    <w:rsid w:val="0091351E"/>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91351E"/>
    <w:rPr>
      <w:lang w:eastAsia="en-GB"/>
    </w:rPr>
  </w:style>
  <w:style w:type="character" w:styleId="FootnoteReference">
    <w:name w:val="footnote reference"/>
    <w:basedOn w:val="DefaultParagraphFont"/>
    <w:unhideWhenUsed/>
    <w:rsid w:val="0091351E"/>
    <w:rPr>
      <w:vertAlign w:val="superscript"/>
    </w:rPr>
  </w:style>
  <w:style w:type="character" w:customStyle="1" w:styleId="BodyText1Char">
    <w:name w:val="Body Text1 Char"/>
    <w:link w:val="BodyText1"/>
    <w:locked/>
    <w:rsid w:val="00DE76E6"/>
    <w:rPr>
      <w:rFonts w:ascii="Arial" w:hAnsi="Arial"/>
      <w:sz w:val="22"/>
      <w:szCs w:val="22"/>
      <w:lang w:val="en-US" w:eastAsia="en-GB"/>
    </w:rPr>
  </w:style>
  <w:style w:type="paragraph" w:customStyle="1" w:styleId="BodyText1">
    <w:name w:val="Body Text1"/>
    <w:basedOn w:val="Normal"/>
    <w:link w:val="BodyText1Char"/>
    <w:rsid w:val="00DE76E6"/>
    <w:pPr>
      <w:widowControl w:val="0"/>
      <w:spacing w:before="120" w:after="120" w:line="276" w:lineRule="auto"/>
    </w:pPr>
    <w:rPr>
      <w:rFonts w:ascii="Arial" w:hAnsi="Arial"/>
      <w:sz w:val="22"/>
      <w:szCs w:val="22"/>
      <w:lang w:val="en-US"/>
    </w:rPr>
  </w:style>
  <w:style w:type="paragraph" w:customStyle="1" w:styleId="Tablefootnote">
    <w:name w:val="Table footnote"/>
    <w:basedOn w:val="Normal"/>
    <w:link w:val="TablefootnoteChar"/>
    <w:qFormat/>
    <w:rsid w:val="00870838"/>
    <w:pPr>
      <w:keepNext/>
      <w:keepLines/>
      <w:spacing w:before="120" w:after="120"/>
      <w:contextualSpacing/>
      <w:jc w:val="left"/>
    </w:pPr>
    <w:rPr>
      <w:rFonts w:ascii="Arial Narrow" w:hAnsi="Arial Narrow"/>
      <w:sz w:val="18"/>
      <w:szCs w:val="22"/>
      <w:lang w:eastAsia="en-US"/>
    </w:rPr>
  </w:style>
  <w:style w:type="character" w:customStyle="1" w:styleId="TablefootnoteChar">
    <w:name w:val="Table footnote Char"/>
    <w:basedOn w:val="DefaultParagraphFont"/>
    <w:link w:val="Tablefootnote"/>
    <w:rsid w:val="00870838"/>
    <w:rPr>
      <w:rFonts w:ascii="Arial Narrow" w:hAnsi="Arial Narrow"/>
      <w:sz w:val="18"/>
      <w:szCs w:val="22"/>
      <w:lang w:eastAsia="en-US"/>
    </w:rPr>
  </w:style>
  <w:style w:type="paragraph" w:customStyle="1" w:styleId="TableHeading0">
    <w:name w:val="Table Heading"/>
    <w:basedOn w:val="Normal"/>
    <w:link w:val="TableHeadingChar"/>
    <w:qFormat/>
    <w:rsid w:val="00787F3C"/>
    <w:pPr>
      <w:keepNext/>
      <w:spacing w:after="60"/>
      <w:jc w:val="left"/>
    </w:pPr>
    <w:rPr>
      <w:rFonts w:ascii="Arial Narrow" w:eastAsiaTheme="minorHAnsi" w:hAnsi="Arial Narrow" w:cstheme="minorBidi"/>
      <w:b/>
      <w:sz w:val="20"/>
      <w:szCs w:val="22"/>
      <w:lang w:eastAsia="en-US"/>
    </w:rPr>
  </w:style>
  <w:style w:type="paragraph" w:customStyle="1" w:styleId="Heading50">
    <w:name w:val="Heading5"/>
    <w:basedOn w:val="Normal"/>
    <w:next w:val="Normal"/>
    <w:autoRedefine/>
    <w:uiPriority w:val="99"/>
    <w:qFormat/>
    <w:rsid w:val="005C4BD2"/>
    <w:pPr>
      <w:keepNext/>
      <w:widowControl w:val="0"/>
      <w:spacing w:before="240" w:after="120"/>
      <w:jc w:val="left"/>
      <w:outlineLvl w:val="4"/>
    </w:pPr>
    <w:rPr>
      <w:rFonts w:ascii="Arial" w:hAnsi="Arial"/>
      <w:b/>
      <w:bCs/>
      <w:i/>
      <w:sz w:val="22"/>
    </w:rPr>
  </w:style>
  <w:style w:type="paragraph" w:customStyle="1" w:styleId="TableText1">
    <w:name w:val="TableText"/>
    <w:basedOn w:val="Normal"/>
    <w:link w:val="TableTextChar1"/>
    <w:uiPriority w:val="3"/>
    <w:qFormat/>
    <w:rsid w:val="0051727E"/>
    <w:pPr>
      <w:keepNext/>
      <w:spacing w:before="40" w:after="40"/>
      <w:jc w:val="left"/>
    </w:pPr>
    <w:rPr>
      <w:rFonts w:ascii="Arial" w:hAnsi="Arial"/>
      <w:snapToGrid w:val="0"/>
      <w:sz w:val="18"/>
      <w:szCs w:val="20"/>
      <w:lang w:eastAsia="en-US"/>
    </w:rPr>
  </w:style>
  <w:style w:type="character" w:customStyle="1" w:styleId="TableTextChar1">
    <w:name w:val="TableText Char"/>
    <w:link w:val="TableText1"/>
    <w:uiPriority w:val="3"/>
    <w:rsid w:val="0051727E"/>
    <w:rPr>
      <w:rFonts w:ascii="Arial" w:hAnsi="Arial"/>
      <w:snapToGrid w:val="0"/>
      <w:sz w:val="18"/>
      <w:lang w:eastAsia="en-US"/>
    </w:rPr>
  </w:style>
  <w:style w:type="paragraph" w:customStyle="1" w:styleId="summarybox">
    <w:name w:val="summary box"/>
    <w:basedOn w:val="Normal"/>
    <w:link w:val="summaryboxChar"/>
    <w:autoRedefine/>
    <w:uiPriority w:val="99"/>
    <w:rsid w:val="00E82133"/>
    <w:pPr>
      <w:pBdr>
        <w:top w:val="single" w:sz="12" w:space="10" w:color="auto"/>
        <w:left w:val="single" w:sz="12" w:space="10" w:color="auto"/>
        <w:bottom w:val="single" w:sz="12" w:space="10" w:color="auto"/>
        <w:right w:val="single" w:sz="12" w:space="10" w:color="auto"/>
      </w:pBdr>
      <w:tabs>
        <w:tab w:val="left" w:pos="416"/>
        <w:tab w:val="left" w:pos="582"/>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s>
      <w:spacing w:before="360" w:after="120" w:line="360" w:lineRule="auto"/>
      <w:jc w:val="left"/>
    </w:pPr>
    <w:rPr>
      <w:rFonts w:ascii="Arial" w:hAnsi="Arial"/>
      <w:b/>
      <w:sz w:val="28"/>
      <w:szCs w:val="28"/>
    </w:rPr>
  </w:style>
  <w:style w:type="character" w:customStyle="1" w:styleId="summaryboxChar">
    <w:name w:val="summary box Char"/>
    <w:link w:val="summarybox"/>
    <w:uiPriority w:val="99"/>
    <w:locked/>
    <w:rsid w:val="00E82133"/>
    <w:rPr>
      <w:rFonts w:ascii="Arial" w:hAnsi="Arial"/>
      <w:b/>
      <w:sz w:val="28"/>
      <w:szCs w:val="28"/>
      <w:lang w:eastAsia="en-GB"/>
    </w:rPr>
  </w:style>
  <w:style w:type="paragraph" w:customStyle="1" w:styleId="Heading40">
    <w:name w:val="Heading4"/>
    <w:basedOn w:val="Normal"/>
    <w:next w:val="Normal"/>
    <w:link w:val="Heading4Char0"/>
    <w:autoRedefine/>
    <w:qFormat/>
    <w:rsid w:val="00632141"/>
    <w:pPr>
      <w:keepNext/>
      <w:keepLines/>
      <w:spacing w:before="240" w:after="120" w:line="276" w:lineRule="auto"/>
      <w:contextualSpacing/>
      <w:jc w:val="left"/>
      <w:outlineLvl w:val="3"/>
    </w:pPr>
    <w:rPr>
      <w:rFonts w:ascii="Arial" w:hAnsi="Arial"/>
      <w:b/>
      <w:sz w:val="22"/>
    </w:rPr>
  </w:style>
  <w:style w:type="character" w:customStyle="1" w:styleId="Heading4Char0">
    <w:name w:val="Heading4 Char"/>
    <w:link w:val="Heading40"/>
    <w:locked/>
    <w:rsid w:val="00632141"/>
    <w:rPr>
      <w:rFonts w:ascii="Arial" w:hAnsi="Arial"/>
      <w:b/>
      <w:sz w:val="22"/>
      <w:szCs w:val="24"/>
      <w:lang w:eastAsia="en-GB"/>
    </w:rPr>
  </w:style>
  <w:style w:type="character" w:customStyle="1" w:styleId="UnresolvedMention1">
    <w:name w:val="Unresolved Mention1"/>
    <w:basedOn w:val="DefaultParagraphFont"/>
    <w:uiPriority w:val="99"/>
    <w:semiHidden/>
    <w:unhideWhenUsed/>
    <w:rsid w:val="009F04AF"/>
    <w:rPr>
      <w:color w:val="605E5C"/>
      <w:shd w:val="clear" w:color="auto" w:fill="E1DFDD"/>
    </w:rPr>
  </w:style>
  <w:style w:type="character" w:styleId="Emphasis">
    <w:name w:val="Emphasis"/>
    <w:basedOn w:val="DefaultParagraphFont"/>
    <w:uiPriority w:val="20"/>
    <w:qFormat/>
    <w:rsid w:val="009F04AF"/>
    <w:rPr>
      <w:i/>
      <w:iCs/>
    </w:rPr>
  </w:style>
  <w:style w:type="character" w:customStyle="1" w:styleId="cit">
    <w:name w:val="cit"/>
    <w:basedOn w:val="DefaultParagraphFont"/>
    <w:rsid w:val="00C8195E"/>
  </w:style>
  <w:style w:type="character" w:customStyle="1" w:styleId="doi">
    <w:name w:val="doi"/>
    <w:basedOn w:val="DefaultParagraphFont"/>
    <w:rsid w:val="00C8195E"/>
  </w:style>
  <w:style w:type="character" w:customStyle="1" w:styleId="fm-citation-ids-label">
    <w:name w:val="fm-citation-ids-label"/>
    <w:basedOn w:val="DefaultParagraphFont"/>
    <w:rsid w:val="00C8195E"/>
  </w:style>
  <w:style w:type="paragraph" w:customStyle="1" w:styleId="V50Instructions">
    <w:name w:val="V5.0 Instructions"/>
    <w:basedOn w:val="Normal"/>
    <w:link w:val="V50InstructionsChar"/>
    <w:rsid w:val="001A0A88"/>
    <w:pPr>
      <w:spacing w:before="120" w:after="160"/>
      <w:jc w:val="left"/>
    </w:pPr>
    <w:rPr>
      <w:rFonts w:asciiTheme="minorHAnsi" w:eastAsiaTheme="minorHAnsi" w:hAnsiTheme="minorHAnsi" w:cstheme="minorBidi"/>
      <w:snapToGrid w:val="0"/>
      <w:color w:val="4BACC6" w:themeColor="accent5"/>
      <w:lang w:eastAsia="en-US"/>
    </w:rPr>
  </w:style>
  <w:style w:type="character" w:customStyle="1" w:styleId="V50InstructionsChar">
    <w:name w:val="V5.0 Instructions Char"/>
    <w:basedOn w:val="DefaultParagraphFont"/>
    <w:link w:val="V50Instructions"/>
    <w:rsid w:val="001A0A88"/>
    <w:rPr>
      <w:rFonts w:asciiTheme="minorHAnsi" w:eastAsiaTheme="minorHAnsi" w:hAnsiTheme="minorHAnsi" w:cstheme="minorBidi"/>
      <w:snapToGrid w:val="0"/>
      <w:color w:val="4BACC6" w:themeColor="accent5"/>
      <w:sz w:val="24"/>
      <w:szCs w:val="24"/>
      <w:lang w:eastAsia="en-US"/>
    </w:rPr>
  </w:style>
  <w:style w:type="table" w:customStyle="1" w:styleId="Summarybox2">
    <w:name w:val="Summary box2"/>
    <w:basedOn w:val="TableNormal"/>
    <w:uiPriority w:val="59"/>
    <w:rsid w:val="00D747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rsid w:val="00546943"/>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546943"/>
    <w:rPr>
      <w:rFonts w:ascii="Arial Narrow" w:hAnsi="Arial Narrow"/>
      <w:lang w:eastAsia="en-US"/>
    </w:rPr>
  </w:style>
  <w:style w:type="paragraph" w:customStyle="1" w:styleId="PbacTableHeading">
    <w:name w:val="Pbac Table Heading"/>
    <w:basedOn w:val="PBACTableText"/>
    <w:rsid w:val="00546943"/>
    <w:pPr>
      <w:spacing w:before="0" w:after="80"/>
    </w:pPr>
    <w:rPr>
      <w:rFonts w:eastAsiaTheme="minorHAnsi" w:cs="Arial"/>
      <w:b/>
    </w:rPr>
  </w:style>
  <w:style w:type="character" w:customStyle="1" w:styleId="UnresolvedMention11">
    <w:name w:val="Unresolved Mention11"/>
    <w:basedOn w:val="DefaultParagraphFont"/>
    <w:uiPriority w:val="99"/>
    <w:semiHidden/>
    <w:unhideWhenUsed/>
    <w:rsid w:val="0087764D"/>
    <w:rPr>
      <w:color w:val="605E5C"/>
      <w:shd w:val="clear" w:color="auto" w:fill="E1DFDD"/>
    </w:rPr>
  </w:style>
  <w:style w:type="character" w:customStyle="1" w:styleId="Heading1Char">
    <w:name w:val="Heading 1 Char"/>
    <w:basedOn w:val="DefaultParagraphFont"/>
    <w:link w:val="Heading1"/>
    <w:rsid w:val="005E3ED1"/>
    <w:rPr>
      <w:rFonts w:ascii="Calibri" w:hAnsi="Calibri"/>
      <w:b/>
      <w:caps/>
      <w:sz w:val="32"/>
      <w:szCs w:val="24"/>
      <w:lang w:eastAsia="en-GB"/>
    </w:rPr>
  </w:style>
  <w:style w:type="character" w:customStyle="1" w:styleId="Heading3Char">
    <w:name w:val="Heading 3 Char"/>
    <w:basedOn w:val="DefaultParagraphFont"/>
    <w:link w:val="Heading3"/>
    <w:rsid w:val="005E3ED1"/>
    <w:rPr>
      <w:rFonts w:ascii="Calibri" w:hAnsi="Calibri"/>
      <w:sz w:val="24"/>
      <w:szCs w:val="24"/>
      <w:u w:val="single"/>
      <w:lang w:eastAsia="en-GB"/>
    </w:rPr>
  </w:style>
  <w:style w:type="character" w:customStyle="1" w:styleId="Heading4Char">
    <w:name w:val="Heading 4 Char"/>
    <w:basedOn w:val="DefaultParagraphFont"/>
    <w:link w:val="Heading4"/>
    <w:rsid w:val="005E3ED1"/>
    <w:rPr>
      <w:rFonts w:ascii="Calibri" w:hAnsi="Calibri"/>
      <w:b/>
      <w:bCs/>
      <w:i/>
      <w:sz w:val="26"/>
      <w:szCs w:val="28"/>
      <w:lang w:eastAsia="en-GB"/>
    </w:rPr>
  </w:style>
  <w:style w:type="character" w:customStyle="1" w:styleId="Heading5Char">
    <w:name w:val="Heading 5 Char"/>
    <w:basedOn w:val="DefaultParagraphFont"/>
    <w:link w:val="Heading5"/>
    <w:rsid w:val="005E3ED1"/>
    <w:rPr>
      <w:rFonts w:ascii="Calibri" w:hAnsi="Calibri"/>
      <w:b/>
      <w:bCs/>
      <w:iCs/>
      <w:sz w:val="26"/>
      <w:szCs w:val="26"/>
      <w:lang w:eastAsia="en-GB"/>
    </w:rPr>
  </w:style>
  <w:style w:type="character" w:customStyle="1" w:styleId="Heading6Char">
    <w:name w:val="Heading 6 Char"/>
    <w:basedOn w:val="DefaultParagraphFont"/>
    <w:link w:val="Heading6"/>
    <w:rsid w:val="005E3ED1"/>
    <w:rPr>
      <w:rFonts w:ascii="Calibri" w:hAnsi="Calibri"/>
      <w:b/>
      <w:bCs/>
      <w:i/>
      <w:sz w:val="24"/>
      <w:szCs w:val="24"/>
      <w:lang w:eastAsia="en-GB"/>
    </w:rPr>
  </w:style>
  <w:style w:type="paragraph" w:styleId="ListNumber">
    <w:name w:val="List Number"/>
    <w:basedOn w:val="Normal"/>
    <w:uiPriority w:val="16"/>
    <w:qFormat/>
    <w:rsid w:val="005E3ED1"/>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5E3ED1"/>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5E3ED1"/>
    <w:pPr>
      <w:numPr>
        <w:numId w:val="7"/>
      </w:numPr>
    </w:pPr>
  </w:style>
  <w:style w:type="paragraph" w:styleId="ListNumber3">
    <w:name w:val="List Number 3"/>
    <w:basedOn w:val="Normal"/>
    <w:uiPriority w:val="16"/>
    <w:qFormat/>
    <w:rsid w:val="005E3ED1"/>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5E3ED1"/>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TableGrid1">
    <w:name w:val="Table Grid1"/>
    <w:basedOn w:val="TableNormal"/>
    <w:next w:val="TableGrid"/>
    <w:uiPriority w:val="59"/>
    <w:rsid w:val="005E3ED1"/>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ableHeadingChar">
    <w:name w:val="Table Heading Char"/>
    <w:link w:val="TableHeading0"/>
    <w:rsid w:val="005E3ED1"/>
    <w:rPr>
      <w:rFonts w:ascii="Arial Narrow" w:eastAsiaTheme="minorHAnsi" w:hAnsi="Arial Narrow" w:cstheme="minorBidi"/>
      <w:b/>
      <w:szCs w:val="22"/>
      <w:lang w:eastAsia="en-US"/>
    </w:rPr>
  </w:style>
  <w:style w:type="numbering" w:customStyle="1" w:styleId="Lists1">
    <w:name w:val="Lists1"/>
    <w:uiPriority w:val="99"/>
    <w:rsid w:val="005E3ED1"/>
  </w:style>
  <w:style w:type="paragraph" w:customStyle="1" w:styleId="msonormal0">
    <w:name w:val="msonormal"/>
    <w:basedOn w:val="Normal"/>
    <w:uiPriority w:val="99"/>
    <w:rsid w:val="005E3ED1"/>
    <w:pPr>
      <w:spacing w:before="100" w:after="100"/>
      <w:jc w:val="left"/>
    </w:pPr>
    <w:rPr>
      <w:rFonts w:ascii="Times New Roman" w:hAnsi="Times New Roman"/>
      <w:szCs w:val="22"/>
      <w:lang w:val="en-GB" w:eastAsia="en-US"/>
    </w:rPr>
  </w:style>
  <w:style w:type="character" w:customStyle="1" w:styleId="FootnoteTextChar3">
    <w:name w:val="Footnote Text Char3"/>
    <w:aliases w:val="Footnote Text Char1 Char1,Footnote Text Char Char Char1,Footnote Text Char2 Char1,Footnote Text Char Char1 Char1"/>
    <w:basedOn w:val="DefaultParagraphFont"/>
    <w:semiHidden/>
    <w:rsid w:val="005E3ED1"/>
    <w:rPr>
      <w:rFonts w:ascii="Calibri" w:hAnsi="Calibri" w:cs="Arial"/>
      <w:lang w:eastAsia="en-US"/>
    </w:rPr>
  </w:style>
  <w:style w:type="character" w:customStyle="1" w:styleId="CommentTextChar1">
    <w:name w:val="Comment Text Char1"/>
    <w:aliases w:val="- H19 Char1"/>
    <w:basedOn w:val="DefaultParagraphFont"/>
    <w:uiPriority w:val="99"/>
    <w:semiHidden/>
    <w:rsid w:val="005E3ED1"/>
    <w:rPr>
      <w:rFonts w:ascii="Calibri" w:eastAsia="Times New Roman" w:hAnsi="Calibri" w:cs="Arial"/>
      <w:sz w:val="20"/>
      <w:szCs w:val="20"/>
    </w:rPr>
  </w:style>
  <w:style w:type="character" w:customStyle="1" w:styleId="HeaderChar1">
    <w:name w:val="Header Char1"/>
    <w:aliases w:val="Page Header Char1,Header title Char1,he=header Char1,cntr/bld Char1"/>
    <w:basedOn w:val="DefaultParagraphFont"/>
    <w:uiPriority w:val="99"/>
    <w:semiHidden/>
    <w:rsid w:val="005E3ED1"/>
    <w:rPr>
      <w:rFonts w:ascii="Calibri" w:eastAsia="Times New Roman" w:hAnsi="Calibri" w:cs="Arial"/>
      <w:szCs w:val="22"/>
    </w:rPr>
  </w:style>
  <w:style w:type="table" w:customStyle="1" w:styleId="Summarybox1">
    <w:name w:val="Summary box1"/>
    <w:basedOn w:val="TableNormal"/>
    <w:next w:val="TableGrid"/>
    <w:uiPriority w:val="39"/>
    <w:rsid w:val="005E3E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640">
      <w:bodyDiv w:val="1"/>
      <w:marLeft w:val="0"/>
      <w:marRight w:val="0"/>
      <w:marTop w:val="0"/>
      <w:marBottom w:val="0"/>
      <w:divBdr>
        <w:top w:val="none" w:sz="0" w:space="0" w:color="auto"/>
        <w:left w:val="none" w:sz="0" w:space="0" w:color="auto"/>
        <w:bottom w:val="none" w:sz="0" w:space="0" w:color="auto"/>
        <w:right w:val="none" w:sz="0" w:space="0" w:color="auto"/>
      </w:divBdr>
      <w:divsChild>
        <w:div w:id="961881858">
          <w:marLeft w:val="0"/>
          <w:marRight w:val="0"/>
          <w:marTop w:val="0"/>
          <w:marBottom w:val="0"/>
          <w:divBdr>
            <w:top w:val="none" w:sz="0" w:space="0" w:color="auto"/>
            <w:left w:val="none" w:sz="0" w:space="0" w:color="auto"/>
            <w:bottom w:val="none" w:sz="0" w:space="0" w:color="auto"/>
            <w:right w:val="none" w:sz="0" w:space="0" w:color="auto"/>
          </w:divBdr>
          <w:divsChild>
            <w:div w:id="1189637159">
              <w:marLeft w:val="0"/>
              <w:marRight w:val="0"/>
              <w:marTop w:val="0"/>
              <w:marBottom w:val="0"/>
              <w:divBdr>
                <w:top w:val="none" w:sz="0" w:space="0" w:color="auto"/>
                <w:left w:val="none" w:sz="0" w:space="0" w:color="auto"/>
                <w:bottom w:val="none" w:sz="0" w:space="0" w:color="auto"/>
                <w:right w:val="none" w:sz="0" w:space="0" w:color="auto"/>
              </w:divBdr>
              <w:divsChild>
                <w:div w:id="7757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0183">
      <w:bodyDiv w:val="1"/>
      <w:marLeft w:val="0"/>
      <w:marRight w:val="0"/>
      <w:marTop w:val="0"/>
      <w:marBottom w:val="0"/>
      <w:divBdr>
        <w:top w:val="none" w:sz="0" w:space="0" w:color="auto"/>
        <w:left w:val="none" w:sz="0" w:space="0" w:color="auto"/>
        <w:bottom w:val="none" w:sz="0" w:space="0" w:color="auto"/>
        <w:right w:val="none" w:sz="0" w:space="0" w:color="auto"/>
      </w:divBdr>
    </w:div>
    <w:div w:id="76246055">
      <w:bodyDiv w:val="1"/>
      <w:marLeft w:val="0"/>
      <w:marRight w:val="0"/>
      <w:marTop w:val="0"/>
      <w:marBottom w:val="0"/>
      <w:divBdr>
        <w:top w:val="none" w:sz="0" w:space="0" w:color="auto"/>
        <w:left w:val="none" w:sz="0" w:space="0" w:color="auto"/>
        <w:bottom w:val="none" w:sz="0" w:space="0" w:color="auto"/>
        <w:right w:val="none" w:sz="0" w:space="0" w:color="auto"/>
      </w:divBdr>
      <w:divsChild>
        <w:div w:id="431320909">
          <w:marLeft w:val="0"/>
          <w:marRight w:val="0"/>
          <w:marTop w:val="0"/>
          <w:marBottom w:val="0"/>
          <w:divBdr>
            <w:top w:val="none" w:sz="0" w:space="0" w:color="auto"/>
            <w:left w:val="none" w:sz="0" w:space="0" w:color="auto"/>
            <w:bottom w:val="none" w:sz="0" w:space="0" w:color="auto"/>
            <w:right w:val="none" w:sz="0" w:space="0" w:color="auto"/>
          </w:divBdr>
          <w:divsChild>
            <w:div w:id="1806239595">
              <w:marLeft w:val="0"/>
              <w:marRight w:val="0"/>
              <w:marTop w:val="0"/>
              <w:marBottom w:val="0"/>
              <w:divBdr>
                <w:top w:val="none" w:sz="0" w:space="0" w:color="auto"/>
                <w:left w:val="none" w:sz="0" w:space="0" w:color="auto"/>
                <w:bottom w:val="none" w:sz="0" w:space="0" w:color="auto"/>
                <w:right w:val="none" w:sz="0" w:space="0" w:color="auto"/>
              </w:divBdr>
              <w:divsChild>
                <w:div w:id="1226792409">
                  <w:marLeft w:val="0"/>
                  <w:marRight w:val="0"/>
                  <w:marTop w:val="0"/>
                  <w:marBottom w:val="0"/>
                  <w:divBdr>
                    <w:top w:val="none" w:sz="0" w:space="0" w:color="auto"/>
                    <w:left w:val="none" w:sz="0" w:space="0" w:color="auto"/>
                    <w:bottom w:val="none" w:sz="0" w:space="0" w:color="auto"/>
                    <w:right w:val="none" w:sz="0" w:space="0" w:color="auto"/>
                  </w:divBdr>
                  <w:divsChild>
                    <w:div w:id="8942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4375203">
      <w:bodyDiv w:val="1"/>
      <w:marLeft w:val="0"/>
      <w:marRight w:val="0"/>
      <w:marTop w:val="0"/>
      <w:marBottom w:val="0"/>
      <w:divBdr>
        <w:top w:val="none" w:sz="0" w:space="0" w:color="auto"/>
        <w:left w:val="none" w:sz="0" w:space="0" w:color="auto"/>
        <w:bottom w:val="none" w:sz="0" w:space="0" w:color="auto"/>
        <w:right w:val="none" w:sz="0" w:space="0" w:color="auto"/>
      </w:divBdr>
    </w:div>
    <w:div w:id="164251590">
      <w:bodyDiv w:val="1"/>
      <w:marLeft w:val="0"/>
      <w:marRight w:val="0"/>
      <w:marTop w:val="0"/>
      <w:marBottom w:val="0"/>
      <w:divBdr>
        <w:top w:val="none" w:sz="0" w:space="0" w:color="auto"/>
        <w:left w:val="none" w:sz="0" w:space="0" w:color="auto"/>
        <w:bottom w:val="none" w:sz="0" w:space="0" w:color="auto"/>
        <w:right w:val="none" w:sz="0" w:space="0" w:color="auto"/>
      </w:divBdr>
      <w:divsChild>
        <w:div w:id="1445270856">
          <w:marLeft w:val="0"/>
          <w:marRight w:val="0"/>
          <w:marTop w:val="0"/>
          <w:marBottom w:val="0"/>
          <w:divBdr>
            <w:top w:val="none" w:sz="0" w:space="0" w:color="auto"/>
            <w:left w:val="none" w:sz="0" w:space="0" w:color="auto"/>
            <w:bottom w:val="none" w:sz="0" w:space="0" w:color="auto"/>
            <w:right w:val="none" w:sz="0" w:space="0" w:color="auto"/>
          </w:divBdr>
          <w:divsChild>
            <w:div w:id="334771669">
              <w:marLeft w:val="0"/>
              <w:marRight w:val="0"/>
              <w:marTop w:val="0"/>
              <w:marBottom w:val="0"/>
              <w:divBdr>
                <w:top w:val="none" w:sz="0" w:space="0" w:color="auto"/>
                <w:left w:val="none" w:sz="0" w:space="0" w:color="auto"/>
                <w:bottom w:val="none" w:sz="0" w:space="0" w:color="auto"/>
                <w:right w:val="none" w:sz="0" w:space="0" w:color="auto"/>
              </w:divBdr>
              <w:divsChild>
                <w:div w:id="440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9338">
      <w:bodyDiv w:val="1"/>
      <w:marLeft w:val="0"/>
      <w:marRight w:val="0"/>
      <w:marTop w:val="0"/>
      <w:marBottom w:val="0"/>
      <w:divBdr>
        <w:top w:val="none" w:sz="0" w:space="0" w:color="auto"/>
        <w:left w:val="none" w:sz="0" w:space="0" w:color="auto"/>
        <w:bottom w:val="none" w:sz="0" w:space="0" w:color="auto"/>
        <w:right w:val="none" w:sz="0" w:space="0" w:color="auto"/>
      </w:divBdr>
    </w:div>
    <w:div w:id="246422178">
      <w:bodyDiv w:val="1"/>
      <w:marLeft w:val="0"/>
      <w:marRight w:val="0"/>
      <w:marTop w:val="0"/>
      <w:marBottom w:val="0"/>
      <w:divBdr>
        <w:top w:val="none" w:sz="0" w:space="0" w:color="auto"/>
        <w:left w:val="none" w:sz="0" w:space="0" w:color="auto"/>
        <w:bottom w:val="none" w:sz="0" w:space="0" w:color="auto"/>
        <w:right w:val="none" w:sz="0" w:space="0" w:color="auto"/>
      </w:divBdr>
      <w:divsChild>
        <w:div w:id="1738437901">
          <w:marLeft w:val="0"/>
          <w:marRight w:val="0"/>
          <w:marTop w:val="0"/>
          <w:marBottom w:val="0"/>
          <w:divBdr>
            <w:top w:val="none" w:sz="0" w:space="0" w:color="auto"/>
            <w:left w:val="none" w:sz="0" w:space="0" w:color="auto"/>
            <w:bottom w:val="none" w:sz="0" w:space="0" w:color="auto"/>
            <w:right w:val="none" w:sz="0" w:space="0" w:color="auto"/>
          </w:divBdr>
          <w:divsChild>
            <w:div w:id="908463965">
              <w:marLeft w:val="0"/>
              <w:marRight w:val="0"/>
              <w:marTop w:val="0"/>
              <w:marBottom w:val="0"/>
              <w:divBdr>
                <w:top w:val="none" w:sz="0" w:space="0" w:color="auto"/>
                <w:left w:val="none" w:sz="0" w:space="0" w:color="auto"/>
                <w:bottom w:val="none" w:sz="0" w:space="0" w:color="auto"/>
                <w:right w:val="none" w:sz="0" w:space="0" w:color="auto"/>
              </w:divBdr>
              <w:divsChild>
                <w:div w:id="4674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382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8047611">
      <w:bodyDiv w:val="1"/>
      <w:marLeft w:val="0"/>
      <w:marRight w:val="0"/>
      <w:marTop w:val="0"/>
      <w:marBottom w:val="0"/>
      <w:divBdr>
        <w:top w:val="none" w:sz="0" w:space="0" w:color="auto"/>
        <w:left w:val="none" w:sz="0" w:space="0" w:color="auto"/>
        <w:bottom w:val="none" w:sz="0" w:space="0" w:color="auto"/>
        <w:right w:val="none" w:sz="0" w:space="0" w:color="auto"/>
      </w:divBdr>
      <w:divsChild>
        <w:div w:id="327293827">
          <w:marLeft w:val="0"/>
          <w:marRight w:val="0"/>
          <w:marTop w:val="0"/>
          <w:marBottom w:val="0"/>
          <w:divBdr>
            <w:top w:val="none" w:sz="0" w:space="0" w:color="auto"/>
            <w:left w:val="none" w:sz="0" w:space="0" w:color="auto"/>
            <w:bottom w:val="none" w:sz="0" w:space="0" w:color="auto"/>
            <w:right w:val="none" w:sz="0" w:space="0" w:color="auto"/>
          </w:divBdr>
          <w:divsChild>
            <w:div w:id="1995143207">
              <w:marLeft w:val="0"/>
              <w:marRight w:val="0"/>
              <w:marTop w:val="0"/>
              <w:marBottom w:val="0"/>
              <w:divBdr>
                <w:top w:val="none" w:sz="0" w:space="0" w:color="auto"/>
                <w:left w:val="none" w:sz="0" w:space="0" w:color="auto"/>
                <w:bottom w:val="none" w:sz="0" w:space="0" w:color="auto"/>
                <w:right w:val="none" w:sz="0" w:space="0" w:color="auto"/>
              </w:divBdr>
              <w:divsChild>
                <w:div w:id="18381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5118">
      <w:bodyDiv w:val="1"/>
      <w:marLeft w:val="0"/>
      <w:marRight w:val="0"/>
      <w:marTop w:val="0"/>
      <w:marBottom w:val="0"/>
      <w:divBdr>
        <w:top w:val="none" w:sz="0" w:space="0" w:color="auto"/>
        <w:left w:val="none" w:sz="0" w:space="0" w:color="auto"/>
        <w:bottom w:val="none" w:sz="0" w:space="0" w:color="auto"/>
        <w:right w:val="none" w:sz="0" w:space="0" w:color="auto"/>
      </w:divBdr>
    </w:div>
    <w:div w:id="336545879">
      <w:bodyDiv w:val="1"/>
      <w:marLeft w:val="0"/>
      <w:marRight w:val="0"/>
      <w:marTop w:val="0"/>
      <w:marBottom w:val="0"/>
      <w:divBdr>
        <w:top w:val="none" w:sz="0" w:space="0" w:color="auto"/>
        <w:left w:val="none" w:sz="0" w:space="0" w:color="auto"/>
        <w:bottom w:val="none" w:sz="0" w:space="0" w:color="auto"/>
        <w:right w:val="none" w:sz="0" w:space="0" w:color="auto"/>
      </w:divBdr>
    </w:div>
    <w:div w:id="347365912">
      <w:bodyDiv w:val="1"/>
      <w:marLeft w:val="0"/>
      <w:marRight w:val="0"/>
      <w:marTop w:val="0"/>
      <w:marBottom w:val="0"/>
      <w:divBdr>
        <w:top w:val="none" w:sz="0" w:space="0" w:color="auto"/>
        <w:left w:val="none" w:sz="0" w:space="0" w:color="auto"/>
        <w:bottom w:val="none" w:sz="0" w:space="0" w:color="auto"/>
        <w:right w:val="none" w:sz="0" w:space="0" w:color="auto"/>
      </w:divBdr>
    </w:div>
    <w:div w:id="352654766">
      <w:bodyDiv w:val="1"/>
      <w:marLeft w:val="0"/>
      <w:marRight w:val="0"/>
      <w:marTop w:val="0"/>
      <w:marBottom w:val="0"/>
      <w:divBdr>
        <w:top w:val="none" w:sz="0" w:space="0" w:color="auto"/>
        <w:left w:val="none" w:sz="0" w:space="0" w:color="auto"/>
        <w:bottom w:val="none" w:sz="0" w:space="0" w:color="auto"/>
        <w:right w:val="none" w:sz="0" w:space="0" w:color="auto"/>
      </w:divBdr>
      <w:divsChild>
        <w:div w:id="1181822739">
          <w:marLeft w:val="0"/>
          <w:marRight w:val="0"/>
          <w:marTop w:val="0"/>
          <w:marBottom w:val="0"/>
          <w:divBdr>
            <w:top w:val="none" w:sz="0" w:space="0" w:color="auto"/>
            <w:left w:val="none" w:sz="0" w:space="0" w:color="auto"/>
            <w:bottom w:val="none" w:sz="0" w:space="0" w:color="auto"/>
            <w:right w:val="none" w:sz="0" w:space="0" w:color="auto"/>
          </w:divBdr>
          <w:divsChild>
            <w:div w:id="2130850975">
              <w:marLeft w:val="0"/>
              <w:marRight w:val="0"/>
              <w:marTop w:val="0"/>
              <w:marBottom w:val="0"/>
              <w:divBdr>
                <w:top w:val="none" w:sz="0" w:space="0" w:color="auto"/>
                <w:left w:val="none" w:sz="0" w:space="0" w:color="auto"/>
                <w:bottom w:val="none" w:sz="0" w:space="0" w:color="auto"/>
                <w:right w:val="none" w:sz="0" w:space="0" w:color="auto"/>
              </w:divBdr>
              <w:divsChild>
                <w:div w:id="1763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79880">
      <w:bodyDiv w:val="1"/>
      <w:marLeft w:val="0"/>
      <w:marRight w:val="0"/>
      <w:marTop w:val="0"/>
      <w:marBottom w:val="0"/>
      <w:divBdr>
        <w:top w:val="none" w:sz="0" w:space="0" w:color="auto"/>
        <w:left w:val="none" w:sz="0" w:space="0" w:color="auto"/>
        <w:bottom w:val="none" w:sz="0" w:space="0" w:color="auto"/>
        <w:right w:val="none" w:sz="0" w:space="0" w:color="auto"/>
      </w:divBdr>
      <w:divsChild>
        <w:div w:id="671372792">
          <w:marLeft w:val="0"/>
          <w:marRight w:val="0"/>
          <w:marTop w:val="0"/>
          <w:marBottom w:val="0"/>
          <w:divBdr>
            <w:top w:val="none" w:sz="0" w:space="0" w:color="auto"/>
            <w:left w:val="none" w:sz="0" w:space="0" w:color="auto"/>
            <w:bottom w:val="none" w:sz="0" w:space="0" w:color="auto"/>
            <w:right w:val="none" w:sz="0" w:space="0" w:color="auto"/>
          </w:divBdr>
          <w:divsChild>
            <w:div w:id="577128861">
              <w:marLeft w:val="0"/>
              <w:marRight w:val="0"/>
              <w:marTop w:val="0"/>
              <w:marBottom w:val="0"/>
              <w:divBdr>
                <w:top w:val="none" w:sz="0" w:space="0" w:color="auto"/>
                <w:left w:val="none" w:sz="0" w:space="0" w:color="auto"/>
                <w:bottom w:val="none" w:sz="0" w:space="0" w:color="auto"/>
                <w:right w:val="none" w:sz="0" w:space="0" w:color="auto"/>
              </w:divBdr>
              <w:divsChild>
                <w:div w:id="18781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8587">
      <w:bodyDiv w:val="1"/>
      <w:marLeft w:val="0"/>
      <w:marRight w:val="0"/>
      <w:marTop w:val="0"/>
      <w:marBottom w:val="0"/>
      <w:divBdr>
        <w:top w:val="none" w:sz="0" w:space="0" w:color="auto"/>
        <w:left w:val="none" w:sz="0" w:space="0" w:color="auto"/>
        <w:bottom w:val="none" w:sz="0" w:space="0" w:color="auto"/>
        <w:right w:val="none" w:sz="0" w:space="0" w:color="auto"/>
      </w:divBdr>
      <w:divsChild>
        <w:div w:id="77752545">
          <w:marLeft w:val="0"/>
          <w:marRight w:val="0"/>
          <w:marTop w:val="0"/>
          <w:marBottom w:val="0"/>
          <w:divBdr>
            <w:top w:val="none" w:sz="0" w:space="0" w:color="auto"/>
            <w:left w:val="none" w:sz="0" w:space="0" w:color="auto"/>
            <w:bottom w:val="none" w:sz="0" w:space="0" w:color="auto"/>
            <w:right w:val="none" w:sz="0" w:space="0" w:color="auto"/>
          </w:divBdr>
          <w:divsChild>
            <w:div w:id="80487557">
              <w:marLeft w:val="0"/>
              <w:marRight w:val="0"/>
              <w:marTop w:val="0"/>
              <w:marBottom w:val="0"/>
              <w:divBdr>
                <w:top w:val="none" w:sz="0" w:space="0" w:color="auto"/>
                <w:left w:val="none" w:sz="0" w:space="0" w:color="auto"/>
                <w:bottom w:val="none" w:sz="0" w:space="0" w:color="auto"/>
                <w:right w:val="none" w:sz="0" w:space="0" w:color="auto"/>
              </w:divBdr>
              <w:divsChild>
                <w:div w:id="21118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4264">
      <w:bodyDiv w:val="1"/>
      <w:marLeft w:val="0"/>
      <w:marRight w:val="0"/>
      <w:marTop w:val="0"/>
      <w:marBottom w:val="0"/>
      <w:divBdr>
        <w:top w:val="none" w:sz="0" w:space="0" w:color="auto"/>
        <w:left w:val="none" w:sz="0" w:space="0" w:color="auto"/>
        <w:bottom w:val="none" w:sz="0" w:space="0" w:color="auto"/>
        <w:right w:val="none" w:sz="0" w:space="0" w:color="auto"/>
      </w:divBdr>
    </w:div>
    <w:div w:id="499928461">
      <w:bodyDiv w:val="1"/>
      <w:marLeft w:val="0"/>
      <w:marRight w:val="0"/>
      <w:marTop w:val="0"/>
      <w:marBottom w:val="0"/>
      <w:divBdr>
        <w:top w:val="none" w:sz="0" w:space="0" w:color="auto"/>
        <w:left w:val="none" w:sz="0" w:space="0" w:color="auto"/>
        <w:bottom w:val="none" w:sz="0" w:space="0" w:color="auto"/>
        <w:right w:val="none" w:sz="0" w:space="0" w:color="auto"/>
      </w:divBdr>
    </w:div>
    <w:div w:id="515734737">
      <w:bodyDiv w:val="1"/>
      <w:marLeft w:val="0"/>
      <w:marRight w:val="0"/>
      <w:marTop w:val="0"/>
      <w:marBottom w:val="0"/>
      <w:divBdr>
        <w:top w:val="none" w:sz="0" w:space="0" w:color="auto"/>
        <w:left w:val="none" w:sz="0" w:space="0" w:color="auto"/>
        <w:bottom w:val="none" w:sz="0" w:space="0" w:color="auto"/>
        <w:right w:val="none" w:sz="0" w:space="0" w:color="auto"/>
      </w:divBdr>
    </w:div>
    <w:div w:id="546333513">
      <w:bodyDiv w:val="1"/>
      <w:marLeft w:val="0"/>
      <w:marRight w:val="0"/>
      <w:marTop w:val="0"/>
      <w:marBottom w:val="0"/>
      <w:divBdr>
        <w:top w:val="none" w:sz="0" w:space="0" w:color="auto"/>
        <w:left w:val="none" w:sz="0" w:space="0" w:color="auto"/>
        <w:bottom w:val="none" w:sz="0" w:space="0" w:color="auto"/>
        <w:right w:val="none" w:sz="0" w:space="0" w:color="auto"/>
      </w:divBdr>
      <w:divsChild>
        <w:div w:id="1805853212">
          <w:marLeft w:val="0"/>
          <w:marRight w:val="0"/>
          <w:marTop w:val="0"/>
          <w:marBottom w:val="0"/>
          <w:divBdr>
            <w:top w:val="none" w:sz="0" w:space="0" w:color="auto"/>
            <w:left w:val="none" w:sz="0" w:space="0" w:color="auto"/>
            <w:bottom w:val="none" w:sz="0" w:space="0" w:color="auto"/>
            <w:right w:val="none" w:sz="0" w:space="0" w:color="auto"/>
          </w:divBdr>
          <w:divsChild>
            <w:div w:id="1279487400">
              <w:marLeft w:val="0"/>
              <w:marRight w:val="0"/>
              <w:marTop w:val="0"/>
              <w:marBottom w:val="0"/>
              <w:divBdr>
                <w:top w:val="none" w:sz="0" w:space="0" w:color="auto"/>
                <w:left w:val="none" w:sz="0" w:space="0" w:color="auto"/>
                <w:bottom w:val="none" w:sz="0" w:space="0" w:color="auto"/>
                <w:right w:val="none" w:sz="0" w:space="0" w:color="auto"/>
              </w:divBdr>
              <w:divsChild>
                <w:div w:id="244727604">
                  <w:marLeft w:val="0"/>
                  <w:marRight w:val="0"/>
                  <w:marTop w:val="0"/>
                  <w:marBottom w:val="0"/>
                  <w:divBdr>
                    <w:top w:val="none" w:sz="0" w:space="0" w:color="auto"/>
                    <w:left w:val="none" w:sz="0" w:space="0" w:color="auto"/>
                    <w:bottom w:val="none" w:sz="0" w:space="0" w:color="auto"/>
                    <w:right w:val="none" w:sz="0" w:space="0" w:color="auto"/>
                  </w:divBdr>
                  <w:divsChild>
                    <w:div w:id="2092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07943">
      <w:bodyDiv w:val="1"/>
      <w:marLeft w:val="0"/>
      <w:marRight w:val="0"/>
      <w:marTop w:val="0"/>
      <w:marBottom w:val="0"/>
      <w:divBdr>
        <w:top w:val="none" w:sz="0" w:space="0" w:color="auto"/>
        <w:left w:val="none" w:sz="0" w:space="0" w:color="auto"/>
        <w:bottom w:val="none" w:sz="0" w:space="0" w:color="auto"/>
        <w:right w:val="none" w:sz="0" w:space="0" w:color="auto"/>
      </w:divBdr>
      <w:divsChild>
        <w:div w:id="2245244">
          <w:marLeft w:val="0"/>
          <w:marRight w:val="0"/>
          <w:marTop w:val="0"/>
          <w:marBottom w:val="0"/>
          <w:divBdr>
            <w:top w:val="none" w:sz="0" w:space="0" w:color="auto"/>
            <w:left w:val="none" w:sz="0" w:space="0" w:color="auto"/>
            <w:bottom w:val="none" w:sz="0" w:space="0" w:color="auto"/>
            <w:right w:val="none" w:sz="0" w:space="0" w:color="auto"/>
          </w:divBdr>
          <w:divsChild>
            <w:div w:id="109785885">
              <w:marLeft w:val="0"/>
              <w:marRight w:val="0"/>
              <w:marTop w:val="0"/>
              <w:marBottom w:val="0"/>
              <w:divBdr>
                <w:top w:val="none" w:sz="0" w:space="0" w:color="auto"/>
                <w:left w:val="none" w:sz="0" w:space="0" w:color="auto"/>
                <w:bottom w:val="none" w:sz="0" w:space="0" w:color="auto"/>
                <w:right w:val="none" w:sz="0" w:space="0" w:color="auto"/>
              </w:divBdr>
              <w:divsChild>
                <w:div w:id="4031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222">
      <w:bodyDiv w:val="1"/>
      <w:marLeft w:val="0"/>
      <w:marRight w:val="0"/>
      <w:marTop w:val="0"/>
      <w:marBottom w:val="0"/>
      <w:divBdr>
        <w:top w:val="none" w:sz="0" w:space="0" w:color="auto"/>
        <w:left w:val="none" w:sz="0" w:space="0" w:color="auto"/>
        <w:bottom w:val="none" w:sz="0" w:space="0" w:color="auto"/>
        <w:right w:val="none" w:sz="0" w:space="0" w:color="auto"/>
      </w:divBdr>
      <w:divsChild>
        <w:div w:id="26151798">
          <w:marLeft w:val="0"/>
          <w:marRight w:val="0"/>
          <w:marTop w:val="0"/>
          <w:marBottom w:val="0"/>
          <w:divBdr>
            <w:top w:val="none" w:sz="0" w:space="0" w:color="auto"/>
            <w:left w:val="none" w:sz="0" w:space="0" w:color="auto"/>
            <w:bottom w:val="none" w:sz="0" w:space="0" w:color="auto"/>
            <w:right w:val="none" w:sz="0" w:space="0" w:color="auto"/>
          </w:divBdr>
          <w:divsChild>
            <w:div w:id="2103597589">
              <w:marLeft w:val="0"/>
              <w:marRight w:val="0"/>
              <w:marTop w:val="0"/>
              <w:marBottom w:val="0"/>
              <w:divBdr>
                <w:top w:val="none" w:sz="0" w:space="0" w:color="auto"/>
                <w:left w:val="none" w:sz="0" w:space="0" w:color="auto"/>
                <w:bottom w:val="none" w:sz="0" w:space="0" w:color="auto"/>
                <w:right w:val="none" w:sz="0" w:space="0" w:color="auto"/>
              </w:divBdr>
              <w:divsChild>
                <w:div w:id="1932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5836">
      <w:bodyDiv w:val="1"/>
      <w:marLeft w:val="0"/>
      <w:marRight w:val="0"/>
      <w:marTop w:val="0"/>
      <w:marBottom w:val="0"/>
      <w:divBdr>
        <w:top w:val="none" w:sz="0" w:space="0" w:color="auto"/>
        <w:left w:val="none" w:sz="0" w:space="0" w:color="auto"/>
        <w:bottom w:val="none" w:sz="0" w:space="0" w:color="auto"/>
        <w:right w:val="none" w:sz="0" w:space="0" w:color="auto"/>
      </w:divBdr>
      <w:divsChild>
        <w:div w:id="502286509">
          <w:marLeft w:val="0"/>
          <w:marRight w:val="0"/>
          <w:marTop w:val="0"/>
          <w:marBottom w:val="0"/>
          <w:divBdr>
            <w:top w:val="none" w:sz="0" w:space="0" w:color="auto"/>
            <w:left w:val="none" w:sz="0" w:space="0" w:color="auto"/>
            <w:bottom w:val="none" w:sz="0" w:space="0" w:color="auto"/>
            <w:right w:val="none" w:sz="0" w:space="0" w:color="auto"/>
          </w:divBdr>
          <w:divsChild>
            <w:div w:id="302584721">
              <w:marLeft w:val="0"/>
              <w:marRight w:val="0"/>
              <w:marTop w:val="0"/>
              <w:marBottom w:val="0"/>
              <w:divBdr>
                <w:top w:val="none" w:sz="0" w:space="0" w:color="auto"/>
                <w:left w:val="none" w:sz="0" w:space="0" w:color="auto"/>
                <w:bottom w:val="none" w:sz="0" w:space="0" w:color="auto"/>
                <w:right w:val="none" w:sz="0" w:space="0" w:color="auto"/>
              </w:divBdr>
              <w:divsChild>
                <w:div w:id="20960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88176">
      <w:bodyDiv w:val="1"/>
      <w:marLeft w:val="0"/>
      <w:marRight w:val="0"/>
      <w:marTop w:val="0"/>
      <w:marBottom w:val="0"/>
      <w:divBdr>
        <w:top w:val="none" w:sz="0" w:space="0" w:color="auto"/>
        <w:left w:val="none" w:sz="0" w:space="0" w:color="auto"/>
        <w:bottom w:val="none" w:sz="0" w:space="0" w:color="auto"/>
        <w:right w:val="none" w:sz="0" w:space="0" w:color="auto"/>
      </w:divBdr>
    </w:div>
    <w:div w:id="820200352">
      <w:bodyDiv w:val="1"/>
      <w:marLeft w:val="0"/>
      <w:marRight w:val="0"/>
      <w:marTop w:val="0"/>
      <w:marBottom w:val="0"/>
      <w:divBdr>
        <w:top w:val="none" w:sz="0" w:space="0" w:color="auto"/>
        <w:left w:val="none" w:sz="0" w:space="0" w:color="auto"/>
        <w:bottom w:val="none" w:sz="0" w:space="0" w:color="auto"/>
        <w:right w:val="none" w:sz="0" w:space="0" w:color="auto"/>
      </w:divBdr>
    </w:div>
    <w:div w:id="826021475">
      <w:bodyDiv w:val="1"/>
      <w:marLeft w:val="0"/>
      <w:marRight w:val="0"/>
      <w:marTop w:val="0"/>
      <w:marBottom w:val="0"/>
      <w:divBdr>
        <w:top w:val="none" w:sz="0" w:space="0" w:color="auto"/>
        <w:left w:val="none" w:sz="0" w:space="0" w:color="auto"/>
        <w:bottom w:val="none" w:sz="0" w:space="0" w:color="auto"/>
        <w:right w:val="none" w:sz="0" w:space="0" w:color="auto"/>
      </w:divBdr>
      <w:divsChild>
        <w:div w:id="416752373">
          <w:marLeft w:val="0"/>
          <w:marRight w:val="0"/>
          <w:marTop w:val="0"/>
          <w:marBottom w:val="0"/>
          <w:divBdr>
            <w:top w:val="none" w:sz="0" w:space="0" w:color="auto"/>
            <w:left w:val="none" w:sz="0" w:space="0" w:color="auto"/>
            <w:bottom w:val="none" w:sz="0" w:space="0" w:color="auto"/>
            <w:right w:val="none" w:sz="0" w:space="0" w:color="auto"/>
          </w:divBdr>
          <w:divsChild>
            <w:div w:id="1933973856">
              <w:marLeft w:val="0"/>
              <w:marRight w:val="0"/>
              <w:marTop w:val="0"/>
              <w:marBottom w:val="0"/>
              <w:divBdr>
                <w:top w:val="none" w:sz="0" w:space="0" w:color="auto"/>
                <w:left w:val="none" w:sz="0" w:space="0" w:color="auto"/>
                <w:bottom w:val="none" w:sz="0" w:space="0" w:color="auto"/>
                <w:right w:val="none" w:sz="0" w:space="0" w:color="auto"/>
              </w:divBdr>
              <w:divsChild>
                <w:div w:id="15617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56785">
      <w:bodyDiv w:val="1"/>
      <w:marLeft w:val="0"/>
      <w:marRight w:val="0"/>
      <w:marTop w:val="0"/>
      <w:marBottom w:val="0"/>
      <w:divBdr>
        <w:top w:val="none" w:sz="0" w:space="0" w:color="auto"/>
        <w:left w:val="none" w:sz="0" w:space="0" w:color="auto"/>
        <w:bottom w:val="none" w:sz="0" w:space="0" w:color="auto"/>
        <w:right w:val="none" w:sz="0" w:space="0" w:color="auto"/>
      </w:divBdr>
      <w:divsChild>
        <w:div w:id="884608556">
          <w:marLeft w:val="0"/>
          <w:marRight w:val="0"/>
          <w:marTop w:val="0"/>
          <w:marBottom w:val="0"/>
          <w:divBdr>
            <w:top w:val="none" w:sz="0" w:space="0" w:color="auto"/>
            <w:left w:val="none" w:sz="0" w:space="0" w:color="auto"/>
            <w:bottom w:val="none" w:sz="0" w:space="0" w:color="auto"/>
            <w:right w:val="none" w:sz="0" w:space="0" w:color="auto"/>
          </w:divBdr>
          <w:divsChild>
            <w:div w:id="1090080698">
              <w:marLeft w:val="0"/>
              <w:marRight w:val="0"/>
              <w:marTop w:val="0"/>
              <w:marBottom w:val="0"/>
              <w:divBdr>
                <w:top w:val="none" w:sz="0" w:space="0" w:color="auto"/>
                <w:left w:val="none" w:sz="0" w:space="0" w:color="auto"/>
                <w:bottom w:val="none" w:sz="0" w:space="0" w:color="auto"/>
                <w:right w:val="none" w:sz="0" w:space="0" w:color="auto"/>
              </w:divBdr>
              <w:divsChild>
                <w:div w:id="1647585011">
                  <w:marLeft w:val="0"/>
                  <w:marRight w:val="0"/>
                  <w:marTop w:val="0"/>
                  <w:marBottom w:val="0"/>
                  <w:divBdr>
                    <w:top w:val="none" w:sz="0" w:space="0" w:color="auto"/>
                    <w:left w:val="none" w:sz="0" w:space="0" w:color="auto"/>
                    <w:bottom w:val="none" w:sz="0" w:space="0" w:color="auto"/>
                    <w:right w:val="none" w:sz="0" w:space="0" w:color="auto"/>
                  </w:divBdr>
                </w:div>
              </w:divsChild>
            </w:div>
            <w:div w:id="1165584595">
              <w:marLeft w:val="0"/>
              <w:marRight w:val="0"/>
              <w:marTop w:val="0"/>
              <w:marBottom w:val="0"/>
              <w:divBdr>
                <w:top w:val="none" w:sz="0" w:space="0" w:color="auto"/>
                <w:left w:val="none" w:sz="0" w:space="0" w:color="auto"/>
                <w:bottom w:val="none" w:sz="0" w:space="0" w:color="auto"/>
                <w:right w:val="none" w:sz="0" w:space="0" w:color="auto"/>
              </w:divBdr>
              <w:divsChild>
                <w:div w:id="845481456">
                  <w:marLeft w:val="0"/>
                  <w:marRight w:val="0"/>
                  <w:marTop w:val="0"/>
                  <w:marBottom w:val="0"/>
                  <w:divBdr>
                    <w:top w:val="none" w:sz="0" w:space="0" w:color="auto"/>
                    <w:left w:val="none" w:sz="0" w:space="0" w:color="auto"/>
                    <w:bottom w:val="none" w:sz="0" w:space="0" w:color="auto"/>
                    <w:right w:val="none" w:sz="0" w:space="0" w:color="auto"/>
                  </w:divBdr>
                </w:div>
                <w:div w:id="1620989189">
                  <w:marLeft w:val="0"/>
                  <w:marRight w:val="0"/>
                  <w:marTop w:val="0"/>
                  <w:marBottom w:val="0"/>
                  <w:divBdr>
                    <w:top w:val="none" w:sz="0" w:space="0" w:color="auto"/>
                    <w:left w:val="none" w:sz="0" w:space="0" w:color="auto"/>
                    <w:bottom w:val="none" w:sz="0" w:space="0" w:color="auto"/>
                    <w:right w:val="none" w:sz="0" w:space="0" w:color="auto"/>
                  </w:divBdr>
                </w:div>
              </w:divsChild>
            </w:div>
            <w:div w:id="1292632263">
              <w:marLeft w:val="0"/>
              <w:marRight w:val="0"/>
              <w:marTop w:val="0"/>
              <w:marBottom w:val="0"/>
              <w:divBdr>
                <w:top w:val="none" w:sz="0" w:space="0" w:color="auto"/>
                <w:left w:val="none" w:sz="0" w:space="0" w:color="auto"/>
                <w:bottom w:val="none" w:sz="0" w:space="0" w:color="auto"/>
                <w:right w:val="none" w:sz="0" w:space="0" w:color="auto"/>
              </w:divBdr>
              <w:divsChild>
                <w:div w:id="182012838">
                  <w:marLeft w:val="0"/>
                  <w:marRight w:val="0"/>
                  <w:marTop w:val="0"/>
                  <w:marBottom w:val="0"/>
                  <w:divBdr>
                    <w:top w:val="none" w:sz="0" w:space="0" w:color="auto"/>
                    <w:left w:val="none" w:sz="0" w:space="0" w:color="auto"/>
                    <w:bottom w:val="none" w:sz="0" w:space="0" w:color="auto"/>
                    <w:right w:val="none" w:sz="0" w:space="0" w:color="auto"/>
                  </w:divBdr>
                </w:div>
                <w:div w:id="218396682">
                  <w:marLeft w:val="0"/>
                  <w:marRight w:val="0"/>
                  <w:marTop w:val="0"/>
                  <w:marBottom w:val="0"/>
                  <w:divBdr>
                    <w:top w:val="none" w:sz="0" w:space="0" w:color="auto"/>
                    <w:left w:val="none" w:sz="0" w:space="0" w:color="auto"/>
                    <w:bottom w:val="none" w:sz="0" w:space="0" w:color="auto"/>
                    <w:right w:val="none" w:sz="0" w:space="0" w:color="auto"/>
                  </w:divBdr>
                </w:div>
                <w:div w:id="471219558">
                  <w:marLeft w:val="0"/>
                  <w:marRight w:val="0"/>
                  <w:marTop w:val="0"/>
                  <w:marBottom w:val="0"/>
                  <w:divBdr>
                    <w:top w:val="none" w:sz="0" w:space="0" w:color="auto"/>
                    <w:left w:val="none" w:sz="0" w:space="0" w:color="auto"/>
                    <w:bottom w:val="none" w:sz="0" w:space="0" w:color="auto"/>
                    <w:right w:val="none" w:sz="0" w:space="0" w:color="auto"/>
                  </w:divBdr>
                </w:div>
                <w:div w:id="1147167678">
                  <w:marLeft w:val="0"/>
                  <w:marRight w:val="0"/>
                  <w:marTop w:val="0"/>
                  <w:marBottom w:val="0"/>
                  <w:divBdr>
                    <w:top w:val="none" w:sz="0" w:space="0" w:color="auto"/>
                    <w:left w:val="none" w:sz="0" w:space="0" w:color="auto"/>
                    <w:bottom w:val="none" w:sz="0" w:space="0" w:color="auto"/>
                    <w:right w:val="none" w:sz="0" w:space="0" w:color="auto"/>
                  </w:divBdr>
                </w:div>
                <w:div w:id="1227912843">
                  <w:marLeft w:val="0"/>
                  <w:marRight w:val="0"/>
                  <w:marTop w:val="0"/>
                  <w:marBottom w:val="0"/>
                  <w:divBdr>
                    <w:top w:val="none" w:sz="0" w:space="0" w:color="auto"/>
                    <w:left w:val="none" w:sz="0" w:space="0" w:color="auto"/>
                    <w:bottom w:val="none" w:sz="0" w:space="0" w:color="auto"/>
                    <w:right w:val="none" w:sz="0" w:space="0" w:color="auto"/>
                  </w:divBdr>
                </w:div>
              </w:divsChild>
            </w:div>
            <w:div w:id="2103329857">
              <w:marLeft w:val="0"/>
              <w:marRight w:val="0"/>
              <w:marTop w:val="0"/>
              <w:marBottom w:val="0"/>
              <w:divBdr>
                <w:top w:val="none" w:sz="0" w:space="0" w:color="auto"/>
                <w:left w:val="none" w:sz="0" w:space="0" w:color="auto"/>
                <w:bottom w:val="none" w:sz="0" w:space="0" w:color="auto"/>
                <w:right w:val="none" w:sz="0" w:space="0" w:color="auto"/>
              </w:divBdr>
              <w:divsChild>
                <w:div w:id="51659871">
                  <w:marLeft w:val="0"/>
                  <w:marRight w:val="0"/>
                  <w:marTop w:val="0"/>
                  <w:marBottom w:val="0"/>
                  <w:divBdr>
                    <w:top w:val="none" w:sz="0" w:space="0" w:color="auto"/>
                    <w:left w:val="none" w:sz="0" w:space="0" w:color="auto"/>
                    <w:bottom w:val="none" w:sz="0" w:space="0" w:color="auto"/>
                    <w:right w:val="none" w:sz="0" w:space="0" w:color="auto"/>
                  </w:divBdr>
                </w:div>
                <w:div w:id="3077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067">
      <w:bodyDiv w:val="1"/>
      <w:marLeft w:val="0"/>
      <w:marRight w:val="0"/>
      <w:marTop w:val="0"/>
      <w:marBottom w:val="0"/>
      <w:divBdr>
        <w:top w:val="none" w:sz="0" w:space="0" w:color="auto"/>
        <w:left w:val="none" w:sz="0" w:space="0" w:color="auto"/>
        <w:bottom w:val="none" w:sz="0" w:space="0" w:color="auto"/>
        <w:right w:val="none" w:sz="0" w:space="0" w:color="auto"/>
      </w:divBdr>
    </w:div>
    <w:div w:id="897280233">
      <w:bodyDiv w:val="1"/>
      <w:marLeft w:val="0"/>
      <w:marRight w:val="0"/>
      <w:marTop w:val="0"/>
      <w:marBottom w:val="0"/>
      <w:divBdr>
        <w:top w:val="none" w:sz="0" w:space="0" w:color="auto"/>
        <w:left w:val="none" w:sz="0" w:space="0" w:color="auto"/>
        <w:bottom w:val="none" w:sz="0" w:space="0" w:color="auto"/>
        <w:right w:val="none" w:sz="0" w:space="0" w:color="auto"/>
      </w:divBdr>
      <w:divsChild>
        <w:div w:id="491139080">
          <w:marLeft w:val="0"/>
          <w:marRight w:val="0"/>
          <w:marTop w:val="0"/>
          <w:marBottom w:val="0"/>
          <w:divBdr>
            <w:top w:val="none" w:sz="0" w:space="0" w:color="auto"/>
            <w:left w:val="none" w:sz="0" w:space="0" w:color="auto"/>
            <w:bottom w:val="none" w:sz="0" w:space="0" w:color="auto"/>
            <w:right w:val="none" w:sz="0" w:space="0" w:color="auto"/>
          </w:divBdr>
          <w:divsChild>
            <w:div w:id="1876232210">
              <w:marLeft w:val="0"/>
              <w:marRight w:val="0"/>
              <w:marTop w:val="0"/>
              <w:marBottom w:val="0"/>
              <w:divBdr>
                <w:top w:val="none" w:sz="0" w:space="0" w:color="auto"/>
                <w:left w:val="none" w:sz="0" w:space="0" w:color="auto"/>
                <w:bottom w:val="none" w:sz="0" w:space="0" w:color="auto"/>
                <w:right w:val="none" w:sz="0" w:space="0" w:color="auto"/>
              </w:divBdr>
              <w:divsChild>
                <w:div w:id="1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005">
      <w:bodyDiv w:val="1"/>
      <w:marLeft w:val="0"/>
      <w:marRight w:val="0"/>
      <w:marTop w:val="0"/>
      <w:marBottom w:val="0"/>
      <w:divBdr>
        <w:top w:val="none" w:sz="0" w:space="0" w:color="auto"/>
        <w:left w:val="none" w:sz="0" w:space="0" w:color="auto"/>
        <w:bottom w:val="none" w:sz="0" w:space="0" w:color="auto"/>
        <w:right w:val="none" w:sz="0" w:space="0" w:color="auto"/>
      </w:divBdr>
      <w:divsChild>
        <w:div w:id="1696148528">
          <w:marLeft w:val="0"/>
          <w:marRight w:val="0"/>
          <w:marTop w:val="0"/>
          <w:marBottom w:val="0"/>
          <w:divBdr>
            <w:top w:val="none" w:sz="0" w:space="0" w:color="auto"/>
            <w:left w:val="none" w:sz="0" w:space="0" w:color="auto"/>
            <w:bottom w:val="none" w:sz="0" w:space="0" w:color="auto"/>
            <w:right w:val="none" w:sz="0" w:space="0" w:color="auto"/>
          </w:divBdr>
          <w:divsChild>
            <w:div w:id="414324236">
              <w:marLeft w:val="0"/>
              <w:marRight w:val="0"/>
              <w:marTop w:val="0"/>
              <w:marBottom w:val="0"/>
              <w:divBdr>
                <w:top w:val="none" w:sz="0" w:space="0" w:color="auto"/>
                <w:left w:val="none" w:sz="0" w:space="0" w:color="auto"/>
                <w:bottom w:val="none" w:sz="0" w:space="0" w:color="auto"/>
                <w:right w:val="none" w:sz="0" w:space="0" w:color="auto"/>
              </w:divBdr>
              <w:divsChild>
                <w:div w:id="1998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5791">
      <w:bodyDiv w:val="1"/>
      <w:marLeft w:val="0"/>
      <w:marRight w:val="0"/>
      <w:marTop w:val="0"/>
      <w:marBottom w:val="0"/>
      <w:divBdr>
        <w:top w:val="none" w:sz="0" w:space="0" w:color="auto"/>
        <w:left w:val="none" w:sz="0" w:space="0" w:color="auto"/>
        <w:bottom w:val="none" w:sz="0" w:space="0" w:color="auto"/>
        <w:right w:val="none" w:sz="0" w:space="0" w:color="auto"/>
      </w:divBdr>
      <w:divsChild>
        <w:div w:id="1051878612">
          <w:marLeft w:val="0"/>
          <w:marRight w:val="0"/>
          <w:marTop w:val="0"/>
          <w:marBottom w:val="0"/>
          <w:divBdr>
            <w:top w:val="none" w:sz="0" w:space="0" w:color="auto"/>
            <w:left w:val="none" w:sz="0" w:space="0" w:color="auto"/>
            <w:bottom w:val="none" w:sz="0" w:space="0" w:color="auto"/>
            <w:right w:val="none" w:sz="0" w:space="0" w:color="auto"/>
          </w:divBdr>
          <w:divsChild>
            <w:div w:id="2133203604">
              <w:marLeft w:val="0"/>
              <w:marRight w:val="0"/>
              <w:marTop w:val="0"/>
              <w:marBottom w:val="0"/>
              <w:divBdr>
                <w:top w:val="none" w:sz="0" w:space="0" w:color="auto"/>
                <w:left w:val="none" w:sz="0" w:space="0" w:color="auto"/>
                <w:bottom w:val="none" w:sz="0" w:space="0" w:color="auto"/>
                <w:right w:val="none" w:sz="0" w:space="0" w:color="auto"/>
              </w:divBdr>
              <w:divsChild>
                <w:div w:id="745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5290">
      <w:bodyDiv w:val="1"/>
      <w:marLeft w:val="0"/>
      <w:marRight w:val="0"/>
      <w:marTop w:val="0"/>
      <w:marBottom w:val="0"/>
      <w:divBdr>
        <w:top w:val="none" w:sz="0" w:space="0" w:color="auto"/>
        <w:left w:val="none" w:sz="0" w:space="0" w:color="auto"/>
        <w:bottom w:val="none" w:sz="0" w:space="0" w:color="auto"/>
        <w:right w:val="none" w:sz="0" w:space="0" w:color="auto"/>
      </w:divBdr>
      <w:divsChild>
        <w:div w:id="401870804">
          <w:marLeft w:val="0"/>
          <w:marRight w:val="0"/>
          <w:marTop w:val="0"/>
          <w:marBottom w:val="0"/>
          <w:divBdr>
            <w:top w:val="none" w:sz="0" w:space="0" w:color="auto"/>
            <w:left w:val="none" w:sz="0" w:space="0" w:color="auto"/>
            <w:bottom w:val="none" w:sz="0" w:space="0" w:color="auto"/>
            <w:right w:val="none" w:sz="0" w:space="0" w:color="auto"/>
          </w:divBdr>
          <w:divsChild>
            <w:div w:id="875001965">
              <w:marLeft w:val="0"/>
              <w:marRight w:val="0"/>
              <w:marTop w:val="0"/>
              <w:marBottom w:val="0"/>
              <w:divBdr>
                <w:top w:val="none" w:sz="0" w:space="0" w:color="auto"/>
                <w:left w:val="none" w:sz="0" w:space="0" w:color="auto"/>
                <w:bottom w:val="none" w:sz="0" w:space="0" w:color="auto"/>
                <w:right w:val="none" w:sz="0" w:space="0" w:color="auto"/>
              </w:divBdr>
              <w:divsChild>
                <w:div w:id="6498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5208">
      <w:bodyDiv w:val="1"/>
      <w:marLeft w:val="0"/>
      <w:marRight w:val="0"/>
      <w:marTop w:val="0"/>
      <w:marBottom w:val="0"/>
      <w:divBdr>
        <w:top w:val="none" w:sz="0" w:space="0" w:color="auto"/>
        <w:left w:val="none" w:sz="0" w:space="0" w:color="auto"/>
        <w:bottom w:val="none" w:sz="0" w:space="0" w:color="auto"/>
        <w:right w:val="none" w:sz="0" w:space="0" w:color="auto"/>
      </w:divBdr>
      <w:divsChild>
        <w:div w:id="2116630026">
          <w:marLeft w:val="0"/>
          <w:marRight w:val="0"/>
          <w:marTop w:val="0"/>
          <w:marBottom w:val="0"/>
          <w:divBdr>
            <w:top w:val="none" w:sz="0" w:space="0" w:color="auto"/>
            <w:left w:val="none" w:sz="0" w:space="0" w:color="auto"/>
            <w:bottom w:val="none" w:sz="0" w:space="0" w:color="auto"/>
            <w:right w:val="none" w:sz="0" w:space="0" w:color="auto"/>
          </w:divBdr>
          <w:divsChild>
            <w:div w:id="1722631800">
              <w:marLeft w:val="0"/>
              <w:marRight w:val="0"/>
              <w:marTop w:val="0"/>
              <w:marBottom w:val="0"/>
              <w:divBdr>
                <w:top w:val="none" w:sz="0" w:space="0" w:color="auto"/>
                <w:left w:val="none" w:sz="0" w:space="0" w:color="auto"/>
                <w:bottom w:val="none" w:sz="0" w:space="0" w:color="auto"/>
                <w:right w:val="none" w:sz="0" w:space="0" w:color="auto"/>
              </w:divBdr>
              <w:divsChild>
                <w:div w:id="334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233">
      <w:bodyDiv w:val="1"/>
      <w:marLeft w:val="0"/>
      <w:marRight w:val="0"/>
      <w:marTop w:val="0"/>
      <w:marBottom w:val="0"/>
      <w:divBdr>
        <w:top w:val="none" w:sz="0" w:space="0" w:color="auto"/>
        <w:left w:val="none" w:sz="0" w:space="0" w:color="auto"/>
        <w:bottom w:val="none" w:sz="0" w:space="0" w:color="auto"/>
        <w:right w:val="none" w:sz="0" w:space="0" w:color="auto"/>
      </w:divBdr>
    </w:div>
    <w:div w:id="1021858020">
      <w:bodyDiv w:val="1"/>
      <w:marLeft w:val="0"/>
      <w:marRight w:val="0"/>
      <w:marTop w:val="0"/>
      <w:marBottom w:val="0"/>
      <w:divBdr>
        <w:top w:val="none" w:sz="0" w:space="0" w:color="auto"/>
        <w:left w:val="none" w:sz="0" w:space="0" w:color="auto"/>
        <w:bottom w:val="none" w:sz="0" w:space="0" w:color="auto"/>
        <w:right w:val="none" w:sz="0" w:space="0" w:color="auto"/>
      </w:divBdr>
      <w:divsChild>
        <w:div w:id="223419736">
          <w:marLeft w:val="0"/>
          <w:marRight w:val="0"/>
          <w:marTop w:val="0"/>
          <w:marBottom w:val="0"/>
          <w:divBdr>
            <w:top w:val="none" w:sz="0" w:space="0" w:color="auto"/>
            <w:left w:val="none" w:sz="0" w:space="0" w:color="auto"/>
            <w:bottom w:val="none" w:sz="0" w:space="0" w:color="auto"/>
            <w:right w:val="none" w:sz="0" w:space="0" w:color="auto"/>
          </w:divBdr>
          <w:divsChild>
            <w:div w:id="580717302">
              <w:marLeft w:val="0"/>
              <w:marRight w:val="0"/>
              <w:marTop w:val="0"/>
              <w:marBottom w:val="0"/>
              <w:divBdr>
                <w:top w:val="none" w:sz="0" w:space="0" w:color="auto"/>
                <w:left w:val="none" w:sz="0" w:space="0" w:color="auto"/>
                <w:bottom w:val="none" w:sz="0" w:space="0" w:color="auto"/>
                <w:right w:val="none" w:sz="0" w:space="0" w:color="auto"/>
              </w:divBdr>
              <w:divsChild>
                <w:div w:id="2117865767">
                  <w:marLeft w:val="0"/>
                  <w:marRight w:val="0"/>
                  <w:marTop w:val="0"/>
                  <w:marBottom w:val="0"/>
                  <w:divBdr>
                    <w:top w:val="none" w:sz="0" w:space="0" w:color="auto"/>
                    <w:left w:val="none" w:sz="0" w:space="0" w:color="auto"/>
                    <w:bottom w:val="none" w:sz="0" w:space="0" w:color="auto"/>
                    <w:right w:val="none" w:sz="0" w:space="0" w:color="auto"/>
                  </w:divBdr>
                </w:div>
              </w:divsChild>
            </w:div>
            <w:div w:id="826751410">
              <w:marLeft w:val="0"/>
              <w:marRight w:val="0"/>
              <w:marTop w:val="0"/>
              <w:marBottom w:val="0"/>
              <w:divBdr>
                <w:top w:val="none" w:sz="0" w:space="0" w:color="auto"/>
                <w:left w:val="none" w:sz="0" w:space="0" w:color="auto"/>
                <w:bottom w:val="none" w:sz="0" w:space="0" w:color="auto"/>
                <w:right w:val="none" w:sz="0" w:space="0" w:color="auto"/>
              </w:divBdr>
              <w:divsChild>
                <w:div w:id="9274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3345">
          <w:marLeft w:val="0"/>
          <w:marRight w:val="0"/>
          <w:marTop w:val="0"/>
          <w:marBottom w:val="0"/>
          <w:divBdr>
            <w:top w:val="none" w:sz="0" w:space="0" w:color="auto"/>
            <w:left w:val="none" w:sz="0" w:space="0" w:color="auto"/>
            <w:bottom w:val="none" w:sz="0" w:space="0" w:color="auto"/>
            <w:right w:val="none" w:sz="0" w:space="0" w:color="auto"/>
          </w:divBdr>
          <w:divsChild>
            <w:div w:id="203762627">
              <w:marLeft w:val="0"/>
              <w:marRight w:val="0"/>
              <w:marTop w:val="0"/>
              <w:marBottom w:val="0"/>
              <w:divBdr>
                <w:top w:val="none" w:sz="0" w:space="0" w:color="auto"/>
                <w:left w:val="none" w:sz="0" w:space="0" w:color="auto"/>
                <w:bottom w:val="none" w:sz="0" w:space="0" w:color="auto"/>
                <w:right w:val="none" w:sz="0" w:space="0" w:color="auto"/>
              </w:divBdr>
              <w:divsChild>
                <w:div w:id="1725908867">
                  <w:marLeft w:val="0"/>
                  <w:marRight w:val="0"/>
                  <w:marTop w:val="0"/>
                  <w:marBottom w:val="0"/>
                  <w:divBdr>
                    <w:top w:val="none" w:sz="0" w:space="0" w:color="auto"/>
                    <w:left w:val="none" w:sz="0" w:space="0" w:color="auto"/>
                    <w:bottom w:val="none" w:sz="0" w:space="0" w:color="auto"/>
                    <w:right w:val="none" w:sz="0" w:space="0" w:color="auto"/>
                  </w:divBdr>
                </w:div>
              </w:divsChild>
            </w:div>
            <w:div w:id="1421491559">
              <w:marLeft w:val="0"/>
              <w:marRight w:val="0"/>
              <w:marTop w:val="0"/>
              <w:marBottom w:val="0"/>
              <w:divBdr>
                <w:top w:val="none" w:sz="0" w:space="0" w:color="auto"/>
                <w:left w:val="none" w:sz="0" w:space="0" w:color="auto"/>
                <w:bottom w:val="none" w:sz="0" w:space="0" w:color="auto"/>
                <w:right w:val="none" w:sz="0" w:space="0" w:color="auto"/>
              </w:divBdr>
              <w:divsChild>
                <w:div w:id="19651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3933">
      <w:bodyDiv w:val="1"/>
      <w:marLeft w:val="0"/>
      <w:marRight w:val="0"/>
      <w:marTop w:val="0"/>
      <w:marBottom w:val="0"/>
      <w:divBdr>
        <w:top w:val="none" w:sz="0" w:space="0" w:color="auto"/>
        <w:left w:val="none" w:sz="0" w:space="0" w:color="auto"/>
        <w:bottom w:val="none" w:sz="0" w:space="0" w:color="auto"/>
        <w:right w:val="none" w:sz="0" w:space="0" w:color="auto"/>
      </w:divBdr>
    </w:div>
    <w:div w:id="1062601692">
      <w:bodyDiv w:val="1"/>
      <w:marLeft w:val="0"/>
      <w:marRight w:val="0"/>
      <w:marTop w:val="0"/>
      <w:marBottom w:val="0"/>
      <w:divBdr>
        <w:top w:val="none" w:sz="0" w:space="0" w:color="auto"/>
        <w:left w:val="none" w:sz="0" w:space="0" w:color="auto"/>
        <w:bottom w:val="none" w:sz="0" w:space="0" w:color="auto"/>
        <w:right w:val="none" w:sz="0" w:space="0" w:color="auto"/>
      </w:divBdr>
      <w:divsChild>
        <w:div w:id="1553806738">
          <w:marLeft w:val="0"/>
          <w:marRight w:val="0"/>
          <w:marTop w:val="0"/>
          <w:marBottom w:val="0"/>
          <w:divBdr>
            <w:top w:val="none" w:sz="0" w:space="0" w:color="auto"/>
            <w:left w:val="none" w:sz="0" w:space="0" w:color="auto"/>
            <w:bottom w:val="none" w:sz="0" w:space="0" w:color="auto"/>
            <w:right w:val="none" w:sz="0" w:space="0" w:color="auto"/>
          </w:divBdr>
          <w:divsChild>
            <w:div w:id="1275749996">
              <w:marLeft w:val="0"/>
              <w:marRight w:val="0"/>
              <w:marTop w:val="0"/>
              <w:marBottom w:val="0"/>
              <w:divBdr>
                <w:top w:val="none" w:sz="0" w:space="0" w:color="auto"/>
                <w:left w:val="none" w:sz="0" w:space="0" w:color="auto"/>
                <w:bottom w:val="none" w:sz="0" w:space="0" w:color="auto"/>
                <w:right w:val="none" w:sz="0" w:space="0" w:color="auto"/>
              </w:divBdr>
              <w:divsChild>
                <w:div w:id="10628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0528">
      <w:bodyDiv w:val="1"/>
      <w:marLeft w:val="0"/>
      <w:marRight w:val="0"/>
      <w:marTop w:val="0"/>
      <w:marBottom w:val="0"/>
      <w:divBdr>
        <w:top w:val="none" w:sz="0" w:space="0" w:color="auto"/>
        <w:left w:val="none" w:sz="0" w:space="0" w:color="auto"/>
        <w:bottom w:val="none" w:sz="0" w:space="0" w:color="auto"/>
        <w:right w:val="none" w:sz="0" w:space="0" w:color="auto"/>
      </w:divBdr>
    </w:div>
    <w:div w:id="109066344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3011">
      <w:bodyDiv w:val="1"/>
      <w:marLeft w:val="0"/>
      <w:marRight w:val="0"/>
      <w:marTop w:val="0"/>
      <w:marBottom w:val="0"/>
      <w:divBdr>
        <w:top w:val="none" w:sz="0" w:space="0" w:color="auto"/>
        <w:left w:val="none" w:sz="0" w:space="0" w:color="auto"/>
        <w:bottom w:val="none" w:sz="0" w:space="0" w:color="auto"/>
        <w:right w:val="none" w:sz="0" w:space="0" w:color="auto"/>
      </w:divBdr>
      <w:divsChild>
        <w:div w:id="32312556">
          <w:marLeft w:val="0"/>
          <w:marRight w:val="0"/>
          <w:marTop w:val="0"/>
          <w:marBottom w:val="0"/>
          <w:divBdr>
            <w:top w:val="none" w:sz="0" w:space="0" w:color="auto"/>
            <w:left w:val="none" w:sz="0" w:space="0" w:color="auto"/>
            <w:bottom w:val="none" w:sz="0" w:space="0" w:color="auto"/>
            <w:right w:val="none" w:sz="0" w:space="0" w:color="auto"/>
          </w:divBdr>
          <w:divsChild>
            <w:div w:id="1969622424">
              <w:marLeft w:val="0"/>
              <w:marRight w:val="0"/>
              <w:marTop w:val="0"/>
              <w:marBottom w:val="0"/>
              <w:divBdr>
                <w:top w:val="none" w:sz="0" w:space="0" w:color="auto"/>
                <w:left w:val="none" w:sz="0" w:space="0" w:color="auto"/>
                <w:bottom w:val="none" w:sz="0" w:space="0" w:color="auto"/>
                <w:right w:val="none" w:sz="0" w:space="0" w:color="auto"/>
              </w:divBdr>
              <w:divsChild>
                <w:div w:id="2032872471">
                  <w:marLeft w:val="0"/>
                  <w:marRight w:val="0"/>
                  <w:marTop w:val="0"/>
                  <w:marBottom w:val="0"/>
                  <w:divBdr>
                    <w:top w:val="none" w:sz="0" w:space="0" w:color="auto"/>
                    <w:left w:val="none" w:sz="0" w:space="0" w:color="auto"/>
                    <w:bottom w:val="none" w:sz="0" w:space="0" w:color="auto"/>
                    <w:right w:val="none" w:sz="0" w:space="0" w:color="auto"/>
                  </w:divBdr>
                  <w:divsChild>
                    <w:div w:id="3993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38713">
      <w:bodyDiv w:val="1"/>
      <w:marLeft w:val="0"/>
      <w:marRight w:val="0"/>
      <w:marTop w:val="0"/>
      <w:marBottom w:val="0"/>
      <w:divBdr>
        <w:top w:val="none" w:sz="0" w:space="0" w:color="auto"/>
        <w:left w:val="none" w:sz="0" w:space="0" w:color="auto"/>
        <w:bottom w:val="none" w:sz="0" w:space="0" w:color="auto"/>
        <w:right w:val="none" w:sz="0" w:space="0" w:color="auto"/>
      </w:divBdr>
    </w:div>
    <w:div w:id="1300257705">
      <w:bodyDiv w:val="1"/>
      <w:marLeft w:val="0"/>
      <w:marRight w:val="0"/>
      <w:marTop w:val="0"/>
      <w:marBottom w:val="0"/>
      <w:divBdr>
        <w:top w:val="none" w:sz="0" w:space="0" w:color="auto"/>
        <w:left w:val="none" w:sz="0" w:space="0" w:color="auto"/>
        <w:bottom w:val="none" w:sz="0" w:space="0" w:color="auto"/>
        <w:right w:val="none" w:sz="0" w:space="0" w:color="auto"/>
      </w:divBdr>
      <w:divsChild>
        <w:div w:id="451676262">
          <w:marLeft w:val="0"/>
          <w:marRight w:val="0"/>
          <w:marTop w:val="0"/>
          <w:marBottom w:val="0"/>
          <w:divBdr>
            <w:top w:val="none" w:sz="0" w:space="0" w:color="auto"/>
            <w:left w:val="none" w:sz="0" w:space="0" w:color="auto"/>
            <w:bottom w:val="none" w:sz="0" w:space="0" w:color="auto"/>
            <w:right w:val="none" w:sz="0" w:space="0" w:color="auto"/>
          </w:divBdr>
          <w:divsChild>
            <w:div w:id="1089540608">
              <w:marLeft w:val="0"/>
              <w:marRight w:val="0"/>
              <w:marTop w:val="0"/>
              <w:marBottom w:val="0"/>
              <w:divBdr>
                <w:top w:val="none" w:sz="0" w:space="0" w:color="auto"/>
                <w:left w:val="none" w:sz="0" w:space="0" w:color="auto"/>
                <w:bottom w:val="none" w:sz="0" w:space="0" w:color="auto"/>
                <w:right w:val="none" w:sz="0" w:space="0" w:color="auto"/>
              </w:divBdr>
              <w:divsChild>
                <w:div w:id="1918780629">
                  <w:marLeft w:val="0"/>
                  <w:marRight w:val="0"/>
                  <w:marTop w:val="0"/>
                  <w:marBottom w:val="0"/>
                  <w:divBdr>
                    <w:top w:val="none" w:sz="0" w:space="0" w:color="auto"/>
                    <w:left w:val="none" w:sz="0" w:space="0" w:color="auto"/>
                    <w:bottom w:val="none" w:sz="0" w:space="0" w:color="auto"/>
                    <w:right w:val="none" w:sz="0" w:space="0" w:color="auto"/>
                  </w:divBdr>
                  <w:divsChild>
                    <w:div w:id="5874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28606">
      <w:bodyDiv w:val="1"/>
      <w:marLeft w:val="0"/>
      <w:marRight w:val="0"/>
      <w:marTop w:val="0"/>
      <w:marBottom w:val="0"/>
      <w:divBdr>
        <w:top w:val="none" w:sz="0" w:space="0" w:color="auto"/>
        <w:left w:val="none" w:sz="0" w:space="0" w:color="auto"/>
        <w:bottom w:val="none" w:sz="0" w:space="0" w:color="auto"/>
        <w:right w:val="none" w:sz="0" w:space="0" w:color="auto"/>
      </w:divBdr>
      <w:divsChild>
        <w:div w:id="546333465">
          <w:marLeft w:val="0"/>
          <w:marRight w:val="0"/>
          <w:marTop w:val="0"/>
          <w:marBottom w:val="0"/>
          <w:divBdr>
            <w:top w:val="none" w:sz="0" w:space="0" w:color="auto"/>
            <w:left w:val="none" w:sz="0" w:space="0" w:color="auto"/>
            <w:bottom w:val="none" w:sz="0" w:space="0" w:color="auto"/>
            <w:right w:val="none" w:sz="0" w:space="0" w:color="auto"/>
          </w:divBdr>
          <w:divsChild>
            <w:div w:id="2118333598">
              <w:marLeft w:val="0"/>
              <w:marRight w:val="0"/>
              <w:marTop w:val="0"/>
              <w:marBottom w:val="0"/>
              <w:divBdr>
                <w:top w:val="none" w:sz="0" w:space="0" w:color="auto"/>
                <w:left w:val="none" w:sz="0" w:space="0" w:color="auto"/>
                <w:bottom w:val="none" w:sz="0" w:space="0" w:color="auto"/>
                <w:right w:val="none" w:sz="0" w:space="0" w:color="auto"/>
              </w:divBdr>
              <w:divsChild>
                <w:div w:id="5936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7627">
      <w:bodyDiv w:val="1"/>
      <w:marLeft w:val="0"/>
      <w:marRight w:val="0"/>
      <w:marTop w:val="0"/>
      <w:marBottom w:val="0"/>
      <w:divBdr>
        <w:top w:val="none" w:sz="0" w:space="0" w:color="auto"/>
        <w:left w:val="none" w:sz="0" w:space="0" w:color="auto"/>
        <w:bottom w:val="none" w:sz="0" w:space="0" w:color="auto"/>
        <w:right w:val="none" w:sz="0" w:space="0" w:color="auto"/>
      </w:divBdr>
      <w:divsChild>
        <w:div w:id="1297300730">
          <w:marLeft w:val="0"/>
          <w:marRight w:val="0"/>
          <w:marTop w:val="0"/>
          <w:marBottom w:val="0"/>
          <w:divBdr>
            <w:top w:val="none" w:sz="0" w:space="0" w:color="auto"/>
            <w:left w:val="none" w:sz="0" w:space="0" w:color="auto"/>
            <w:bottom w:val="none" w:sz="0" w:space="0" w:color="auto"/>
            <w:right w:val="none" w:sz="0" w:space="0" w:color="auto"/>
          </w:divBdr>
          <w:divsChild>
            <w:div w:id="397481954">
              <w:marLeft w:val="0"/>
              <w:marRight w:val="0"/>
              <w:marTop w:val="0"/>
              <w:marBottom w:val="0"/>
              <w:divBdr>
                <w:top w:val="none" w:sz="0" w:space="0" w:color="auto"/>
                <w:left w:val="none" w:sz="0" w:space="0" w:color="auto"/>
                <w:bottom w:val="none" w:sz="0" w:space="0" w:color="auto"/>
                <w:right w:val="none" w:sz="0" w:space="0" w:color="auto"/>
              </w:divBdr>
              <w:divsChild>
                <w:div w:id="1913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969">
      <w:bodyDiv w:val="1"/>
      <w:marLeft w:val="0"/>
      <w:marRight w:val="0"/>
      <w:marTop w:val="0"/>
      <w:marBottom w:val="0"/>
      <w:divBdr>
        <w:top w:val="none" w:sz="0" w:space="0" w:color="auto"/>
        <w:left w:val="none" w:sz="0" w:space="0" w:color="auto"/>
        <w:bottom w:val="none" w:sz="0" w:space="0" w:color="auto"/>
        <w:right w:val="none" w:sz="0" w:space="0" w:color="auto"/>
      </w:divBdr>
    </w:div>
    <w:div w:id="1329821112">
      <w:bodyDiv w:val="1"/>
      <w:marLeft w:val="0"/>
      <w:marRight w:val="0"/>
      <w:marTop w:val="0"/>
      <w:marBottom w:val="0"/>
      <w:divBdr>
        <w:top w:val="none" w:sz="0" w:space="0" w:color="auto"/>
        <w:left w:val="none" w:sz="0" w:space="0" w:color="auto"/>
        <w:bottom w:val="none" w:sz="0" w:space="0" w:color="auto"/>
        <w:right w:val="none" w:sz="0" w:space="0" w:color="auto"/>
      </w:divBdr>
      <w:divsChild>
        <w:div w:id="939221808">
          <w:marLeft w:val="0"/>
          <w:marRight w:val="0"/>
          <w:marTop w:val="0"/>
          <w:marBottom w:val="0"/>
          <w:divBdr>
            <w:top w:val="none" w:sz="0" w:space="0" w:color="auto"/>
            <w:left w:val="none" w:sz="0" w:space="0" w:color="auto"/>
            <w:bottom w:val="none" w:sz="0" w:space="0" w:color="auto"/>
            <w:right w:val="none" w:sz="0" w:space="0" w:color="auto"/>
          </w:divBdr>
          <w:divsChild>
            <w:div w:id="1288469087">
              <w:marLeft w:val="0"/>
              <w:marRight w:val="0"/>
              <w:marTop w:val="0"/>
              <w:marBottom w:val="0"/>
              <w:divBdr>
                <w:top w:val="none" w:sz="0" w:space="0" w:color="auto"/>
                <w:left w:val="none" w:sz="0" w:space="0" w:color="auto"/>
                <w:bottom w:val="none" w:sz="0" w:space="0" w:color="auto"/>
                <w:right w:val="none" w:sz="0" w:space="0" w:color="auto"/>
              </w:divBdr>
              <w:divsChild>
                <w:div w:id="6903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6797">
      <w:bodyDiv w:val="1"/>
      <w:marLeft w:val="0"/>
      <w:marRight w:val="0"/>
      <w:marTop w:val="0"/>
      <w:marBottom w:val="0"/>
      <w:divBdr>
        <w:top w:val="none" w:sz="0" w:space="0" w:color="auto"/>
        <w:left w:val="none" w:sz="0" w:space="0" w:color="auto"/>
        <w:bottom w:val="none" w:sz="0" w:space="0" w:color="auto"/>
        <w:right w:val="none" w:sz="0" w:space="0" w:color="auto"/>
      </w:divBdr>
      <w:divsChild>
        <w:div w:id="332295701">
          <w:marLeft w:val="0"/>
          <w:marRight w:val="0"/>
          <w:marTop w:val="0"/>
          <w:marBottom w:val="0"/>
          <w:divBdr>
            <w:top w:val="none" w:sz="0" w:space="0" w:color="auto"/>
            <w:left w:val="none" w:sz="0" w:space="0" w:color="auto"/>
            <w:bottom w:val="none" w:sz="0" w:space="0" w:color="auto"/>
            <w:right w:val="none" w:sz="0" w:space="0" w:color="auto"/>
          </w:divBdr>
          <w:divsChild>
            <w:div w:id="1050542494">
              <w:marLeft w:val="0"/>
              <w:marRight w:val="0"/>
              <w:marTop w:val="0"/>
              <w:marBottom w:val="0"/>
              <w:divBdr>
                <w:top w:val="none" w:sz="0" w:space="0" w:color="auto"/>
                <w:left w:val="none" w:sz="0" w:space="0" w:color="auto"/>
                <w:bottom w:val="none" w:sz="0" w:space="0" w:color="auto"/>
                <w:right w:val="none" w:sz="0" w:space="0" w:color="auto"/>
              </w:divBdr>
              <w:divsChild>
                <w:div w:id="5140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9083">
      <w:bodyDiv w:val="1"/>
      <w:marLeft w:val="0"/>
      <w:marRight w:val="0"/>
      <w:marTop w:val="0"/>
      <w:marBottom w:val="0"/>
      <w:divBdr>
        <w:top w:val="none" w:sz="0" w:space="0" w:color="auto"/>
        <w:left w:val="none" w:sz="0" w:space="0" w:color="auto"/>
        <w:bottom w:val="none" w:sz="0" w:space="0" w:color="auto"/>
        <w:right w:val="none" w:sz="0" w:space="0" w:color="auto"/>
      </w:divBdr>
      <w:divsChild>
        <w:div w:id="245456311">
          <w:marLeft w:val="0"/>
          <w:marRight w:val="0"/>
          <w:marTop w:val="0"/>
          <w:marBottom w:val="0"/>
          <w:divBdr>
            <w:top w:val="none" w:sz="0" w:space="0" w:color="auto"/>
            <w:left w:val="none" w:sz="0" w:space="0" w:color="auto"/>
            <w:bottom w:val="none" w:sz="0" w:space="0" w:color="auto"/>
            <w:right w:val="none" w:sz="0" w:space="0" w:color="auto"/>
          </w:divBdr>
          <w:divsChild>
            <w:div w:id="824857856">
              <w:marLeft w:val="0"/>
              <w:marRight w:val="0"/>
              <w:marTop w:val="0"/>
              <w:marBottom w:val="0"/>
              <w:divBdr>
                <w:top w:val="none" w:sz="0" w:space="0" w:color="auto"/>
                <w:left w:val="none" w:sz="0" w:space="0" w:color="auto"/>
                <w:bottom w:val="none" w:sz="0" w:space="0" w:color="auto"/>
                <w:right w:val="none" w:sz="0" w:space="0" w:color="auto"/>
              </w:divBdr>
              <w:divsChild>
                <w:div w:id="9611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01204">
      <w:bodyDiv w:val="1"/>
      <w:marLeft w:val="0"/>
      <w:marRight w:val="0"/>
      <w:marTop w:val="0"/>
      <w:marBottom w:val="0"/>
      <w:divBdr>
        <w:top w:val="none" w:sz="0" w:space="0" w:color="auto"/>
        <w:left w:val="none" w:sz="0" w:space="0" w:color="auto"/>
        <w:bottom w:val="none" w:sz="0" w:space="0" w:color="auto"/>
        <w:right w:val="none" w:sz="0" w:space="0" w:color="auto"/>
      </w:divBdr>
      <w:divsChild>
        <w:div w:id="162547866">
          <w:marLeft w:val="0"/>
          <w:marRight w:val="0"/>
          <w:marTop w:val="0"/>
          <w:marBottom w:val="0"/>
          <w:divBdr>
            <w:top w:val="none" w:sz="0" w:space="0" w:color="auto"/>
            <w:left w:val="none" w:sz="0" w:space="0" w:color="auto"/>
            <w:bottom w:val="none" w:sz="0" w:space="0" w:color="auto"/>
            <w:right w:val="none" w:sz="0" w:space="0" w:color="auto"/>
          </w:divBdr>
          <w:divsChild>
            <w:div w:id="695733696">
              <w:marLeft w:val="0"/>
              <w:marRight w:val="0"/>
              <w:marTop w:val="0"/>
              <w:marBottom w:val="0"/>
              <w:divBdr>
                <w:top w:val="none" w:sz="0" w:space="0" w:color="auto"/>
                <w:left w:val="none" w:sz="0" w:space="0" w:color="auto"/>
                <w:bottom w:val="none" w:sz="0" w:space="0" w:color="auto"/>
                <w:right w:val="none" w:sz="0" w:space="0" w:color="auto"/>
              </w:divBdr>
              <w:divsChild>
                <w:div w:id="4421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29276">
      <w:bodyDiv w:val="1"/>
      <w:marLeft w:val="0"/>
      <w:marRight w:val="0"/>
      <w:marTop w:val="0"/>
      <w:marBottom w:val="0"/>
      <w:divBdr>
        <w:top w:val="none" w:sz="0" w:space="0" w:color="auto"/>
        <w:left w:val="none" w:sz="0" w:space="0" w:color="auto"/>
        <w:bottom w:val="none" w:sz="0" w:space="0" w:color="auto"/>
        <w:right w:val="none" w:sz="0" w:space="0" w:color="auto"/>
      </w:divBdr>
      <w:divsChild>
        <w:div w:id="763845130">
          <w:marLeft w:val="0"/>
          <w:marRight w:val="0"/>
          <w:marTop w:val="0"/>
          <w:marBottom w:val="0"/>
          <w:divBdr>
            <w:top w:val="none" w:sz="0" w:space="0" w:color="auto"/>
            <w:left w:val="none" w:sz="0" w:space="0" w:color="auto"/>
            <w:bottom w:val="none" w:sz="0" w:space="0" w:color="auto"/>
            <w:right w:val="none" w:sz="0" w:space="0" w:color="auto"/>
          </w:divBdr>
          <w:divsChild>
            <w:div w:id="1972515354">
              <w:marLeft w:val="0"/>
              <w:marRight w:val="0"/>
              <w:marTop w:val="0"/>
              <w:marBottom w:val="0"/>
              <w:divBdr>
                <w:top w:val="none" w:sz="0" w:space="0" w:color="auto"/>
                <w:left w:val="none" w:sz="0" w:space="0" w:color="auto"/>
                <w:bottom w:val="none" w:sz="0" w:space="0" w:color="auto"/>
                <w:right w:val="none" w:sz="0" w:space="0" w:color="auto"/>
              </w:divBdr>
              <w:divsChild>
                <w:div w:id="963005555">
                  <w:marLeft w:val="0"/>
                  <w:marRight w:val="0"/>
                  <w:marTop w:val="0"/>
                  <w:marBottom w:val="0"/>
                  <w:divBdr>
                    <w:top w:val="none" w:sz="0" w:space="0" w:color="auto"/>
                    <w:left w:val="none" w:sz="0" w:space="0" w:color="auto"/>
                    <w:bottom w:val="none" w:sz="0" w:space="0" w:color="auto"/>
                    <w:right w:val="none" w:sz="0" w:space="0" w:color="auto"/>
                  </w:divBdr>
                  <w:divsChild>
                    <w:div w:id="15785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3172">
      <w:bodyDiv w:val="1"/>
      <w:marLeft w:val="0"/>
      <w:marRight w:val="0"/>
      <w:marTop w:val="0"/>
      <w:marBottom w:val="0"/>
      <w:divBdr>
        <w:top w:val="none" w:sz="0" w:space="0" w:color="auto"/>
        <w:left w:val="none" w:sz="0" w:space="0" w:color="auto"/>
        <w:bottom w:val="none" w:sz="0" w:space="0" w:color="auto"/>
        <w:right w:val="none" w:sz="0" w:space="0" w:color="auto"/>
      </w:divBdr>
      <w:divsChild>
        <w:div w:id="1224875983">
          <w:marLeft w:val="0"/>
          <w:marRight w:val="0"/>
          <w:marTop w:val="0"/>
          <w:marBottom w:val="0"/>
          <w:divBdr>
            <w:top w:val="none" w:sz="0" w:space="0" w:color="auto"/>
            <w:left w:val="none" w:sz="0" w:space="0" w:color="auto"/>
            <w:bottom w:val="none" w:sz="0" w:space="0" w:color="auto"/>
            <w:right w:val="none" w:sz="0" w:space="0" w:color="auto"/>
          </w:divBdr>
          <w:divsChild>
            <w:div w:id="1690834237">
              <w:marLeft w:val="0"/>
              <w:marRight w:val="0"/>
              <w:marTop w:val="0"/>
              <w:marBottom w:val="0"/>
              <w:divBdr>
                <w:top w:val="none" w:sz="0" w:space="0" w:color="auto"/>
                <w:left w:val="none" w:sz="0" w:space="0" w:color="auto"/>
                <w:bottom w:val="none" w:sz="0" w:space="0" w:color="auto"/>
                <w:right w:val="none" w:sz="0" w:space="0" w:color="auto"/>
              </w:divBdr>
              <w:divsChild>
                <w:div w:id="2079012377">
                  <w:marLeft w:val="0"/>
                  <w:marRight w:val="0"/>
                  <w:marTop w:val="0"/>
                  <w:marBottom w:val="0"/>
                  <w:divBdr>
                    <w:top w:val="none" w:sz="0" w:space="0" w:color="auto"/>
                    <w:left w:val="none" w:sz="0" w:space="0" w:color="auto"/>
                    <w:bottom w:val="none" w:sz="0" w:space="0" w:color="auto"/>
                    <w:right w:val="none" w:sz="0" w:space="0" w:color="auto"/>
                  </w:divBdr>
                  <w:divsChild>
                    <w:div w:id="3861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18717">
      <w:bodyDiv w:val="1"/>
      <w:marLeft w:val="0"/>
      <w:marRight w:val="0"/>
      <w:marTop w:val="0"/>
      <w:marBottom w:val="0"/>
      <w:divBdr>
        <w:top w:val="none" w:sz="0" w:space="0" w:color="auto"/>
        <w:left w:val="none" w:sz="0" w:space="0" w:color="auto"/>
        <w:bottom w:val="none" w:sz="0" w:space="0" w:color="auto"/>
        <w:right w:val="none" w:sz="0" w:space="0" w:color="auto"/>
      </w:divBdr>
      <w:divsChild>
        <w:div w:id="242419785">
          <w:marLeft w:val="0"/>
          <w:marRight w:val="0"/>
          <w:marTop w:val="0"/>
          <w:marBottom w:val="0"/>
          <w:divBdr>
            <w:top w:val="none" w:sz="0" w:space="0" w:color="auto"/>
            <w:left w:val="none" w:sz="0" w:space="0" w:color="auto"/>
            <w:bottom w:val="none" w:sz="0" w:space="0" w:color="auto"/>
            <w:right w:val="none" w:sz="0" w:space="0" w:color="auto"/>
          </w:divBdr>
          <w:divsChild>
            <w:div w:id="2144611642">
              <w:marLeft w:val="0"/>
              <w:marRight w:val="0"/>
              <w:marTop w:val="0"/>
              <w:marBottom w:val="0"/>
              <w:divBdr>
                <w:top w:val="none" w:sz="0" w:space="0" w:color="auto"/>
                <w:left w:val="none" w:sz="0" w:space="0" w:color="auto"/>
                <w:bottom w:val="none" w:sz="0" w:space="0" w:color="auto"/>
                <w:right w:val="none" w:sz="0" w:space="0" w:color="auto"/>
              </w:divBdr>
              <w:divsChild>
                <w:div w:id="7254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6487">
      <w:bodyDiv w:val="1"/>
      <w:marLeft w:val="0"/>
      <w:marRight w:val="0"/>
      <w:marTop w:val="0"/>
      <w:marBottom w:val="0"/>
      <w:divBdr>
        <w:top w:val="none" w:sz="0" w:space="0" w:color="auto"/>
        <w:left w:val="none" w:sz="0" w:space="0" w:color="auto"/>
        <w:bottom w:val="none" w:sz="0" w:space="0" w:color="auto"/>
        <w:right w:val="none" w:sz="0" w:space="0" w:color="auto"/>
      </w:divBdr>
      <w:divsChild>
        <w:div w:id="1938059277">
          <w:marLeft w:val="0"/>
          <w:marRight w:val="0"/>
          <w:marTop w:val="0"/>
          <w:marBottom w:val="0"/>
          <w:divBdr>
            <w:top w:val="none" w:sz="0" w:space="0" w:color="auto"/>
            <w:left w:val="none" w:sz="0" w:space="0" w:color="auto"/>
            <w:bottom w:val="none" w:sz="0" w:space="0" w:color="auto"/>
            <w:right w:val="none" w:sz="0" w:space="0" w:color="auto"/>
          </w:divBdr>
          <w:divsChild>
            <w:div w:id="1817524054">
              <w:marLeft w:val="0"/>
              <w:marRight w:val="0"/>
              <w:marTop w:val="0"/>
              <w:marBottom w:val="0"/>
              <w:divBdr>
                <w:top w:val="none" w:sz="0" w:space="0" w:color="auto"/>
                <w:left w:val="none" w:sz="0" w:space="0" w:color="auto"/>
                <w:bottom w:val="none" w:sz="0" w:space="0" w:color="auto"/>
                <w:right w:val="none" w:sz="0" w:space="0" w:color="auto"/>
              </w:divBdr>
              <w:divsChild>
                <w:div w:id="8372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04103">
      <w:bodyDiv w:val="1"/>
      <w:marLeft w:val="0"/>
      <w:marRight w:val="0"/>
      <w:marTop w:val="0"/>
      <w:marBottom w:val="0"/>
      <w:divBdr>
        <w:top w:val="none" w:sz="0" w:space="0" w:color="auto"/>
        <w:left w:val="none" w:sz="0" w:space="0" w:color="auto"/>
        <w:bottom w:val="none" w:sz="0" w:space="0" w:color="auto"/>
        <w:right w:val="none" w:sz="0" w:space="0" w:color="auto"/>
      </w:divBdr>
      <w:divsChild>
        <w:div w:id="164438357">
          <w:marLeft w:val="0"/>
          <w:marRight w:val="0"/>
          <w:marTop w:val="0"/>
          <w:marBottom w:val="0"/>
          <w:divBdr>
            <w:top w:val="none" w:sz="0" w:space="0" w:color="auto"/>
            <w:left w:val="none" w:sz="0" w:space="0" w:color="auto"/>
            <w:bottom w:val="none" w:sz="0" w:space="0" w:color="auto"/>
            <w:right w:val="none" w:sz="0" w:space="0" w:color="auto"/>
          </w:divBdr>
          <w:divsChild>
            <w:div w:id="1412389274">
              <w:marLeft w:val="0"/>
              <w:marRight w:val="0"/>
              <w:marTop w:val="0"/>
              <w:marBottom w:val="0"/>
              <w:divBdr>
                <w:top w:val="none" w:sz="0" w:space="0" w:color="auto"/>
                <w:left w:val="none" w:sz="0" w:space="0" w:color="auto"/>
                <w:bottom w:val="none" w:sz="0" w:space="0" w:color="auto"/>
                <w:right w:val="none" w:sz="0" w:space="0" w:color="auto"/>
              </w:divBdr>
              <w:divsChild>
                <w:div w:id="19647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91091">
      <w:bodyDiv w:val="1"/>
      <w:marLeft w:val="0"/>
      <w:marRight w:val="0"/>
      <w:marTop w:val="0"/>
      <w:marBottom w:val="0"/>
      <w:divBdr>
        <w:top w:val="none" w:sz="0" w:space="0" w:color="auto"/>
        <w:left w:val="none" w:sz="0" w:space="0" w:color="auto"/>
        <w:bottom w:val="none" w:sz="0" w:space="0" w:color="auto"/>
        <w:right w:val="none" w:sz="0" w:space="0" w:color="auto"/>
      </w:divBdr>
      <w:divsChild>
        <w:div w:id="2047411940">
          <w:marLeft w:val="0"/>
          <w:marRight w:val="0"/>
          <w:marTop w:val="0"/>
          <w:marBottom w:val="0"/>
          <w:divBdr>
            <w:top w:val="none" w:sz="0" w:space="0" w:color="auto"/>
            <w:left w:val="none" w:sz="0" w:space="0" w:color="auto"/>
            <w:bottom w:val="none" w:sz="0" w:space="0" w:color="auto"/>
            <w:right w:val="none" w:sz="0" w:space="0" w:color="auto"/>
          </w:divBdr>
          <w:divsChild>
            <w:div w:id="1612320268">
              <w:marLeft w:val="0"/>
              <w:marRight w:val="0"/>
              <w:marTop w:val="0"/>
              <w:marBottom w:val="0"/>
              <w:divBdr>
                <w:top w:val="none" w:sz="0" w:space="0" w:color="auto"/>
                <w:left w:val="none" w:sz="0" w:space="0" w:color="auto"/>
                <w:bottom w:val="none" w:sz="0" w:space="0" w:color="auto"/>
                <w:right w:val="none" w:sz="0" w:space="0" w:color="auto"/>
              </w:divBdr>
              <w:divsChild>
                <w:div w:id="21346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19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81">
          <w:marLeft w:val="0"/>
          <w:marRight w:val="0"/>
          <w:marTop w:val="0"/>
          <w:marBottom w:val="0"/>
          <w:divBdr>
            <w:top w:val="none" w:sz="0" w:space="0" w:color="auto"/>
            <w:left w:val="none" w:sz="0" w:space="0" w:color="auto"/>
            <w:bottom w:val="none" w:sz="0" w:space="0" w:color="auto"/>
            <w:right w:val="none" w:sz="0" w:space="0" w:color="auto"/>
          </w:divBdr>
          <w:divsChild>
            <w:div w:id="1938250486">
              <w:marLeft w:val="0"/>
              <w:marRight w:val="0"/>
              <w:marTop w:val="0"/>
              <w:marBottom w:val="0"/>
              <w:divBdr>
                <w:top w:val="none" w:sz="0" w:space="0" w:color="auto"/>
                <w:left w:val="none" w:sz="0" w:space="0" w:color="auto"/>
                <w:bottom w:val="none" w:sz="0" w:space="0" w:color="auto"/>
                <w:right w:val="none" w:sz="0" w:space="0" w:color="auto"/>
              </w:divBdr>
              <w:divsChild>
                <w:div w:id="13390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39683">
      <w:bodyDiv w:val="1"/>
      <w:marLeft w:val="0"/>
      <w:marRight w:val="0"/>
      <w:marTop w:val="0"/>
      <w:marBottom w:val="0"/>
      <w:divBdr>
        <w:top w:val="none" w:sz="0" w:space="0" w:color="auto"/>
        <w:left w:val="none" w:sz="0" w:space="0" w:color="auto"/>
        <w:bottom w:val="none" w:sz="0" w:space="0" w:color="auto"/>
        <w:right w:val="none" w:sz="0" w:space="0" w:color="auto"/>
      </w:divBdr>
      <w:divsChild>
        <w:div w:id="1811896405">
          <w:marLeft w:val="0"/>
          <w:marRight w:val="0"/>
          <w:marTop w:val="0"/>
          <w:marBottom w:val="0"/>
          <w:divBdr>
            <w:top w:val="none" w:sz="0" w:space="0" w:color="auto"/>
            <w:left w:val="none" w:sz="0" w:space="0" w:color="auto"/>
            <w:bottom w:val="none" w:sz="0" w:space="0" w:color="auto"/>
            <w:right w:val="none" w:sz="0" w:space="0" w:color="auto"/>
          </w:divBdr>
          <w:divsChild>
            <w:div w:id="1829710080">
              <w:marLeft w:val="0"/>
              <w:marRight w:val="0"/>
              <w:marTop w:val="0"/>
              <w:marBottom w:val="0"/>
              <w:divBdr>
                <w:top w:val="none" w:sz="0" w:space="0" w:color="auto"/>
                <w:left w:val="none" w:sz="0" w:space="0" w:color="auto"/>
                <w:bottom w:val="none" w:sz="0" w:space="0" w:color="auto"/>
                <w:right w:val="none" w:sz="0" w:space="0" w:color="auto"/>
              </w:divBdr>
              <w:divsChild>
                <w:div w:id="3979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6351">
      <w:bodyDiv w:val="1"/>
      <w:marLeft w:val="0"/>
      <w:marRight w:val="0"/>
      <w:marTop w:val="0"/>
      <w:marBottom w:val="0"/>
      <w:divBdr>
        <w:top w:val="none" w:sz="0" w:space="0" w:color="auto"/>
        <w:left w:val="none" w:sz="0" w:space="0" w:color="auto"/>
        <w:bottom w:val="none" w:sz="0" w:space="0" w:color="auto"/>
        <w:right w:val="none" w:sz="0" w:space="0" w:color="auto"/>
      </w:divBdr>
      <w:divsChild>
        <w:div w:id="916326269">
          <w:marLeft w:val="0"/>
          <w:marRight w:val="0"/>
          <w:marTop w:val="0"/>
          <w:marBottom w:val="0"/>
          <w:divBdr>
            <w:top w:val="none" w:sz="0" w:space="0" w:color="auto"/>
            <w:left w:val="none" w:sz="0" w:space="0" w:color="auto"/>
            <w:bottom w:val="none" w:sz="0" w:space="0" w:color="auto"/>
            <w:right w:val="none" w:sz="0" w:space="0" w:color="auto"/>
          </w:divBdr>
          <w:divsChild>
            <w:div w:id="1595361306">
              <w:marLeft w:val="0"/>
              <w:marRight w:val="0"/>
              <w:marTop w:val="0"/>
              <w:marBottom w:val="0"/>
              <w:divBdr>
                <w:top w:val="none" w:sz="0" w:space="0" w:color="auto"/>
                <w:left w:val="none" w:sz="0" w:space="0" w:color="auto"/>
                <w:bottom w:val="none" w:sz="0" w:space="0" w:color="auto"/>
                <w:right w:val="none" w:sz="0" w:space="0" w:color="auto"/>
              </w:divBdr>
              <w:divsChild>
                <w:div w:id="100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5263">
      <w:bodyDiv w:val="1"/>
      <w:marLeft w:val="0"/>
      <w:marRight w:val="0"/>
      <w:marTop w:val="0"/>
      <w:marBottom w:val="0"/>
      <w:divBdr>
        <w:top w:val="none" w:sz="0" w:space="0" w:color="auto"/>
        <w:left w:val="none" w:sz="0" w:space="0" w:color="auto"/>
        <w:bottom w:val="none" w:sz="0" w:space="0" w:color="auto"/>
        <w:right w:val="none" w:sz="0" w:space="0" w:color="auto"/>
      </w:divBdr>
      <w:divsChild>
        <w:div w:id="1626154172">
          <w:marLeft w:val="0"/>
          <w:marRight w:val="0"/>
          <w:marTop w:val="0"/>
          <w:marBottom w:val="0"/>
          <w:divBdr>
            <w:top w:val="none" w:sz="0" w:space="0" w:color="auto"/>
            <w:left w:val="none" w:sz="0" w:space="0" w:color="auto"/>
            <w:bottom w:val="none" w:sz="0" w:space="0" w:color="auto"/>
            <w:right w:val="none" w:sz="0" w:space="0" w:color="auto"/>
          </w:divBdr>
          <w:divsChild>
            <w:div w:id="590091475">
              <w:marLeft w:val="0"/>
              <w:marRight w:val="0"/>
              <w:marTop w:val="0"/>
              <w:marBottom w:val="0"/>
              <w:divBdr>
                <w:top w:val="none" w:sz="0" w:space="0" w:color="auto"/>
                <w:left w:val="none" w:sz="0" w:space="0" w:color="auto"/>
                <w:bottom w:val="none" w:sz="0" w:space="0" w:color="auto"/>
                <w:right w:val="none" w:sz="0" w:space="0" w:color="auto"/>
              </w:divBdr>
              <w:divsChild>
                <w:div w:id="4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9716">
      <w:bodyDiv w:val="1"/>
      <w:marLeft w:val="0"/>
      <w:marRight w:val="0"/>
      <w:marTop w:val="0"/>
      <w:marBottom w:val="0"/>
      <w:divBdr>
        <w:top w:val="none" w:sz="0" w:space="0" w:color="auto"/>
        <w:left w:val="none" w:sz="0" w:space="0" w:color="auto"/>
        <w:bottom w:val="none" w:sz="0" w:space="0" w:color="auto"/>
        <w:right w:val="none" w:sz="0" w:space="0" w:color="auto"/>
      </w:divBdr>
      <w:divsChild>
        <w:div w:id="1171093938">
          <w:marLeft w:val="0"/>
          <w:marRight w:val="0"/>
          <w:marTop w:val="0"/>
          <w:marBottom w:val="0"/>
          <w:divBdr>
            <w:top w:val="none" w:sz="0" w:space="0" w:color="auto"/>
            <w:left w:val="none" w:sz="0" w:space="0" w:color="auto"/>
            <w:bottom w:val="none" w:sz="0" w:space="0" w:color="auto"/>
            <w:right w:val="none" w:sz="0" w:space="0" w:color="auto"/>
          </w:divBdr>
          <w:divsChild>
            <w:div w:id="1839494778">
              <w:marLeft w:val="0"/>
              <w:marRight w:val="0"/>
              <w:marTop w:val="0"/>
              <w:marBottom w:val="0"/>
              <w:divBdr>
                <w:top w:val="none" w:sz="0" w:space="0" w:color="auto"/>
                <w:left w:val="none" w:sz="0" w:space="0" w:color="auto"/>
                <w:bottom w:val="none" w:sz="0" w:space="0" w:color="auto"/>
                <w:right w:val="none" w:sz="0" w:space="0" w:color="auto"/>
              </w:divBdr>
              <w:divsChild>
                <w:div w:id="1259481270">
                  <w:marLeft w:val="0"/>
                  <w:marRight w:val="0"/>
                  <w:marTop w:val="0"/>
                  <w:marBottom w:val="0"/>
                  <w:divBdr>
                    <w:top w:val="none" w:sz="0" w:space="0" w:color="auto"/>
                    <w:left w:val="none" w:sz="0" w:space="0" w:color="auto"/>
                    <w:bottom w:val="none" w:sz="0" w:space="0" w:color="auto"/>
                    <w:right w:val="none" w:sz="0" w:space="0" w:color="auto"/>
                  </w:divBdr>
                  <w:divsChild>
                    <w:div w:id="432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6203">
      <w:bodyDiv w:val="1"/>
      <w:marLeft w:val="0"/>
      <w:marRight w:val="0"/>
      <w:marTop w:val="0"/>
      <w:marBottom w:val="0"/>
      <w:divBdr>
        <w:top w:val="none" w:sz="0" w:space="0" w:color="auto"/>
        <w:left w:val="none" w:sz="0" w:space="0" w:color="auto"/>
        <w:bottom w:val="none" w:sz="0" w:space="0" w:color="auto"/>
        <w:right w:val="none" w:sz="0" w:space="0" w:color="auto"/>
      </w:divBdr>
      <w:divsChild>
        <w:div w:id="1720275619">
          <w:marLeft w:val="0"/>
          <w:marRight w:val="0"/>
          <w:marTop w:val="0"/>
          <w:marBottom w:val="0"/>
          <w:divBdr>
            <w:top w:val="none" w:sz="0" w:space="0" w:color="auto"/>
            <w:left w:val="none" w:sz="0" w:space="0" w:color="auto"/>
            <w:bottom w:val="none" w:sz="0" w:space="0" w:color="auto"/>
            <w:right w:val="none" w:sz="0" w:space="0" w:color="auto"/>
          </w:divBdr>
          <w:divsChild>
            <w:div w:id="575749424">
              <w:marLeft w:val="0"/>
              <w:marRight w:val="0"/>
              <w:marTop w:val="0"/>
              <w:marBottom w:val="0"/>
              <w:divBdr>
                <w:top w:val="none" w:sz="0" w:space="0" w:color="auto"/>
                <w:left w:val="none" w:sz="0" w:space="0" w:color="auto"/>
                <w:bottom w:val="none" w:sz="0" w:space="0" w:color="auto"/>
                <w:right w:val="none" w:sz="0" w:space="0" w:color="auto"/>
              </w:divBdr>
              <w:divsChild>
                <w:div w:id="8808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2024">
      <w:bodyDiv w:val="1"/>
      <w:marLeft w:val="0"/>
      <w:marRight w:val="0"/>
      <w:marTop w:val="0"/>
      <w:marBottom w:val="0"/>
      <w:divBdr>
        <w:top w:val="none" w:sz="0" w:space="0" w:color="auto"/>
        <w:left w:val="none" w:sz="0" w:space="0" w:color="auto"/>
        <w:bottom w:val="none" w:sz="0" w:space="0" w:color="auto"/>
        <w:right w:val="none" w:sz="0" w:space="0" w:color="auto"/>
      </w:divBdr>
    </w:div>
    <w:div w:id="1603877081">
      <w:bodyDiv w:val="1"/>
      <w:marLeft w:val="0"/>
      <w:marRight w:val="0"/>
      <w:marTop w:val="0"/>
      <w:marBottom w:val="0"/>
      <w:divBdr>
        <w:top w:val="none" w:sz="0" w:space="0" w:color="auto"/>
        <w:left w:val="none" w:sz="0" w:space="0" w:color="auto"/>
        <w:bottom w:val="none" w:sz="0" w:space="0" w:color="auto"/>
        <w:right w:val="none" w:sz="0" w:space="0" w:color="auto"/>
      </w:divBdr>
      <w:divsChild>
        <w:div w:id="881677654">
          <w:marLeft w:val="0"/>
          <w:marRight w:val="0"/>
          <w:marTop w:val="0"/>
          <w:marBottom w:val="0"/>
          <w:divBdr>
            <w:top w:val="none" w:sz="0" w:space="0" w:color="auto"/>
            <w:left w:val="none" w:sz="0" w:space="0" w:color="auto"/>
            <w:bottom w:val="none" w:sz="0" w:space="0" w:color="auto"/>
            <w:right w:val="none" w:sz="0" w:space="0" w:color="auto"/>
          </w:divBdr>
          <w:divsChild>
            <w:div w:id="870993316">
              <w:marLeft w:val="0"/>
              <w:marRight w:val="0"/>
              <w:marTop w:val="0"/>
              <w:marBottom w:val="0"/>
              <w:divBdr>
                <w:top w:val="none" w:sz="0" w:space="0" w:color="auto"/>
                <w:left w:val="none" w:sz="0" w:space="0" w:color="auto"/>
                <w:bottom w:val="none" w:sz="0" w:space="0" w:color="auto"/>
                <w:right w:val="none" w:sz="0" w:space="0" w:color="auto"/>
              </w:divBdr>
              <w:divsChild>
                <w:div w:id="14870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69264">
      <w:bodyDiv w:val="1"/>
      <w:marLeft w:val="0"/>
      <w:marRight w:val="0"/>
      <w:marTop w:val="0"/>
      <w:marBottom w:val="0"/>
      <w:divBdr>
        <w:top w:val="none" w:sz="0" w:space="0" w:color="auto"/>
        <w:left w:val="none" w:sz="0" w:space="0" w:color="auto"/>
        <w:bottom w:val="none" w:sz="0" w:space="0" w:color="auto"/>
        <w:right w:val="none" w:sz="0" w:space="0" w:color="auto"/>
      </w:divBdr>
    </w:div>
    <w:div w:id="1625966594">
      <w:bodyDiv w:val="1"/>
      <w:marLeft w:val="0"/>
      <w:marRight w:val="0"/>
      <w:marTop w:val="0"/>
      <w:marBottom w:val="0"/>
      <w:divBdr>
        <w:top w:val="none" w:sz="0" w:space="0" w:color="auto"/>
        <w:left w:val="none" w:sz="0" w:space="0" w:color="auto"/>
        <w:bottom w:val="none" w:sz="0" w:space="0" w:color="auto"/>
        <w:right w:val="none" w:sz="0" w:space="0" w:color="auto"/>
      </w:divBdr>
      <w:divsChild>
        <w:div w:id="1235315308">
          <w:marLeft w:val="0"/>
          <w:marRight w:val="0"/>
          <w:marTop w:val="0"/>
          <w:marBottom w:val="0"/>
          <w:divBdr>
            <w:top w:val="none" w:sz="0" w:space="0" w:color="auto"/>
            <w:left w:val="none" w:sz="0" w:space="0" w:color="auto"/>
            <w:bottom w:val="none" w:sz="0" w:space="0" w:color="auto"/>
            <w:right w:val="none" w:sz="0" w:space="0" w:color="auto"/>
          </w:divBdr>
          <w:divsChild>
            <w:div w:id="114060801">
              <w:marLeft w:val="0"/>
              <w:marRight w:val="0"/>
              <w:marTop w:val="0"/>
              <w:marBottom w:val="0"/>
              <w:divBdr>
                <w:top w:val="none" w:sz="0" w:space="0" w:color="auto"/>
                <w:left w:val="none" w:sz="0" w:space="0" w:color="auto"/>
                <w:bottom w:val="none" w:sz="0" w:space="0" w:color="auto"/>
                <w:right w:val="none" w:sz="0" w:space="0" w:color="auto"/>
              </w:divBdr>
              <w:divsChild>
                <w:div w:id="200048455">
                  <w:marLeft w:val="0"/>
                  <w:marRight w:val="0"/>
                  <w:marTop w:val="0"/>
                  <w:marBottom w:val="0"/>
                  <w:divBdr>
                    <w:top w:val="none" w:sz="0" w:space="0" w:color="auto"/>
                    <w:left w:val="none" w:sz="0" w:space="0" w:color="auto"/>
                    <w:bottom w:val="none" w:sz="0" w:space="0" w:color="auto"/>
                    <w:right w:val="none" w:sz="0" w:space="0" w:color="auto"/>
                  </w:divBdr>
                  <w:divsChild>
                    <w:div w:id="15183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1349">
      <w:bodyDiv w:val="1"/>
      <w:marLeft w:val="0"/>
      <w:marRight w:val="0"/>
      <w:marTop w:val="0"/>
      <w:marBottom w:val="0"/>
      <w:divBdr>
        <w:top w:val="none" w:sz="0" w:space="0" w:color="auto"/>
        <w:left w:val="none" w:sz="0" w:space="0" w:color="auto"/>
        <w:bottom w:val="none" w:sz="0" w:space="0" w:color="auto"/>
        <w:right w:val="none" w:sz="0" w:space="0" w:color="auto"/>
      </w:divBdr>
      <w:divsChild>
        <w:div w:id="102112644">
          <w:marLeft w:val="0"/>
          <w:marRight w:val="0"/>
          <w:marTop w:val="0"/>
          <w:marBottom w:val="0"/>
          <w:divBdr>
            <w:top w:val="none" w:sz="0" w:space="0" w:color="auto"/>
            <w:left w:val="none" w:sz="0" w:space="0" w:color="auto"/>
            <w:bottom w:val="none" w:sz="0" w:space="0" w:color="auto"/>
            <w:right w:val="none" w:sz="0" w:space="0" w:color="auto"/>
          </w:divBdr>
          <w:divsChild>
            <w:div w:id="184635281">
              <w:marLeft w:val="0"/>
              <w:marRight w:val="0"/>
              <w:marTop w:val="0"/>
              <w:marBottom w:val="0"/>
              <w:divBdr>
                <w:top w:val="none" w:sz="0" w:space="0" w:color="auto"/>
                <w:left w:val="none" w:sz="0" w:space="0" w:color="auto"/>
                <w:bottom w:val="none" w:sz="0" w:space="0" w:color="auto"/>
                <w:right w:val="none" w:sz="0" w:space="0" w:color="auto"/>
              </w:divBdr>
              <w:divsChild>
                <w:div w:id="539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6645">
      <w:bodyDiv w:val="1"/>
      <w:marLeft w:val="0"/>
      <w:marRight w:val="0"/>
      <w:marTop w:val="0"/>
      <w:marBottom w:val="0"/>
      <w:divBdr>
        <w:top w:val="none" w:sz="0" w:space="0" w:color="auto"/>
        <w:left w:val="none" w:sz="0" w:space="0" w:color="auto"/>
        <w:bottom w:val="none" w:sz="0" w:space="0" w:color="auto"/>
        <w:right w:val="none" w:sz="0" w:space="0" w:color="auto"/>
      </w:divBdr>
    </w:div>
    <w:div w:id="1673144438">
      <w:bodyDiv w:val="1"/>
      <w:marLeft w:val="0"/>
      <w:marRight w:val="0"/>
      <w:marTop w:val="0"/>
      <w:marBottom w:val="0"/>
      <w:divBdr>
        <w:top w:val="none" w:sz="0" w:space="0" w:color="auto"/>
        <w:left w:val="none" w:sz="0" w:space="0" w:color="auto"/>
        <w:bottom w:val="none" w:sz="0" w:space="0" w:color="auto"/>
        <w:right w:val="none" w:sz="0" w:space="0" w:color="auto"/>
      </w:divBdr>
      <w:divsChild>
        <w:div w:id="94249759">
          <w:marLeft w:val="0"/>
          <w:marRight w:val="0"/>
          <w:marTop w:val="0"/>
          <w:marBottom w:val="285"/>
          <w:divBdr>
            <w:top w:val="none" w:sz="0" w:space="0" w:color="auto"/>
            <w:left w:val="none" w:sz="0" w:space="0" w:color="auto"/>
            <w:bottom w:val="none" w:sz="0" w:space="0" w:color="auto"/>
            <w:right w:val="none" w:sz="0" w:space="0" w:color="auto"/>
          </w:divBdr>
          <w:divsChild>
            <w:div w:id="1311668433">
              <w:marLeft w:val="0"/>
              <w:marRight w:val="0"/>
              <w:marTop w:val="0"/>
              <w:marBottom w:val="0"/>
              <w:divBdr>
                <w:top w:val="none" w:sz="0" w:space="0" w:color="auto"/>
                <w:left w:val="none" w:sz="0" w:space="0" w:color="auto"/>
                <w:bottom w:val="none" w:sz="0" w:space="0" w:color="auto"/>
                <w:right w:val="none" w:sz="0" w:space="0" w:color="auto"/>
              </w:divBdr>
            </w:div>
          </w:divsChild>
        </w:div>
        <w:div w:id="565341047">
          <w:marLeft w:val="0"/>
          <w:marRight w:val="0"/>
          <w:marTop w:val="0"/>
          <w:marBottom w:val="450"/>
          <w:divBdr>
            <w:top w:val="none" w:sz="0" w:space="0" w:color="auto"/>
            <w:left w:val="none" w:sz="0" w:space="0" w:color="auto"/>
            <w:bottom w:val="none" w:sz="0" w:space="0" w:color="auto"/>
            <w:right w:val="none" w:sz="0" w:space="0" w:color="auto"/>
          </w:divBdr>
        </w:div>
      </w:divsChild>
    </w:div>
    <w:div w:id="1687780777">
      <w:bodyDiv w:val="1"/>
      <w:marLeft w:val="0"/>
      <w:marRight w:val="0"/>
      <w:marTop w:val="0"/>
      <w:marBottom w:val="0"/>
      <w:divBdr>
        <w:top w:val="none" w:sz="0" w:space="0" w:color="auto"/>
        <w:left w:val="none" w:sz="0" w:space="0" w:color="auto"/>
        <w:bottom w:val="none" w:sz="0" w:space="0" w:color="auto"/>
        <w:right w:val="none" w:sz="0" w:space="0" w:color="auto"/>
      </w:divBdr>
    </w:div>
    <w:div w:id="1713648427">
      <w:bodyDiv w:val="1"/>
      <w:marLeft w:val="0"/>
      <w:marRight w:val="0"/>
      <w:marTop w:val="0"/>
      <w:marBottom w:val="0"/>
      <w:divBdr>
        <w:top w:val="none" w:sz="0" w:space="0" w:color="auto"/>
        <w:left w:val="none" w:sz="0" w:space="0" w:color="auto"/>
        <w:bottom w:val="none" w:sz="0" w:space="0" w:color="auto"/>
        <w:right w:val="none" w:sz="0" w:space="0" w:color="auto"/>
      </w:divBdr>
    </w:div>
    <w:div w:id="1716350071">
      <w:bodyDiv w:val="1"/>
      <w:marLeft w:val="0"/>
      <w:marRight w:val="0"/>
      <w:marTop w:val="0"/>
      <w:marBottom w:val="0"/>
      <w:divBdr>
        <w:top w:val="none" w:sz="0" w:space="0" w:color="auto"/>
        <w:left w:val="none" w:sz="0" w:space="0" w:color="auto"/>
        <w:bottom w:val="none" w:sz="0" w:space="0" w:color="auto"/>
        <w:right w:val="none" w:sz="0" w:space="0" w:color="auto"/>
      </w:divBdr>
      <w:divsChild>
        <w:div w:id="937253540">
          <w:marLeft w:val="0"/>
          <w:marRight w:val="0"/>
          <w:marTop w:val="0"/>
          <w:marBottom w:val="0"/>
          <w:divBdr>
            <w:top w:val="none" w:sz="0" w:space="0" w:color="auto"/>
            <w:left w:val="none" w:sz="0" w:space="0" w:color="auto"/>
            <w:bottom w:val="none" w:sz="0" w:space="0" w:color="auto"/>
            <w:right w:val="none" w:sz="0" w:space="0" w:color="auto"/>
          </w:divBdr>
          <w:divsChild>
            <w:div w:id="591551496">
              <w:marLeft w:val="0"/>
              <w:marRight w:val="0"/>
              <w:marTop w:val="0"/>
              <w:marBottom w:val="0"/>
              <w:divBdr>
                <w:top w:val="none" w:sz="0" w:space="0" w:color="auto"/>
                <w:left w:val="none" w:sz="0" w:space="0" w:color="auto"/>
                <w:bottom w:val="none" w:sz="0" w:space="0" w:color="auto"/>
                <w:right w:val="none" w:sz="0" w:space="0" w:color="auto"/>
              </w:divBdr>
              <w:divsChild>
                <w:div w:id="1674918033">
                  <w:marLeft w:val="0"/>
                  <w:marRight w:val="0"/>
                  <w:marTop w:val="0"/>
                  <w:marBottom w:val="0"/>
                  <w:divBdr>
                    <w:top w:val="none" w:sz="0" w:space="0" w:color="auto"/>
                    <w:left w:val="none" w:sz="0" w:space="0" w:color="auto"/>
                    <w:bottom w:val="none" w:sz="0" w:space="0" w:color="auto"/>
                    <w:right w:val="none" w:sz="0" w:space="0" w:color="auto"/>
                  </w:divBdr>
                  <w:divsChild>
                    <w:div w:id="9448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68384">
      <w:bodyDiv w:val="1"/>
      <w:marLeft w:val="0"/>
      <w:marRight w:val="0"/>
      <w:marTop w:val="0"/>
      <w:marBottom w:val="0"/>
      <w:divBdr>
        <w:top w:val="none" w:sz="0" w:space="0" w:color="auto"/>
        <w:left w:val="none" w:sz="0" w:space="0" w:color="auto"/>
        <w:bottom w:val="none" w:sz="0" w:space="0" w:color="auto"/>
        <w:right w:val="none" w:sz="0" w:space="0" w:color="auto"/>
      </w:divBdr>
    </w:div>
    <w:div w:id="1767656308">
      <w:bodyDiv w:val="1"/>
      <w:marLeft w:val="0"/>
      <w:marRight w:val="0"/>
      <w:marTop w:val="0"/>
      <w:marBottom w:val="0"/>
      <w:divBdr>
        <w:top w:val="none" w:sz="0" w:space="0" w:color="auto"/>
        <w:left w:val="none" w:sz="0" w:space="0" w:color="auto"/>
        <w:bottom w:val="none" w:sz="0" w:space="0" w:color="auto"/>
        <w:right w:val="none" w:sz="0" w:space="0" w:color="auto"/>
      </w:divBdr>
      <w:divsChild>
        <w:div w:id="542403020">
          <w:marLeft w:val="0"/>
          <w:marRight w:val="0"/>
          <w:marTop w:val="0"/>
          <w:marBottom w:val="0"/>
          <w:divBdr>
            <w:top w:val="none" w:sz="0" w:space="0" w:color="auto"/>
            <w:left w:val="none" w:sz="0" w:space="0" w:color="auto"/>
            <w:bottom w:val="none" w:sz="0" w:space="0" w:color="auto"/>
            <w:right w:val="none" w:sz="0" w:space="0" w:color="auto"/>
          </w:divBdr>
          <w:divsChild>
            <w:div w:id="2082830936">
              <w:marLeft w:val="0"/>
              <w:marRight w:val="0"/>
              <w:marTop w:val="0"/>
              <w:marBottom w:val="0"/>
              <w:divBdr>
                <w:top w:val="none" w:sz="0" w:space="0" w:color="auto"/>
                <w:left w:val="none" w:sz="0" w:space="0" w:color="auto"/>
                <w:bottom w:val="none" w:sz="0" w:space="0" w:color="auto"/>
                <w:right w:val="none" w:sz="0" w:space="0" w:color="auto"/>
              </w:divBdr>
              <w:divsChild>
                <w:div w:id="19206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692">
      <w:bodyDiv w:val="1"/>
      <w:marLeft w:val="0"/>
      <w:marRight w:val="0"/>
      <w:marTop w:val="0"/>
      <w:marBottom w:val="0"/>
      <w:divBdr>
        <w:top w:val="none" w:sz="0" w:space="0" w:color="auto"/>
        <w:left w:val="none" w:sz="0" w:space="0" w:color="auto"/>
        <w:bottom w:val="none" w:sz="0" w:space="0" w:color="auto"/>
        <w:right w:val="none" w:sz="0" w:space="0" w:color="auto"/>
      </w:divBdr>
      <w:divsChild>
        <w:div w:id="1934826037">
          <w:marLeft w:val="0"/>
          <w:marRight w:val="0"/>
          <w:marTop w:val="0"/>
          <w:marBottom w:val="0"/>
          <w:divBdr>
            <w:top w:val="none" w:sz="0" w:space="0" w:color="auto"/>
            <w:left w:val="none" w:sz="0" w:space="0" w:color="auto"/>
            <w:bottom w:val="none" w:sz="0" w:space="0" w:color="auto"/>
            <w:right w:val="none" w:sz="0" w:space="0" w:color="auto"/>
          </w:divBdr>
          <w:divsChild>
            <w:div w:id="1213078273">
              <w:marLeft w:val="0"/>
              <w:marRight w:val="0"/>
              <w:marTop w:val="0"/>
              <w:marBottom w:val="0"/>
              <w:divBdr>
                <w:top w:val="none" w:sz="0" w:space="0" w:color="auto"/>
                <w:left w:val="none" w:sz="0" w:space="0" w:color="auto"/>
                <w:bottom w:val="none" w:sz="0" w:space="0" w:color="auto"/>
                <w:right w:val="none" w:sz="0" w:space="0" w:color="auto"/>
              </w:divBdr>
              <w:divsChild>
                <w:div w:id="17326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6131">
      <w:bodyDiv w:val="1"/>
      <w:marLeft w:val="0"/>
      <w:marRight w:val="0"/>
      <w:marTop w:val="0"/>
      <w:marBottom w:val="0"/>
      <w:divBdr>
        <w:top w:val="none" w:sz="0" w:space="0" w:color="auto"/>
        <w:left w:val="none" w:sz="0" w:space="0" w:color="auto"/>
        <w:bottom w:val="none" w:sz="0" w:space="0" w:color="auto"/>
        <w:right w:val="none" w:sz="0" w:space="0" w:color="auto"/>
      </w:divBdr>
    </w:div>
    <w:div w:id="1793597497">
      <w:bodyDiv w:val="1"/>
      <w:marLeft w:val="0"/>
      <w:marRight w:val="0"/>
      <w:marTop w:val="0"/>
      <w:marBottom w:val="0"/>
      <w:divBdr>
        <w:top w:val="none" w:sz="0" w:space="0" w:color="auto"/>
        <w:left w:val="none" w:sz="0" w:space="0" w:color="auto"/>
        <w:bottom w:val="none" w:sz="0" w:space="0" w:color="auto"/>
        <w:right w:val="none" w:sz="0" w:space="0" w:color="auto"/>
      </w:divBdr>
    </w:div>
    <w:div w:id="1812408074">
      <w:bodyDiv w:val="1"/>
      <w:marLeft w:val="0"/>
      <w:marRight w:val="0"/>
      <w:marTop w:val="0"/>
      <w:marBottom w:val="0"/>
      <w:divBdr>
        <w:top w:val="none" w:sz="0" w:space="0" w:color="auto"/>
        <w:left w:val="none" w:sz="0" w:space="0" w:color="auto"/>
        <w:bottom w:val="none" w:sz="0" w:space="0" w:color="auto"/>
        <w:right w:val="none" w:sz="0" w:space="0" w:color="auto"/>
      </w:divBdr>
      <w:divsChild>
        <w:div w:id="1501769657">
          <w:marLeft w:val="0"/>
          <w:marRight w:val="0"/>
          <w:marTop w:val="0"/>
          <w:marBottom w:val="0"/>
          <w:divBdr>
            <w:top w:val="none" w:sz="0" w:space="0" w:color="auto"/>
            <w:left w:val="none" w:sz="0" w:space="0" w:color="auto"/>
            <w:bottom w:val="none" w:sz="0" w:space="0" w:color="auto"/>
            <w:right w:val="none" w:sz="0" w:space="0" w:color="auto"/>
          </w:divBdr>
          <w:divsChild>
            <w:div w:id="1139877346">
              <w:marLeft w:val="0"/>
              <w:marRight w:val="0"/>
              <w:marTop w:val="0"/>
              <w:marBottom w:val="0"/>
              <w:divBdr>
                <w:top w:val="none" w:sz="0" w:space="0" w:color="auto"/>
                <w:left w:val="none" w:sz="0" w:space="0" w:color="auto"/>
                <w:bottom w:val="none" w:sz="0" w:space="0" w:color="auto"/>
                <w:right w:val="none" w:sz="0" w:space="0" w:color="auto"/>
              </w:divBdr>
              <w:divsChild>
                <w:div w:id="967586534">
                  <w:marLeft w:val="0"/>
                  <w:marRight w:val="0"/>
                  <w:marTop w:val="0"/>
                  <w:marBottom w:val="0"/>
                  <w:divBdr>
                    <w:top w:val="none" w:sz="0" w:space="0" w:color="auto"/>
                    <w:left w:val="none" w:sz="0" w:space="0" w:color="auto"/>
                    <w:bottom w:val="none" w:sz="0" w:space="0" w:color="auto"/>
                    <w:right w:val="none" w:sz="0" w:space="0" w:color="auto"/>
                  </w:divBdr>
                  <w:divsChild>
                    <w:div w:id="25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130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868">
          <w:marLeft w:val="0"/>
          <w:marRight w:val="0"/>
          <w:marTop w:val="0"/>
          <w:marBottom w:val="0"/>
          <w:divBdr>
            <w:top w:val="none" w:sz="0" w:space="0" w:color="auto"/>
            <w:left w:val="none" w:sz="0" w:space="0" w:color="auto"/>
            <w:bottom w:val="none" w:sz="0" w:space="0" w:color="auto"/>
            <w:right w:val="none" w:sz="0" w:space="0" w:color="auto"/>
          </w:divBdr>
          <w:divsChild>
            <w:div w:id="1350062292">
              <w:marLeft w:val="0"/>
              <w:marRight w:val="0"/>
              <w:marTop w:val="0"/>
              <w:marBottom w:val="0"/>
              <w:divBdr>
                <w:top w:val="none" w:sz="0" w:space="0" w:color="auto"/>
                <w:left w:val="none" w:sz="0" w:space="0" w:color="auto"/>
                <w:bottom w:val="none" w:sz="0" w:space="0" w:color="auto"/>
                <w:right w:val="none" w:sz="0" w:space="0" w:color="auto"/>
              </w:divBdr>
              <w:divsChild>
                <w:div w:id="2971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0030">
      <w:bodyDiv w:val="1"/>
      <w:marLeft w:val="0"/>
      <w:marRight w:val="0"/>
      <w:marTop w:val="0"/>
      <w:marBottom w:val="0"/>
      <w:divBdr>
        <w:top w:val="none" w:sz="0" w:space="0" w:color="auto"/>
        <w:left w:val="none" w:sz="0" w:space="0" w:color="auto"/>
        <w:bottom w:val="none" w:sz="0" w:space="0" w:color="auto"/>
        <w:right w:val="none" w:sz="0" w:space="0" w:color="auto"/>
      </w:divBdr>
    </w:div>
    <w:div w:id="1867600750">
      <w:bodyDiv w:val="1"/>
      <w:marLeft w:val="0"/>
      <w:marRight w:val="0"/>
      <w:marTop w:val="0"/>
      <w:marBottom w:val="0"/>
      <w:divBdr>
        <w:top w:val="none" w:sz="0" w:space="0" w:color="auto"/>
        <w:left w:val="none" w:sz="0" w:space="0" w:color="auto"/>
        <w:bottom w:val="none" w:sz="0" w:space="0" w:color="auto"/>
        <w:right w:val="none" w:sz="0" w:space="0" w:color="auto"/>
      </w:divBdr>
    </w:div>
    <w:div w:id="1875919174">
      <w:bodyDiv w:val="1"/>
      <w:marLeft w:val="0"/>
      <w:marRight w:val="0"/>
      <w:marTop w:val="0"/>
      <w:marBottom w:val="0"/>
      <w:divBdr>
        <w:top w:val="none" w:sz="0" w:space="0" w:color="auto"/>
        <w:left w:val="none" w:sz="0" w:space="0" w:color="auto"/>
        <w:bottom w:val="none" w:sz="0" w:space="0" w:color="auto"/>
        <w:right w:val="none" w:sz="0" w:space="0" w:color="auto"/>
      </w:divBdr>
      <w:divsChild>
        <w:div w:id="226040253">
          <w:marLeft w:val="0"/>
          <w:marRight w:val="0"/>
          <w:marTop w:val="0"/>
          <w:marBottom w:val="0"/>
          <w:divBdr>
            <w:top w:val="none" w:sz="0" w:space="0" w:color="auto"/>
            <w:left w:val="none" w:sz="0" w:space="0" w:color="auto"/>
            <w:bottom w:val="none" w:sz="0" w:space="0" w:color="auto"/>
            <w:right w:val="none" w:sz="0" w:space="0" w:color="auto"/>
          </w:divBdr>
        </w:div>
      </w:divsChild>
    </w:div>
    <w:div w:id="1915896911">
      <w:bodyDiv w:val="1"/>
      <w:marLeft w:val="0"/>
      <w:marRight w:val="0"/>
      <w:marTop w:val="0"/>
      <w:marBottom w:val="0"/>
      <w:divBdr>
        <w:top w:val="none" w:sz="0" w:space="0" w:color="auto"/>
        <w:left w:val="none" w:sz="0" w:space="0" w:color="auto"/>
        <w:bottom w:val="none" w:sz="0" w:space="0" w:color="auto"/>
        <w:right w:val="none" w:sz="0" w:space="0" w:color="auto"/>
      </w:divBdr>
      <w:divsChild>
        <w:div w:id="1799375863">
          <w:marLeft w:val="0"/>
          <w:marRight w:val="0"/>
          <w:marTop w:val="0"/>
          <w:marBottom w:val="0"/>
          <w:divBdr>
            <w:top w:val="none" w:sz="0" w:space="0" w:color="auto"/>
            <w:left w:val="none" w:sz="0" w:space="0" w:color="auto"/>
            <w:bottom w:val="none" w:sz="0" w:space="0" w:color="auto"/>
            <w:right w:val="none" w:sz="0" w:space="0" w:color="auto"/>
          </w:divBdr>
          <w:divsChild>
            <w:div w:id="1582444967">
              <w:marLeft w:val="0"/>
              <w:marRight w:val="0"/>
              <w:marTop w:val="0"/>
              <w:marBottom w:val="0"/>
              <w:divBdr>
                <w:top w:val="none" w:sz="0" w:space="0" w:color="auto"/>
                <w:left w:val="none" w:sz="0" w:space="0" w:color="auto"/>
                <w:bottom w:val="none" w:sz="0" w:space="0" w:color="auto"/>
                <w:right w:val="none" w:sz="0" w:space="0" w:color="auto"/>
              </w:divBdr>
              <w:divsChild>
                <w:div w:id="5867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8106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6491772">
      <w:bodyDiv w:val="1"/>
      <w:marLeft w:val="0"/>
      <w:marRight w:val="0"/>
      <w:marTop w:val="0"/>
      <w:marBottom w:val="0"/>
      <w:divBdr>
        <w:top w:val="none" w:sz="0" w:space="0" w:color="auto"/>
        <w:left w:val="none" w:sz="0" w:space="0" w:color="auto"/>
        <w:bottom w:val="none" w:sz="0" w:space="0" w:color="auto"/>
        <w:right w:val="none" w:sz="0" w:space="0" w:color="auto"/>
      </w:divBdr>
      <w:divsChild>
        <w:div w:id="74671671">
          <w:marLeft w:val="0"/>
          <w:marRight w:val="0"/>
          <w:marTop w:val="166"/>
          <w:marBottom w:val="166"/>
          <w:divBdr>
            <w:top w:val="none" w:sz="0" w:space="0" w:color="auto"/>
            <w:left w:val="none" w:sz="0" w:space="0" w:color="auto"/>
            <w:bottom w:val="none" w:sz="0" w:space="0" w:color="auto"/>
            <w:right w:val="none" w:sz="0" w:space="0" w:color="auto"/>
          </w:divBdr>
          <w:divsChild>
            <w:div w:id="1657143830">
              <w:marLeft w:val="0"/>
              <w:marRight w:val="0"/>
              <w:marTop w:val="0"/>
              <w:marBottom w:val="0"/>
              <w:divBdr>
                <w:top w:val="none" w:sz="0" w:space="0" w:color="auto"/>
                <w:left w:val="none" w:sz="0" w:space="0" w:color="auto"/>
                <w:bottom w:val="none" w:sz="0" w:space="0" w:color="auto"/>
                <w:right w:val="none" w:sz="0" w:space="0" w:color="auto"/>
              </w:divBdr>
            </w:div>
          </w:divsChild>
        </w:div>
        <w:div w:id="1795440910">
          <w:marLeft w:val="0"/>
          <w:marRight w:val="0"/>
          <w:marTop w:val="0"/>
          <w:marBottom w:val="166"/>
          <w:divBdr>
            <w:top w:val="none" w:sz="0" w:space="0" w:color="auto"/>
            <w:left w:val="none" w:sz="0" w:space="0" w:color="auto"/>
            <w:bottom w:val="none" w:sz="0" w:space="0" w:color="auto"/>
            <w:right w:val="none" w:sz="0" w:space="0" w:color="auto"/>
          </w:divBdr>
          <w:divsChild>
            <w:div w:id="1085615022">
              <w:marLeft w:val="0"/>
              <w:marRight w:val="0"/>
              <w:marTop w:val="0"/>
              <w:marBottom w:val="0"/>
              <w:divBdr>
                <w:top w:val="none" w:sz="0" w:space="0" w:color="auto"/>
                <w:left w:val="none" w:sz="0" w:space="0" w:color="auto"/>
                <w:bottom w:val="none" w:sz="0" w:space="0" w:color="auto"/>
                <w:right w:val="none" w:sz="0" w:space="0" w:color="auto"/>
              </w:divBdr>
              <w:divsChild>
                <w:div w:id="788745997">
                  <w:marLeft w:val="0"/>
                  <w:marRight w:val="0"/>
                  <w:marTop w:val="0"/>
                  <w:marBottom w:val="0"/>
                  <w:divBdr>
                    <w:top w:val="none" w:sz="0" w:space="0" w:color="auto"/>
                    <w:left w:val="none" w:sz="0" w:space="0" w:color="auto"/>
                    <w:bottom w:val="none" w:sz="0" w:space="0" w:color="auto"/>
                    <w:right w:val="none" w:sz="0" w:space="0" w:color="auto"/>
                  </w:divBdr>
                  <w:divsChild>
                    <w:div w:id="327290161">
                      <w:marLeft w:val="0"/>
                      <w:marRight w:val="0"/>
                      <w:marTop w:val="0"/>
                      <w:marBottom w:val="0"/>
                      <w:divBdr>
                        <w:top w:val="none" w:sz="0" w:space="0" w:color="auto"/>
                        <w:left w:val="none" w:sz="0" w:space="0" w:color="auto"/>
                        <w:bottom w:val="none" w:sz="0" w:space="0" w:color="auto"/>
                        <w:right w:val="none" w:sz="0" w:space="0" w:color="auto"/>
                      </w:divBdr>
                    </w:div>
                    <w:div w:id="3797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2081">
              <w:marLeft w:val="0"/>
              <w:marRight w:val="0"/>
              <w:marTop w:val="0"/>
              <w:marBottom w:val="0"/>
              <w:divBdr>
                <w:top w:val="none" w:sz="0" w:space="0" w:color="auto"/>
                <w:left w:val="none" w:sz="0" w:space="0" w:color="auto"/>
                <w:bottom w:val="none" w:sz="0" w:space="0" w:color="auto"/>
                <w:right w:val="none" w:sz="0" w:space="0" w:color="auto"/>
              </w:divBdr>
              <w:divsChild>
                <w:div w:id="1460807582">
                  <w:marLeft w:val="0"/>
                  <w:marRight w:val="0"/>
                  <w:marTop w:val="0"/>
                  <w:marBottom w:val="0"/>
                  <w:divBdr>
                    <w:top w:val="none" w:sz="0" w:space="0" w:color="auto"/>
                    <w:left w:val="none" w:sz="0" w:space="0" w:color="auto"/>
                    <w:bottom w:val="none" w:sz="0" w:space="0" w:color="auto"/>
                    <w:right w:val="none" w:sz="0" w:space="0" w:color="auto"/>
                  </w:divBdr>
                </w:div>
                <w:div w:id="19709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1996">
      <w:bodyDiv w:val="1"/>
      <w:marLeft w:val="0"/>
      <w:marRight w:val="0"/>
      <w:marTop w:val="0"/>
      <w:marBottom w:val="0"/>
      <w:divBdr>
        <w:top w:val="none" w:sz="0" w:space="0" w:color="auto"/>
        <w:left w:val="none" w:sz="0" w:space="0" w:color="auto"/>
        <w:bottom w:val="none" w:sz="0" w:space="0" w:color="auto"/>
        <w:right w:val="none" w:sz="0" w:space="0" w:color="auto"/>
      </w:divBdr>
      <w:divsChild>
        <w:div w:id="725884253">
          <w:marLeft w:val="547"/>
          <w:marRight w:val="0"/>
          <w:marTop w:val="0"/>
          <w:marBottom w:val="0"/>
          <w:divBdr>
            <w:top w:val="none" w:sz="0" w:space="0" w:color="auto"/>
            <w:left w:val="none" w:sz="0" w:space="0" w:color="auto"/>
            <w:bottom w:val="none" w:sz="0" w:space="0" w:color="auto"/>
            <w:right w:val="none" w:sz="0" w:space="0" w:color="auto"/>
          </w:divBdr>
        </w:div>
      </w:divsChild>
    </w:div>
    <w:div w:id="2020616341">
      <w:bodyDiv w:val="1"/>
      <w:marLeft w:val="0"/>
      <w:marRight w:val="0"/>
      <w:marTop w:val="0"/>
      <w:marBottom w:val="0"/>
      <w:divBdr>
        <w:top w:val="none" w:sz="0" w:space="0" w:color="auto"/>
        <w:left w:val="none" w:sz="0" w:space="0" w:color="auto"/>
        <w:bottom w:val="none" w:sz="0" w:space="0" w:color="auto"/>
        <w:right w:val="none" w:sz="0" w:space="0" w:color="auto"/>
      </w:divBdr>
      <w:divsChild>
        <w:div w:id="1002244263">
          <w:marLeft w:val="0"/>
          <w:marRight w:val="0"/>
          <w:marTop w:val="0"/>
          <w:marBottom w:val="0"/>
          <w:divBdr>
            <w:top w:val="none" w:sz="0" w:space="0" w:color="auto"/>
            <w:left w:val="none" w:sz="0" w:space="0" w:color="auto"/>
            <w:bottom w:val="none" w:sz="0" w:space="0" w:color="auto"/>
            <w:right w:val="none" w:sz="0" w:space="0" w:color="auto"/>
          </w:divBdr>
        </w:div>
      </w:divsChild>
    </w:div>
    <w:div w:id="2036300493">
      <w:bodyDiv w:val="1"/>
      <w:marLeft w:val="0"/>
      <w:marRight w:val="0"/>
      <w:marTop w:val="0"/>
      <w:marBottom w:val="0"/>
      <w:divBdr>
        <w:top w:val="none" w:sz="0" w:space="0" w:color="auto"/>
        <w:left w:val="none" w:sz="0" w:space="0" w:color="auto"/>
        <w:bottom w:val="none" w:sz="0" w:space="0" w:color="auto"/>
        <w:right w:val="none" w:sz="0" w:space="0" w:color="auto"/>
      </w:divBdr>
      <w:divsChild>
        <w:div w:id="882868169">
          <w:marLeft w:val="0"/>
          <w:marRight w:val="0"/>
          <w:marTop w:val="0"/>
          <w:marBottom w:val="0"/>
          <w:divBdr>
            <w:top w:val="none" w:sz="0" w:space="0" w:color="auto"/>
            <w:left w:val="none" w:sz="0" w:space="0" w:color="auto"/>
            <w:bottom w:val="none" w:sz="0" w:space="0" w:color="auto"/>
            <w:right w:val="none" w:sz="0" w:space="0" w:color="auto"/>
          </w:divBdr>
          <w:divsChild>
            <w:div w:id="11034609">
              <w:marLeft w:val="0"/>
              <w:marRight w:val="0"/>
              <w:marTop w:val="0"/>
              <w:marBottom w:val="0"/>
              <w:divBdr>
                <w:top w:val="none" w:sz="0" w:space="0" w:color="auto"/>
                <w:left w:val="none" w:sz="0" w:space="0" w:color="auto"/>
                <w:bottom w:val="none" w:sz="0" w:space="0" w:color="auto"/>
                <w:right w:val="none" w:sz="0" w:space="0" w:color="auto"/>
              </w:divBdr>
              <w:divsChild>
                <w:div w:id="19709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217">
      <w:bodyDiv w:val="1"/>
      <w:marLeft w:val="0"/>
      <w:marRight w:val="0"/>
      <w:marTop w:val="0"/>
      <w:marBottom w:val="0"/>
      <w:divBdr>
        <w:top w:val="none" w:sz="0" w:space="0" w:color="auto"/>
        <w:left w:val="none" w:sz="0" w:space="0" w:color="auto"/>
        <w:bottom w:val="none" w:sz="0" w:space="0" w:color="auto"/>
        <w:right w:val="none" w:sz="0" w:space="0" w:color="auto"/>
      </w:divBdr>
      <w:divsChild>
        <w:div w:id="753891123">
          <w:marLeft w:val="0"/>
          <w:marRight w:val="0"/>
          <w:marTop w:val="0"/>
          <w:marBottom w:val="0"/>
          <w:divBdr>
            <w:top w:val="none" w:sz="0" w:space="0" w:color="auto"/>
            <w:left w:val="none" w:sz="0" w:space="0" w:color="auto"/>
            <w:bottom w:val="none" w:sz="0" w:space="0" w:color="auto"/>
            <w:right w:val="none" w:sz="0" w:space="0" w:color="auto"/>
          </w:divBdr>
          <w:divsChild>
            <w:div w:id="2049136547">
              <w:marLeft w:val="0"/>
              <w:marRight w:val="0"/>
              <w:marTop w:val="0"/>
              <w:marBottom w:val="0"/>
              <w:divBdr>
                <w:top w:val="none" w:sz="0" w:space="0" w:color="auto"/>
                <w:left w:val="none" w:sz="0" w:space="0" w:color="auto"/>
                <w:bottom w:val="none" w:sz="0" w:space="0" w:color="auto"/>
                <w:right w:val="none" w:sz="0" w:space="0" w:color="auto"/>
              </w:divBdr>
              <w:divsChild>
                <w:div w:id="17945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8656">
      <w:bodyDiv w:val="1"/>
      <w:marLeft w:val="0"/>
      <w:marRight w:val="0"/>
      <w:marTop w:val="0"/>
      <w:marBottom w:val="0"/>
      <w:divBdr>
        <w:top w:val="none" w:sz="0" w:space="0" w:color="auto"/>
        <w:left w:val="none" w:sz="0" w:space="0" w:color="auto"/>
        <w:bottom w:val="none" w:sz="0" w:space="0" w:color="auto"/>
        <w:right w:val="none" w:sz="0" w:space="0" w:color="auto"/>
      </w:divBdr>
      <w:divsChild>
        <w:div w:id="1048922177">
          <w:marLeft w:val="0"/>
          <w:marRight w:val="0"/>
          <w:marTop w:val="0"/>
          <w:marBottom w:val="0"/>
          <w:divBdr>
            <w:top w:val="none" w:sz="0" w:space="0" w:color="auto"/>
            <w:left w:val="none" w:sz="0" w:space="0" w:color="auto"/>
            <w:bottom w:val="none" w:sz="0" w:space="0" w:color="auto"/>
            <w:right w:val="none" w:sz="0" w:space="0" w:color="auto"/>
          </w:divBdr>
          <w:divsChild>
            <w:div w:id="541476327">
              <w:marLeft w:val="0"/>
              <w:marRight w:val="0"/>
              <w:marTop w:val="0"/>
              <w:marBottom w:val="0"/>
              <w:divBdr>
                <w:top w:val="none" w:sz="0" w:space="0" w:color="auto"/>
                <w:left w:val="none" w:sz="0" w:space="0" w:color="auto"/>
                <w:bottom w:val="none" w:sz="0" w:space="0" w:color="auto"/>
                <w:right w:val="none" w:sz="0" w:space="0" w:color="auto"/>
              </w:divBdr>
              <w:divsChild>
                <w:div w:id="20594214">
                  <w:marLeft w:val="0"/>
                  <w:marRight w:val="0"/>
                  <w:marTop w:val="0"/>
                  <w:marBottom w:val="0"/>
                  <w:divBdr>
                    <w:top w:val="none" w:sz="0" w:space="0" w:color="auto"/>
                    <w:left w:val="none" w:sz="0" w:space="0" w:color="auto"/>
                    <w:bottom w:val="none" w:sz="0" w:space="0" w:color="auto"/>
                    <w:right w:val="none" w:sz="0" w:space="0" w:color="auto"/>
                  </w:divBdr>
                  <w:divsChild>
                    <w:div w:id="2008288210">
                      <w:marLeft w:val="0"/>
                      <w:marRight w:val="0"/>
                      <w:marTop w:val="0"/>
                      <w:marBottom w:val="0"/>
                      <w:divBdr>
                        <w:top w:val="none" w:sz="0" w:space="0" w:color="auto"/>
                        <w:left w:val="none" w:sz="0" w:space="0" w:color="auto"/>
                        <w:bottom w:val="none" w:sz="0" w:space="0" w:color="auto"/>
                        <w:right w:val="none" w:sz="0" w:space="0" w:color="auto"/>
                      </w:divBdr>
                    </w:div>
                  </w:divsChild>
                </w:div>
                <w:div w:id="107044844">
                  <w:marLeft w:val="0"/>
                  <w:marRight w:val="0"/>
                  <w:marTop w:val="0"/>
                  <w:marBottom w:val="0"/>
                  <w:divBdr>
                    <w:top w:val="none" w:sz="0" w:space="0" w:color="auto"/>
                    <w:left w:val="none" w:sz="0" w:space="0" w:color="auto"/>
                    <w:bottom w:val="none" w:sz="0" w:space="0" w:color="auto"/>
                    <w:right w:val="none" w:sz="0" w:space="0" w:color="auto"/>
                  </w:divBdr>
                  <w:divsChild>
                    <w:div w:id="225141790">
                      <w:marLeft w:val="0"/>
                      <w:marRight w:val="0"/>
                      <w:marTop w:val="0"/>
                      <w:marBottom w:val="0"/>
                      <w:divBdr>
                        <w:top w:val="none" w:sz="0" w:space="0" w:color="auto"/>
                        <w:left w:val="none" w:sz="0" w:space="0" w:color="auto"/>
                        <w:bottom w:val="none" w:sz="0" w:space="0" w:color="auto"/>
                        <w:right w:val="none" w:sz="0" w:space="0" w:color="auto"/>
                      </w:divBdr>
                    </w:div>
                  </w:divsChild>
                </w:div>
                <w:div w:id="495075976">
                  <w:marLeft w:val="0"/>
                  <w:marRight w:val="0"/>
                  <w:marTop w:val="0"/>
                  <w:marBottom w:val="0"/>
                  <w:divBdr>
                    <w:top w:val="none" w:sz="0" w:space="0" w:color="auto"/>
                    <w:left w:val="none" w:sz="0" w:space="0" w:color="auto"/>
                    <w:bottom w:val="none" w:sz="0" w:space="0" w:color="auto"/>
                    <w:right w:val="none" w:sz="0" w:space="0" w:color="auto"/>
                  </w:divBdr>
                  <w:divsChild>
                    <w:div w:id="645742901">
                      <w:marLeft w:val="0"/>
                      <w:marRight w:val="0"/>
                      <w:marTop w:val="0"/>
                      <w:marBottom w:val="0"/>
                      <w:divBdr>
                        <w:top w:val="none" w:sz="0" w:space="0" w:color="auto"/>
                        <w:left w:val="none" w:sz="0" w:space="0" w:color="auto"/>
                        <w:bottom w:val="none" w:sz="0" w:space="0" w:color="auto"/>
                        <w:right w:val="none" w:sz="0" w:space="0" w:color="auto"/>
                      </w:divBdr>
                    </w:div>
                  </w:divsChild>
                </w:div>
                <w:div w:id="662658722">
                  <w:marLeft w:val="0"/>
                  <w:marRight w:val="0"/>
                  <w:marTop w:val="0"/>
                  <w:marBottom w:val="0"/>
                  <w:divBdr>
                    <w:top w:val="none" w:sz="0" w:space="0" w:color="auto"/>
                    <w:left w:val="none" w:sz="0" w:space="0" w:color="auto"/>
                    <w:bottom w:val="none" w:sz="0" w:space="0" w:color="auto"/>
                    <w:right w:val="none" w:sz="0" w:space="0" w:color="auto"/>
                  </w:divBdr>
                  <w:divsChild>
                    <w:div w:id="1552418300">
                      <w:marLeft w:val="0"/>
                      <w:marRight w:val="0"/>
                      <w:marTop w:val="0"/>
                      <w:marBottom w:val="0"/>
                      <w:divBdr>
                        <w:top w:val="none" w:sz="0" w:space="0" w:color="auto"/>
                        <w:left w:val="none" w:sz="0" w:space="0" w:color="auto"/>
                        <w:bottom w:val="none" w:sz="0" w:space="0" w:color="auto"/>
                        <w:right w:val="none" w:sz="0" w:space="0" w:color="auto"/>
                      </w:divBdr>
                    </w:div>
                  </w:divsChild>
                </w:div>
                <w:div w:id="719401053">
                  <w:marLeft w:val="0"/>
                  <w:marRight w:val="0"/>
                  <w:marTop w:val="0"/>
                  <w:marBottom w:val="0"/>
                  <w:divBdr>
                    <w:top w:val="none" w:sz="0" w:space="0" w:color="auto"/>
                    <w:left w:val="none" w:sz="0" w:space="0" w:color="auto"/>
                    <w:bottom w:val="none" w:sz="0" w:space="0" w:color="auto"/>
                    <w:right w:val="none" w:sz="0" w:space="0" w:color="auto"/>
                  </w:divBdr>
                  <w:divsChild>
                    <w:div w:id="1850676617">
                      <w:marLeft w:val="0"/>
                      <w:marRight w:val="0"/>
                      <w:marTop w:val="0"/>
                      <w:marBottom w:val="0"/>
                      <w:divBdr>
                        <w:top w:val="none" w:sz="0" w:space="0" w:color="auto"/>
                        <w:left w:val="none" w:sz="0" w:space="0" w:color="auto"/>
                        <w:bottom w:val="none" w:sz="0" w:space="0" w:color="auto"/>
                        <w:right w:val="none" w:sz="0" w:space="0" w:color="auto"/>
                      </w:divBdr>
                    </w:div>
                  </w:divsChild>
                </w:div>
                <w:div w:id="1042442708">
                  <w:marLeft w:val="0"/>
                  <w:marRight w:val="0"/>
                  <w:marTop w:val="0"/>
                  <w:marBottom w:val="0"/>
                  <w:divBdr>
                    <w:top w:val="none" w:sz="0" w:space="0" w:color="auto"/>
                    <w:left w:val="none" w:sz="0" w:space="0" w:color="auto"/>
                    <w:bottom w:val="none" w:sz="0" w:space="0" w:color="auto"/>
                    <w:right w:val="none" w:sz="0" w:space="0" w:color="auto"/>
                  </w:divBdr>
                  <w:divsChild>
                    <w:div w:id="1996176343">
                      <w:marLeft w:val="0"/>
                      <w:marRight w:val="0"/>
                      <w:marTop w:val="0"/>
                      <w:marBottom w:val="0"/>
                      <w:divBdr>
                        <w:top w:val="none" w:sz="0" w:space="0" w:color="auto"/>
                        <w:left w:val="none" w:sz="0" w:space="0" w:color="auto"/>
                        <w:bottom w:val="none" w:sz="0" w:space="0" w:color="auto"/>
                        <w:right w:val="none" w:sz="0" w:space="0" w:color="auto"/>
                      </w:divBdr>
                    </w:div>
                  </w:divsChild>
                </w:div>
                <w:div w:id="1101267871">
                  <w:marLeft w:val="0"/>
                  <w:marRight w:val="0"/>
                  <w:marTop w:val="0"/>
                  <w:marBottom w:val="0"/>
                  <w:divBdr>
                    <w:top w:val="none" w:sz="0" w:space="0" w:color="auto"/>
                    <w:left w:val="none" w:sz="0" w:space="0" w:color="auto"/>
                    <w:bottom w:val="none" w:sz="0" w:space="0" w:color="auto"/>
                    <w:right w:val="none" w:sz="0" w:space="0" w:color="auto"/>
                  </w:divBdr>
                  <w:divsChild>
                    <w:div w:id="430048585">
                      <w:marLeft w:val="0"/>
                      <w:marRight w:val="0"/>
                      <w:marTop w:val="0"/>
                      <w:marBottom w:val="0"/>
                      <w:divBdr>
                        <w:top w:val="none" w:sz="0" w:space="0" w:color="auto"/>
                        <w:left w:val="none" w:sz="0" w:space="0" w:color="auto"/>
                        <w:bottom w:val="none" w:sz="0" w:space="0" w:color="auto"/>
                        <w:right w:val="none" w:sz="0" w:space="0" w:color="auto"/>
                      </w:divBdr>
                    </w:div>
                  </w:divsChild>
                </w:div>
                <w:div w:id="1101607509">
                  <w:marLeft w:val="0"/>
                  <w:marRight w:val="0"/>
                  <w:marTop w:val="0"/>
                  <w:marBottom w:val="0"/>
                  <w:divBdr>
                    <w:top w:val="none" w:sz="0" w:space="0" w:color="auto"/>
                    <w:left w:val="none" w:sz="0" w:space="0" w:color="auto"/>
                    <w:bottom w:val="none" w:sz="0" w:space="0" w:color="auto"/>
                    <w:right w:val="none" w:sz="0" w:space="0" w:color="auto"/>
                  </w:divBdr>
                  <w:divsChild>
                    <w:div w:id="1910578403">
                      <w:marLeft w:val="0"/>
                      <w:marRight w:val="0"/>
                      <w:marTop w:val="0"/>
                      <w:marBottom w:val="0"/>
                      <w:divBdr>
                        <w:top w:val="none" w:sz="0" w:space="0" w:color="auto"/>
                        <w:left w:val="none" w:sz="0" w:space="0" w:color="auto"/>
                        <w:bottom w:val="none" w:sz="0" w:space="0" w:color="auto"/>
                        <w:right w:val="none" w:sz="0" w:space="0" w:color="auto"/>
                      </w:divBdr>
                    </w:div>
                  </w:divsChild>
                </w:div>
                <w:div w:id="1307927473">
                  <w:marLeft w:val="0"/>
                  <w:marRight w:val="0"/>
                  <w:marTop w:val="0"/>
                  <w:marBottom w:val="0"/>
                  <w:divBdr>
                    <w:top w:val="none" w:sz="0" w:space="0" w:color="auto"/>
                    <w:left w:val="none" w:sz="0" w:space="0" w:color="auto"/>
                    <w:bottom w:val="none" w:sz="0" w:space="0" w:color="auto"/>
                    <w:right w:val="none" w:sz="0" w:space="0" w:color="auto"/>
                  </w:divBdr>
                  <w:divsChild>
                    <w:div w:id="140119133">
                      <w:marLeft w:val="0"/>
                      <w:marRight w:val="0"/>
                      <w:marTop w:val="0"/>
                      <w:marBottom w:val="0"/>
                      <w:divBdr>
                        <w:top w:val="none" w:sz="0" w:space="0" w:color="auto"/>
                        <w:left w:val="none" w:sz="0" w:space="0" w:color="auto"/>
                        <w:bottom w:val="none" w:sz="0" w:space="0" w:color="auto"/>
                        <w:right w:val="none" w:sz="0" w:space="0" w:color="auto"/>
                      </w:divBdr>
                    </w:div>
                  </w:divsChild>
                </w:div>
                <w:div w:id="1844318639">
                  <w:marLeft w:val="0"/>
                  <w:marRight w:val="0"/>
                  <w:marTop w:val="0"/>
                  <w:marBottom w:val="0"/>
                  <w:divBdr>
                    <w:top w:val="none" w:sz="0" w:space="0" w:color="auto"/>
                    <w:left w:val="none" w:sz="0" w:space="0" w:color="auto"/>
                    <w:bottom w:val="none" w:sz="0" w:space="0" w:color="auto"/>
                    <w:right w:val="none" w:sz="0" w:space="0" w:color="auto"/>
                  </w:divBdr>
                  <w:divsChild>
                    <w:div w:id="307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504">
              <w:marLeft w:val="0"/>
              <w:marRight w:val="0"/>
              <w:marTop w:val="0"/>
              <w:marBottom w:val="0"/>
              <w:divBdr>
                <w:top w:val="none" w:sz="0" w:space="0" w:color="auto"/>
                <w:left w:val="none" w:sz="0" w:space="0" w:color="auto"/>
                <w:bottom w:val="none" w:sz="0" w:space="0" w:color="auto"/>
                <w:right w:val="none" w:sz="0" w:space="0" w:color="auto"/>
              </w:divBdr>
              <w:divsChild>
                <w:div w:id="6460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6451">
      <w:bodyDiv w:val="1"/>
      <w:marLeft w:val="0"/>
      <w:marRight w:val="0"/>
      <w:marTop w:val="0"/>
      <w:marBottom w:val="0"/>
      <w:divBdr>
        <w:top w:val="none" w:sz="0" w:space="0" w:color="auto"/>
        <w:left w:val="none" w:sz="0" w:space="0" w:color="auto"/>
        <w:bottom w:val="none" w:sz="0" w:space="0" w:color="auto"/>
        <w:right w:val="none" w:sz="0" w:space="0" w:color="auto"/>
      </w:divBdr>
    </w:div>
    <w:div w:id="2140605897">
      <w:bodyDiv w:val="1"/>
      <w:marLeft w:val="0"/>
      <w:marRight w:val="0"/>
      <w:marTop w:val="0"/>
      <w:marBottom w:val="0"/>
      <w:divBdr>
        <w:top w:val="none" w:sz="0" w:space="0" w:color="auto"/>
        <w:left w:val="none" w:sz="0" w:space="0" w:color="auto"/>
        <w:bottom w:val="none" w:sz="0" w:space="0" w:color="auto"/>
        <w:right w:val="none" w:sz="0" w:space="0" w:color="auto"/>
      </w:divBdr>
      <w:divsChild>
        <w:div w:id="270287543">
          <w:marLeft w:val="0"/>
          <w:marRight w:val="0"/>
          <w:marTop w:val="0"/>
          <w:marBottom w:val="0"/>
          <w:divBdr>
            <w:top w:val="none" w:sz="0" w:space="0" w:color="auto"/>
            <w:left w:val="none" w:sz="0" w:space="0" w:color="auto"/>
            <w:bottom w:val="none" w:sz="0" w:space="0" w:color="auto"/>
            <w:right w:val="none" w:sz="0" w:space="0" w:color="auto"/>
          </w:divBdr>
          <w:divsChild>
            <w:div w:id="412167965">
              <w:marLeft w:val="0"/>
              <w:marRight w:val="0"/>
              <w:marTop w:val="0"/>
              <w:marBottom w:val="0"/>
              <w:divBdr>
                <w:top w:val="none" w:sz="0" w:space="0" w:color="auto"/>
                <w:left w:val="none" w:sz="0" w:space="0" w:color="auto"/>
                <w:bottom w:val="none" w:sz="0" w:space="0" w:color="auto"/>
                <w:right w:val="none" w:sz="0" w:space="0" w:color="auto"/>
              </w:divBdr>
              <w:divsChild>
                <w:div w:id="5716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61"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dth.ca/sites/default/files/pcodr/Reviews2020/10196DarolutamidenmCRPC_inCGR_REDACT_Post02Apr202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BE3F-A7AD-4306-88F0-641DFB92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11038</Words>
  <Characters>63970</Characters>
  <Application>Microsoft Office Word</Application>
  <DocSecurity>0</DocSecurity>
  <Lines>533</Lines>
  <Paragraphs>149</Paragraphs>
  <ScaleCrop>false</ScaleCrop>
  <Company/>
  <LinksUpToDate>false</LinksUpToDate>
  <CharactersWithSpaces>74859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2020-10-27T23:57:00Z</dcterms:created>
  <dcterms:modified xsi:type="dcterms:W3CDTF">2020-10-27T23:58:00Z</dcterms:modified>
</cp:coreProperties>
</file>