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02" w:rsidRPr="002D6525" w:rsidRDefault="00596EC8" w:rsidP="00021E4F">
      <w:pPr>
        <w:pStyle w:val="1-MainHeading"/>
        <w:rPr>
          <w:rFonts w:eastAsia="Calibri"/>
        </w:rPr>
      </w:pPr>
      <w:r w:rsidRPr="002D6525">
        <w:t>5.19</w:t>
      </w:r>
      <w:r w:rsidR="009F3102" w:rsidRPr="002D6525">
        <w:t xml:space="preserve"> </w:t>
      </w:r>
      <w:r w:rsidRPr="002D6525">
        <w:rPr>
          <w:rFonts w:eastAsia="Calibri"/>
        </w:rPr>
        <w:t xml:space="preserve">FOSNETUPITANT </w:t>
      </w:r>
      <w:r w:rsidR="003F6BD4" w:rsidRPr="002D6525">
        <w:rPr>
          <w:rFonts w:eastAsia="Calibri"/>
        </w:rPr>
        <w:t xml:space="preserve">with </w:t>
      </w:r>
      <w:r w:rsidRPr="002D6525">
        <w:rPr>
          <w:rFonts w:eastAsia="Calibri"/>
        </w:rPr>
        <w:t>PALONOSETRON</w:t>
      </w:r>
      <w:r w:rsidR="003F6BD4" w:rsidRPr="002D6525">
        <w:rPr>
          <w:rFonts w:eastAsia="Calibri"/>
        </w:rPr>
        <w:t>,</w:t>
      </w:r>
      <w:r w:rsidRPr="002D6525">
        <w:rPr>
          <w:rFonts w:eastAsia="Calibri"/>
        </w:rPr>
        <w:t xml:space="preserve"> </w:t>
      </w:r>
      <w:r w:rsidR="008801E0" w:rsidRPr="002D6525">
        <w:rPr>
          <w:rFonts w:eastAsia="Calibri"/>
        </w:rPr>
        <w:br/>
      </w:r>
      <w:r w:rsidRPr="002D6525">
        <w:rPr>
          <w:rFonts w:eastAsia="Calibri"/>
        </w:rPr>
        <w:t xml:space="preserve">Powder for Injection containing fosnetupitant 235 mg </w:t>
      </w:r>
      <w:r w:rsidR="00E67E18" w:rsidRPr="002D6525">
        <w:rPr>
          <w:rFonts w:eastAsia="Calibri"/>
        </w:rPr>
        <w:t>with</w:t>
      </w:r>
      <w:r w:rsidRPr="002D6525">
        <w:rPr>
          <w:rFonts w:eastAsia="Calibri"/>
        </w:rPr>
        <w:t xml:space="preserve"> palonosetron 250 m</w:t>
      </w:r>
      <w:r w:rsidR="0027254F" w:rsidRPr="002D6525">
        <w:rPr>
          <w:rFonts w:eastAsia="Calibri"/>
        </w:rPr>
        <w:t>icro</w:t>
      </w:r>
      <w:r w:rsidRPr="002D6525">
        <w:rPr>
          <w:rFonts w:eastAsia="Calibri"/>
        </w:rPr>
        <w:t>g</w:t>
      </w:r>
      <w:r w:rsidR="0027254F" w:rsidRPr="002D6525">
        <w:rPr>
          <w:rFonts w:eastAsia="Calibri"/>
        </w:rPr>
        <w:t>ram</w:t>
      </w:r>
      <w:r w:rsidR="003F6BD4" w:rsidRPr="002D6525">
        <w:rPr>
          <w:rFonts w:eastAsia="Calibri"/>
        </w:rPr>
        <w:t>,</w:t>
      </w:r>
      <w:r w:rsidR="008801E0" w:rsidRPr="002D6525">
        <w:rPr>
          <w:rFonts w:eastAsia="Calibri"/>
        </w:rPr>
        <w:br/>
      </w:r>
      <w:r w:rsidRPr="002D6525">
        <w:rPr>
          <w:rFonts w:eastAsia="Calibri"/>
        </w:rPr>
        <w:t>Akynzeo IV</w:t>
      </w:r>
      <w:r w:rsidR="008801E0" w:rsidRPr="002D6525">
        <w:rPr>
          <w:rFonts w:eastAsia="Calibri"/>
        </w:rPr>
        <w:t xml:space="preserve">®, </w:t>
      </w:r>
      <w:r w:rsidR="00021E4F" w:rsidRPr="002D6525">
        <w:rPr>
          <w:rFonts w:eastAsia="Calibri"/>
        </w:rPr>
        <w:br/>
      </w:r>
      <w:r w:rsidRPr="002D6525">
        <w:rPr>
          <w:rFonts w:eastAsia="Calibri"/>
        </w:rPr>
        <w:t>Mundipharma</w:t>
      </w:r>
      <w:r w:rsidR="008801E0" w:rsidRPr="002D6525">
        <w:rPr>
          <w:rFonts w:eastAsia="Calibri"/>
        </w:rPr>
        <w:t xml:space="preserve"> Pty Ltd</w:t>
      </w:r>
    </w:p>
    <w:p w:rsidR="009F3102" w:rsidRPr="002D6525" w:rsidRDefault="009F3102" w:rsidP="009F3102">
      <w:pPr>
        <w:pStyle w:val="2-SectionHeading"/>
      </w:pPr>
      <w:r w:rsidRPr="002D6525">
        <w:t>Purpose</w:t>
      </w:r>
      <w:r w:rsidR="0072698E" w:rsidRPr="002D6525">
        <w:t xml:space="preserve"> of application</w:t>
      </w:r>
    </w:p>
    <w:p w:rsidR="00C80F5D" w:rsidRPr="002D6525" w:rsidRDefault="000C03D2" w:rsidP="002A21A5">
      <w:pPr>
        <w:pStyle w:val="3-BodyText"/>
      </w:pPr>
      <w:r w:rsidRPr="002D6525">
        <w:t>T</w:t>
      </w:r>
      <w:r w:rsidR="00271DCE" w:rsidRPr="002D6525">
        <w:t>he</w:t>
      </w:r>
      <w:r w:rsidRPr="002D6525">
        <w:t xml:space="preserve"> </w:t>
      </w:r>
      <w:r w:rsidR="001329AC" w:rsidRPr="002D6525">
        <w:t xml:space="preserve">minor submission sought </w:t>
      </w:r>
      <w:r w:rsidR="00596EC8" w:rsidRPr="002D6525">
        <w:t>a General Schedule and Section 100 (Efficient Funding of Chemotherapy</w:t>
      </w:r>
      <w:r w:rsidR="00243AE8" w:rsidRPr="002D6525">
        <w:t xml:space="preserve"> – Related benefits (Code CT)</w:t>
      </w:r>
      <w:r w:rsidR="00596EC8" w:rsidRPr="002D6525">
        <w:t xml:space="preserve">) Authority Required (STREAMLINED) listing of an </w:t>
      </w:r>
      <w:r w:rsidR="005A7EBE" w:rsidRPr="002D6525">
        <w:t>intravenous (</w:t>
      </w:r>
      <w:r w:rsidR="00596EC8" w:rsidRPr="002D6525">
        <w:t>IV</w:t>
      </w:r>
      <w:r w:rsidR="005A7EBE" w:rsidRPr="002D6525">
        <w:t>)</w:t>
      </w:r>
      <w:r w:rsidR="00596EC8" w:rsidRPr="002D6525">
        <w:t xml:space="preserve"> form of fosnetu</w:t>
      </w:r>
      <w:r w:rsidR="00DE1F20" w:rsidRPr="002D6525">
        <w:t xml:space="preserve">pitant 235 mg </w:t>
      </w:r>
      <w:r w:rsidR="004078AE" w:rsidRPr="002D6525">
        <w:t xml:space="preserve">with </w:t>
      </w:r>
      <w:r w:rsidR="00596EC8" w:rsidRPr="002D6525">
        <w:t>palonosetron</w:t>
      </w:r>
      <w:r w:rsidR="00DE1F20" w:rsidRPr="002D6525">
        <w:t xml:space="preserve"> 250</w:t>
      </w:r>
      <w:r w:rsidR="000B47C3" w:rsidRPr="002D6525">
        <w:t xml:space="preserve"> </w:t>
      </w:r>
      <w:r w:rsidR="00DE1F20" w:rsidRPr="002D6525">
        <w:t>mcg</w:t>
      </w:r>
      <w:r w:rsidR="00596EC8" w:rsidRPr="002D6525">
        <w:t xml:space="preserve"> </w:t>
      </w:r>
      <w:r w:rsidR="00DE1F20" w:rsidRPr="002D6525">
        <w:t>(Akynzeo IV</w:t>
      </w:r>
      <w:r w:rsidR="00DE1F20" w:rsidRPr="002D6525">
        <w:rPr>
          <w:rFonts w:cstheme="minorHAnsi"/>
        </w:rPr>
        <w:t>®</w:t>
      </w:r>
      <w:r w:rsidR="00DE1F20" w:rsidRPr="002D6525">
        <w:t>)</w:t>
      </w:r>
      <w:r w:rsidR="008042C1" w:rsidRPr="002D6525">
        <w:t xml:space="preserve"> fixed-dose combination (FDC)</w:t>
      </w:r>
      <w:r w:rsidR="00DE1F20" w:rsidRPr="002D6525">
        <w:t xml:space="preserve"> (henceforth referred to as </w:t>
      </w:r>
      <w:r w:rsidR="002A21A5" w:rsidRPr="002D6525">
        <w:t>NEPA IV</w:t>
      </w:r>
      <w:r w:rsidR="00DE1F20" w:rsidRPr="002D6525">
        <w:t>)</w:t>
      </w:r>
      <w:r w:rsidR="008042C1" w:rsidRPr="002D6525">
        <w:t>,</w:t>
      </w:r>
      <w:r w:rsidR="00DE1F20" w:rsidRPr="002D6525">
        <w:t xml:space="preserve"> </w:t>
      </w:r>
      <w:r w:rsidR="00596EC8" w:rsidRPr="002D6525">
        <w:t xml:space="preserve">under the same conditions as the </w:t>
      </w:r>
      <w:r w:rsidR="00A61B5A" w:rsidRPr="002D6525">
        <w:t xml:space="preserve">currently PBS listed </w:t>
      </w:r>
      <w:r w:rsidR="00596EC8" w:rsidRPr="002D6525">
        <w:t>capsule form</w:t>
      </w:r>
      <w:r w:rsidR="002A21A5" w:rsidRPr="002D6525">
        <w:t xml:space="preserve">, </w:t>
      </w:r>
      <w:r w:rsidR="00C94901" w:rsidRPr="002D6525">
        <w:t xml:space="preserve">netupitant 300 mg </w:t>
      </w:r>
      <w:r w:rsidR="004078AE" w:rsidRPr="002D6525">
        <w:t xml:space="preserve">with </w:t>
      </w:r>
      <w:r w:rsidR="00C94901" w:rsidRPr="002D6525">
        <w:t>palonosetron 500 mcg capsule (Akynzeo®)</w:t>
      </w:r>
      <w:r w:rsidR="002A21A5" w:rsidRPr="002D6525">
        <w:t xml:space="preserve"> (henceforth referred to as </w:t>
      </w:r>
      <w:r w:rsidR="00D9269E" w:rsidRPr="002D6525">
        <w:t>NEPA oral</w:t>
      </w:r>
      <w:r w:rsidR="002A21A5" w:rsidRPr="002D6525">
        <w:t>)</w:t>
      </w:r>
      <w:r w:rsidR="00596EC8" w:rsidRPr="002D6525">
        <w:t>.</w:t>
      </w:r>
    </w:p>
    <w:p w:rsidR="009F3102" w:rsidRPr="002D6525" w:rsidRDefault="009F3102" w:rsidP="009F3102">
      <w:pPr>
        <w:pStyle w:val="2-SectionHeading"/>
      </w:pPr>
      <w:r w:rsidRPr="002D6525">
        <w:t>Background</w:t>
      </w:r>
    </w:p>
    <w:p w:rsidR="00AA3681" w:rsidRPr="002D6525" w:rsidRDefault="00AA3681" w:rsidP="004C1ECB">
      <w:pPr>
        <w:pStyle w:val="3Bodytext"/>
      </w:pPr>
      <w:r w:rsidRPr="002D6525">
        <w:t>Fosnetupitant is a neurokinin</w:t>
      </w:r>
      <w:r w:rsidR="00021E4F" w:rsidRPr="002D6525">
        <w:t>-</w:t>
      </w:r>
      <w:r w:rsidRPr="002D6525">
        <w:t>1 receptor antagonist (</w:t>
      </w:r>
      <w:r w:rsidR="00AC646F" w:rsidRPr="002D6525">
        <w:t>henceforth</w:t>
      </w:r>
      <w:r w:rsidRPr="002D6525">
        <w:t xml:space="preserve"> referred to as </w:t>
      </w:r>
      <w:r w:rsidR="0098534F" w:rsidRPr="002D6525">
        <w:t>NK1 RA</w:t>
      </w:r>
      <w:r w:rsidRPr="002D6525">
        <w:t>) and palonosetron is a 5-hydroxytryptamine (serotonin) receptor antagonist (</w:t>
      </w:r>
      <w:r w:rsidR="00AC646F" w:rsidRPr="002D6525">
        <w:t xml:space="preserve">henceforth </w:t>
      </w:r>
      <w:r w:rsidRPr="002D6525">
        <w:t xml:space="preserve">referred to as </w:t>
      </w:r>
      <w:r w:rsidR="0098534F" w:rsidRPr="002D6525">
        <w:t>5HT3 RA</w:t>
      </w:r>
      <w:r w:rsidRPr="002D6525">
        <w:t xml:space="preserve">). </w:t>
      </w:r>
      <w:r w:rsidR="0098534F" w:rsidRPr="002D6525">
        <w:t>NK1 RA</w:t>
      </w:r>
      <w:r w:rsidRPr="002D6525">
        <w:t xml:space="preserve"> and </w:t>
      </w:r>
      <w:r w:rsidR="0098534F" w:rsidRPr="002D6525">
        <w:t>5HT3 RA</w:t>
      </w:r>
      <w:r w:rsidRPr="002D6525">
        <w:t xml:space="preserve"> drugs are used in combination for the treatment of </w:t>
      </w:r>
      <w:r w:rsidRPr="002D6525">
        <w:rPr>
          <w:szCs w:val="20"/>
        </w:rPr>
        <w:t>nausea and vomiting associated with emetogenic chemotherapy</w:t>
      </w:r>
      <w:r w:rsidRPr="002D6525">
        <w:rPr>
          <w:rStyle w:val="FootnoteReference"/>
          <w:szCs w:val="20"/>
        </w:rPr>
        <w:footnoteReference w:id="1"/>
      </w:r>
      <w:r w:rsidRPr="002D6525">
        <w:rPr>
          <w:szCs w:val="20"/>
        </w:rPr>
        <w:t>.</w:t>
      </w:r>
    </w:p>
    <w:p w:rsidR="002362C9" w:rsidRPr="002D6525" w:rsidRDefault="002362C9" w:rsidP="002362C9">
      <w:pPr>
        <w:pStyle w:val="Heading2"/>
      </w:pPr>
      <w:r w:rsidRPr="002D6525">
        <w:t>Registration status</w:t>
      </w:r>
    </w:p>
    <w:p w:rsidR="002362C9" w:rsidRPr="002D6525" w:rsidRDefault="002A21A5" w:rsidP="00C94901">
      <w:pPr>
        <w:pStyle w:val="3-BodyText"/>
      </w:pPr>
      <w:r w:rsidRPr="002D6525">
        <w:t>NEPA IV</w:t>
      </w:r>
      <w:r w:rsidR="00C94901" w:rsidRPr="002D6525">
        <w:t xml:space="preserve"> </w:t>
      </w:r>
      <w:r w:rsidR="00234485" w:rsidRPr="002D6525">
        <w:t>was registered on the ARTG on 13 March 2020</w:t>
      </w:r>
      <w:r w:rsidR="00D6498F" w:rsidRPr="002D6525">
        <w:t xml:space="preserve"> for the same indications as </w:t>
      </w:r>
      <w:r w:rsidR="000B47C3" w:rsidRPr="002D6525">
        <w:t xml:space="preserve">NEPA </w:t>
      </w:r>
      <w:r w:rsidR="00D6498F" w:rsidRPr="002D6525">
        <w:t>oral</w:t>
      </w:r>
      <w:r w:rsidR="00234485" w:rsidRPr="002D6525">
        <w:t xml:space="preserve">. </w:t>
      </w:r>
    </w:p>
    <w:p w:rsidR="00E651CE" w:rsidRPr="002D6525" w:rsidRDefault="00E651CE" w:rsidP="00E651CE">
      <w:pPr>
        <w:pStyle w:val="Heading2"/>
      </w:pPr>
      <w:r w:rsidRPr="002D6525">
        <w:t>Previous PBAC consideration</w:t>
      </w:r>
    </w:p>
    <w:p w:rsidR="00E651CE" w:rsidRPr="002D6525" w:rsidRDefault="00D9269E" w:rsidP="004C2430">
      <w:pPr>
        <w:pStyle w:val="3-BodyText"/>
      </w:pPr>
      <w:r w:rsidRPr="002D6525">
        <w:t>NEPA oral</w:t>
      </w:r>
      <w:r w:rsidR="002A21A5" w:rsidRPr="002D6525">
        <w:t xml:space="preserve"> </w:t>
      </w:r>
      <w:r w:rsidR="00E651CE" w:rsidRPr="002D6525">
        <w:t xml:space="preserve">was recommended by the PBAC </w:t>
      </w:r>
      <w:r w:rsidR="000A083F" w:rsidRPr="002D6525">
        <w:t xml:space="preserve">at its </w:t>
      </w:r>
      <w:r w:rsidR="00E651CE" w:rsidRPr="002D6525">
        <w:t>November 2015</w:t>
      </w:r>
      <w:r w:rsidR="000A083F" w:rsidRPr="002D6525">
        <w:t xml:space="preserve"> meeting</w:t>
      </w:r>
      <w:r w:rsidR="00E651CE" w:rsidRPr="002D6525">
        <w:t xml:space="preserve"> and listed in April 2016</w:t>
      </w:r>
      <w:r w:rsidR="000A083F" w:rsidRPr="002D6525">
        <w:t xml:space="preserve"> for the indications</w:t>
      </w:r>
      <w:r w:rsidR="00AF5220" w:rsidRPr="002D6525">
        <w:t xml:space="preserve"> ‘</w:t>
      </w:r>
      <w:r w:rsidR="00E651CE" w:rsidRPr="002D6525">
        <w:t>patients treated with highly emetogenic chemotherapy</w:t>
      </w:r>
      <w:r w:rsidR="00AF5220" w:rsidRPr="002D6525">
        <w:t>’ and ‘</w:t>
      </w:r>
      <w:r w:rsidR="00E651CE" w:rsidRPr="002D6525">
        <w:t>in breast cancer patients treated with anthracycline plus cyclophosphamide-based regimens</w:t>
      </w:r>
      <w:r w:rsidR="00AF5220" w:rsidRPr="002D6525">
        <w:t>’</w:t>
      </w:r>
      <w:r w:rsidR="00296A43" w:rsidRPr="002D6525">
        <w:t xml:space="preserve"> with initial and repeat courses</w:t>
      </w:r>
      <w:r w:rsidR="00351DCC" w:rsidRPr="002D6525">
        <w:t>.</w:t>
      </w:r>
    </w:p>
    <w:p w:rsidR="005E352A" w:rsidRPr="002D6525" w:rsidRDefault="00E651CE" w:rsidP="004C2430">
      <w:pPr>
        <w:pStyle w:val="3Bodytext"/>
      </w:pPr>
      <w:r w:rsidRPr="002D6525">
        <w:t xml:space="preserve">At </w:t>
      </w:r>
      <w:r w:rsidR="000A083F" w:rsidRPr="002D6525">
        <w:t>its</w:t>
      </w:r>
      <w:r w:rsidRPr="002D6525">
        <w:t xml:space="preserve"> November 2016 meeting,</w:t>
      </w:r>
      <w:r w:rsidR="000A083F" w:rsidRPr="002D6525">
        <w:t xml:space="preserve"> the PBAC recommended extending the indications for</w:t>
      </w:r>
      <w:r w:rsidRPr="002D6525">
        <w:t xml:space="preserve"> </w:t>
      </w:r>
      <w:r w:rsidR="002A21A5" w:rsidRPr="002D6525">
        <w:rPr>
          <w:rStyle w:val="Emphasis"/>
          <w:i w:val="0"/>
          <w:iCs w:val="0"/>
        </w:rPr>
        <w:t>NEPA</w:t>
      </w:r>
      <w:r w:rsidR="001410E7" w:rsidRPr="002D6525">
        <w:rPr>
          <w:rStyle w:val="Emphasis"/>
          <w:i w:val="0"/>
          <w:iCs w:val="0"/>
        </w:rPr>
        <w:t xml:space="preserve"> capsule </w:t>
      </w:r>
      <w:r w:rsidR="00AF5220" w:rsidRPr="002D6525">
        <w:t>to include ‘</w:t>
      </w:r>
      <w:r w:rsidRPr="002D6525">
        <w:t>secondary prophylaxis for chemotherapy induced nausea and vomiting associated with moderately emetogenic chemotherapy</w:t>
      </w:r>
      <w:r w:rsidR="00AF5220" w:rsidRPr="002D6525">
        <w:t>’ and ‘</w:t>
      </w:r>
      <w:r w:rsidRPr="002D6525">
        <w:t xml:space="preserve">primary </w:t>
      </w:r>
      <w:r w:rsidRPr="002D6525">
        <w:lastRenderedPageBreak/>
        <w:t>prophylaxis for chemotherapy induced nausea and vomiting associated with carboplatin or oxaliplatin chemotherapy regimens</w:t>
      </w:r>
      <w:r w:rsidR="00AF5220" w:rsidRPr="002D6525">
        <w:t>’.</w:t>
      </w:r>
    </w:p>
    <w:p w:rsidR="00E651CE" w:rsidRPr="002D6525" w:rsidRDefault="002A21A5" w:rsidP="001410E7">
      <w:pPr>
        <w:pStyle w:val="3-BodyText"/>
      </w:pPr>
      <w:r w:rsidRPr="002D6525">
        <w:t>NEPA IV</w:t>
      </w:r>
      <w:r w:rsidR="00E651CE" w:rsidRPr="002D6525">
        <w:t xml:space="preserve"> ha</w:t>
      </w:r>
      <w:r w:rsidR="00D26BA5" w:rsidRPr="002D6525">
        <w:t>d</w:t>
      </w:r>
      <w:r w:rsidR="00E651CE" w:rsidRPr="002D6525">
        <w:t xml:space="preserve"> not been previously considered by the PBAC.</w:t>
      </w:r>
    </w:p>
    <w:p w:rsidR="00BC7B10" w:rsidRPr="002D6525" w:rsidRDefault="00BC7B10" w:rsidP="005B1354">
      <w:pPr>
        <w:pStyle w:val="3-BodyText"/>
        <w:numPr>
          <w:ilvl w:val="0"/>
          <w:numId w:val="0"/>
        </w:numPr>
        <w:ind w:firstLine="720"/>
        <w:rPr>
          <w:i/>
        </w:rPr>
      </w:pPr>
      <w:r w:rsidRPr="002D6525">
        <w:rPr>
          <w:i/>
        </w:rPr>
        <w:t>For more detail on PBAC’s view, see section 6 PBAC outcome.</w:t>
      </w:r>
    </w:p>
    <w:p w:rsidR="009F3102" w:rsidRPr="002D6525" w:rsidRDefault="00DC78B6" w:rsidP="009F3102">
      <w:pPr>
        <w:pStyle w:val="2-SectionHeading"/>
      </w:pPr>
      <w:r w:rsidRPr="002D6525">
        <w:t>Requested listing</w:t>
      </w:r>
    </w:p>
    <w:p w:rsidR="001329AC" w:rsidRPr="002D6525" w:rsidRDefault="00FA5CB9" w:rsidP="00945853">
      <w:pPr>
        <w:pStyle w:val="3-BodyText"/>
      </w:pPr>
      <w:r w:rsidRPr="002D6525">
        <w:t>The submission requested the following new listing</w:t>
      </w:r>
      <w:r w:rsidR="00351DCC" w:rsidRPr="002D6525">
        <w:t>. S</w:t>
      </w:r>
      <w:r w:rsidR="00A3441C" w:rsidRPr="002D6525">
        <w:t>ecretariat s</w:t>
      </w:r>
      <w:r w:rsidR="00351DCC" w:rsidRPr="002D6525">
        <w:t>uggestions are in italics and deletions in strikethrough</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992"/>
        <w:gridCol w:w="709"/>
        <w:gridCol w:w="709"/>
        <w:gridCol w:w="708"/>
        <w:gridCol w:w="992"/>
      </w:tblGrid>
      <w:tr w:rsidR="00074FF2" w:rsidRPr="002D6525" w:rsidTr="006F6236">
        <w:trPr>
          <w:cantSplit/>
          <w:trHeight w:val="471"/>
        </w:trPr>
        <w:tc>
          <w:tcPr>
            <w:tcW w:w="4815" w:type="dxa"/>
          </w:tcPr>
          <w:p w:rsidR="00074FF2" w:rsidRPr="002D6525" w:rsidRDefault="00074FF2" w:rsidP="006F6236">
            <w:pPr>
              <w:keepNext/>
              <w:ind w:left="-108"/>
              <w:rPr>
                <w:rFonts w:ascii="Arial Narrow" w:hAnsi="Arial Narrow" w:cs="Arial"/>
                <w:b/>
                <w:sz w:val="18"/>
                <w:szCs w:val="18"/>
              </w:rPr>
            </w:pPr>
            <w:r w:rsidRPr="002D6525">
              <w:rPr>
                <w:rFonts w:ascii="Arial Narrow" w:hAnsi="Arial Narrow" w:cs="Arial"/>
                <w:b/>
                <w:sz w:val="18"/>
                <w:szCs w:val="18"/>
              </w:rPr>
              <w:t>Name, Restriction,</w:t>
            </w:r>
            <w:r w:rsidR="006F6236" w:rsidRPr="002D6525">
              <w:rPr>
                <w:rFonts w:ascii="Arial Narrow" w:hAnsi="Arial Narrow" w:cs="Arial"/>
                <w:b/>
                <w:sz w:val="18"/>
                <w:szCs w:val="18"/>
              </w:rPr>
              <w:t xml:space="preserve"> </w:t>
            </w:r>
            <w:r w:rsidRPr="002D6525">
              <w:rPr>
                <w:rFonts w:ascii="Arial Narrow" w:hAnsi="Arial Narrow" w:cs="Arial"/>
                <w:b/>
                <w:sz w:val="18"/>
                <w:szCs w:val="18"/>
              </w:rPr>
              <w:t>Manner of administration and form</w:t>
            </w:r>
          </w:p>
        </w:tc>
        <w:tc>
          <w:tcPr>
            <w:tcW w:w="992" w:type="dxa"/>
          </w:tcPr>
          <w:p w:rsidR="00074FF2" w:rsidRPr="002D6525" w:rsidRDefault="00074FF2" w:rsidP="009133D8">
            <w:pPr>
              <w:keepNext/>
              <w:ind w:left="-108"/>
              <w:jc w:val="center"/>
              <w:rPr>
                <w:rFonts w:ascii="Arial Narrow" w:hAnsi="Arial Narrow" w:cs="Arial"/>
                <w:b/>
                <w:sz w:val="18"/>
                <w:szCs w:val="18"/>
              </w:rPr>
            </w:pPr>
            <w:r w:rsidRPr="002D6525">
              <w:rPr>
                <w:rFonts w:ascii="Arial Narrow" w:hAnsi="Arial Narrow" w:cs="Arial"/>
                <w:b/>
                <w:sz w:val="18"/>
                <w:szCs w:val="18"/>
              </w:rPr>
              <w:t>PBS item code</w:t>
            </w:r>
          </w:p>
        </w:tc>
        <w:tc>
          <w:tcPr>
            <w:tcW w:w="709" w:type="dxa"/>
          </w:tcPr>
          <w:p w:rsidR="00074FF2" w:rsidRPr="002D6525" w:rsidRDefault="00074FF2" w:rsidP="009133D8">
            <w:pPr>
              <w:keepNext/>
              <w:ind w:left="-108"/>
              <w:jc w:val="center"/>
              <w:rPr>
                <w:rFonts w:ascii="Arial Narrow" w:hAnsi="Arial Narrow" w:cs="Arial"/>
                <w:b/>
                <w:sz w:val="18"/>
                <w:szCs w:val="18"/>
              </w:rPr>
            </w:pPr>
            <w:r w:rsidRPr="002D6525">
              <w:rPr>
                <w:rFonts w:ascii="Arial Narrow" w:hAnsi="Arial Narrow" w:cs="Arial"/>
                <w:b/>
                <w:sz w:val="18"/>
                <w:szCs w:val="18"/>
              </w:rPr>
              <w:t>Max. qty packs</w:t>
            </w:r>
          </w:p>
        </w:tc>
        <w:tc>
          <w:tcPr>
            <w:tcW w:w="709" w:type="dxa"/>
          </w:tcPr>
          <w:p w:rsidR="00074FF2" w:rsidRPr="002D6525" w:rsidRDefault="00074FF2" w:rsidP="009133D8">
            <w:pPr>
              <w:keepNext/>
              <w:ind w:left="-108"/>
              <w:jc w:val="center"/>
              <w:rPr>
                <w:rFonts w:ascii="Arial Narrow" w:hAnsi="Arial Narrow" w:cs="Arial"/>
                <w:b/>
                <w:sz w:val="18"/>
                <w:szCs w:val="18"/>
              </w:rPr>
            </w:pPr>
            <w:r w:rsidRPr="002D6525">
              <w:rPr>
                <w:rFonts w:ascii="Arial Narrow" w:hAnsi="Arial Narrow" w:cs="Arial"/>
                <w:b/>
                <w:sz w:val="18"/>
                <w:szCs w:val="18"/>
              </w:rPr>
              <w:t>Max. qty units</w:t>
            </w:r>
          </w:p>
        </w:tc>
        <w:tc>
          <w:tcPr>
            <w:tcW w:w="708" w:type="dxa"/>
          </w:tcPr>
          <w:p w:rsidR="00074FF2" w:rsidRPr="002D6525" w:rsidRDefault="00074FF2" w:rsidP="009133D8">
            <w:pPr>
              <w:keepNext/>
              <w:ind w:left="-108"/>
              <w:jc w:val="center"/>
              <w:rPr>
                <w:rFonts w:ascii="Arial Narrow" w:hAnsi="Arial Narrow" w:cs="Arial"/>
                <w:b/>
                <w:sz w:val="18"/>
                <w:szCs w:val="18"/>
              </w:rPr>
            </w:pPr>
            <w:r w:rsidRPr="002D6525">
              <w:rPr>
                <w:rFonts w:ascii="Arial Narrow" w:hAnsi="Arial Narrow" w:cs="Arial"/>
                <w:b/>
                <w:sz w:val="18"/>
                <w:szCs w:val="18"/>
              </w:rPr>
              <w:t>№.of</w:t>
            </w:r>
          </w:p>
          <w:p w:rsidR="00074FF2" w:rsidRPr="002D6525" w:rsidRDefault="00074FF2" w:rsidP="009133D8">
            <w:pPr>
              <w:keepNext/>
              <w:ind w:left="-108"/>
              <w:jc w:val="center"/>
              <w:rPr>
                <w:rFonts w:ascii="Arial Narrow" w:hAnsi="Arial Narrow" w:cs="Arial"/>
                <w:b/>
                <w:sz w:val="18"/>
                <w:szCs w:val="18"/>
              </w:rPr>
            </w:pPr>
            <w:r w:rsidRPr="002D6525">
              <w:rPr>
                <w:rFonts w:ascii="Arial Narrow" w:hAnsi="Arial Narrow" w:cs="Arial"/>
                <w:b/>
                <w:sz w:val="18"/>
                <w:szCs w:val="18"/>
              </w:rPr>
              <w:t>Rpts</w:t>
            </w:r>
          </w:p>
        </w:tc>
        <w:tc>
          <w:tcPr>
            <w:tcW w:w="992" w:type="dxa"/>
          </w:tcPr>
          <w:p w:rsidR="00074FF2" w:rsidRPr="00C03667" w:rsidRDefault="00E84D8A" w:rsidP="009133D8">
            <w:pPr>
              <w:keepNext/>
              <w:rPr>
                <w:rFonts w:ascii="Arial Narrow" w:hAnsi="Arial Narrow" w:cs="Arial"/>
                <w:b/>
                <w:sz w:val="18"/>
                <w:szCs w:val="18"/>
              </w:rPr>
            </w:pPr>
            <w:r w:rsidRPr="002D6525">
              <w:rPr>
                <w:rFonts w:ascii="Arial Narrow" w:hAnsi="Arial Narrow" w:cs="Arial"/>
                <w:b/>
                <w:sz w:val="18"/>
                <w:szCs w:val="18"/>
              </w:rPr>
              <w:t>Available brands</w:t>
            </w:r>
          </w:p>
        </w:tc>
      </w:tr>
      <w:tr w:rsidR="00E84D8A" w:rsidRPr="002D6525" w:rsidTr="005B1354">
        <w:trPr>
          <w:cantSplit/>
          <w:trHeight w:val="215"/>
        </w:trPr>
        <w:tc>
          <w:tcPr>
            <w:tcW w:w="4815" w:type="dxa"/>
          </w:tcPr>
          <w:p w:rsidR="00E84D8A" w:rsidRPr="002D6525" w:rsidRDefault="00E84D8A" w:rsidP="00E651CE">
            <w:pPr>
              <w:keepNext/>
              <w:ind w:left="-108"/>
              <w:rPr>
                <w:rFonts w:ascii="Arial Narrow" w:hAnsi="Arial Narrow" w:cs="Arial"/>
                <w:sz w:val="18"/>
                <w:szCs w:val="18"/>
              </w:rPr>
            </w:pPr>
            <w:r w:rsidRPr="002D6525">
              <w:rPr>
                <w:rFonts w:ascii="Arial Narrow" w:hAnsi="Arial Narrow" w:cs="Arial"/>
                <w:sz w:val="18"/>
                <w:szCs w:val="18"/>
              </w:rPr>
              <w:t xml:space="preserve">FOSNETUPITANT + PALONOSETRON </w:t>
            </w:r>
          </w:p>
          <w:p w:rsidR="00E84D8A" w:rsidRPr="002D6525" w:rsidRDefault="00E84D8A" w:rsidP="006F6236">
            <w:pPr>
              <w:keepNext/>
              <w:ind w:left="-108"/>
              <w:rPr>
                <w:rFonts w:ascii="Arial Narrow" w:hAnsi="Arial Narrow" w:cs="Arial"/>
                <w:sz w:val="18"/>
                <w:szCs w:val="18"/>
              </w:rPr>
            </w:pPr>
            <w:r w:rsidRPr="002D6525">
              <w:rPr>
                <w:rFonts w:ascii="Arial Narrow" w:hAnsi="Arial Narrow" w:cs="Arial"/>
                <w:sz w:val="18"/>
                <w:szCs w:val="18"/>
              </w:rPr>
              <w:t>fosnetupitant 235 mg +</w:t>
            </w:r>
            <w:r w:rsidR="006F6236" w:rsidRPr="002D6525">
              <w:rPr>
                <w:rFonts w:ascii="Arial Narrow" w:hAnsi="Arial Narrow" w:cs="Arial"/>
                <w:sz w:val="18"/>
                <w:szCs w:val="18"/>
              </w:rPr>
              <w:t xml:space="preserve"> </w:t>
            </w:r>
            <w:r w:rsidRPr="002D6525">
              <w:rPr>
                <w:rFonts w:ascii="Arial Narrow" w:hAnsi="Arial Narrow" w:cs="Arial"/>
                <w:sz w:val="18"/>
                <w:szCs w:val="18"/>
              </w:rPr>
              <w:t>palonosetron 250 microgram</w:t>
            </w:r>
            <w:r w:rsidR="006F6236" w:rsidRPr="002D6525">
              <w:rPr>
                <w:rFonts w:ascii="Arial Narrow" w:hAnsi="Arial Narrow" w:cs="Arial"/>
                <w:sz w:val="18"/>
                <w:szCs w:val="18"/>
              </w:rPr>
              <w:t xml:space="preserve"> </w:t>
            </w:r>
            <w:r w:rsidRPr="002D6525">
              <w:rPr>
                <w:rFonts w:ascii="Arial Narrow" w:hAnsi="Arial Narrow" w:cs="Arial"/>
                <w:sz w:val="18"/>
                <w:szCs w:val="18"/>
              </w:rPr>
              <w:t>injection, 1 vial</w:t>
            </w:r>
          </w:p>
        </w:tc>
        <w:tc>
          <w:tcPr>
            <w:tcW w:w="992" w:type="dxa"/>
            <w:vAlign w:val="center"/>
          </w:tcPr>
          <w:p w:rsidR="00E84D8A" w:rsidRPr="002D6525" w:rsidRDefault="00E84D8A" w:rsidP="001E67A0">
            <w:pPr>
              <w:keepNext/>
              <w:ind w:left="-108"/>
              <w:jc w:val="center"/>
              <w:rPr>
                <w:rFonts w:ascii="Arial Narrow" w:hAnsi="Arial Narrow" w:cs="Arial"/>
                <w:sz w:val="18"/>
                <w:szCs w:val="18"/>
              </w:rPr>
            </w:pPr>
            <w:r w:rsidRPr="002D6525">
              <w:rPr>
                <w:rFonts w:ascii="Arial Narrow" w:hAnsi="Arial Narrow" w:cs="Arial"/>
                <w:sz w:val="18"/>
                <w:szCs w:val="18"/>
              </w:rPr>
              <w:t>NEW</w:t>
            </w:r>
          </w:p>
        </w:tc>
        <w:tc>
          <w:tcPr>
            <w:tcW w:w="709" w:type="dxa"/>
            <w:vAlign w:val="center"/>
          </w:tcPr>
          <w:p w:rsidR="00E84D8A" w:rsidRPr="002D6525" w:rsidRDefault="00E84D8A" w:rsidP="001E67A0">
            <w:pPr>
              <w:keepNext/>
              <w:jc w:val="center"/>
              <w:rPr>
                <w:rFonts w:ascii="Arial Narrow" w:hAnsi="Arial Narrow" w:cs="Arial"/>
                <w:sz w:val="18"/>
                <w:szCs w:val="18"/>
              </w:rPr>
            </w:pPr>
            <w:r w:rsidRPr="002D6525">
              <w:rPr>
                <w:rFonts w:ascii="Arial Narrow" w:hAnsi="Arial Narrow" w:cs="Arial"/>
                <w:sz w:val="18"/>
                <w:szCs w:val="18"/>
              </w:rPr>
              <w:t>1</w:t>
            </w:r>
          </w:p>
        </w:tc>
        <w:tc>
          <w:tcPr>
            <w:tcW w:w="709" w:type="dxa"/>
            <w:vAlign w:val="center"/>
          </w:tcPr>
          <w:p w:rsidR="00E84D8A" w:rsidRPr="002D6525" w:rsidRDefault="00E84D8A" w:rsidP="001E67A0">
            <w:pPr>
              <w:keepNext/>
              <w:ind w:left="-108"/>
              <w:jc w:val="center"/>
              <w:rPr>
                <w:rFonts w:ascii="Arial Narrow" w:hAnsi="Arial Narrow" w:cs="Arial"/>
                <w:sz w:val="18"/>
                <w:szCs w:val="18"/>
              </w:rPr>
            </w:pPr>
            <w:r w:rsidRPr="002D6525">
              <w:rPr>
                <w:rFonts w:ascii="Arial Narrow" w:hAnsi="Arial Narrow" w:cs="Arial"/>
                <w:sz w:val="18"/>
                <w:szCs w:val="18"/>
              </w:rPr>
              <w:t>1</w:t>
            </w:r>
          </w:p>
        </w:tc>
        <w:tc>
          <w:tcPr>
            <w:tcW w:w="708" w:type="dxa"/>
            <w:vAlign w:val="center"/>
          </w:tcPr>
          <w:p w:rsidR="00E84D8A" w:rsidRPr="002D6525" w:rsidRDefault="00E84D8A" w:rsidP="001E67A0">
            <w:pPr>
              <w:keepNext/>
              <w:ind w:left="-108"/>
              <w:jc w:val="center"/>
              <w:rPr>
                <w:rFonts w:ascii="Arial Narrow" w:hAnsi="Arial Narrow" w:cs="Arial"/>
                <w:sz w:val="18"/>
                <w:szCs w:val="18"/>
              </w:rPr>
            </w:pPr>
            <w:r w:rsidRPr="002D6525">
              <w:rPr>
                <w:rFonts w:ascii="Arial Narrow" w:hAnsi="Arial Narrow" w:cs="Arial"/>
                <w:sz w:val="18"/>
                <w:szCs w:val="18"/>
              </w:rPr>
              <w:t>5</w:t>
            </w:r>
          </w:p>
        </w:tc>
        <w:tc>
          <w:tcPr>
            <w:tcW w:w="992" w:type="dxa"/>
            <w:vAlign w:val="center"/>
          </w:tcPr>
          <w:p w:rsidR="00E84D8A" w:rsidRPr="002D6525" w:rsidRDefault="00E84D8A" w:rsidP="001E67A0">
            <w:pPr>
              <w:keepNext/>
              <w:jc w:val="center"/>
              <w:rPr>
                <w:rFonts w:ascii="Arial Narrow" w:hAnsi="Arial Narrow" w:cs="Arial"/>
                <w:sz w:val="18"/>
                <w:szCs w:val="18"/>
              </w:rPr>
            </w:pPr>
            <w:r w:rsidRPr="002D6525">
              <w:rPr>
                <w:rFonts w:ascii="Arial Narrow" w:hAnsi="Arial Narrow" w:cs="Arial"/>
                <w:sz w:val="18"/>
                <w:szCs w:val="18"/>
              </w:rPr>
              <w:t>Akynzeo IV</w:t>
            </w:r>
          </w:p>
        </w:tc>
      </w:tr>
    </w:tbl>
    <w:p w:rsidR="00187377" w:rsidRPr="002D6525" w:rsidRDefault="00187377" w:rsidP="005B1354"/>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144033" w:rsidRPr="002D6525" w:rsidTr="00C94175">
        <w:tc>
          <w:tcPr>
            <w:tcW w:w="5000" w:type="pct"/>
            <w:tcBorders>
              <w:top w:val="single" w:sz="4" w:space="0" w:color="auto"/>
              <w:left w:val="single" w:sz="4" w:space="0" w:color="auto"/>
              <w:bottom w:val="single" w:sz="4" w:space="0" w:color="auto"/>
              <w:right w:val="single" w:sz="4" w:space="0" w:color="auto"/>
            </w:tcBorders>
          </w:tcPr>
          <w:p w:rsidR="00144033" w:rsidRPr="002D6525" w:rsidRDefault="00144033" w:rsidP="007428C4">
            <w:pPr>
              <w:rPr>
                <w:rFonts w:ascii="Arial Narrow" w:hAnsi="Arial Narrow" w:cs="Arial"/>
                <w:sz w:val="18"/>
                <w:szCs w:val="18"/>
              </w:rPr>
            </w:pPr>
            <w:r w:rsidRPr="002D6525">
              <w:rPr>
                <w:rFonts w:ascii="Arial Narrow" w:hAnsi="Arial Narrow" w:cs="Arial"/>
                <w:b/>
                <w:sz w:val="18"/>
                <w:szCs w:val="18"/>
              </w:rPr>
              <w:t xml:space="preserve">Category / Program:   </w:t>
            </w:r>
            <w:r w:rsidRPr="002D6525">
              <w:rPr>
                <w:rFonts w:ascii="Arial Narrow" w:hAnsi="Arial Narrow" w:cs="Arial"/>
                <w:sz w:val="18"/>
                <w:szCs w:val="18"/>
              </w:rPr>
              <w:t>GENERAL – General Schedule (Code GE)</w:t>
            </w:r>
          </w:p>
        </w:tc>
      </w:tr>
      <w:tr w:rsidR="00144033" w:rsidRPr="002D6525" w:rsidTr="005B1354">
        <w:trPr>
          <w:trHeight w:val="38"/>
        </w:trPr>
        <w:tc>
          <w:tcPr>
            <w:tcW w:w="5000" w:type="pct"/>
            <w:tcBorders>
              <w:top w:val="single" w:sz="4" w:space="0" w:color="auto"/>
              <w:left w:val="single" w:sz="4" w:space="0" w:color="auto"/>
              <w:bottom w:val="single" w:sz="4" w:space="0" w:color="auto"/>
              <w:right w:val="single" w:sz="4" w:space="0" w:color="auto"/>
            </w:tcBorders>
          </w:tcPr>
          <w:p w:rsidR="00144033" w:rsidRPr="002D6525" w:rsidRDefault="00144033" w:rsidP="00364FEE">
            <w:pPr>
              <w:rPr>
                <w:rFonts w:ascii="Arial Narrow" w:hAnsi="Arial Narrow" w:cs="Arial"/>
                <w:b/>
                <w:sz w:val="18"/>
                <w:szCs w:val="18"/>
              </w:rPr>
            </w:pPr>
            <w:r w:rsidRPr="002D6525">
              <w:rPr>
                <w:rFonts w:ascii="Arial Narrow" w:hAnsi="Arial Narrow" w:cs="Arial"/>
                <w:b/>
                <w:sz w:val="18"/>
                <w:szCs w:val="18"/>
              </w:rPr>
              <w:t xml:space="preserve">Prescriber type:   </w:t>
            </w:r>
            <w:r w:rsidRPr="00C03667">
              <w:rPr>
                <w:rFonts w:ascii="Arial Narrow" w:hAnsi="Arial Narrow" w:cs="Arial"/>
                <w:sz w:val="18"/>
                <w:szCs w:val="18"/>
              </w:rPr>
              <w:fldChar w:fldCharType="begin">
                <w:ffData>
                  <w:name w:val=""/>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C03667">
              <w:rPr>
                <w:rFonts w:ascii="Arial Narrow" w:hAnsi="Arial Narrow" w:cs="Arial"/>
                <w:sz w:val="18"/>
                <w:szCs w:val="18"/>
              </w:rPr>
              <w:fldChar w:fldCharType="end"/>
            </w:r>
            <w:r w:rsidRPr="002D6525">
              <w:rPr>
                <w:rFonts w:ascii="Arial Narrow" w:hAnsi="Arial Narrow" w:cs="Arial"/>
                <w:sz w:val="18"/>
                <w:szCs w:val="18"/>
              </w:rPr>
              <w:t xml:space="preserve">Medical Practitioners    </w:t>
            </w:r>
            <w:r w:rsidRPr="00C03667">
              <w:rPr>
                <w:rFonts w:ascii="Arial Narrow" w:hAnsi="Arial Narrow" w:cs="Arial"/>
                <w:sz w:val="18"/>
                <w:szCs w:val="18"/>
              </w:rPr>
              <w:fldChar w:fldCharType="begin">
                <w:ffData>
                  <w:name w:val="Check3"/>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C03667">
              <w:rPr>
                <w:rFonts w:ascii="Arial Narrow" w:hAnsi="Arial Narrow" w:cs="Arial"/>
                <w:sz w:val="18"/>
                <w:szCs w:val="18"/>
              </w:rPr>
              <w:fldChar w:fldCharType="end"/>
            </w:r>
            <w:r w:rsidRPr="002D6525">
              <w:rPr>
                <w:rFonts w:ascii="Arial Narrow" w:hAnsi="Arial Narrow" w:cs="Arial"/>
                <w:sz w:val="18"/>
                <w:szCs w:val="18"/>
              </w:rPr>
              <w:t xml:space="preserve">Nurse practitioners </w:t>
            </w:r>
          </w:p>
        </w:tc>
      </w:tr>
    </w:tbl>
    <w:p w:rsidR="00144033" w:rsidRPr="002D6525" w:rsidRDefault="00144033" w:rsidP="005B1354"/>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C94175" w:rsidRPr="002D6525" w:rsidTr="005B1354">
        <w:trPr>
          <w:trHeight w:val="94"/>
        </w:trPr>
        <w:tc>
          <w:tcPr>
            <w:tcW w:w="5000" w:type="pct"/>
            <w:tcBorders>
              <w:top w:val="single" w:sz="4" w:space="0" w:color="auto"/>
              <w:left w:val="single" w:sz="4" w:space="0" w:color="auto"/>
              <w:bottom w:val="single" w:sz="4" w:space="0" w:color="auto"/>
              <w:right w:val="single" w:sz="4" w:space="0" w:color="auto"/>
            </w:tcBorders>
          </w:tcPr>
          <w:p w:rsidR="00C94175" w:rsidRPr="002D6525" w:rsidRDefault="00C94175" w:rsidP="007759D4">
            <w:pPr>
              <w:rPr>
                <w:rFonts w:ascii="Arial Narrow" w:hAnsi="Arial Narrow" w:cs="Arial"/>
                <w:sz w:val="18"/>
                <w:szCs w:val="18"/>
              </w:rPr>
            </w:pPr>
            <w:r w:rsidRPr="002D6525">
              <w:rPr>
                <w:rFonts w:ascii="Arial Narrow" w:hAnsi="Arial Narrow" w:cs="Arial"/>
                <w:b/>
                <w:sz w:val="18"/>
                <w:szCs w:val="18"/>
              </w:rPr>
              <w:t xml:space="preserve">Category / Program:   </w:t>
            </w:r>
            <w:r w:rsidRPr="002D6525">
              <w:rPr>
                <w:rFonts w:ascii="Arial Narrow" w:hAnsi="Arial Narrow" w:cs="Arial"/>
                <w:sz w:val="18"/>
                <w:szCs w:val="18"/>
              </w:rPr>
              <w:t>Section 100 – Efficient Funding of Chemotherapy – Related benefits (Code CT)</w:t>
            </w:r>
          </w:p>
        </w:tc>
      </w:tr>
      <w:tr w:rsidR="00C94175" w:rsidRPr="002D6525" w:rsidTr="005B1354">
        <w:trPr>
          <w:trHeight w:val="38"/>
        </w:trPr>
        <w:tc>
          <w:tcPr>
            <w:tcW w:w="5000" w:type="pct"/>
            <w:tcBorders>
              <w:top w:val="single" w:sz="4" w:space="0" w:color="auto"/>
              <w:left w:val="single" w:sz="4" w:space="0" w:color="auto"/>
              <w:bottom w:val="single" w:sz="4" w:space="0" w:color="auto"/>
              <w:right w:val="single" w:sz="4" w:space="0" w:color="auto"/>
            </w:tcBorders>
          </w:tcPr>
          <w:p w:rsidR="00C94175" w:rsidRPr="002D6525" w:rsidRDefault="00C94175" w:rsidP="00364FEE">
            <w:pPr>
              <w:rPr>
                <w:rFonts w:ascii="Arial Narrow" w:hAnsi="Arial Narrow" w:cs="Arial"/>
                <w:b/>
                <w:sz w:val="18"/>
                <w:szCs w:val="18"/>
              </w:rPr>
            </w:pPr>
            <w:r w:rsidRPr="002D6525">
              <w:rPr>
                <w:rFonts w:ascii="Arial Narrow" w:hAnsi="Arial Narrow" w:cs="Arial"/>
                <w:b/>
                <w:sz w:val="18"/>
                <w:szCs w:val="18"/>
              </w:rPr>
              <w:t xml:space="preserve">Prescriber type:   </w:t>
            </w:r>
            <w:r w:rsidRPr="00C03667">
              <w:rPr>
                <w:rFonts w:ascii="Arial Narrow" w:hAnsi="Arial Narrow" w:cs="Arial"/>
                <w:sz w:val="18"/>
                <w:szCs w:val="18"/>
              </w:rPr>
              <w:fldChar w:fldCharType="begin">
                <w:ffData>
                  <w:name w:val=""/>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C03667">
              <w:rPr>
                <w:rFonts w:ascii="Arial Narrow" w:hAnsi="Arial Narrow" w:cs="Arial"/>
                <w:sz w:val="18"/>
                <w:szCs w:val="18"/>
              </w:rPr>
              <w:fldChar w:fldCharType="end"/>
            </w:r>
            <w:r w:rsidRPr="002D6525">
              <w:rPr>
                <w:rFonts w:ascii="Arial Narrow" w:hAnsi="Arial Narrow" w:cs="Arial"/>
                <w:sz w:val="18"/>
                <w:szCs w:val="18"/>
              </w:rPr>
              <w:t xml:space="preserve">Medical Practitioners </w:t>
            </w:r>
          </w:p>
        </w:tc>
      </w:tr>
    </w:tbl>
    <w:p w:rsidR="00C94175" w:rsidRPr="002D6525" w:rsidRDefault="00C94175" w:rsidP="005B1354"/>
    <w:p w:rsidR="006D7304" w:rsidRPr="002D6525" w:rsidRDefault="00144840" w:rsidP="001E5BAE">
      <w:pPr>
        <w:pStyle w:val="TableFigureHeading"/>
        <w:rPr>
          <w:b w:val="0"/>
        </w:rPr>
      </w:pPr>
      <w:r w:rsidRPr="002D6525">
        <w:rPr>
          <w:b w:val="0"/>
        </w:rPr>
        <w:t>Identical restriction to netupitant 300 mg + palonosetron 500 microgram capsule: PBS Items 10714X (s100 CT) and 10731T (GE), with the following difference:</w:t>
      </w:r>
    </w:p>
    <w:p w:rsidR="00144840" w:rsidRPr="002D6525" w:rsidRDefault="00144840" w:rsidP="001E5BAE">
      <w:pPr>
        <w:pStyle w:val="TableFigureHeading"/>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6F6236" w:rsidRPr="002D6525" w:rsidTr="006F6236">
        <w:tc>
          <w:tcPr>
            <w:tcW w:w="5000" w:type="pct"/>
            <w:vAlign w:val="center"/>
          </w:tcPr>
          <w:p w:rsidR="006F6236" w:rsidRPr="002D6525" w:rsidRDefault="006F6236" w:rsidP="00144033">
            <w:pPr>
              <w:rPr>
                <w:rFonts w:ascii="Arial Narrow" w:hAnsi="Arial Narrow"/>
                <w:color w:val="333333"/>
                <w:sz w:val="18"/>
                <w:szCs w:val="18"/>
              </w:rPr>
            </w:pPr>
            <w:r w:rsidRPr="002D6525">
              <w:rPr>
                <w:rFonts w:ascii="Arial Narrow" w:hAnsi="Arial Narrow"/>
                <w:b/>
                <w:bCs/>
                <w:color w:val="333333"/>
                <w:sz w:val="18"/>
                <w:szCs w:val="18"/>
              </w:rPr>
              <w:t>Prescribing Instructions:</w:t>
            </w:r>
          </w:p>
          <w:p w:rsidR="006F6236" w:rsidRPr="002D6525" w:rsidRDefault="006F6236" w:rsidP="008A1B49">
            <w:pPr>
              <w:jc w:val="left"/>
              <w:rPr>
                <w:rFonts w:ascii="Arial Narrow" w:hAnsi="Arial Narrow"/>
                <w:color w:val="333333"/>
                <w:sz w:val="18"/>
                <w:szCs w:val="18"/>
              </w:rPr>
            </w:pPr>
            <w:r w:rsidRPr="002D6525">
              <w:rPr>
                <w:rFonts w:ascii="Arial Narrow" w:hAnsi="Arial Narrow"/>
                <w:color w:val="333333"/>
                <w:sz w:val="18"/>
                <w:szCs w:val="18"/>
              </w:rPr>
              <w:t xml:space="preserve">No more than </w:t>
            </w:r>
            <w:r w:rsidRPr="002D6525">
              <w:rPr>
                <w:rFonts w:ascii="Arial Narrow" w:hAnsi="Arial Narrow"/>
                <w:strike/>
                <w:color w:val="333333"/>
                <w:sz w:val="18"/>
                <w:szCs w:val="18"/>
              </w:rPr>
              <w:t xml:space="preserve">1 capsule of 300 mg netupitant/0.5 mg palonosetron </w:t>
            </w:r>
            <w:r w:rsidRPr="002D6525">
              <w:rPr>
                <w:rFonts w:ascii="Arial Narrow" w:hAnsi="Arial Narrow"/>
                <w:i/>
                <w:color w:val="333333"/>
                <w:sz w:val="18"/>
                <w:szCs w:val="18"/>
              </w:rPr>
              <w:t>1 vial</w:t>
            </w:r>
            <w:r w:rsidRPr="002D6525">
              <w:rPr>
                <w:rFonts w:ascii="Arial Narrow" w:hAnsi="Arial Narrow"/>
                <w:color w:val="333333"/>
                <w:sz w:val="18"/>
                <w:szCs w:val="18"/>
              </w:rPr>
              <w:t xml:space="preserve"> will be authorised per cycle of cytotoxic chemotherapy.</w:t>
            </w:r>
          </w:p>
        </w:tc>
      </w:tr>
    </w:tbl>
    <w:p w:rsidR="003F0EA2" w:rsidRDefault="003F0EA2" w:rsidP="005B1354"/>
    <w:p w:rsidR="005B1354" w:rsidRPr="002D6525" w:rsidRDefault="005B1354" w:rsidP="005B1354">
      <w:pPr>
        <w:pStyle w:val="3-BodyText"/>
        <w:numPr>
          <w:ilvl w:val="0"/>
          <w:numId w:val="0"/>
        </w:numPr>
        <w:ind w:firstLine="720"/>
        <w:rPr>
          <w:i/>
        </w:rPr>
      </w:pPr>
      <w:r w:rsidRPr="002D6525">
        <w:rPr>
          <w:i/>
        </w:rPr>
        <w:t>For more detail on PBAC’s view, see section 6 PBAC outcome.</w:t>
      </w:r>
    </w:p>
    <w:p w:rsidR="009F3102" w:rsidRPr="002D6525" w:rsidRDefault="009F3102" w:rsidP="009F3102">
      <w:pPr>
        <w:pStyle w:val="2-SectionHeading"/>
      </w:pPr>
      <w:r w:rsidRPr="002D6525">
        <w:t>Comparator</w:t>
      </w:r>
    </w:p>
    <w:p w:rsidR="00CB022B" w:rsidRPr="002D6525" w:rsidRDefault="00221564" w:rsidP="0046055A">
      <w:pPr>
        <w:pStyle w:val="3-BodyText"/>
      </w:pPr>
      <w:r w:rsidRPr="002D6525">
        <w:t>The</w:t>
      </w:r>
      <w:r w:rsidR="000357A8" w:rsidRPr="002D6525">
        <w:t xml:space="preserve"> minor</w:t>
      </w:r>
      <w:r w:rsidRPr="002D6525">
        <w:t xml:space="preserve"> submission nominated</w:t>
      </w:r>
      <w:r w:rsidR="000357A8" w:rsidRPr="002D6525">
        <w:t xml:space="preserve"> </w:t>
      </w:r>
      <w:r w:rsidR="00D9269E" w:rsidRPr="002D6525">
        <w:t xml:space="preserve">NEPA </w:t>
      </w:r>
      <w:r w:rsidR="007A3BEB" w:rsidRPr="002D6525">
        <w:t>oral</w:t>
      </w:r>
      <w:r w:rsidR="00DE1F20" w:rsidRPr="002D6525">
        <w:t xml:space="preserve"> </w:t>
      </w:r>
      <w:r w:rsidR="000357A8" w:rsidRPr="002D6525">
        <w:t>as the main comparator</w:t>
      </w:r>
      <w:r w:rsidR="00CB022B" w:rsidRPr="002D6525">
        <w:t xml:space="preserve">, as </w:t>
      </w:r>
      <w:r w:rsidR="00D9269E" w:rsidRPr="002D6525">
        <w:t xml:space="preserve">NEPA </w:t>
      </w:r>
      <w:r w:rsidR="007A3BEB" w:rsidRPr="002D6525">
        <w:t>oral</w:t>
      </w:r>
      <w:r w:rsidR="00B21574" w:rsidRPr="002D6525">
        <w:t xml:space="preserve"> </w:t>
      </w:r>
      <w:r w:rsidR="00004ED0" w:rsidRPr="002D6525">
        <w:t xml:space="preserve">contains the same therapies as </w:t>
      </w:r>
      <w:r w:rsidR="002A21A5" w:rsidRPr="002D6525">
        <w:t>NEPA</w:t>
      </w:r>
      <w:r w:rsidR="00B77433" w:rsidRPr="002D6525">
        <w:t xml:space="preserve"> IV</w:t>
      </w:r>
      <w:r w:rsidR="00004ED0" w:rsidRPr="002D6525">
        <w:t xml:space="preserve"> (</w:t>
      </w:r>
      <w:r w:rsidR="0055165A" w:rsidRPr="002D6525">
        <w:t xml:space="preserve">noting that </w:t>
      </w:r>
      <w:r w:rsidR="00004ED0" w:rsidRPr="002D6525">
        <w:t xml:space="preserve">fosnetupitant </w:t>
      </w:r>
      <w:r w:rsidR="0046055A" w:rsidRPr="002D6525">
        <w:t>is the</w:t>
      </w:r>
      <w:r w:rsidR="00004ED0" w:rsidRPr="002D6525">
        <w:t xml:space="preserve"> pro-drug for oral netupitant</w:t>
      </w:r>
      <w:r w:rsidR="0046055A" w:rsidRPr="002D6525">
        <w:t xml:space="preserve">, </w:t>
      </w:r>
      <w:r w:rsidR="00D9269E" w:rsidRPr="002D6525">
        <w:t>suitable</w:t>
      </w:r>
      <w:r w:rsidR="0046055A" w:rsidRPr="002D6525">
        <w:t xml:space="preserve"> for IV administration</w:t>
      </w:r>
      <w:r w:rsidR="00004ED0" w:rsidRPr="002D6525">
        <w:t>)</w:t>
      </w:r>
      <w:r w:rsidR="00CB022B" w:rsidRPr="002D6525">
        <w:t xml:space="preserve"> and claimed that </w:t>
      </w:r>
      <w:r w:rsidR="00B77433" w:rsidRPr="002D6525">
        <w:t xml:space="preserve">NEPA IV </w:t>
      </w:r>
      <w:r w:rsidR="00351DCC" w:rsidRPr="002D6525">
        <w:t>was</w:t>
      </w:r>
      <w:r w:rsidR="00B77433" w:rsidRPr="002D6525">
        <w:t xml:space="preserve"> </w:t>
      </w:r>
      <w:r w:rsidR="00004ED0" w:rsidRPr="002D6525">
        <w:t xml:space="preserve">most likely to </w:t>
      </w:r>
      <w:r w:rsidR="00B77433" w:rsidRPr="002D6525">
        <w:t xml:space="preserve">replace </w:t>
      </w:r>
      <w:r w:rsidR="00D9269E" w:rsidRPr="002D6525">
        <w:t xml:space="preserve">NEPA </w:t>
      </w:r>
      <w:r w:rsidR="007A3BEB" w:rsidRPr="002D6525">
        <w:t>oral</w:t>
      </w:r>
      <w:r w:rsidR="00004ED0" w:rsidRPr="002D6525">
        <w:t xml:space="preserve"> in practice</w:t>
      </w:r>
      <w:r w:rsidR="00EC57C4" w:rsidRPr="002D6525">
        <w:t xml:space="preserve">. </w:t>
      </w:r>
    </w:p>
    <w:p w:rsidR="003C628E" w:rsidRPr="002D6525" w:rsidRDefault="003C628E" w:rsidP="003C628E">
      <w:pPr>
        <w:pStyle w:val="3-BodyText"/>
      </w:pPr>
      <w:r w:rsidRPr="002D6525">
        <w:t xml:space="preserve">At its November 2015 meeting, the PBAC originally recommended NEPA oral for listing on the PBS at a price that was lower than the price of aprepitant alone, however noted that the clinical claim that NEPA oral is non-inferior to aprepitant plus a </w:t>
      </w:r>
      <w:r w:rsidR="0098534F" w:rsidRPr="002D6525">
        <w:t>5HT3 RA</w:t>
      </w:r>
      <w:r w:rsidRPr="002D6525">
        <w:t xml:space="preserve"> was likely reasonable. At the time, the PBAC considered that the clinical need for the NEPA oral FDC remained low, noting the very high potential for leakage.</w:t>
      </w:r>
    </w:p>
    <w:p w:rsidR="003C628E" w:rsidRPr="002D6525" w:rsidRDefault="003C628E" w:rsidP="003C628E">
      <w:pPr>
        <w:pStyle w:val="3-BodyText"/>
      </w:pPr>
      <w:r w:rsidRPr="002D6525">
        <w:t xml:space="preserve">At its November 2016 meeting, the PBAC further recommended listing NEPA oral on a cost-minimisation basis to aprepitant, at a price based on aprepitant, with no cost assigned to the </w:t>
      </w:r>
      <w:r w:rsidR="0098534F" w:rsidRPr="002D6525">
        <w:t>5HT3 RA</w:t>
      </w:r>
      <w:r w:rsidRPr="002D6525">
        <w:t xml:space="preserve">. At the time the PBAC accepted that aprepitant plus a </w:t>
      </w:r>
      <w:r w:rsidR="0098534F" w:rsidRPr="002D6525">
        <w:t xml:space="preserve">5HT3 </w:t>
      </w:r>
      <w:r w:rsidR="0098534F" w:rsidRPr="002D6525">
        <w:lastRenderedPageBreak/>
        <w:t>RA</w:t>
      </w:r>
      <w:r w:rsidRPr="002D6525">
        <w:t xml:space="preserve"> was an appropriate comparator, however the PBAC considered that there may be leakage into populations where a </w:t>
      </w:r>
      <w:r w:rsidR="0098534F" w:rsidRPr="002D6525">
        <w:t>5HT3 RA</w:t>
      </w:r>
      <w:r w:rsidRPr="002D6525">
        <w:t xml:space="preserve"> alone would otherwise be used.</w:t>
      </w:r>
    </w:p>
    <w:p w:rsidR="003C628E" w:rsidRPr="002D6525" w:rsidRDefault="003C628E" w:rsidP="00945853">
      <w:pPr>
        <w:pStyle w:val="3Bodytext"/>
      </w:pPr>
      <w:r w:rsidRPr="002D6525">
        <w:rPr>
          <w:rStyle w:val="3BodytextChar"/>
        </w:rPr>
        <w:t xml:space="preserve">At its November 2016 meeting, the PBAC recommended the listing of fosaprepitant on a cost-minimisation basis against aprepitant alone. At its March 2010 meeting, it also recommended palonosetron, and considered that a single IV dose of palonosetron was non-inferior to other </w:t>
      </w:r>
      <w:r w:rsidR="0098534F" w:rsidRPr="002D6525">
        <w:rPr>
          <w:rStyle w:val="3BodytextChar"/>
        </w:rPr>
        <w:t>5HT3 RA</w:t>
      </w:r>
      <w:r w:rsidRPr="002D6525">
        <w:rPr>
          <w:rStyle w:val="3BodytextChar"/>
        </w:rPr>
        <w:t xml:space="preserve"> drugs administered as a single IV dose (paragraph 12.4, palonosetron P</w:t>
      </w:r>
      <w:r w:rsidR="009F0ADE">
        <w:rPr>
          <w:rStyle w:val="3BodytextChar"/>
        </w:rPr>
        <w:t xml:space="preserve">ublic </w:t>
      </w:r>
      <w:r w:rsidRPr="002D6525">
        <w:rPr>
          <w:rStyle w:val="3BodytextChar"/>
        </w:rPr>
        <w:t>S</w:t>
      </w:r>
      <w:r w:rsidR="009F0ADE">
        <w:rPr>
          <w:rStyle w:val="3BodytextChar"/>
        </w:rPr>
        <w:t xml:space="preserve">ummary </w:t>
      </w:r>
      <w:r w:rsidRPr="002D6525">
        <w:rPr>
          <w:rStyle w:val="3BodytextChar"/>
        </w:rPr>
        <w:t>D</w:t>
      </w:r>
      <w:r w:rsidR="009F0ADE">
        <w:rPr>
          <w:rStyle w:val="3BodytextChar"/>
        </w:rPr>
        <w:t>ocument</w:t>
      </w:r>
      <w:r w:rsidRPr="002D6525">
        <w:rPr>
          <w:rStyle w:val="3BodytextChar"/>
        </w:rPr>
        <w:t xml:space="preserve"> March 2010).</w:t>
      </w:r>
    </w:p>
    <w:p w:rsidR="00D9269E" w:rsidRPr="002D6525" w:rsidRDefault="008F672E" w:rsidP="004C1ECB">
      <w:pPr>
        <w:pStyle w:val="3-BodyText"/>
        <w:rPr>
          <w:i/>
        </w:rPr>
      </w:pPr>
      <w:r w:rsidRPr="002D6525">
        <w:t xml:space="preserve">The pre-PBAC response argued that aprepitant oral alone was not a reasonable comparator for NEPA IV, since patients prescribed the IV form were unlikely to be tolerant of oral forms, aprepitant oral did not include a </w:t>
      </w:r>
      <w:r w:rsidR="0098534F" w:rsidRPr="002D6525">
        <w:t>5HT3 RA</w:t>
      </w:r>
      <w:r w:rsidRPr="002D6525">
        <w:t xml:space="preserve"> component</w:t>
      </w:r>
      <w:r w:rsidR="00AA3681" w:rsidRPr="002D6525">
        <w:t>,</w:t>
      </w:r>
      <w:r w:rsidRPr="002D6525">
        <w:t xml:space="preserve"> and</w:t>
      </w:r>
      <w:r w:rsidR="00AA3681" w:rsidRPr="002D6525">
        <w:t xml:space="preserve"> guidelines such as eviQ and the US National Comprehensive Cancer Network (NCCN) recommend the use of </w:t>
      </w:r>
      <w:r w:rsidR="00574A54">
        <w:t xml:space="preserve">a </w:t>
      </w:r>
      <w:r w:rsidR="00AA3681" w:rsidRPr="002D6525">
        <w:t xml:space="preserve">combination </w:t>
      </w:r>
      <w:r w:rsidR="00574A54">
        <w:t xml:space="preserve">of a </w:t>
      </w:r>
      <w:r w:rsidR="0098534F" w:rsidRPr="002D6525">
        <w:t>NK1 RA</w:t>
      </w:r>
      <w:r w:rsidR="00AA3681" w:rsidRPr="002D6525">
        <w:t xml:space="preserve"> </w:t>
      </w:r>
      <w:r w:rsidR="00574A54">
        <w:t>with a</w:t>
      </w:r>
      <w:r w:rsidR="00AA3681" w:rsidRPr="002D6525">
        <w:t xml:space="preserve"> </w:t>
      </w:r>
      <w:r w:rsidR="0098534F" w:rsidRPr="002D6525">
        <w:t>5HT3 RA</w:t>
      </w:r>
      <w:r w:rsidR="00AA3681" w:rsidRPr="002D6525">
        <w:t xml:space="preserve"> for</w:t>
      </w:r>
      <w:r w:rsidR="00AC646F" w:rsidRPr="002D6525">
        <w:t xml:space="preserve"> the treatment of</w:t>
      </w:r>
      <w:r w:rsidR="00AA3681" w:rsidRPr="002D6525">
        <w:t xml:space="preserve"> </w:t>
      </w:r>
      <w:r w:rsidR="00AC646F" w:rsidRPr="002D6525">
        <w:t>nausea and vomiting in</w:t>
      </w:r>
      <w:r w:rsidR="00AA3681" w:rsidRPr="002D6525">
        <w:t xml:space="preserve"> </w:t>
      </w:r>
      <w:r w:rsidR="00574A54">
        <w:t>highly emetogenic chemotherapy.</w:t>
      </w:r>
    </w:p>
    <w:p w:rsidR="00BC7B10" w:rsidRPr="002D6525" w:rsidRDefault="00BC7B10" w:rsidP="005B1354">
      <w:pPr>
        <w:pStyle w:val="3-BodyText"/>
        <w:numPr>
          <w:ilvl w:val="0"/>
          <w:numId w:val="0"/>
        </w:numPr>
        <w:ind w:firstLine="720"/>
      </w:pPr>
      <w:r w:rsidRPr="002D6525">
        <w:rPr>
          <w:i/>
        </w:rPr>
        <w:t>For more detail on PBAC’s view, see section 6 PBAC outcome.</w:t>
      </w:r>
    </w:p>
    <w:p w:rsidR="009F3102" w:rsidRPr="002D6525" w:rsidRDefault="009F3102" w:rsidP="009F3102">
      <w:pPr>
        <w:pStyle w:val="2-SectionHeading"/>
      </w:pPr>
      <w:r w:rsidRPr="002D6525">
        <w:t>Consideration of evidence</w:t>
      </w:r>
    </w:p>
    <w:p w:rsidR="00A77699" w:rsidRPr="002D6525" w:rsidRDefault="00A77699" w:rsidP="005A7C78">
      <w:pPr>
        <w:pStyle w:val="Heading2"/>
        <w:keepLines/>
        <w:spacing w:before="240"/>
        <w:rPr>
          <w:szCs w:val="28"/>
        </w:rPr>
      </w:pPr>
      <w:r w:rsidRPr="002D6525">
        <w:rPr>
          <w:szCs w:val="28"/>
        </w:rPr>
        <w:t>Sponsor hearing</w:t>
      </w:r>
    </w:p>
    <w:p w:rsidR="00A77699" w:rsidRPr="002D6525" w:rsidRDefault="00A77699" w:rsidP="00A77699">
      <w:pPr>
        <w:pStyle w:val="3-BodyText"/>
      </w:pPr>
      <w:r w:rsidRPr="002D6525">
        <w:rPr>
          <w:rFonts w:cs="Arial"/>
          <w:bCs/>
          <w:snapToGrid w:val="0"/>
        </w:rPr>
        <w:t>There was no hearing for this item as it was a minor submission.</w:t>
      </w:r>
    </w:p>
    <w:p w:rsidR="00A77699" w:rsidRPr="002D6525" w:rsidRDefault="00A77699" w:rsidP="005A7C78">
      <w:pPr>
        <w:pStyle w:val="Heading2"/>
        <w:keepLines/>
        <w:spacing w:before="240"/>
        <w:rPr>
          <w:szCs w:val="28"/>
        </w:rPr>
      </w:pPr>
      <w:r w:rsidRPr="002D6525">
        <w:rPr>
          <w:szCs w:val="28"/>
        </w:rPr>
        <w:t>Consumer comments</w:t>
      </w:r>
    </w:p>
    <w:p w:rsidR="00A77699" w:rsidRPr="002D6525" w:rsidRDefault="00A77699" w:rsidP="00A77699">
      <w:pPr>
        <w:pStyle w:val="3-BodyText"/>
      </w:pPr>
      <w:r w:rsidRPr="002D6525">
        <w:rPr>
          <w:rFonts w:cs="Arial"/>
          <w:bCs/>
          <w:snapToGrid w:val="0"/>
        </w:rPr>
        <w:t>The PBAC noted that no consumer comments were received for this item</w:t>
      </w:r>
      <w:r w:rsidR="00A3441C" w:rsidRPr="002D6525">
        <w:rPr>
          <w:rFonts w:cs="Arial"/>
          <w:bCs/>
          <w:snapToGrid w:val="0"/>
        </w:rPr>
        <w:t>.</w:t>
      </w:r>
    </w:p>
    <w:p w:rsidR="005A7C78" w:rsidRPr="002D6525" w:rsidRDefault="005A7C78" w:rsidP="005A7C78">
      <w:pPr>
        <w:pStyle w:val="Heading2"/>
        <w:keepLines/>
        <w:spacing w:before="240"/>
        <w:rPr>
          <w:szCs w:val="28"/>
        </w:rPr>
      </w:pPr>
      <w:r w:rsidRPr="002D6525">
        <w:rPr>
          <w:szCs w:val="28"/>
        </w:rPr>
        <w:t>Clinical trials</w:t>
      </w:r>
    </w:p>
    <w:p w:rsidR="005A7C78" w:rsidRPr="002D6525" w:rsidRDefault="00A105C0" w:rsidP="00234485">
      <w:pPr>
        <w:pStyle w:val="3-BodyText"/>
      </w:pPr>
      <w:r w:rsidRPr="002D6525">
        <w:t xml:space="preserve">The minor submission presented four clinical </w:t>
      </w:r>
      <w:r w:rsidR="006E7A71" w:rsidRPr="002D6525">
        <w:t>trials</w:t>
      </w:r>
      <w:r w:rsidRPr="002D6525">
        <w:t xml:space="preserve"> to demonstrate that </w:t>
      </w:r>
      <w:r w:rsidR="002A21A5" w:rsidRPr="002D6525">
        <w:t>NEPA IV</w:t>
      </w:r>
      <w:r w:rsidRPr="002D6525">
        <w:t xml:space="preserve"> and </w:t>
      </w:r>
      <w:r w:rsidR="00D9269E" w:rsidRPr="002D6525">
        <w:t xml:space="preserve">NEPA </w:t>
      </w:r>
      <w:r w:rsidR="007A3BEB" w:rsidRPr="002D6525">
        <w:t>oral</w:t>
      </w:r>
      <w:r w:rsidRPr="002D6525">
        <w:t xml:space="preserve"> were equivalent, </w:t>
      </w:r>
      <w:r w:rsidR="00E53E99" w:rsidRPr="002D6525">
        <w:t xml:space="preserve">and to demonstrate that NEPA IV given over a 30 minute infusion is equivalent to that of a 30-second bolus </w:t>
      </w:r>
      <w:r w:rsidR="006E7A71" w:rsidRPr="002D6525">
        <w:t>to support the clinical claims</w:t>
      </w:r>
      <w:r w:rsidRPr="002D6525">
        <w:t>.</w:t>
      </w:r>
    </w:p>
    <w:p w:rsidR="00A105C0" w:rsidRPr="002D6525" w:rsidRDefault="00DE1F20" w:rsidP="00234485">
      <w:pPr>
        <w:pStyle w:val="3-BodyText"/>
      </w:pPr>
      <w:r w:rsidRPr="002D6525">
        <w:t xml:space="preserve">A summary </w:t>
      </w:r>
      <w:r w:rsidR="00A105C0" w:rsidRPr="002D6525">
        <w:t xml:space="preserve">of the studies presented in the submission are provided in </w:t>
      </w:r>
      <w:r w:rsidR="006A48DD" w:rsidRPr="002D6525">
        <w:t>T</w:t>
      </w:r>
      <w:r w:rsidR="00A105C0" w:rsidRPr="002D6525">
        <w:t>able</w:t>
      </w:r>
      <w:r w:rsidRPr="002D6525">
        <w:t xml:space="preserve"> </w:t>
      </w:r>
      <w:r w:rsidR="00AB3E1F" w:rsidRPr="002D6525">
        <w:t>1</w:t>
      </w:r>
      <w:r w:rsidR="00A105C0" w:rsidRPr="002D6525">
        <w:t>.</w:t>
      </w:r>
    </w:p>
    <w:p w:rsidR="00560B3F" w:rsidRPr="002D6525" w:rsidRDefault="00560B3F" w:rsidP="00560B3F">
      <w:pPr>
        <w:pStyle w:val="Caption"/>
      </w:pPr>
      <w:r w:rsidRPr="002D6525">
        <w:lastRenderedPageBreak/>
        <w:t xml:space="preserve">Table </w:t>
      </w:r>
      <w:r w:rsidR="00945853" w:rsidRPr="00C03667">
        <w:t>1</w:t>
      </w:r>
      <w:r w:rsidRPr="002D6525">
        <w:t>: Trials and associated reports presented in the submission</w:t>
      </w:r>
      <w:r w:rsidRPr="00C0366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Trials and associated reports presented in the submission"/>
        <w:tblDescription w:val="Table 2: Trials and associated reports presented in the submission"/>
      </w:tblPr>
      <w:tblGrid>
        <w:gridCol w:w="1414"/>
        <w:gridCol w:w="4537"/>
        <w:gridCol w:w="3065"/>
      </w:tblGrid>
      <w:tr w:rsidR="00A105C0" w:rsidRPr="002D6525" w:rsidTr="008042C1">
        <w:trPr>
          <w:cantSplit/>
          <w:trHeight w:val="283"/>
          <w:tblHeader/>
        </w:trPr>
        <w:tc>
          <w:tcPr>
            <w:tcW w:w="784" w:type="pct"/>
          </w:tcPr>
          <w:p w:rsidR="00A105C0" w:rsidRPr="002D6525" w:rsidRDefault="00A105C0" w:rsidP="007428C4">
            <w:pPr>
              <w:pStyle w:val="TableHeading"/>
            </w:pPr>
            <w:r w:rsidRPr="002D6525">
              <w:t>Trial ID/First Author</w:t>
            </w:r>
          </w:p>
        </w:tc>
        <w:tc>
          <w:tcPr>
            <w:tcW w:w="2516" w:type="pct"/>
          </w:tcPr>
          <w:p w:rsidR="00A105C0" w:rsidRPr="002D6525" w:rsidRDefault="00A105C0" w:rsidP="007428C4">
            <w:pPr>
              <w:pStyle w:val="TableHeading"/>
            </w:pPr>
            <w:r w:rsidRPr="002D6525">
              <w:t>Protocol title/ Publication title</w:t>
            </w:r>
          </w:p>
        </w:tc>
        <w:tc>
          <w:tcPr>
            <w:tcW w:w="1700" w:type="pct"/>
          </w:tcPr>
          <w:p w:rsidR="00A105C0" w:rsidRPr="002D6525" w:rsidRDefault="00A105C0" w:rsidP="007428C4">
            <w:pPr>
              <w:pStyle w:val="TableHeading"/>
            </w:pPr>
            <w:r w:rsidRPr="002D6525">
              <w:t>Publication citation</w:t>
            </w:r>
          </w:p>
        </w:tc>
      </w:tr>
      <w:tr w:rsidR="00A105C0" w:rsidRPr="002D6525" w:rsidTr="008042C1">
        <w:trPr>
          <w:cantSplit/>
          <w:trHeight w:val="283"/>
        </w:trPr>
        <w:tc>
          <w:tcPr>
            <w:tcW w:w="5000" w:type="pct"/>
            <w:gridSpan w:val="3"/>
          </w:tcPr>
          <w:p w:rsidR="00A105C0" w:rsidRPr="002D6525" w:rsidRDefault="00A105C0" w:rsidP="007428C4">
            <w:pPr>
              <w:pStyle w:val="TableHeading"/>
            </w:pPr>
            <w:r w:rsidRPr="002D6525">
              <w:t>Direct randomised trials</w:t>
            </w:r>
          </w:p>
        </w:tc>
      </w:tr>
      <w:tr w:rsidR="00A105C0" w:rsidRPr="002D6525" w:rsidTr="008042C1">
        <w:trPr>
          <w:cantSplit/>
          <w:trHeight w:val="317"/>
        </w:trPr>
        <w:tc>
          <w:tcPr>
            <w:tcW w:w="784" w:type="pct"/>
          </w:tcPr>
          <w:p w:rsidR="00BB58E1" w:rsidRPr="002D6525" w:rsidRDefault="00BB58E1" w:rsidP="00BB58E1">
            <w:pPr>
              <w:pStyle w:val="TableText"/>
            </w:pPr>
            <w:r w:rsidRPr="002D6525">
              <w:t>Helsin Healthcare SA 2015</w:t>
            </w:r>
          </w:p>
          <w:p w:rsidR="00A105C0" w:rsidRPr="002D6525" w:rsidRDefault="00BB58E1" w:rsidP="00BB58E1">
            <w:pPr>
              <w:pStyle w:val="TableText"/>
            </w:pPr>
            <w:r w:rsidRPr="002D6525">
              <w:t>(PNET-12-23)</w:t>
            </w:r>
          </w:p>
        </w:tc>
        <w:tc>
          <w:tcPr>
            <w:tcW w:w="2516" w:type="pct"/>
          </w:tcPr>
          <w:p w:rsidR="00A105C0" w:rsidRPr="002D6525" w:rsidRDefault="00BB58E1" w:rsidP="00BB58E1">
            <w:pPr>
              <w:pStyle w:val="TableText"/>
            </w:pPr>
            <w:r w:rsidRPr="002D6525">
              <w:t>A Phase I, double-blind, controlled, parallel groups, unbalanced single ascending dose study to assess the safety of intravenously administered pronetupitant combined with crossover study extensions to estimate the dose of intravenous pro-netupitant yielding equivalent drug exposure as oral netupitant 300 mg/palonosetron 0.5 mg fixed dose combination in healthy male and female volunteers.</w:t>
            </w:r>
          </w:p>
        </w:tc>
        <w:tc>
          <w:tcPr>
            <w:tcW w:w="1700" w:type="pct"/>
          </w:tcPr>
          <w:p w:rsidR="00A105C0" w:rsidRPr="002D6525" w:rsidRDefault="00BB58E1" w:rsidP="007428C4">
            <w:pPr>
              <w:pStyle w:val="TableText"/>
            </w:pPr>
            <w:r w:rsidRPr="002D6525">
              <w:t>-</w:t>
            </w:r>
          </w:p>
        </w:tc>
      </w:tr>
      <w:tr w:rsidR="00A105C0" w:rsidRPr="002D6525" w:rsidTr="008042C1">
        <w:trPr>
          <w:cantSplit/>
          <w:trHeight w:val="317"/>
        </w:trPr>
        <w:tc>
          <w:tcPr>
            <w:tcW w:w="784" w:type="pct"/>
          </w:tcPr>
          <w:p w:rsidR="00BB58E1" w:rsidRPr="002D6525" w:rsidRDefault="00BB58E1" w:rsidP="00BB58E1">
            <w:pPr>
              <w:pStyle w:val="TableText"/>
            </w:pPr>
            <w:r w:rsidRPr="002D6525">
              <w:t>Helsin Healthcare SA 2017</w:t>
            </w:r>
          </w:p>
          <w:p w:rsidR="00A105C0" w:rsidRPr="002D6525" w:rsidRDefault="00A105C0" w:rsidP="00BB58E1">
            <w:pPr>
              <w:pStyle w:val="TableText"/>
            </w:pPr>
            <w:r w:rsidRPr="002D6525">
              <w:t>(</w:t>
            </w:r>
            <w:r w:rsidR="00BB58E1" w:rsidRPr="002D6525">
              <w:t>PALO-15-17</w:t>
            </w:r>
            <w:r w:rsidRPr="002D6525">
              <w:t>)</w:t>
            </w:r>
          </w:p>
        </w:tc>
        <w:tc>
          <w:tcPr>
            <w:tcW w:w="2516" w:type="pct"/>
          </w:tcPr>
          <w:p w:rsidR="00A105C0" w:rsidRPr="002D6525" w:rsidRDefault="00BB58E1" w:rsidP="00BB58E1">
            <w:pPr>
              <w:pStyle w:val="TableText"/>
            </w:pPr>
            <w:r w:rsidRPr="002D6525">
              <w:t xml:space="preserve">A phase 3, single-dose, </w:t>
            </w:r>
            <w:r w:rsidR="00560B3F" w:rsidRPr="002D6525">
              <w:t>multicentre</w:t>
            </w:r>
            <w:r w:rsidRPr="002D6525">
              <w:t>, randomized, double-blind, parallel group study to assess the efficacy and safety of palonosetron 0.25 mg administered as a 30-minute IV infusion compared to palonosetron 0.25 mg administered as a 30-second IV bolus for the prevention of chemotherapy-induced nausea and vomiting in cancer patients receiving highly emetogenic chemotherapy.</w:t>
            </w:r>
          </w:p>
        </w:tc>
        <w:tc>
          <w:tcPr>
            <w:tcW w:w="1700" w:type="pct"/>
          </w:tcPr>
          <w:p w:rsidR="00A105C0" w:rsidRPr="002D6525" w:rsidRDefault="00BB58E1" w:rsidP="00BB58E1">
            <w:pPr>
              <w:pStyle w:val="TableText"/>
            </w:pPr>
            <w:r w:rsidRPr="002D6525">
              <w:t>Karthaus, M., C. Tibor, V. Lorusso, et al. (2015). "Efficacy and safety of oral palonosetron compared with IV palonosetron administered with dexamethasone for the prevention of chemotherapy-induced nausea and vomiting (CINV) in patients with solid tumors receiving cisplatin-based highly emetogenic chemotherapy (HEC)." Support Care Cancer 23(10): 2917-2923. (Karthaus, Tibor et al. 2015)</w:t>
            </w:r>
          </w:p>
        </w:tc>
      </w:tr>
      <w:tr w:rsidR="00A105C0" w:rsidRPr="002D6525" w:rsidTr="008042C1">
        <w:trPr>
          <w:cantSplit/>
        </w:trPr>
        <w:tc>
          <w:tcPr>
            <w:tcW w:w="784" w:type="pct"/>
          </w:tcPr>
          <w:p w:rsidR="00BB58E1" w:rsidRPr="002D6525" w:rsidRDefault="00BB58E1" w:rsidP="00BB58E1">
            <w:pPr>
              <w:pStyle w:val="TableText"/>
            </w:pPr>
            <w:r w:rsidRPr="002D6525">
              <w:t>Helsin Healthcare SA 2017</w:t>
            </w:r>
          </w:p>
          <w:p w:rsidR="00A105C0" w:rsidRPr="002D6525" w:rsidRDefault="00BB58E1" w:rsidP="00BB58E1">
            <w:pPr>
              <w:pStyle w:val="TableText"/>
            </w:pPr>
            <w:r w:rsidRPr="002D6525">
              <w:t>(NEPA-15-18)</w:t>
            </w:r>
          </w:p>
        </w:tc>
        <w:tc>
          <w:tcPr>
            <w:tcW w:w="2516" w:type="pct"/>
          </w:tcPr>
          <w:p w:rsidR="00A105C0" w:rsidRPr="002D6525" w:rsidRDefault="00BB58E1" w:rsidP="00BB58E1">
            <w:pPr>
              <w:pStyle w:val="TableText"/>
              <w:rPr>
                <w:b/>
              </w:rPr>
            </w:pPr>
            <w:r w:rsidRPr="002D6525">
              <w:t xml:space="preserve">A phase 3, </w:t>
            </w:r>
            <w:r w:rsidR="00560B3F" w:rsidRPr="002D6525">
              <w:t>multicentre</w:t>
            </w:r>
            <w:r w:rsidRPr="002D6525">
              <w:t>, randomized, double-blind, active control study to evaluate the safety and efficacy of IV pro-netupitant/palonosetron (260 mg/0.25 mg) combination for the prevention of chemotherapy-induced nausea and vomiting in repeated chemotherapy cycles in patients receiving highly emetogenic chemotherapy (Eudra CT: 2015-001800- 74), Helsinn Healthcare SA,.</w:t>
            </w:r>
          </w:p>
        </w:tc>
        <w:tc>
          <w:tcPr>
            <w:tcW w:w="1700" w:type="pct"/>
          </w:tcPr>
          <w:p w:rsidR="00A105C0" w:rsidRPr="002D6525" w:rsidRDefault="00BB58E1" w:rsidP="00560B3F">
            <w:pPr>
              <w:pStyle w:val="TableText"/>
            </w:pPr>
            <w:r w:rsidRPr="002D6525">
              <w:t>Schwartzberg, L., E. Roeland, Z. Andric, D. Kowalski, J. Radic, D. Voisin, G. Rizzi, R. Navari, R. J. Gralla and M. Karthaus (2018). "Phase III safety study of intravenous NEPA: a novel fixed antiemetic combination of fosnetupitant and palonosetron in patients receiving highly emetogenic chemotherapy." Annals of oncology: official journal of the European Society for Medical Oncology 29(7): 1535-1540. (Schwartzberg, Roeland et al. 2018)</w:t>
            </w:r>
          </w:p>
        </w:tc>
      </w:tr>
      <w:tr w:rsidR="00A105C0" w:rsidRPr="002D6525" w:rsidTr="008042C1">
        <w:trPr>
          <w:cantSplit/>
        </w:trPr>
        <w:tc>
          <w:tcPr>
            <w:tcW w:w="784" w:type="pct"/>
          </w:tcPr>
          <w:p w:rsidR="00BB58E1" w:rsidRPr="002D6525" w:rsidRDefault="00BB58E1" w:rsidP="00BB58E1">
            <w:pPr>
              <w:pStyle w:val="TableText"/>
            </w:pPr>
            <w:r w:rsidRPr="002D6525">
              <w:t>Helsin Healthcare SA 2017</w:t>
            </w:r>
          </w:p>
          <w:p w:rsidR="00A105C0" w:rsidRPr="002D6525" w:rsidRDefault="00A105C0" w:rsidP="00BB58E1">
            <w:pPr>
              <w:pStyle w:val="TableText"/>
            </w:pPr>
            <w:r w:rsidRPr="002D6525">
              <w:t>(</w:t>
            </w:r>
            <w:r w:rsidR="00BB58E1" w:rsidRPr="002D6525">
              <w:t>NEPA-17-05</w:t>
            </w:r>
            <w:r w:rsidRPr="002D6525">
              <w:t>)</w:t>
            </w:r>
          </w:p>
        </w:tc>
        <w:tc>
          <w:tcPr>
            <w:tcW w:w="2516" w:type="pct"/>
          </w:tcPr>
          <w:p w:rsidR="00A105C0" w:rsidRPr="002D6525" w:rsidRDefault="00BB58E1" w:rsidP="00BB58E1">
            <w:pPr>
              <w:pStyle w:val="TableText"/>
              <w:rPr>
                <w:b/>
              </w:rPr>
            </w:pPr>
            <w:r w:rsidRPr="002D6525">
              <w:t xml:space="preserve">A </w:t>
            </w:r>
            <w:r w:rsidR="00560B3F" w:rsidRPr="002D6525">
              <w:t>multicentre</w:t>
            </w:r>
            <w:r w:rsidRPr="002D6525">
              <w:t>, randomized, double-blind, double-dummy, active</w:t>
            </w:r>
            <w:r w:rsidR="00560B3F" w:rsidRPr="002D6525">
              <w:t>-</w:t>
            </w:r>
            <w:r w:rsidRPr="002D6525">
              <w:t>controlled, parallel group phase 3b study to assess the safety and to describe the efficacy of IV fosnetupitant/palonosetron (260 mg/0.25 mg) combination (</w:t>
            </w:r>
            <w:r w:rsidR="002A21A5" w:rsidRPr="002D6525">
              <w:t>NEPA IV</w:t>
            </w:r>
            <w:r w:rsidRPr="002D6525">
              <w:t xml:space="preserve"> FDC) compared to oral netupitant/palonosetron (300 mg/0.5 mg) combination (Akynzeo®) for the prevention of chemotherapy-induced nausea and vomiting in initial and repeated cycles of anthracyclinecyclophosphamide (AC) chemotherapy in women with breast cancer</w:t>
            </w:r>
          </w:p>
        </w:tc>
        <w:tc>
          <w:tcPr>
            <w:tcW w:w="1700" w:type="pct"/>
          </w:tcPr>
          <w:p w:rsidR="00A105C0" w:rsidRPr="002D6525" w:rsidRDefault="00BB58E1" w:rsidP="00BB58E1">
            <w:pPr>
              <w:pStyle w:val="TableText"/>
            </w:pPr>
            <w:r w:rsidRPr="002D6525">
              <w:t>Schwartzberg, L., R. Navari, R. Clark- Snow, E. Arkania, I. Radyukova, K. Patel, D. Voisin, G. Rizzi, R. Wickham, R. J. Gralla, M. Aapro and E. Roeland (2020). "Phase IIIb Safety and Efficacy of Intravenous NEPA for Prevention of Chemotherapy-Induced Nausea and Vomiting (CINV) in Patients with Breast Cancer Receiving Initial and Repeat Cycles of Anthracycline and Cyclophosphamide (AC) Chemotherapy." The oncologist 25(3): e589-e597. (Schwartzberg, Navari et al. 2020)</w:t>
            </w:r>
          </w:p>
        </w:tc>
      </w:tr>
    </w:tbl>
    <w:p w:rsidR="00A105C0" w:rsidRPr="002D6525" w:rsidRDefault="00560B3F" w:rsidP="00560B3F">
      <w:pPr>
        <w:pStyle w:val="TableFigureFooter"/>
      </w:pPr>
      <w:r w:rsidRPr="002D6525">
        <w:t>Source: Minor Submission, Table 7 (pp23).</w:t>
      </w:r>
    </w:p>
    <w:p w:rsidR="005A7C78" w:rsidRPr="002D6525" w:rsidRDefault="00E30C2E" w:rsidP="005A7C78">
      <w:pPr>
        <w:pStyle w:val="Heading2"/>
        <w:keepLines/>
        <w:spacing w:before="240"/>
        <w:rPr>
          <w:szCs w:val="28"/>
        </w:rPr>
      </w:pPr>
      <w:r w:rsidRPr="002D6525">
        <w:rPr>
          <w:szCs w:val="28"/>
        </w:rPr>
        <w:lastRenderedPageBreak/>
        <w:t>Comparative effectiveness</w:t>
      </w:r>
      <w:r w:rsidR="002B3B37" w:rsidRPr="002D6525">
        <w:rPr>
          <w:szCs w:val="28"/>
        </w:rPr>
        <w:t xml:space="preserve"> and harms</w:t>
      </w:r>
    </w:p>
    <w:p w:rsidR="00A5447B" w:rsidRPr="002D6525" w:rsidRDefault="00815E93" w:rsidP="00D94ED7">
      <w:pPr>
        <w:pStyle w:val="3-BodyText"/>
        <w:rPr>
          <w:szCs w:val="24"/>
        </w:rPr>
      </w:pPr>
      <w:r w:rsidRPr="002D6525">
        <w:t>Th</w:t>
      </w:r>
      <w:r w:rsidR="00331C23" w:rsidRPr="002D6525">
        <w:t>e</w:t>
      </w:r>
      <w:r w:rsidRPr="002D6525">
        <w:t xml:space="preserve"> treatment </w:t>
      </w:r>
      <w:r w:rsidR="00331C23" w:rsidRPr="002D6525">
        <w:t xml:space="preserve">safety and effectiveness </w:t>
      </w:r>
      <w:r w:rsidRPr="002D6525">
        <w:t xml:space="preserve">of </w:t>
      </w:r>
      <w:r w:rsidR="002A21A5" w:rsidRPr="002D6525">
        <w:t>NEPA IV</w:t>
      </w:r>
      <w:r w:rsidRPr="002D6525">
        <w:t xml:space="preserve"> </w:t>
      </w:r>
      <w:r w:rsidR="00DE1F20" w:rsidRPr="002D6525">
        <w:t>was</w:t>
      </w:r>
      <w:r w:rsidRPr="002D6525">
        <w:t xml:space="preserve"> </w:t>
      </w:r>
      <w:r w:rsidR="00331C23" w:rsidRPr="002D6525">
        <w:t xml:space="preserve">evaluated </w:t>
      </w:r>
      <w:r w:rsidRPr="002D6525">
        <w:t>by the TGA</w:t>
      </w:r>
      <w:r w:rsidR="006E7A71" w:rsidRPr="002D6525">
        <w:t xml:space="preserve"> based on the trials presented in Table </w:t>
      </w:r>
      <w:r w:rsidR="00AB3E1F" w:rsidRPr="002D6525">
        <w:t>1</w:t>
      </w:r>
      <w:r w:rsidR="00CD6366" w:rsidRPr="002D6525">
        <w:t xml:space="preserve">. </w:t>
      </w:r>
      <w:r w:rsidR="006E7A71" w:rsidRPr="002D6525">
        <w:t xml:space="preserve">The TGA </w:t>
      </w:r>
      <w:r w:rsidR="0015580F" w:rsidRPr="002D6525">
        <w:t xml:space="preserve">Delegate’s </w:t>
      </w:r>
      <w:r w:rsidR="006E7A71" w:rsidRPr="002D6525">
        <w:t xml:space="preserve">overview </w:t>
      </w:r>
      <w:r w:rsidR="008042C1" w:rsidRPr="002D6525">
        <w:t>concluded</w:t>
      </w:r>
      <w:r w:rsidR="006E7A71" w:rsidRPr="002D6525">
        <w:t xml:space="preserve"> </w:t>
      </w:r>
      <w:r w:rsidR="006E7A71" w:rsidRPr="002D6525">
        <w:rPr>
          <w:szCs w:val="24"/>
        </w:rPr>
        <w:t>‘</w:t>
      </w:r>
      <w:r w:rsidR="008042C1" w:rsidRPr="002D6525">
        <w:rPr>
          <w:szCs w:val="24"/>
        </w:rPr>
        <w:t>t</w:t>
      </w:r>
      <w:r w:rsidR="006E7A71" w:rsidRPr="002D6525">
        <w:rPr>
          <w:szCs w:val="24"/>
        </w:rPr>
        <w:t>he safety profile of AKYNZEO IV has been adequately characterised</w:t>
      </w:r>
      <w:r w:rsidR="00D94ED7" w:rsidRPr="002D6525">
        <w:rPr>
          <w:szCs w:val="24"/>
        </w:rPr>
        <w:t xml:space="preserve"> and is similar to the safety profile of oral AKYNZEO’. It also found the bioavailability of netupitant and palonosetron in NEPA IV was equivalent to that of NEPA oral, and that a 30 second bolus of NE</w:t>
      </w:r>
      <w:r w:rsidR="0015580F" w:rsidRPr="002D6525">
        <w:rPr>
          <w:szCs w:val="24"/>
        </w:rPr>
        <w:t>P</w:t>
      </w:r>
      <w:r w:rsidR="00D94ED7" w:rsidRPr="002D6525">
        <w:rPr>
          <w:szCs w:val="24"/>
        </w:rPr>
        <w:t xml:space="preserve">A IV was equi-effective to a 30 minute </w:t>
      </w:r>
      <w:r w:rsidR="004C1ECB" w:rsidRPr="002D6525">
        <w:rPr>
          <w:szCs w:val="24"/>
        </w:rPr>
        <w:t>infusion</w:t>
      </w:r>
      <w:r w:rsidR="00D94ED7" w:rsidRPr="002D6525">
        <w:rPr>
          <w:szCs w:val="24"/>
        </w:rPr>
        <w:t>. Overall, it concluded</w:t>
      </w:r>
      <w:r w:rsidR="0015580F" w:rsidRPr="002D6525">
        <w:rPr>
          <w:szCs w:val="24"/>
        </w:rPr>
        <w:t xml:space="preserve"> that the</w:t>
      </w:r>
      <w:r w:rsidR="00D94ED7" w:rsidRPr="002D6525">
        <w:rPr>
          <w:szCs w:val="24"/>
        </w:rPr>
        <w:t xml:space="preserve"> </w:t>
      </w:r>
      <w:r w:rsidR="006E7A71" w:rsidRPr="002D6525">
        <w:rPr>
          <w:szCs w:val="24"/>
        </w:rPr>
        <w:t>‘quality, efficacy and safety of AKYNZEO IV have b</w:t>
      </w:r>
      <w:r w:rsidR="009F0ADE">
        <w:rPr>
          <w:szCs w:val="24"/>
        </w:rPr>
        <w:t>een satisfactorily established’</w:t>
      </w:r>
      <w:r w:rsidR="006E7A71" w:rsidRPr="002D6525">
        <w:rPr>
          <w:szCs w:val="24"/>
        </w:rPr>
        <w:t xml:space="preserve">. </w:t>
      </w:r>
    </w:p>
    <w:p w:rsidR="00E30C2E" w:rsidRPr="002D6525" w:rsidRDefault="00E30C2E" w:rsidP="00E30C2E">
      <w:pPr>
        <w:pStyle w:val="Heading2"/>
        <w:keepLines/>
        <w:spacing w:before="240"/>
        <w:rPr>
          <w:szCs w:val="28"/>
        </w:rPr>
      </w:pPr>
      <w:r w:rsidRPr="002D6525">
        <w:rPr>
          <w:szCs w:val="28"/>
        </w:rPr>
        <w:t>Clinical claim</w:t>
      </w:r>
    </w:p>
    <w:p w:rsidR="002B3B37" w:rsidRPr="002D6525" w:rsidRDefault="002B3B37" w:rsidP="007428C4">
      <w:pPr>
        <w:pStyle w:val="3-BodyText"/>
      </w:pPr>
      <w:r w:rsidRPr="002D6525">
        <w:t xml:space="preserve">The minor submission claimed that </w:t>
      </w:r>
      <w:r w:rsidR="002A21A5" w:rsidRPr="002D6525">
        <w:t>NEPA IV</w:t>
      </w:r>
      <w:r w:rsidR="00206109" w:rsidRPr="002D6525">
        <w:t xml:space="preserve"> is non-inferior in efficacy and safety compared to </w:t>
      </w:r>
      <w:r w:rsidR="002A21A5" w:rsidRPr="002D6525">
        <w:t>NEPA</w:t>
      </w:r>
      <w:r w:rsidR="00206109" w:rsidRPr="002D6525">
        <w:t xml:space="preserve"> oral for the prevention of nausea and vomiting </w:t>
      </w:r>
      <w:r w:rsidRPr="002D6525">
        <w:t xml:space="preserve">in </w:t>
      </w:r>
      <w:r w:rsidR="00206109" w:rsidRPr="002D6525">
        <w:t xml:space="preserve">patients </w:t>
      </w:r>
      <w:r w:rsidRPr="002D6525">
        <w:t>undergoing treatment with moderately and highly emetogenic chemotherapy</w:t>
      </w:r>
      <w:r w:rsidR="00206109" w:rsidRPr="002D6525">
        <w:t>.</w:t>
      </w:r>
    </w:p>
    <w:p w:rsidR="00167B1C" w:rsidRPr="002D6525" w:rsidRDefault="007D7ABF" w:rsidP="00167B1C">
      <w:pPr>
        <w:pStyle w:val="3-BodyText"/>
        <w:rPr>
          <w:rFonts w:cs="Arial"/>
          <w:snapToGrid w:val="0"/>
          <w:szCs w:val="20"/>
        </w:rPr>
      </w:pPr>
      <w:r w:rsidRPr="002D6525">
        <w:t xml:space="preserve">This claim was </w:t>
      </w:r>
      <w:r w:rsidR="00AB3E1F" w:rsidRPr="002D6525">
        <w:t xml:space="preserve">accepted by the PBAC </w:t>
      </w:r>
      <w:r w:rsidRPr="002D6525">
        <w:t xml:space="preserve">since both forms were found to have comparable effectiveness and safety, and the TGA Delegate considered that both </w:t>
      </w:r>
      <w:r w:rsidR="00FE3C70" w:rsidRPr="002D6525">
        <w:t>forms</w:t>
      </w:r>
      <w:r w:rsidRPr="002D6525">
        <w:t xml:space="preserve"> </w:t>
      </w:r>
      <w:r w:rsidR="00AB3E1F" w:rsidRPr="002D6525">
        <w:t xml:space="preserve">had </w:t>
      </w:r>
      <w:r w:rsidRPr="002D6525">
        <w:t>the same exposure.</w:t>
      </w:r>
    </w:p>
    <w:p w:rsidR="00E30C2E" w:rsidRPr="002D6525" w:rsidRDefault="00E30C2E" w:rsidP="002B3B37">
      <w:pPr>
        <w:pStyle w:val="Heading2"/>
      </w:pPr>
      <w:r w:rsidRPr="002D6525">
        <w:t>Economic analysis</w:t>
      </w:r>
    </w:p>
    <w:p w:rsidR="00605A69" w:rsidRPr="002D6525" w:rsidRDefault="00605A69" w:rsidP="004A28E8">
      <w:pPr>
        <w:pStyle w:val="3-BodyText"/>
      </w:pPr>
      <w:r w:rsidRPr="002D6525">
        <w:rPr>
          <w:snapToGrid w:val="0"/>
        </w:rPr>
        <w:t xml:space="preserve">The minor submission presented a cost-minimisation analysis of </w:t>
      </w:r>
      <w:r w:rsidR="002A21A5" w:rsidRPr="002D6525">
        <w:rPr>
          <w:snapToGrid w:val="0"/>
        </w:rPr>
        <w:t>NEPA IV</w:t>
      </w:r>
      <w:r w:rsidRPr="002D6525">
        <w:rPr>
          <w:snapToGrid w:val="0"/>
        </w:rPr>
        <w:t xml:space="preserve"> compared with </w:t>
      </w:r>
      <w:r w:rsidR="00D9269E" w:rsidRPr="002D6525">
        <w:rPr>
          <w:snapToGrid w:val="0"/>
        </w:rPr>
        <w:t xml:space="preserve">NEPA </w:t>
      </w:r>
      <w:r w:rsidR="007A3BEB" w:rsidRPr="002D6525">
        <w:rPr>
          <w:snapToGrid w:val="0"/>
        </w:rPr>
        <w:t>oral</w:t>
      </w:r>
      <w:r w:rsidR="00CD726D" w:rsidRPr="002D6525">
        <w:rPr>
          <w:snapToGrid w:val="0"/>
        </w:rPr>
        <w:t xml:space="preserve">, based on 1 vial of NEPA IV </w:t>
      </w:r>
      <w:r w:rsidR="00FE3C70" w:rsidRPr="002D6525">
        <w:rPr>
          <w:snapToGrid w:val="0"/>
        </w:rPr>
        <w:t>being</w:t>
      </w:r>
      <w:r w:rsidR="00CD726D" w:rsidRPr="002D6525">
        <w:rPr>
          <w:snapToGrid w:val="0"/>
        </w:rPr>
        <w:t xml:space="preserve"> equi-effective to 1 capsule of </w:t>
      </w:r>
      <w:r w:rsidR="00D9269E" w:rsidRPr="002D6525">
        <w:rPr>
          <w:snapToGrid w:val="0"/>
        </w:rPr>
        <w:t xml:space="preserve">NEPA </w:t>
      </w:r>
      <w:r w:rsidR="007A3BEB" w:rsidRPr="002D6525">
        <w:rPr>
          <w:snapToGrid w:val="0"/>
        </w:rPr>
        <w:t>oral</w:t>
      </w:r>
      <w:r w:rsidR="005C5B17" w:rsidRPr="002D6525">
        <w:rPr>
          <w:snapToGrid w:val="0"/>
        </w:rPr>
        <w:t xml:space="preserve">; and </w:t>
      </w:r>
      <w:r w:rsidRPr="002D6525">
        <w:rPr>
          <w:snapToGrid w:val="0"/>
        </w:rPr>
        <w:t>proposed the</w:t>
      </w:r>
      <w:r w:rsidR="00D3015A" w:rsidRPr="002D6525">
        <w:rPr>
          <w:snapToGrid w:val="0"/>
        </w:rPr>
        <w:t xml:space="preserve"> same</w:t>
      </w:r>
      <w:r w:rsidRPr="002D6525">
        <w:rPr>
          <w:snapToGrid w:val="0"/>
        </w:rPr>
        <w:t xml:space="preserve"> </w:t>
      </w:r>
      <w:r w:rsidR="0003149A" w:rsidRPr="002D6525">
        <w:rPr>
          <w:snapToGrid w:val="0"/>
        </w:rPr>
        <w:t xml:space="preserve">approved </w:t>
      </w:r>
      <w:r w:rsidRPr="002D6525">
        <w:rPr>
          <w:snapToGrid w:val="0"/>
        </w:rPr>
        <w:t xml:space="preserve">ex-manufacturer price (AEMP) for </w:t>
      </w:r>
      <w:r w:rsidR="002A21A5" w:rsidRPr="002D6525">
        <w:rPr>
          <w:snapToGrid w:val="0"/>
        </w:rPr>
        <w:t>NEPA IV</w:t>
      </w:r>
      <w:r w:rsidRPr="002D6525">
        <w:rPr>
          <w:snapToGrid w:val="0"/>
        </w:rPr>
        <w:t xml:space="preserve"> </w:t>
      </w:r>
      <w:r w:rsidR="00D3015A" w:rsidRPr="002D6525">
        <w:rPr>
          <w:snapToGrid w:val="0"/>
        </w:rPr>
        <w:t>as</w:t>
      </w:r>
      <w:r w:rsidRPr="002D6525">
        <w:rPr>
          <w:snapToGrid w:val="0"/>
        </w:rPr>
        <w:t xml:space="preserve"> </w:t>
      </w:r>
      <w:r w:rsidR="00D9269E" w:rsidRPr="002D6525">
        <w:rPr>
          <w:snapToGrid w:val="0"/>
        </w:rPr>
        <w:t xml:space="preserve">NEPA </w:t>
      </w:r>
      <w:r w:rsidR="007A3BEB" w:rsidRPr="002D6525">
        <w:rPr>
          <w:snapToGrid w:val="0"/>
        </w:rPr>
        <w:t>oral</w:t>
      </w:r>
      <w:r w:rsidR="00D3015A" w:rsidRPr="002D6525">
        <w:rPr>
          <w:snapToGrid w:val="0"/>
        </w:rPr>
        <w:t xml:space="preserve"> (</w:t>
      </w:r>
      <w:r w:rsidR="00CD726D" w:rsidRPr="002D6525">
        <w:rPr>
          <w:snapToGrid w:val="0"/>
        </w:rPr>
        <w:t>$97.16</w:t>
      </w:r>
      <w:r w:rsidR="00D3015A" w:rsidRPr="002D6525">
        <w:rPr>
          <w:snapToGrid w:val="0"/>
        </w:rPr>
        <w:t>)</w:t>
      </w:r>
      <w:r w:rsidR="00CD726D" w:rsidRPr="002D6525">
        <w:rPr>
          <w:snapToGrid w:val="0"/>
        </w:rPr>
        <w:t>.</w:t>
      </w:r>
      <w:r w:rsidR="00935065" w:rsidRPr="002D6525">
        <w:rPr>
          <w:snapToGrid w:val="0"/>
        </w:rPr>
        <w:t xml:space="preserve"> It also note</w:t>
      </w:r>
      <w:r w:rsidR="006A48DD" w:rsidRPr="002D6525">
        <w:rPr>
          <w:snapToGrid w:val="0"/>
        </w:rPr>
        <w:t>d</w:t>
      </w:r>
      <w:r w:rsidR="00935065" w:rsidRPr="002D6525">
        <w:rPr>
          <w:snapToGrid w:val="0"/>
        </w:rPr>
        <w:t xml:space="preserve"> the proposed AEM</w:t>
      </w:r>
      <w:r w:rsidR="005A42AE" w:rsidRPr="002D6525">
        <w:rPr>
          <w:snapToGrid w:val="0"/>
        </w:rPr>
        <w:t>P</w:t>
      </w:r>
      <w:r w:rsidR="00935065" w:rsidRPr="002D6525">
        <w:rPr>
          <w:snapToGrid w:val="0"/>
        </w:rPr>
        <w:t xml:space="preserve"> is equivalent to that of fosaprepitant IV.</w:t>
      </w:r>
    </w:p>
    <w:p w:rsidR="00BF77DB" w:rsidRPr="002D6525" w:rsidRDefault="00BF77DB" w:rsidP="004A28E8">
      <w:pPr>
        <w:pStyle w:val="3-BodyText"/>
      </w:pPr>
      <w:r w:rsidRPr="002D6525">
        <w:rPr>
          <w:snapToGrid w:val="0"/>
        </w:rPr>
        <w:t>The price of aprepitant</w:t>
      </w:r>
      <w:r w:rsidR="00E01F12" w:rsidRPr="002D6525">
        <w:rPr>
          <w:snapToGrid w:val="0"/>
        </w:rPr>
        <w:t xml:space="preserve"> with a </w:t>
      </w:r>
      <w:r w:rsidR="0098534F" w:rsidRPr="002D6525">
        <w:rPr>
          <w:snapToGrid w:val="0"/>
        </w:rPr>
        <w:t>5HT3 RA</w:t>
      </w:r>
      <w:r w:rsidRPr="002D6525">
        <w:rPr>
          <w:snapToGrid w:val="0"/>
        </w:rPr>
        <w:t xml:space="preserve"> is currently lower than </w:t>
      </w:r>
      <w:r w:rsidR="00D9269E" w:rsidRPr="002D6525">
        <w:rPr>
          <w:snapToGrid w:val="0"/>
        </w:rPr>
        <w:t xml:space="preserve">NEPA </w:t>
      </w:r>
      <w:r w:rsidR="007A3BEB" w:rsidRPr="002D6525">
        <w:rPr>
          <w:snapToGrid w:val="0"/>
        </w:rPr>
        <w:t>oral</w:t>
      </w:r>
      <w:r w:rsidRPr="002D6525">
        <w:rPr>
          <w:snapToGrid w:val="0"/>
        </w:rPr>
        <w:t xml:space="preserve"> (and fosaprepitant). Should the PBAC consider aprepitant</w:t>
      </w:r>
      <w:r w:rsidR="00E01F12" w:rsidRPr="002D6525">
        <w:rPr>
          <w:snapToGrid w:val="0"/>
        </w:rPr>
        <w:t xml:space="preserve"> with a </w:t>
      </w:r>
      <w:r w:rsidR="0098534F" w:rsidRPr="002D6525">
        <w:rPr>
          <w:snapToGrid w:val="0"/>
        </w:rPr>
        <w:t>5HT3 RA</w:t>
      </w:r>
      <w:r w:rsidRPr="002D6525">
        <w:rPr>
          <w:snapToGrid w:val="0"/>
        </w:rPr>
        <w:t xml:space="preserve"> a relevant comparator</w:t>
      </w:r>
      <w:r w:rsidR="001828AA" w:rsidRPr="002D6525">
        <w:rPr>
          <w:snapToGrid w:val="0"/>
        </w:rPr>
        <w:t xml:space="preserve"> for NEPA IV</w:t>
      </w:r>
      <w:r w:rsidRPr="002D6525">
        <w:rPr>
          <w:snapToGrid w:val="0"/>
        </w:rPr>
        <w:t xml:space="preserve">, </w:t>
      </w:r>
      <w:r w:rsidR="001828AA" w:rsidRPr="002D6525">
        <w:rPr>
          <w:snapToGrid w:val="0"/>
        </w:rPr>
        <w:t>it may be appropriate for the cost-minimisation to be conducted against aprepitant</w:t>
      </w:r>
      <w:r w:rsidR="00E01F12" w:rsidRPr="002D6525">
        <w:rPr>
          <w:snapToGrid w:val="0"/>
        </w:rPr>
        <w:t xml:space="preserve"> with a </w:t>
      </w:r>
      <w:r w:rsidR="0098534F" w:rsidRPr="002D6525">
        <w:rPr>
          <w:snapToGrid w:val="0"/>
        </w:rPr>
        <w:t>5HT3 RA</w:t>
      </w:r>
      <w:r w:rsidRPr="002D6525">
        <w:rPr>
          <w:snapToGrid w:val="0"/>
        </w:rPr>
        <w:t>.</w:t>
      </w:r>
      <w:r w:rsidR="00D53947" w:rsidRPr="002D6525">
        <w:rPr>
          <w:snapToGrid w:val="0"/>
        </w:rPr>
        <w:t xml:space="preserve"> </w:t>
      </w:r>
      <w:r w:rsidR="0055165A" w:rsidRPr="002D6525">
        <w:t xml:space="preserve">The PBAC could only recommend listing NEPA IV at a higher price than the alternative therapy or therapies if it </w:t>
      </w:r>
      <w:r w:rsidR="0003149A" w:rsidRPr="002D6525">
        <w:t>wa</w:t>
      </w:r>
      <w:r w:rsidR="0055165A" w:rsidRPr="002D6525">
        <w:t>s satisfied that it provides, for some patients, a significant improvement in efficacy or reduction of toxicity over the alternative therapy or therapies (</w:t>
      </w:r>
      <w:r w:rsidR="00AB3E1F" w:rsidRPr="002D6525">
        <w:rPr>
          <w:i/>
        </w:rPr>
        <w:t xml:space="preserve">National Health </w:t>
      </w:r>
      <w:r w:rsidR="00725722" w:rsidRPr="002D6525">
        <w:rPr>
          <w:i/>
        </w:rPr>
        <w:t>Act</w:t>
      </w:r>
      <w:r w:rsidR="00AB3E1F" w:rsidRPr="002D6525">
        <w:rPr>
          <w:i/>
        </w:rPr>
        <w:t xml:space="preserve"> 1953</w:t>
      </w:r>
      <w:r w:rsidR="00026F58" w:rsidRPr="002D6525">
        <w:rPr>
          <w:i/>
        </w:rPr>
        <w:t xml:space="preserve"> </w:t>
      </w:r>
      <w:r w:rsidR="00026F58" w:rsidRPr="002D6525">
        <w:t>(‘the Act’)</w:t>
      </w:r>
      <w:r w:rsidR="0055165A" w:rsidRPr="002D6525">
        <w:t>, Section 101(3B)).</w:t>
      </w:r>
    </w:p>
    <w:p w:rsidR="00487921" w:rsidRPr="002D6525" w:rsidRDefault="00487921" w:rsidP="00487921">
      <w:pPr>
        <w:pStyle w:val="Heading2"/>
        <w:keepLines/>
        <w:spacing w:before="240"/>
        <w:rPr>
          <w:szCs w:val="28"/>
        </w:rPr>
      </w:pPr>
      <w:r w:rsidRPr="002D6525">
        <w:rPr>
          <w:szCs w:val="28"/>
        </w:rPr>
        <w:t>Estimated PBS usage &amp; financial implications</w:t>
      </w:r>
    </w:p>
    <w:p w:rsidR="00935065" w:rsidRPr="002D6525" w:rsidRDefault="00617E33" w:rsidP="004A28E8">
      <w:pPr>
        <w:pStyle w:val="3-BodyText"/>
      </w:pPr>
      <w:r w:rsidRPr="002D6525">
        <w:t xml:space="preserve">The submission used a market share approach </w:t>
      </w:r>
      <w:r w:rsidR="00935065" w:rsidRPr="002D6525">
        <w:t>and assumed no market growth as a consequence of the proposed listing</w:t>
      </w:r>
      <w:r w:rsidR="00051C2C" w:rsidRPr="002D6525">
        <w:t xml:space="preserve"> and that NEPA IV would only replace </w:t>
      </w:r>
      <w:r w:rsidR="00D9269E" w:rsidRPr="002D6525">
        <w:t xml:space="preserve">NEPA </w:t>
      </w:r>
      <w:r w:rsidR="007A3BEB" w:rsidRPr="002D6525">
        <w:t>oral</w:t>
      </w:r>
      <w:r w:rsidR="005422D5" w:rsidRPr="002D6525">
        <w:t>, fosaprepitant IV and aprepitant oral</w:t>
      </w:r>
      <w:r w:rsidR="00055B70" w:rsidRPr="002D6525">
        <w:t xml:space="preserve">, at the same price, </w:t>
      </w:r>
      <w:r w:rsidR="005E352A" w:rsidRPr="002D6525">
        <w:t xml:space="preserve">and therefore </w:t>
      </w:r>
      <w:r w:rsidR="00055B70" w:rsidRPr="002D6525">
        <w:t>the proposed listing would be cost-neutral to government</w:t>
      </w:r>
      <w:r w:rsidR="00935065" w:rsidRPr="002D6525">
        <w:t xml:space="preserve">. </w:t>
      </w:r>
    </w:p>
    <w:p w:rsidR="007428C4" w:rsidRPr="002D6525" w:rsidRDefault="000B3DDE" w:rsidP="00055B70">
      <w:pPr>
        <w:pStyle w:val="3-BodyText"/>
      </w:pPr>
      <w:r w:rsidRPr="002D6525">
        <w:t>The sponsor</w:t>
      </w:r>
      <w:r w:rsidR="00055B70" w:rsidRPr="002D6525">
        <w:t xml:space="preserve"> based its </w:t>
      </w:r>
      <w:r w:rsidR="00570D58" w:rsidRPr="002D6525">
        <w:t xml:space="preserve">market </w:t>
      </w:r>
      <w:r w:rsidR="00055B70" w:rsidRPr="002D6525">
        <w:t xml:space="preserve">share </w:t>
      </w:r>
      <w:r w:rsidR="00570D58" w:rsidRPr="002D6525">
        <w:t>estimate on PBS data</w:t>
      </w:r>
      <w:r w:rsidR="00055B70" w:rsidRPr="002D6525">
        <w:t xml:space="preserve"> </w:t>
      </w:r>
      <w:r w:rsidR="006A48DD" w:rsidRPr="002D6525">
        <w:t xml:space="preserve">for </w:t>
      </w:r>
      <w:r w:rsidR="00055B70" w:rsidRPr="002D6525">
        <w:t>fosaprepitant IV</w:t>
      </w:r>
      <w:r w:rsidR="00570D58" w:rsidRPr="002D6525">
        <w:t xml:space="preserve"> since listing</w:t>
      </w:r>
      <w:r w:rsidR="00055B70" w:rsidRPr="002D6525">
        <w:t>,</w:t>
      </w:r>
      <w:r w:rsidRPr="002D6525">
        <w:t xml:space="preserve"> </w:t>
      </w:r>
      <w:r w:rsidR="00570D58" w:rsidRPr="002D6525">
        <w:t xml:space="preserve">and </w:t>
      </w:r>
      <w:r w:rsidR="00392984" w:rsidRPr="002D6525">
        <w:t xml:space="preserve">assumed </w:t>
      </w:r>
      <w:r w:rsidR="002239F5" w:rsidRPr="002D6525">
        <w:t xml:space="preserve">NEPA IV </w:t>
      </w:r>
      <w:r w:rsidR="00570D58" w:rsidRPr="002D6525">
        <w:t xml:space="preserve">would displace </w:t>
      </w:r>
      <w:r w:rsidR="00D9269E" w:rsidRPr="002D6525">
        <w:t xml:space="preserve">NEPA </w:t>
      </w:r>
      <w:r w:rsidR="007A3BEB" w:rsidRPr="002D6525">
        <w:t>oral</w:t>
      </w:r>
      <w:r w:rsidR="00570D58" w:rsidRPr="002D6525">
        <w:t xml:space="preserve"> and aprepitant oral at a rate of </w:t>
      </w:r>
      <w:r w:rsidR="002069B8">
        <w:rPr>
          <w:noProof/>
          <w:color w:val="000000"/>
          <w:highlight w:val="black"/>
        </w:rPr>
        <w:t>''''''''</w:t>
      </w:r>
      <w:r w:rsidR="005E352A" w:rsidRPr="00CD1C7D">
        <w:t xml:space="preserve">% in </w:t>
      </w:r>
      <w:r w:rsidR="003C628E" w:rsidRPr="00CD1C7D">
        <w:t>Y</w:t>
      </w:r>
      <w:r w:rsidR="005E352A" w:rsidRPr="00CD1C7D">
        <w:t xml:space="preserve">ear </w:t>
      </w:r>
      <w:r w:rsidR="003C628E" w:rsidRPr="00CD1C7D">
        <w:t>1</w:t>
      </w:r>
      <w:r w:rsidR="005E352A" w:rsidRPr="00CD1C7D">
        <w:t xml:space="preserve">, </w:t>
      </w:r>
      <w:r w:rsidR="002069B8">
        <w:rPr>
          <w:noProof/>
          <w:color w:val="000000"/>
          <w:highlight w:val="black"/>
        </w:rPr>
        <w:t>'''''''''</w:t>
      </w:r>
      <w:r w:rsidR="005E352A" w:rsidRPr="00CD1C7D">
        <w:t xml:space="preserve">% in </w:t>
      </w:r>
      <w:r w:rsidR="003C628E" w:rsidRPr="00CD1C7D">
        <w:t>Y</w:t>
      </w:r>
      <w:r w:rsidR="005E352A" w:rsidRPr="00CD1C7D">
        <w:t xml:space="preserve">ear </w:t>
      </w:r>
      <w:r w:rsidR="003C628E" w:rsidRPr="00CD1C7D">
        <w:t>2</w:t>
      </w:r>
      <w:r w:rsidR="00892B37" w:rsidRPr="00CD1C7D">
        <w:t xml:space="preserve">, </w:t>
      </w:r>
      <w:r w:rsidR="00570D58" w:rsidRPr="00CD1C7D">
        <w:t>and then</w:t>
      </w:r>
      <w:r w:rsidR="00892B37" w:rsidRPr="00CD1C7D">
        <w:t xml:space="preserve"> </w:t>
      </w:r>
      <w:r w:rsidR="002069B8">
        <w:rPr>
          <w:noProof/>
          <w:color w:val="000000"/>
          <w:highlight w:val="black"/>
        </w:rPr>
        <w:t>'''</w:t>
      </w:r>
      <w:r w:rsidR="00892B37" w:rsidRPr="00CD1C7D">
        <w:t>%</w:t>
      </w:r>
      <w:r w:rsidR="00392984" w:rsidRPr="00CD1C7D">
        <w:t xml:space="preserve"> </w:t>
      </w:r>
      <w:r w:rsidR="006A48DD" w:rsidRPr="00CD1C7D">
        <w:t xml:space="preserve">each year </w:t>
      </w:r>
      <w:r w:rsidR="00392984" w:rsidRPr="00CD1C7D">
        <w:t>thereafter</w:t>
      </w:r>
      <w:r w:rsidR="00892B37" w:rsidRPr="00CD1C7D">
        <w:t xml:space="preserve">. </w:t>
      </w:r>
      <w:r w:rsidR="00684C23" w:rsidRPr="00CD1C7D">
        <w:t xml:space="preserve">The sponsor </w:t>
      </w:r>
      <w:r w:rsidR="00684C23" w:rsidRPr="00CD1C7D">
        <w:lastRenderedPageBreak/>
        <w:t xml:space="preserve">assumed </w:t>
      </w:r>
      <w:r w:rsidR="002239F5" w:rsidRPr="00CD1C7D">
        <w:t xml:space="preserve">NEPA IV would displace fosaprepitant at a </w:t>
      </w:r>
      <w:r w:rsidR="005E352A" w:rsidRPr="00CD1C7D">
        <w:t>linear rate from</w:t>
      </w:r>
      <w:r w:rsidR="002239F5" w:rsidRPr="00CD1C7D">
        <w:t xml:space="preserve"> </w:t>
      </w:r>
      <w:r w:rsidR="002069B8">
        <w:rPr>
          <w:noProof/>
          <w:color w:val="000000"/>
          <w:highlight w:val="black"/>
        </w:rPr>
        <w:t>'''''</w:t>
      </w:r>
      <w:r w:rsidR="005E352A" w:rsidRPr="00CD1C7D">
        <w:t xml:space="preserve">% to </w:t>
      </w:r>
      <w:r w:rsidR="002069B8">
        <w:rPr>
          <w:noProof/>
          <w:color w:val="000000"/>
          <w:highlight w:val="black"/>
        </w:rPr>
        <w:t>'''''</w:t>
      </w:r>
      <w:r w:rsidR="00684C23" w:rsidRPr="00CD1C7D">
        <w:t xml:space="preserve">% </w:t>
      </w:r>
      <w:r w:rsidR="005E352A" w:rsidRPr="00CD1C7D">
        <w:t xml:space="preserve">for </w:t>
      </w:r>
      <w:r w:rsidR="003C628E" w:rsidRPr="00CD1C7D">
        <w:t>Y</w:t>
      </w:r>
      <w:r w:rsidR="005E352A" w:rsidRPr="00CD1C7D">
        <w:t xml:space="preserve">ears </w:t>
      </w:r>
      <w:r w:rsidR="003C628E" w:rsidRPr="00CD1C7D">
        <w:t xml:space="preserve">1 </w:t>
      </w:r>
      <w:r w:rsidR="005E352A" w:rsidRPr="00CD1C7D">
        <w:t xml:space="preserve">to </w:t>
      </w:r>
      <w:r w:rsidR="003C628E" w:rsidRPr="00CD1C7D">
        <w:t xml:space="preserve">5 </w:t>
      </w:r>
      <w:r w:rsidR="005E352A" w:rsidRPr="00CD1C7D">
        <w:t xml:space="preserve">then remain at </w:t>
      </w:r>
      <w:r w:rsidR="002069B8">
        <w:rPr>
          <w:noProof/>
          <w:color w:val="000000"/>
          <w:highlight w:val="black"/>
        </w:rPr>
        <w:t>'''''</w:t>
      </w:r>
      <w:r w:rsidR="005E352A" w:rsidRPr="00CD1C7D">
        <w:t>%</w:t>
      </w:r>
      <w:r w:rsidR="00570D58" w:rsidRPr="00CD1C7D">
        <w:t>.</w:t>
      </w:r>
      <w:r w:rsidR="00570D58" w:rsidRPr="002D6525">
        <w:t xml:space="preserve"> </w:t>
      </w:r>
    </w:p>
    <w:p w:rsidR="00684C23" w:rsidRPr="002D6525" w:rsidRDefault="00135B36" w:rsidP="00AF5220">
      <w:pPr>
        <w:pStyle w:val="3-BodyText"/>
      </w:pPr>
      <w:r w:rsidRPr="002D6525">
        <w:t xml:space="preserve">The minor submission </w:t>
      </w:r>
      <w:r w:rsidR="00055B70" w:rsidRPr="002D6525">
        <w:t>estimated</w:t>
      </w:r>
      <w:r w:rsidRPr="002D6525">
        <w:t xml:space="preserve"> t</w:t>
      </w:r>
      <w:r w:rsidR="00684C23" w:rsidRPr="002D6525">
        <w:t xml:space="preserve">he </w:t>
      </w:r>
      <w:r w:rsidRPr="002D6525">
        <w:t xml:space="preserve">anti-emetics/anti-nauseants </w:t>
      </w:r>
      <w:r w:rsidR="00AF5220" w:rsidRPr="002D6525">
        <w:t xml:space="preserve">market to grow by </w:t>
      </w:r>
      <w:r w:rsidR="002069B8">
        <w:rPr>
          <w:noProof/>
          <w:color w:val="000000"/>
          <w:highlight w:val="black"/>
        </w:rPr>
        <w:t>'''''''</w:t>
      </w:r>
      <w:r w:rsidRPr="00CD1C7D">
        <w:t>%</w:t>
      </w:r>
      <w:r w:rsidR="00AF5220" w:rsidRPr="002D6525">
        <w:t xml:space="preserve"> per year based on the average annual growth rate over the last year</w:t>
      </w:r>
      <w:r w:rsidR="00684C23" w:rsidRPr="002D6525">
        <w:t xml:space="preserve">. </w:t>
      </w:r>
    </w:p>
    <w:p w:rsidR="007428C4" w:rsidRPr="002D6525" w:rsidRDefault="007428C4" w:rsidP="007428C4">
      <w:pPr>
        <w:pStyle w:val="Caption"/>
      </w:pPr>
      <w:r w:rsidRPr="002D6525">
        <w:t xml:space="preserve">Table </w:t>
      </w:r>
      <w:r w:rsidR="00AB3E1F" w:rsidRPr="002D6525">
        <w:t>2</w:t>
      </w:r>
      <w:r w:rsidRPr="002D6525">
        <w:t xml:space="preserve">: Financial impact of </w:t>
      </w:r>
      <w:r w:rsidR="002A21A5" w:rsidRPr="002D6525">
        <w:t>NEPA IV</w:t>
      </w:r>
      <w:r w:rsidRPr="002D6525">
        <w:t xml:space="preserve"> over six years</w:t>
      </w:r>
    </w:p>
    <w:tbl>
      <w:tblPr>
        <w:tblStyle w:val="TableGrid"/>
        <w:tblW w:w="0" w:type="auto"/>
        <w:tblLayout w:type="fixed"/>
        <w:tblLook w:val="04A0" w:firstRow="1" w:lastRow="0" w:firstColumn="1" w:lastColumn="0" w:noHBand="0" w:noVBand="1"/>
      </w:tblPr>
      <w:tblGrid>
        <w:gridCol w:w="1980"/>
        <w:gridCol w:w="1134"/>
        <w:gridCol w:w="1134"/>
        <w:gridCol w:w="1134"/>
        <w:gridCol w:w="1276"/>
        <w:gridCol w:w="1134"/>
        <w:gridCol w:w="1224"/>
      </w:tblGrid>
      <w:tr w:rsidR="007428C4" w:rsidRPr="002D6525" w:rsidTr="007428C4">
        <w:tc>
          <w:tcPr>
            <w:tcW w:w="1980" w:type="dxa"/>
            <w:tcBorders>
              <w:bottom w:val="single" w:sz="4" w:space="0" w:color="000000" w:themeColor="text1"/>
            </w:tcBorders>
            <w:shd w:val="clear" w:color="auto" w:fill="auto"/>
          </w:tcPr>
          <w:p w:rsidR="007428C4" w:rsidRPr="00C03667" w:rsidRDefault="007428C4" w:rsidP="007428C4">
            <w:pPr>
              <w:pStyle w:val="In-tableHeading"/>
              <w:rPr>
                <w:lang w:val="en-AU"/>
              </w:rPr>
            </w:pPr>
          </w:p>
        </w:tc>
        <w:tc>
          <w:tcPr>
            <w:tcW w:w="1134" w:type="dxa"/>
            <w:tcBorders>
              <w:bottom w:val="single" w:sz="4" w:space="0" w:color="000000" w:themeColor="text1"/>
            </w:tcBorders>
            <w:shd w:val="clear" w:color="auto" w:fill="auto"/>
          </w:tcPr>
          <w:p w:rsidR="007428C4" w:rsidRPr="00C03667" w:rsidRDefault="007428C4" w:rsidP="007428C4">
            <w:pPr>
              <w:pStyle w:val="In-tableHeading"/>
              <w:rPr>
                <w:lang w:val="en-AU"/>
              </w:rPr>
            </w:pPr>
            <w:r w:rsidRPr="00C03667">
              <w:rPr>
                <w:lang w:val="en-AU"/>
              </w:rPr>
              <w:t>Year 1</w:t>
            </w:r>
          </w:p>
        </w:tc>
        <w:tc>
          <w:tcPr>
            <w:tcW w:w="1134" w:type="dxa"/>
            <w:tcBorders>
              <w:bottom w:val="single" w:sz="4" w:space="0" w:color="000000" w:themeColor="text1"/>
            </w:tcBorders>
            <w:shd w:val="clear" w:color="auto" w:fill="auto"/>
          </w:tcPr>
          <w:p w:rsidR="007428C4" w:rsidRPr="00C03667" w:rsidRDefault="007428C4" w:rsidP="007428C4">
            <w:pPr>
              <w:pStyle w:val="In-tableHeading"/>
              <w:rPr>
                <w:lang w:val="en-AU"/>
              </w:rPr>
            </w:pPr>
            <w:r w:rsidRPr="00C03667">
              <w:rPr>
                <w:lang w:val="en-AU"/>
              </w:rPr>
              <w:t>Year 2</w:t>
            </w:r>
          </w:p>
        </w:tc>
        <w:tc>
          <w:tcPr>
            <w:tcW w:w="1134" w:type="dxa"/>
            <w:tcBorders>
              <w:bottom w:val="single" w:sz="4" w:space="0" w:color="000000" w:themeColor="text1"/>
            </w:tcBorders>
            <w:shd w:val="clear" w:color="auto" w:fill="auto"/>
          </w:tcPr>
          <w:p w:rsidR="007428C4" w:rsidRPr="00C03667" w:rsidRDefault="007428C4" w:rsidP="007428C4">
            <w:pPr>
              <w:pStyle w:val="In-tableHeading"/>
              <w:rPr>
                <w:lang w:val="en-AU"/>
              </w:rPr>
            </w:pPr>
            <w:r w:rsidRPr="00C03667">
              <w:rPr>
                <w:lang w:val="en-AU"/>
              </w:rPr>
              <w:t>Year 3</w:t>
            </w:r>
          </w:p>
        </w:tc>
        <w:tc>
          <w:tcPr>
            <w:tcW w:w="1276" w:type="dxa"/>
            <w:tcBorders>
              <w:bottom w:val="single" w:sz="4" w:space="0" w:color="000000" w:themeColor="text1"/>
            </w:tcBorders>
            <w:shd w:val="clear" w:color="auto" w:fill="auto"/>
          </w:tcPr>
          <w:p w:rsidR="007428C4" w:rsidRPr="00C03667" w:rsidRDefault="007428C4" w:rsidP="007428C4">
            <w:pPr>
              <w:pStyle w:val="In-tableHeading"/>
              <w:rPr>
                <w:lang w:val="en-AU"/>
              </w:rPr>
            </w:pPr>
            <w:r w:rsidRPr="00C03667">
              <w:rPr>
                <w:lang w:val="en-AU"/>
              </w:rPr>
              <w:t>Year 4</w:t>
            </w:r>
          </w:p>
        </w:tc>
        <w:tc>
          <w:tcPr>
            <w:tcW w:w="1134" w:type="dxa"/>
            <w:tcBorders>
              <w:bottom w:val="single" w:sz="4" w:space="0" w:color="000000" w:themeColor="text1"/>
            </w:tcBorders>
            <w:shd w:val="clear" w:color="auto" w:fill="auto"/>
          </w:tcPr>
          <w:p w:rsidR="007428C4" w:rsidRPr="00C03667" w:rsidRDefault="007428C4" w:rsidP="007428C4">
            <w:pPr>
              <w:pStyle w:val="In-tableHeading"/>
              <w:rPr>
                <w:lang w:val="en-AU"/>
              </w:rPr>
            </w:pPr>
            <w:r w:rsidRPr="00C03667">
              <w:rPr>
                <w:lang w:val="en-AU"/>
              </w:rPr>
              <w:t>Year 5</w:t>
            </w:r>
          </w:p>
        </w:tc>
        <w:tc>
          <w:tcPr>
            <w:tcW w:w="1224" w:type="dxa"/>
            <w:tcBorders>
              <w:bottom w:val="single" w:sz="4" w:space="0" w:color="000000" w:themeColor="text1"/>
            </w:tcBorders>
            <w:shd w:val="clear" w:color="auto" w:fill="auto"/>
          </w:tcPr>
          <w:p w:rsidR="007428C4" w:rsidRPr="00C03667" w:rsidRDefault="007428C4" w:rsidP="007428C4">
            <w:pPr>
              <w:pStyle w:val="In-tableHeading"/>
              <w:rPr>
                <w:lang w:val="en-AU"/>
              </w:rPr>
            </w:pPr>
            <w:r w:rsidRPr="00C03667">
              <w:rPr>
                <w:lang w:val="en-AU"/>
              </w:rPr>
              <w:t>Year 6</w:t>
            </w:r>
          </w:p>
        </w:tc>
      </w:tr>
      <w:tr w:rsidR="007428C4" w:rsidRPr="002D6525" w:rsidTr="007428C4">
        <w:tc>
          <w:tcPr>
            <w:tcW w:w="9016" w:type="dxa"/>
            <w:gridSpan w:val="7"/>
            <w:shd w:val="clear" w:color="auto" w:fill="auto"/>
          </w:tcPr>
          <w:p w:rsidR="007428C4" w:rsidRPr="00C03667" w:rsidRDefault="007428C4" w:rsidP="007428C4">
            <w:pPr>
              <w:pStyle w:val="In-tableHeading"/>
              <w:rPr>
                <w:lang w:val="en-AU"/>
              </w:rPr>
            </w:pPr>
            <w:r w:rsidRPr="00C03667">
              <w:rPr>
                <w:lang w:val="en-AU"/>
              </w:rPr>
              <w:t xml:space="preserve">Estimated number of PBS/RPBS scripts for </w:t>
            </w:r>
            <w:r w:rsidR="002A21A5" w:rsidRPr="00C03667">
              <w:rPr>
                <w:lang w:val="en-AU"/>
              </w:rPr>
              <w:t>NEPA IV</w:t>
            </w:r>
            <w:r w:rsidRPr="00C03667">
              <w:rPr>
                <w:lang w:val="en-AU"/>
              </w:rPr>
              <w:t xml:space="preserve"> </w:t>
            </w:r>
          </w:p>
        </w:tc>
      </w:tr>
      <w:tr w:rsidR="007428C4" w:rsidRPr="002D6525" w:rsidTr="007428C4">
        <w:tc>
          <w:tcPr>
            <w:tcW w:w="1980" w:type="dxa"/>
            <w:shd w:val="clear" w:color="auto" w:fill="auto"/>
          </w:tcPr>
          <w:p w:rsidR="007428C4" w:rsidRPr="002D6525" w:rsidRDefault="007428C4" w:rsidP="007428C4">
            <w:pPr>
              <w:pStyle w:val="TableText"/>
            </w:pPr>
            <w:r w:rsidRPr="002D6525">
              <w:t>Total number of GE PBS/RPBS services</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276"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22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r>
      <w:tr w:rsidR="007428C4" w:rsidRPr="002D6525" w:rsidTr="007428C4">
        <w:tc>
          <w:tcPr>
            <w:tcW w:w="1980" w:type="dxa"/>
            <w:shd w:val="clear" w:color="auto" w:fill="auto"/>
          </w:tcPr>
          <w:p w:rsidR="007428C4" w:rsidRPr="002D6525" w:rsidRDefault="007428C4" w:rsidP="007428C4">
            <w:pPr>
              <w:pStyle w:val="TableText"/>
            </w:pPr>
            <w:r w:rsidRPr="002D6525">
              <w:t>Total number of CT PBS/RPBS services</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276"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22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r>
      <w:tr w:rsidR="007428C4" w:rsidRPr="002D6525" w:rsidTr="007428C4">
        <w:tc>
          <w:tcPr>
            <w:tcW w:w="1980" w:type="dxa"/>
            <w:shd w:val="clear" w:color="auto" w:fill="auto"/>
          </w:tcPr>
          <w:p w:rsidR="007428C4" w:rsidRPr="002D6525" w:rsidRDefault="007428C4" w:rsidP="007428C4">
            <w:pPr>
              <w:pStyle w:val="TableText"/>
            </w:pPr>
            <w:r w:rsidRPr="002D6525">
              <w:t>Total number of PBS/RPBS services</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276"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13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c>
          <w:tcPr>
            <w:tcW w:w="1224" w:type="dxa"/>
            <w:shd w:val="clear" w:color="auto" w:fill="auto"/>
          </w:tcPr>
          <w:p w:rsidR="007428C4" w:rsidRPr="002069B8" w:rsidRDefault="002069B8" w:rsidP="007434BD">
            <w:pPr>
              <w:pStyle w:val="TableText"/>
              <w:jc w:val="center"/>
              <w:rPr>
                <w:szCs w:val="20"/>
                <w:highlight w:val="black"/>
              </w:rPr>
            </w:pPr>
            <w:r>
              <w:rPr>
                <w:noProof/>
                <w:color w:val="000000"/>
                <w:szCs w:val="20"/>
                <w:highlight w:val="black"/>
              </w:rPr>
              <w:t>''''''''''''''''</w:t>
            </w:r>
          </w:p>
        </w:tc>
      </w:tr>
      <w:tr w:rsidR="007428C4" w:rsidRPr="002D6525" w:rsidTr="007428C4">
        <w:tc>
          <w:tcPr>
            <w:tcW w:w="9016" w:type="dxa"/>
            <w:gridSpan w:val="7"/>
            <w:shd w:val="clear" w:color="auto" w:fill="auto"/>
          </w:tcPr>
          <w:p w:rsidR="007428C4" w:rsidRPr="00C03667" w:rsidRDefault="007428C4" w:rsidP="007428C4">
            <w:pPr>
              <w:pStyle w:val="In-tableHeading"/>
              <w:rPr>
                <w:lang w:val="en-AU"/>
              </w:rPr>
            </w:pPr>
            <w:r w:rsidRPr="00C03667">
              <w:rPr>
                <w:lang w:val="en-AU"/>
              </w:rPr>
              <w:t>Estimated net cost to PBS/RPBS (DPMQ less co-payments)</w:t>
            </w:r>
          </w:p>
        </w:tc>
      </w:tr>
      <w:tr w:rsidR="007428C4" w:rsidRPr="002D6525" w:rsidTr="007428C4">
        <w:tc>
          <w:tcPr>
            <w:tcW w:w="1980" w:type="dxa"/>
            <w:shd w:val="clear" w:color="auto" w:fill="auto"/>
          </w:tcPr>
          <w:p w:rsidR="007428C4" w:rsidRPr="002D6525" w:rsidRDefault="007428C4" w:rsidP="007428C4">
            <w:pPr>
              <w:pStyle w:val="TableText"/>
            </w:pPr>
            <w:r w:rsidRPr="002D6525">
              <w:t xml:space="preserve">Net PBS/RPBS cost for </w:t>
            </w:r>
            <w:r w:rsidR="002A21A5" w:rsidRPr="002D6525">
              <w:t>NEPA IV</w:t>
            </w:r>
          </w:p>
        </w:tc>
        <w:tc>
          <w:tcPr>
            <w:tcW w:w="1134" w:type="dxa"/>
            <w:shd w:val="clear" w:color="auto" w:fill="auto"/>
          </w:tcPr>
          <w:p w:rsidR="007428C4" w:rsidRPr="002D6525" w:rsidRDefault="007428C4" w:rsidP="007434BD">
            <w:pPr>
              <w:pStyle w:val="TableText"/>
              <w:jc w:val="center"/>
            </w:pPr>
            <w:r w:rsidRPr="002D6525">
              <w:t>$</w:t>
            </w:r>
            <w:r w:rsidR="002069B8">
              <w:rPr>
                <w:noProof/>
                <w:color w:val="000000"/>
                <w:highlight w:val="black"/>
              </w:rPr>
              <w:t>''''''''''''''''''''</w:t>
            </w:r>
          </w:p>
        </w:tc>
        <w:tc>
          <w:tcPr>
            <w:tcW w:w="1134" w:type="dxa"/>
            <w:shd w:val="clear" w:color="auto" w:fill="auto"/>
          </w:tcPr>
          <w:p w:rsidR="007428C4" w:rsidRPr="002D6525" w:rsidRDefault="007428C4" w:rsidP="007434BD">
            <w:pPr>
              <w:pStyle w:val="TableText"/>
              <w:jc w:val="center"/>
            </w:pPr>
            <w:r w:rsidRPr="002D6525">
              <w:t>$</w:t>
            </w:r>
            <w:r w:rsidR="002069B8">
              <w:rPr>
                <w:noProof/>
                <w:color w:val="000000"/>
                <w:highlight w:val="black"/>
              </w:rPr>
              <w:t>'''''''''''''''''''''</w:t>
            </w:r>
          </w:p>
        </w:tc>
        <w:tc>
          <w:tcPr>
            <w:tcW w:w="1134" w:type="dxa"/>
            <w:shd w:val="clear" w:color="auto" w:fill="auto"/>
          </w:tcPr>
          <w:p w:rsidR="007428C4" w:rsidRPr="002D6525" w:rsidRDefault="007428C4" w:rsidP="007434BD">
            <w:pPr>
              <w:pStyle w:val="TableText"/>
              <w:jc w:val="center"/>
            </w:pPr>
            <w:r w:rsidRPr="002D6525">
              <w:t>$</w:t>
            </w:r>
            <w:r w:rsidR="002069B8">
              <w:rPr>
                <w:noProof/>
                <w:color w:val="000000"/>
                <w:highlight w:val="black"/>
              </w:rPr>
              <w:t>'''''''''''''''''''''</w:t>
            </w:r>
          </w:p>
        </w:tc>
        <w:tc>
          <w:tcPr>
            <w:tcW w:w="1276" w:type="dxa"/>
            <w:shd w:val="clear" w:color="auto" w:fill="auto"/>
          </w:tcPr>
          <w:p w:rsidR="007428C4" w:rsidRPr="002D6525" w:rsidRDefault="007428C4" w:rsidP="007434BD">
            <w:pPr>
              <w:pStyle w:val="TableText"/>
              <w:jc w:val="center"/>
            </w:pPr>
            <w:r w:rsidRPr="002D6525">
              <w:t>$</w:t>
            </w:r>
            <w:r w:rsidR="002069B8">
              <w:rPr>
                <w:noProof/>
                <w:color w:val="000000"/>
                <w:highlight w:val="black"/>
              </w:rPr>
              <w:t>''''''''''''''''''</w:t>
            </w:r>
          </w:p>
        </w:tc>
        <w:tc>
          <w:tcPr>
            <w:tcW w:w="1134" w:type="dxa"/>
            <w:shd w:val="clear" w:color="auto" w:fill="auto"/>
          </w:tcPr>
          <w:p w:rsidR="007428C4" w:rsidRPr="002D6525" w:rsidRDefault="007428C4" w:rsidP="007434BD">
            <w:pPr>
              <w:pStyle w:val="TableText"/>
              <w:jc w:val="center"/>
            </w:pPr>
            <w:r w:rsidRPr="002D6525">
              <w:t>$</w:t>
            </w:r>
            <w:r w:rsidR="002069B8">
              <w:rPr>
                <w:noProof/>
                <w:color w:val="000000"/>
                <w:highlight w:val="black"/>
              </w:rPr>
              <w:t>'''''''''''''''''''''''</w:t>
            </w:r>
          </w:p>
        </w:tc>
        <w:tc>
          <w:tcPr>
            <w:tcW w:w="1224" w:type="dxa"/>
            <w:shd w:val="clear" w:color="auto" w:fill="auto"/>
          </w:tcPr>
          <w:p w:rsidR="007428C4" w:rsidRPr="002D6525" w:rsidRDefault="007428C4" w:rsidP="007434BD">
            <w:pPr>
              <w:pStyle w:val="TableText"/>
              <w:jc w:val="center"/>
            </w:pPr>
            <w:r w:rsidRPr="002D6525">
              <w:t>$</w:t>
            </w:r>
            <w:r w:rsidR="002069B8">
              <w:rPr>
                <w:noProof/>
                <w:color w:val="000000"/>
                <w:highlight w:val="black"/>
              </w:rPr>
              <w:t>'''''''''''''''''''''''</w:t>
            </w:r>
          </w:p>
        </w:tc>
      </w:tr>
      <w:tr w:rsidR="007428C4" w:rsidRPr="002D6525" w:rsidTr="007428C4">
        <w:tc>
          <w:tcPr>
            <w:tcW w:w="1980" w:type="dxa"/>
            <w:shd w:val="clear" w:color="auto" w:fill="auto"/>
          </w:tcPr>
          <w:p w:rsidR="007428C4" w:rsidRPr="002D6525" w:rsidRDefault="007428C4" w:rsidP="007428C4">
            <w:pPr>
              <w:pStyle w:val="TableText"/>
            </w:pPr>
            <w:r w:rsidRPr="002D6525">
              <w:t xml:space="preserve">Net PBS/RPBS saving for </w:t>
            </w:r>
            <w:r w:rsidR="002A21A5" w:rsidRPr="002D6525">
              <w:t>NEPA IV</w:t>
            </w:r>
          </w:p>
        </w:tc>
        <w:tc>
          <w:tcPr>
            <w:tcW w:w="1134" w:type="dxa"/>
            <w:shd w:val="clear" w:color="auto" w:fill="auto"/>
          </w:tcPr>
          <w:p w:rsidR="007428C4" w:rsidRPr="002D6525" w:rsidRDefault="009B34BE" w:rsidP="007434BD">
            <w:pPr>
              <w:pStyle w:val="TableText"/>
              <w:jc w:val="center"/>
            </w:pPr>
            <w:r w:rsidRPr="002D6525">
              <w:t>-</w:t>
            </w:r>
            <w:r w:rsidR="007428C4" w:rsidRPr="002D6525">
              <w:t>$</w:t>
            </w:r>
            <w:r w:rsidR="002069B8">
              <w:rPr>
                <w:noProof/>
                <w:color w:val="000000"/>
                <w:highlight w:val="black"/>
              </w:rPr>
              <w:t>'''''''''''''''''</w:t>
            </w:r>
          </w:p>
        </w:tc>
        <w:tc>
          <w:tcPr>
            <w:tcW w:w="1134" w:type="dxa"/>
            <w:shd w:val="clear" w:color="auto" w:fill="auto"/>
          </w:tcPr>
          <w:p w:rsidR="007428C4" w:rsidRPr="002D6525" w:rsidRDefault="009B34BE" w:rsidP="007434BD">
            <w:pPr>
              <w:pStyle w:val="TableText"/>
              <w:jc w:val="center"/>
            </w:pPr>
            <w:r w:rsidRPr="002D6525">
              <w:t>-</w:t>
            </w:r>
            <w:r w:rsidR="007428C4" w:rsidRPr="002D6525">
              <w:t>$</w:t>
            </w:r>
            <w:r w:rsidR="002069B8">
              <w:rPr>
                <w:noProof/>
                <w:color w:val="000000"/>
                <w:highlight w:val="black"/>
              </w:rPr>
              <w:t>'''''''''''''''''</w:t>
            </w:r>
          </w:p>
        </w:tc>
        <w:tc>
          <w:tcPr>
            <w:tcW w:w="1134" w:type="dxa"/>
            <w:shd w:val="clear" w:color="auto" w:fill="auto"/>
          </w:tcPr>
          <w:p w:rsidR="007428C4" w:rsidRPr="002D6525" w:rsidRDefault="009B34BE" w:rsidP="007434BD">
            <w:pPr>
              <w:pStyle w:val="TableText"/>
              <w:jc w:val="center"/>
            </w:pPr>
            <w:r w:rsidRPr="002D6525">
              <w:t>-</w:t>
            </w:r>
            <w:r w:rsidR="007428C4" w:rsidRPr="002D6525">
              <w:t>$</w:t>
            </w:r>
            <w:r w:rsidR="002069B8">
              <w:rPr>
                <w:noProof/>
                <w:color w:val="000000"/>
                <w:highlight w:val="black"/>
              </w:rPr>
              <w:t>''''''''''''''''''''</w:t>
            </w:r>
          </w:p>
        </w:tc>
        <w:tc>
          <w:tcPr>
            <w:tcW w:w="1276" w:type="dxa"/>
            <w:shd w:val="clear" w:color="auto" w:fill="auto"/>
          </w:tcPr>
          <w:p w:rsidR="007428C4" w:rsidRPr="002D6525" w:rsidRDefault="009B34BE" w:rsidP="007434BD">
            <w:pPr>
              <w:pStyle w:val="TableText"/>
              <w:jc w:val="center"/>
            </w:pPr>
            <w:r w:rsidRPr="002D6525">
              <w:t>-</w:t>
            </w:r>
            <w:r w:rsidR="007428C4" w:rsidRPr="002D6525">
              <w:t>$</w:t>
            </w:r>
            <w:r w:rsidR="002069B8">
              <w:rPr>
                <w:noProof/>
                <w:color w:val="000000"/>
                <w:highlight w:val="black"/>
              </w:rPr>
              <w:t>''''''''''''''''''''</w:t>
            </w:r>
          </w:p>
        </w:tc>
        <w:tc>
          <w:tcPr>
            <w:tcW w:w="1134" w:type="dxa"/>
            <w:shd w:val="clear" w:color="auto" w:fill="auto"/>
          </w:tcPr>
          <w:p w:rsidR="007428C4" w:rsidRPr="002D6525" w:rsidRDefault="009B34BE" w:rsidP="007434BD">
            <w:pPr>
              <w:pStyle w:val="TableText"/>
              <w:jc w:val="center"/>
            </w:pPr>
            <w:r w:rsidRPr="002D6525">
              <w:t>-</w:t>
            </w:r>
            <w:r w:rsidR="007428C4" w:rsidRPr="002D6525">
              <w:t>$</w:t>
            </w:r>
            <w:r w:rsidR="002069B8">
              <w:rPr>
                <w:noProof/>
                <w:color w:val="000000"/>
                <w:highlight w:val="black"/>
              </w:rPr>
              <w:t>'''''''''''''''''''''''''</w:t>
            </w:r>
          </w:p>
        </w:tc>
        <w:tc>
          <w:tcPr>
            <w:tcW w:w="1224" w:type="dxa"/>
            <w:shd w:val="clear" w:color="auto" w:fill="auto"/>
          </w:tcPr>
          <w:p w:rsidR="007428C4" w:rsidRPr="002D6525" w:rsidRDefault="009B34BE" w:rsidP="007434BD">
            <w:pPr>
              <w:pStyle w:val="TableText"/>
              <w:jc w:val="center"/>
            </w:pPr>
            <w:r w:rsidRPr="002D6525">
              <w:t>-</w:t>
            </w:r>
            <w:r w:rsidR="007428C4" w:rsidRPr="004D47EF">
              <w:t>$</w:t>
            </w:r>
            <w:r w:rsidR="002069B8">
              <w:rPr>
                <w:noProof/>
                <w:color w:val="000000"/>
                <w:highlight w:val="black"/>
              </w:rPr>
              <w:t>'''''''''''''''''''''''</w:t>
            </w:r>
          </w:p>
        </w:tc>
      </w:tr>
      <w:tr w:rsidR="007434BD" w:rsidRPr="002D6525" w:rsidTr="00BF6C31">
        <w:tc>
          <w:tcPr>
            <w:tcW w:w="1980" w:type="dxa"/>
            <w:shd w:val="clear" w:color="auto" w:fill="auto"/>
          </w:tcPr>
          <w:p w:rsidR="007434BD" w:rsidRPr="00C03667" w:rsidRDefault="007434BD" w:rsidP="007434BD">
            <w:pPr>
              <w:pStyle w:val="In-tableHeading"/>
              <w:rPr>
                <w:lang w:val="en-AU"/>
              </w:rPr>
            </w:pPr>
            <w:r w:rsidRPr="00C03667">
              <w:rPr>
                <w:lang w:val="en-AU"/>
              </w:rPr>
              <w:t xml:space="preserve">Net cost to Government </w:t>
            </w:r>
          </w:p>
        </w:tc>
        <w:tc>
          <w:tcPr>
            <w:tcW w:w="1134" w:type="dxa"/>
            <w:shd w:val="clear" w:color="auto" w:fill="auto"/>
          </w:tcPr>
          <w:p w:rsidR="007434BD" w:rsidRPr="00C03667" w:rsidRDefault="007434BD" w:rsidP="007434BD">
            <w:pPr>
              <w:pStyle w:val="In-tableHeading"/>
              <w:jc w:val="center"/>
              <w:rPr>
                <w:lang w:val="en-AU"/>
              </w:rPr>
            </w:pPr>
            <w:r w:rsidRPr="00C03667">
              <w:rPr>
                <w:lang w:val="en-AU"/>
              </w:rPr>
              <w:t>$</w:t>
            </w:r>
            <w:r w:rsidR="002069B8">
              <w:rPr>
                <w:noProof/>
                <w:color w:val="000000"/>
                <w:highlight w:val="black"/>
                <w:lang w:val="en-AU"/>
              </w:rPr>
              <w:t>''''''</w:t>
            </w:r>
          </w:p>
        </w:tc>
        <w:tc>
          <w:tcPr>
            <w:tcW w:w="1134" w:type="dxa"/>
            <w:shd w:val="clear" w:color="auto" w:fill="auto"/>
          </w:tcPr>
          <w:p w:rsidR="007434BD" w:rsidRPr="00C03667" w:rsidRDefault="007434BD" w:rsidP="007434BD">
            <w:pPr>
              <w:pStyle w:val="In-tableHeading"/>
              <w:jc w:val="center"/>
              <w:rPr>
                <w:lang w:val="en-AU"/>
              </w:rPr>
            </w:pPr>
            <w:r w:rsidRPr="00C03667">
              <w:rPr>
                <w:lang w:val="en-AU"/>
              </w:rPr>
              <w:t>$</w:t>
            </w:r>
            <w:r w:rsidR="002069B8">
              <w:rPr>
                <w:noProof/>
                <w:color w:val="000000"/>
                <w:highlight w:val="black"/>
                <w:lang w:val="en-AU"/>
              </w:rPr>
              <w:t>''''''''</w:t>
            </w:r>
          </w:p>
        </w:tc>
        <w:tc>
          <w:tcPr>
            <w:tcW w:w="1134" w:type="dxa"/>
            <w:shd w:val="clear" w:color="auto" w:fill="auto"/>
          </w:tcPr>
          <w:p w:rsidR="007434BD" w:rsidRPr="00C03667" w:rsidRDefault="007434BD" w:rsidP="007434BD">
            <w:pPr>
              <w:pStyle w:val="In-tableHeading"/>
              <w:jc w:val="center"/>
              <w:rPr>
                <w:lang w:val="en-AU"/>
              </w:rPr>
            </w:pPr>
            <w:r w:rsidRPr="00C03667">
              <w:rPr>
                <w:lang w:val="en-AU"/>
              </w:rPr>
              <w:t>$</w:t>
            </w:r>
            <w:r w:rsidR="002069B8">
              <w:rPr>
                <w:noProof/>
                <w:color w:val="000000"/>
                <w:highlight w:val="black"/>
                <w:lang w:val="en-AU"/>
              </w:rPr>
              <w:t>''''''''</w:t>
            </w:r>
          </w:p>
        </w:tc>
        <w:tc>
          <w:tcPr>
            <w:tcW w:w="1276" w:type="dxa"/>
            <w:shd w:val="clear" w:color="auto" w:fill="auto"/>
          </w:tcPr>
          <w:p w:rsidR="007434BD" w:rsidRPr="00C03667" w:rsidRDefault="007434BD" w:rsidP="007434BD">
            <w:pPr>
              <w:pStyle w:val="In-tableHeading"/>
              <w:jc w:val="center"/>
              <w:rPr>
                <w:lang w:val="en-AU"/>
              </w:rPr>
            </w:pPr>
            <w:r w:rsidRPr="00C03667">
              <w:rPr>
                <w:lang w:val="en-AU"/>
              </w:rPr>
              <w:t>$</w:t>
            </w:r>
            <w:r w:rsidR="002069B8">
              <w:rPr>
                <w:noProof/>
                <w:color w:val="000000"/>
                <w:highlight w:val="black"/>
                <w:lang w:val="en-AU"/>
              </w:rPr>
              <w:t>''''''''</w:t>
            </w:r>
          </w:p>
        </w:tc>
        <w:tc>
          <w:tcPr>
            <w:tcW w:w="1134" w:type="dxa"/>
            <w:shd w:val="clear" w:color="auto" w:fill="auto"/>
          </w:tcPr>
          <w:p w:rsidR="007434BD" w:rsidRPr="00C03667" w:rsidRDefault="007434BD" w:rsidP="007434BD">
            <w:pPr>
              <w:pStyle w:val="In-tableHeading"/>
              <w:jc w:val="center"/>
              <w:rPr>
                <w:lang w:val="en-AU"/>
              </w:rPr>
            </w:pPr>
            <w:r w:rsidRPr="00C03667">
              <w:rPr>
                <w:lang w:val="en-AU"/>
              </w:rPr>
              <w:t>$</w:t>
            </w:r>
            <w:r w:rsidR="002069B8">
              <w:rPr>
                <w:noProof/>
                <w:color w:val="000000"/>
                <w:highlight w:val="black"/>
                <w:lang w:val="en-AU"/>
              </w:rPr>
              <w:t>'''''''</w:t>
            </w:r>
          </w:p>
        </w:tc>
        <w:tc>
          <w:tcPr>
            <w:tcW w:w="1224" w:type="dxa"/>
            <w:shd w:val="clear" w:color="auto" w:fill="auto"/>
          </w:tcPr>
          <w:p w:rsidR="007434BD" w:rsidRPr="00C03667" w:rsidRDefault="007434BD" w:rsidP="007434BD">
            <w:pPr>
              <w:pStyle w:val="In-tableHeading"/>
              <w:jc w:val="center"/>
              <w:rPr>
                <w:lang w:val="en-AU"/>
              </w:rPr>
            </w:pPr>
            <w:r w:rsidRPr="00C03667">
              <w:rPr>
                <w:lang w:val="en-AU"/>
              </w:rPr>
              <w:t>$</w:t>
            </w:r>
            <w:r w:rsidR="002069B8">
              <w:rPr>
                <w:noProof/>
                <w:color w:val="000000"/>
                <w:highlight w:val="black"/>
                <w:lang w:val="en-AU"/>
              </w:rPr>
              <w:t>'''''''</w:t>
            </w:r>
          </w:p>
        </w:tc>
      </w:tr>
    </w:tbl>
    <w:p w:rsidR="00945853" w:rsidRPr="002D6525" w:rsidRDefault="00945853" w:rsidP="007434BD">
      <w:pPr>
        <w:pStyle w:val="TableFigureFooter"/>
      </w:pPr>
      <w:r w:rsidRPr="002D6525">
        <w:t>GE: General Schedule; CT: Efficient Funding of Chemotherapy – Related benefits</w:t>
      </w:r>
    </w:p>
    <w:p w:rsidR="005422D5" w:rsidRDefault="007434BD" w:rsidP="007434BD">
      <w:pPr>
        <w:pStyle w:val="TableFigureFooter"/>
      </w:pPr>
      <w:r w:rsidRPr="002D6525">
        <w:t xml:space="preserve">Source: </w:t>
      </w:r>
      <w:r w:rsidR="00971F24" w:rsidRPr="002D6525">
        <w:t xml:space="preserve">Minor Submission, </w:t>
      </w:r>
      <w:r w:rsidRPr="002D6525">
        <w:t>Table 22 (pp 52)</w:t>
      </w:r>
      <w:r w:rsidR="00971F24" w:rsidRPr="002D6525">
        <w:t>.</w:t>
      </w:r>
    </w:p>
    <w:p w:rsidR="00624431" w:rsidRDefault="00624431" w:rsidP="007434BD">
      <w:pPr>
        <w:pStyle w:val="TableFigureFooter"/>
      </w:pPr>
    </w:p>
    <w:p w:rsidR="00624431" w:rsidRPr="00624431" w:rsidRDefault="00624431" w:rsidP="007434BD">
      <w:pPr>
        <w:pStyle w:val="TableFigureFooter"/>
        <w:rPr>
          <w:rFonts w:asciiTheme="minorHAnsi" w:hAnsiTheme="minorHAnsi" w:cstheme="minorHAnsi"/>
          <w:i/>
          <w:sz w:val="24"/>
          <w:szCs w:val="24"/>
        </w:rPr>
      </w:pPr>
      <w:r w:rsidRPr="00624431">
        <w:rPr>
          <w:rFonts w:asciiTheme="minorHAnsi" w:hAnsiTheme="minorHAnsi" w:cstheme="minorHAnsi"/>
          <w:i/>
          <w:sz w:val="24"/>
          <w:szCs w:val="24"/>
        </w:rPr>
        <w:t xml:space="preserve">The redacted table shows that at Year 6, the estimated number of patients was </w:t>
      </w:r>
      <w:r>
        <w:rPr>
          <w:rFonts w:asciiTheme="minorHAnsi" w:hAnsiTheme="minorHAnsi" w:cstheme="minorHAnsi"/>
          <w:i/>
          <w:sz w:val="24"/>
          <w:szCs w:val="24"/>
        </w:rPr>
        <w:t xml:space="preserve">less than 10,000 per year and </w:t>
      </w:r>
      <w:r w:rsidRPr="00624431">
        <w:rPr>
          <w:rFonts w:asciiTheme="minorHAnsi" w:hAnsiTheme="minorHAnsi" w:cstheme="minorHAnsi"/>
          <w:i/>
          <w:sz w:val="24"/>
          <w:szCs w:val="24"/>
        </w:rPr>
        <w:t xml:space="preserve">the net cost to the PBS would be </w:t>
      </w:r>
      <w:r>
        <w:rPr>
          <w:rFonts w:asciiTheme="minorHAnsi" w:hAnsiTheme="minorHAnsi" w:cstheme="minorHAnsi"/>
          <w:i/>
          <w:sz w:val="24"/>
          <w:szCs w:val="24"/>
        </w:rPr>
        <w:t>less than $10 million.</w:t>
      </w:r>
    </w:p>
    <w:p w:rsidR="005422D5" w:rsidRPr="002D6525" w:rsidRDefault="005422D5" w:rsidP="005422D5">
      <w:pPr>
        <w:pStyle w:val="3Bodytext"/>
      </w:pPr>
      <w:r w:rsidRPr="002D6525">
        <w:t xml:space="preserve">The Sponsor noted the minor net-cost </w:t>
      </w:r>
      <w:r w:rsidR="006B272A" w:rsidRPr="002D6525">
        <w:t xml:space="preserve">to government amounts in Table </w:t>
      </w:r>
      <w:r w:rsidR="00AB3E1F" w:rsidRPr="002D6525">
        <w:t>2</w:t>
      </w:r>
      <w:r w:rsidRPr="002D6525">
        <w:t xml:space="preserve"> were due to rounding errors in the financials spreadsheet.</w:t>
      </w:r>
    </w:p>
    <w:p w:rsidR="00F821D0" w:rsidRPr="002D6525" w:rsidRDefault="00F821D0" w:rsidP="00F821D0">
      <w:pPr>
        <w:pStyle w:val="3Bodytext"/>
      </w:pPr>
      <w:r w:rsidRPr="002D6525">
        <w:t>The Secretariat not</w:t>
      </w:r>
      <w:r w:rsidR="00351DCC" w:rsidRPr="002D6525">
        <w:t>ed</w:t>
      </w:r>
      <w:r w:rsidRPr="002D6525">
        <w:t xml:space="preserve"> the price for </w:t>
      </w:r>
      <w:r w:rsidR="009812D4" w:rsidRPr="002D6525">
        <w:t xml:space="preserve">aprepitant </w:t>
      </w:r>
      <w:r w:rsidRPr="002D6525">
        <w:t xml:space="preserve">oral used by the sponsor </w:t>
      </w:r>
      <w:r w:rsidR="009812D4" w:rsidRPr="002D6525">
        <w:t>was not current</w:t>
      </w:r>
      <w:r w:rsidRPr="002D6525">
        <w:t xml:space="preserve">. When </w:t>
      </w:r>
      <w:r w:rsidR="009812D4" w:rsidRPr="002D6525">
        <w:t>updating the</w:t>
      </w:r>
      <w:r w:rsidRPr="002D6525">
        <w:t xml:space="preserve"> AEMP </w:t>
      </w:r>
      <w:r w:rsidR="009812D4" w:rsidRPr="002D6525">
        <w:t xml:space="preserve">to </w:t>
      </w:r>
      <w:r w:rsidRPr="002D6525">
        <w:t xml:space="preserve">$62.30, in place of the $97.16 applied by the sponsor, </w:t>
      </w:r>
      <w:r w:rsidR="009812D4" w:rsidRPr="002D6525">
        <w:t xml:space="preserve">the </w:t>
      </w:r>
      <w:r w:rsidRPr="002D6525">
        <w:t xml:space="preserve">net cost to government </w:t>
      </w:r>
      <w:r w:rsidR="009812D4" w:rsidRPr="002D6525">
        <w:t>increased</w:t>
      </w:r>
      <w:r w:rsidR="003E6864" w:rsidRPr="002D6525">
        <w:t>:</w:t>
      </w:r>
      <w:r w:rsidR="009812D4" w:rsidRPr="002D6525">
        <w:t xml:space="preserve"> </w:t>
      </w:r>
      <w:r w:rsidR="002643B5">
        <w:t>less than $10 million</w:t>
      </w:r>
      <w:r w:rsidR="009812D4" w:rsidRPr="002D6525">
        <w:t xml:space="preserve"> in</w:t>
      </w:r>
      <w:r w:rsidRPr="002D6525">
        <w:t xml:space="preserve"> </w:t>
      </w:r>
      <w:r w:rsidR="009812D4" w:rsidRPr="002D6525">
        <w:t xml:space="preserve">Year </w:t>
      </w:r>
      <w:r w:rsidRPr="002D6525">
        <w:t xml:space="preserve">1 to </w:t>
      </w:r>
      <w:r w:rsidR="002643B5">
        <w:t>less than $10 million</w:t>
      </w:r>
      <w:r w:rsidRPr="002D6525">
        <w:t xml:space="preserve"> in </w:t>
      </w:r>
      <w:r w:rsidR="009812D4" w:rsidRPr="002D6525">
        <w:t xml:space="preserve">Year </w:t>
      </w:r>
      <w:r w:rsidRPr="002D6525">
        <w:t>6</w:t>
      </w:r>
      <w:r w:rsidR="009812D4" w:rsidRPr="002D6525">
        <w:t>,</w:t>
      </w:r>
      <w:r w:rsidRPr="002D6525">
        <w:t xml:space="preserve"> with a total cost of </w:t>
      </w:r>
      <w:r w:rsidR="002643B5">
        <w:t>less than $10 million</w:t>
      </w:r>
      <w:r w:rsidRPr="002D6525">
        <w:t xml:space="preserve"> over </w:t>
      </w:r>
      <w:r w:rsidR="009812D4" w:rsidRPr="002D6525">
        <w:t xml:space="preserve">six </w:t>
      </w:r>
      <w:r w:rsidRPr="002D6525">
        <w:t>years.</w:t>
      </w:r>
    </w:p>
    <w:p w:rsidR="00E30C2E" w:rsidRPr="002D6525" w:rsidRDefault="00E30C2E" w:rsidP="00E30C2E">
      <w:pPr>
        <w:pStyle w:val="Heading2"/>
      </w:pPr>
      <w:r w:rsidRPr="002D6525">
        <w:t>Quality Use of Medicines (QUM)</w:t>
      </w:r>
    </w:p>
    <w:p w:rsidR="00480B54" w:rsidRPr="002D6525" w:rsidRDefault="00863870">
      <w:pPr>
        <w:pStyle w:val="3-BodyText"/>
      </w:pPr>
      <w:r w:rsidRPr="002D6525">
        <w:t>The minor submission argue</w:t>
      </w:r>
      <w:r w:rsidR="006A48DD" w:rsidRPr="002D6525">
        <w:t>d</w:t>
      </w:r>
      <w:r w:rsidRPr="002D6525">
        <w:t xml:space="preserve"> that</w:t>
      </w:r>
      <w:r w:rsidR="00713853" w:rsidRPr="002D6525">
        <w:t xml:space="preserve"> listing of NEPA IV would allow </w:t>
      </w:r>
      <w:r w:rsidRPr="002D6525">
        <w:t xml:space="preserve">patients </w:t>
      </w:r>
      <w:r w:rsidR="00713853" w:rsidRPr="002D6525">
        <w:t xml:space="preserve">who are intolerant of oral </w:t>
      </w:r>
      <w:r w:rsidRPr="002D6525">
        <w:t>anti</w:t>
      </w:r>
      <w:r w:rsidR="00351DCC" w:rsidRPr="002D6525">
        <w:t>-</w:t>
      </w:r>
      <w:r w:rsidRPr="002D6525">
        <w:t>emetics</w:t>
      </w:r>
      <w:r w:rsidR="00713853" w:rsidRPr="002D6525">
        <w:t xml:space="preserve"> to be treated, </w:t>
      </w:r>
      <w:r w:rsidRPr="002D6525">
        <w:t>reducing the side-effect profile of the associated chemotherapies and allowing more patients to maintain their anti-tumour regimes.</w:t>
      </w:r>
      <w:r w:rsidR="00480B54" w:rsidRPr="002D6525">
        <w:t xml:space="preserve"> The sponsor noted in the pre-PBAC response that this would </w:t>
      </w:r>
      <w:r w:rsidR="0003149A" w:rsidRPr="002D6525">
        <w:t xml:space="preserve">constitute </w:t>
      </w:r>
      <w:r w:rsidR="0003149A" w:rsidRPr="002D6525">
        <w:rPr>
          <w:rFonts w:cstheme="minorHAnsi"/>
        </w:rPr>
        <w:t>approximately</w:t>
      </w:r>
      <w:r w:rsidR="00F7257E" w:rsidRPr="002D6525">
        <w:rPr>
          <w:rFonts w:cstheme="minorHAnsi"/>
        </w:rPr>
        <w:t xml:space="preserve"> </w:t>
      </w:r>
      <w:r w:rsidR="002069B8">
        <w:rPr>
          <w:rFonts w:cstheme="minorHAnsi"/>
          <w:noProof/>
          <w:color w:val="000000"/>
          <w:highlight w:val="black"/>
        </w:rPr>
        <w:t>'''</w:t>
      </w:r>
      <w:r w:rsidR="00480B54" w:rsidRPr="002D6525">
        <w:rPr>
          <w:rFonts w:cstheme="minorHAnsi"/>
        </w:rPr>
        <w:t xml:space="preserve">% of </w:t>
      </w:r>
      <w:r w:rsidR="0062284B" w:rsidRPr="002D6525">
        <w:rPr>
          <w:rFonts w:cstheme="minorHAnsi"/>
        </w:rPr>
        <w:t xml:space="preserve">all </w:t>
      </w:r>
      <w:r w:rsidR="00480B54" w:rsidRPr="002D6525">
        <w:rPr>
          <w:rFonts w:cstheme="minorHAnsi"/>
        </w:rPr>
        <w:t>patients</w:t>
      </w:r>
      <w:r w:rsidR="0062284B" w:rsidRPr="002D6525">
        <w:rPr>
          <w:rFonts w:cstheme="minorHAnsi"/>
        </w:rPr>
        <w:t xml:space="preserve"> using anti-emetics for chemotherapy</w:t>
      </w:r>
      <w:r w:rsidR="00480B54" w:rsidRPr="002D6525">
        <w:rPr>
          <w:rFonts w:cstheme="minorHAnsi"/>
        </w:rPr>
        <w:t>.</w:t>
      </w:r>
    </w:p>
    <w:p w:rsidR="00C15D56" w:rsidRPr="002D6525" w:rsidRDefault="00C15D56" w:rsidP="005B1354">
      <w:pPr>
        <w:pStyle w:val="3-BodyText"/>
        <w:numPr>
          <w:ilvl w:val="0"/>
          <w:numId w:val="0"/>
        </w:numPr>
        <w:ind w:firstLine="720"/>
      </w:pPr>
      <w:r w:rsidRPr="002D6525">
        <w:rPr>
          <w:i/>
        </w:rPr>
        <w:t>For more detail on PBAC’s view, see section 6 PBAC outcome.</w:t>
      </w:r>
    </w:p>
    <w:p w:rsidR="004473CA" w:rsidRPr="002D6525" w:rsidRDefault="004473CA" w:rsidP="004473CA">
      <w:pPr>
        <w:pStyle w:val="2-SectionHeading"/>
      </w:pPr>
      <w:r w:rsidRPr="002D6525">
        <w:t>PBAC Outcome</w:t>
      </w:r>
    </w:p>
    <w:p w:rsidR="00F05A78" w:rsidRPr="002D6525" w:rsidRDefault="004710D6" w:rsidP="004C1ECB">
      <w:pPr>
        <w:pStyle w:val="3Bodytext"/>
      </w:pPr>
      <w:r w:rsidRPr="002D6525">
        <w:t xml:space="preserve">The PBAC recommended listing NEPA IV as an Authority Required STREAMLINED benefit </w:t>
      </w:r>
      <w:r w:rsidR="003A59F7" w:rsidRPr="002D6525">
        <w:t xml:space="preserve">under both </w:t>
      </w:r>
      <w:r w:rsidR="0003149A" w:rsidRPr="002D6525">
        <w:t xml:space="preserve">the </w:t>
      </w:r>
      <w:r w:rsidRPr="002D6525">
        <w:t xml:space="preserve">General Schedule and Section 100 </w:t>
      </w:r>
      <w:r w:rsidR="00445CE7" w:rsidRPr="002D6525">
        <w:t>(</w:t>
      </w:r>
      <w:r w:rsidRPr="002D6525">
        <w:t>Efficient Funding of Chemotherapy – Related Benefits (Code CT)</w:t>
      </w:r>
      <w:r w:rsidR="00445CE7" w:rsidRPr="002D6525">
        <w:t>)</w:t>
      </w:r>
      <w:r w:rsidR="0003149A" w:rsidRPr="002D6525">
        <w:t xml:space="preserve"> </w:t>
      </w:r>
      <w:r w:rsidRPr="002D6525">
        <w:t xml:space="preserve">under the same conditions as the </w:t>
      </w:r>
      <w:r w:rsidRPr="002D6525">
        <w:lastRenderedPageBreak/>
        <w:t xml:space="preserve">currently PBS listed capsule form, </w:t>
      </w:r>
      <w:r w:rsidR="007A3BEB" w:rsidRPr="002D6525">
        <w:t>NEPA oral</w:t>
      </w:r>
      <w:r w:rsidRPr="002D6525">
        <w:t xml:space="preserve">, </w:t>
      </w:r>
      <w:r w:rsidR="00B75082">
        <w:t>and among other matters on the basis that NEPA IV would be acceptable on</w:t>
      </w:r>
      <w:r w:rsidR="00B75082" w:rsidRPr="002D6525">
        <w:t xml:space="preserve"> </w:t>
      </w:r>
      <w:r w:rsidRPr="002D6525">
        <w:t xml:space="preserve">a cost-minimisation basis to the lowest cost combination of a </w:t>
      </w:r>
      <w:r w:rsidR="0098534F" w:rsidRPr="002D6525">
        <w:t>NK1 RA</w:t>
      </w:r>
      <w:r w:rsidR="00F05A78" w:rsidRPr="002D6525">
        <w:t xml:space="preserve"> with a </w:t>
      </w:r>
      <w:r w:rsidR="0098534F" w:rsidRPr="002D6525">
        <w:t>5HT3 RA</w:t>
      </w:r>
      <w:r w:rsidR="00F05A78" w:rsidRPr="002D6525">
        <w:t>.</w:t>
      </w:r>
    </w:p>
    <w:p w:rsidR="00F77D04" w:rsidRPr="002D6525" w:rsidRDefault="00F77D04" w:rsidP="008F672E">
      <w:pPr>
        <w:pStyle w:val="3-BodyText"/>
      </w:pPr>
      <w:r w:rsidRPr="002D6525">
        <w:t xml:space="preserve">The PBAC considered that the clinical claim that NEPA IV was non-inferior </w:t>
      </w:r>
      <w:r w:rsidR="008F672E" w:rsidRPr="002D6525">
        <w:t xml:space="preserve">in terms of effectiveness and safety </w:t>
      </w:r>
      <w:r w:rsidRPr="002D6525">
        <w:t xml:space="preserve">to the nominated comparator </w:t>
      </w:r>
      <w:r w:rsidR="007A3BEB" w:rsidRPr="002D6525">
        <w:t>NEPA oral</w:t>
      </w:r>
      <w:r w:rsidRPr="002D6525">
        <w:t xml:space="preserve"> to be reasonable.</w:t>
      </w:r>
      <w:r w:rsidR="008F672E" w:rsidRPr="002D6525">
        <w:t xml:space="preserve"> However</w:t>
      </w:r>
      <w:r w:rsidR="0003149A" w:rsidRPr="002D6525">
        <w:t>,</w:t>
      </w:r>
      <w:r w:rsidR="008F672E" w:rsidRPr="002D6525">
        <w:t xml:space="preserve"> it recalled </w:t>
      </w:r>
      <w:r w:rsidR="003946DD" w:rsidRPr="002D6525">
        <w:t>its November 2015 recommendation for NEPA oral where it</w:t>
      </w:r>
      <w:r w:rsidR="008F672E" w:rsidRPr="002D6525">
        <w:t xml:space="preserve"> considered NEPA oral to be non-inferior to aprepitant with a </w:t>
      </w:r>
      <w:r w:rsidR="0098534F" w:rsidRPr="002D6525">
        <w:t>5HT3 RA</w:t>
      </w:r>
      <w:r w:rsidR="003946DD" w:rsidRPr="002D6525">
        <w:t xml:space="preserve">. It </w:t>
      </w:r>
      <w:r w:rsidR="008F672E" w:rsidRPr="002D6525">
        <w:t xml:space="preserve">therefore </w:t>
      </w:r>
      <w:r w:rsidR="003946DD" w:rsidRPr="002D6525">
        <w:t xml:space="preserve">considered </w:t>
      </w:r>
      <w:r w:rsidR="008F672E" w:rsidRPr="002D6525">
        <w:t xml:space="preserve">NEPA IV </w:t>
      </w:r>
      <w:r w:rsidR="003946DD" w:rsidRPr="002D6525">
        <w:t>was also</w:t>
      </w:r>
      <w:r w:rsidR="008F672E" w:rsidRPr="002D6525">
        <w:t xml:space="preserve"> </w:t>
      </w:r>
      <w:r w:rsidR="00B75082">
        <w:t xml:space="preserve">likely to be </w:t>
      </w:r>
      <w:r w:rsidR="008F672E" w:rsidRPr="002D6525">
        <w:t>non-inferior to</w:t>
      </w:r>
      <w:r w:rsidR="00B75082">
        <w:t xml:space="preserve"> any NK1 RA</w:t>
      </w:r>
      <w:r w:rsidR="008F672E" w:rsidRPr="002D6525">
        <w:t xml:space="preserve"> </w:t>
      </w:r>
      <w:r w:rsidR="00B75082">
        <w:t>(</w:t>
      </w:r>
      <w:r w:rsidR="008F672E" w:rsidRPr="002D6525">
        <w:t>aprepitant</w:t>
      </w:r>
      <w:r w:rsidR="001D79CB" w:rsidRPr="002D6525">
        <w:t xml:space="preserve"> or fosaprepitant</w:t>
      </w:r>
      <w:r w:rsidR="00B75082">
        <w:t>)</w:t>
      </w:r>
      <w:r w:rsidR="008F672E" w:rsidRPr="002D6525">
        <w:t xml:space="preserve"> with a</w:t>
      </w:r>
      <w:r w:rsidR="00B75082">
        <w:t>ny</w:t>
      </w:r>
      <w:r w:rsidR="008F672E" w:rsidRPr="002D6525">
        <w:t xml:space="preserve"> </w:t>
      </w:r>
      <w:r w:rsidR="0098534F" w:rsidRPr="002D6525">
        <w:t>5HT3 RA</w:t>
      </w:r>
      <w:r w:rsidR="008F672E" w:rsidRPr="002D6525">
        <w:t>.</w:t>
      </w:r>
    </w:p>
    <w:p w:rsidR="003946DD" w:rsidRPr="002D6525" w:rsidRDefault="001943AA" w:rsidP="001D79CB">
      <w:pPr>
        <w:pStyle w:val="3-BodyText"/>
      </w:pPr>
      <w:r w:rsidRPr="002D6525">
        <w:t>The PBAC recalled that</w:t>
      </w:r>
      <w:r w:rsidR="00064437" w:rsidRPr="002D6525">
        <w:t xml:space="preserve"> </w:t>
      </w:r>
      <w:r w:rsidRPr="002D6525">
        <w:t xml:space="preserve">NEPA oral was cost minimised to </w:t>
      </w:r>
      <w:r w:rsidR="00CB022B" w:rsidRPr="002D6525">
        <w:t xml:space="preserve">aprepitant </w:t>
      </w:r>
      <w:r w:rsidR="00D53947" w:rsidRPr="002D6525">
        <w:t>alone a</w:t>
      </w:r>
      <w:r w:rsidR="0003149A" w:rsidRPr="002D6525">
        <w:t>nd that</w:t>
      </w:r>
      <w:r w:rsidR="00D53947" w:rsidRPr="002D6525">
        <w:t xml:space="preserve"> despite NEPA oral being considered non-inferior to aprepitant with a </w:t>
      </w:r>
      <w:r w:rsidR="0098534F" w:rsidRPr="002D6525">
        <w:t>5HT3 RA</w:t>
      </w:r>
      <w:r w:rsidR="00D53947" w:rsidRPr="002D6525">
        <w:t xml:space="preserve">, no cost </w:t>
      </w:r>
      <w:r w:rsidR="00064437" w:rsidRPr="002D6525">
        <w:t xml:space="preserve">was given to the </w:t>
      </w:r>
      <w:r w:rsidR="0098534F" w:rsidRPr="002D6525">
        <w:t>5HT3 RA</w:t>
      </w:r>
      <w:r w:rsidR="00064437" w:rsidRPr="002D6525">
        <w:t xml:space="preserve"> component due to </w:t>
      </w:r>
      <w:r w:rsidR="00CB022B" w:rsidRPr="002D6525">
        <w:t xml:space="preserve">high </w:t>
      </w:r>
      <w:r w:rsidR="00064437" w:rsidRPr="002D6525">
        <w:t>risk of leakage</w:t>
      </w:r>
      <w:r w:rsidR="008C7D32" w:rsidRPr="002D6525">
        <w:t xml:space="preserve"> </w:t>
      </w:r>
      <w:r w:rsidR="002669DC" w:rsidRPr="002D6525">
        <w:t>into populations that would otherwise</w:t>
      </w:r>
      <w:r w:rsidR="00D72CCD" w:rsidRPr="002D6525">
        <w:t xml:space="preserve"> use only a </w:t>
      </w:r>
      <w:r w:rsidR="0098534F" w:rsidRPr="002D6525">
        <w:t>5HT3 RA</w:t>
      </w:r>
      <w:r w:rsidR="002669DC" w:rsidRPr="002D6525">
        <w:t xml:space="preserve"> </w:t>
      </w:r>
      <w:r w:rsidR="008C7D32" w:rsidRPr="002D6525">
        <w:t xml:space="preserve">(paragraph </w:t>
      </w:r>
      <w:r w:rsidR="00D72CCD" w:rsidRPr="002D6525">
        <w:t>4.3</w:t>
      </w:r>
      <w:r w:rsidR="00B43A82" w:rsidRPr="002D6525">
        <w:t>)</w:t>
      </w:r>
      <w:r w:rsidR="00064437" w:rsidRPr="002D6525">
        <w:t xml:space="preserve">. </w:t>
      </w:r>
      <w:r w:rsidR="00D53947" w:rsidRPr="002D6525">
        <w:t xml:space="preserve">It also noted the </w:t>
      </w:r>
      <w:r w:rsidR="00445CE7" w:rsidRPr="002D6525">
        <w:t>p</w:t>
      </w:r>
      <w:r w:rsidR="00D53947" w:rsidRPr="002D6525">
        <w:t xml:space="preserve">re-PBAC response </w:t>
      </w:r>
      <w:r w:rsidR="00914C49" w:rsidRPr="002D6525">
        <w:t xml:space="preserve">which argued that aprepitant alone </w:t>
      </w:r>
      <w:r w:rsidR="008C7D32" w:rsidRPr="002D6525">
        <w:t>is</w:t>
      </w:r>
      <w:r w:rsidR="00914C49" w:rsidRPr="002D6525">
        <w:t xml:space="preserve"> not equivalent or non-inferior effectiveness to NEPA IV, citing clinical guidelines supporting the use of both </w:t>
      </w:r>
      <w:r w:rsidR="00574A54">
        <w:t xml:space="preserve">a </w:t>
      </w:r>
      <w:r w:rsidR="0098534F" w:rsidRPr="002D6525">
        <w:t>NK1 RA</w:t>
      </w:r>
      <w:r w:rsidR="001D79CB" w:rsidRPr="002D6525">
        <w:t xml:space="preserve"> with a </w:t>
      </w:r>
      <w:r w:rsidR="0098534F" w:rsidRPr="002D6525">
        <w:t>5HT3 RA</w:t>
      </w:r>
      <w:r w:rsidR="001D79CB" w:rsidRPr="002D6525">
        <w:t xml:space="preserve"> for highly emetogenic chemotherapies</w:t>
      </w:r>
      <w:r w:rsidR="00D53947" w:rsidRPr="002D6525">
        <w:t xml:space="preserve">. </w:t>
      </w:r>
      <w:r w:rsidR="00B75082">
        <w:t>The PBAC however noted that no further evidence has been presented since the PBS listing of NEPA oral around the likelihood of treatment escalation to combination therapy for patients that might otherwise receive a single agent.</w:t>
      </w:r>
    </w:p>
    <w:p w:rsidR="004710D6" w:rsidRPr="002D6525" w:rsidRDefault="00D718FA" w:rsidP="00D718FA">
      <w:pPr>
        <w:pStyle w:val="3-BodyText"/>
      </w:pPr>
      <w:r w:rsidRPr="002D6525">
        <w:t xml:space="preserve">On balance, the PBAC considered that NEPA IV should be cost-minimised to the lowest cost combination </w:t>
      </w:r>
      <w:r w:rsidR="00B75082">
        <w:t>of</w:t>
      </w:r>
      <w:r w:rsidR="00574A54">
        <w:t xml:space="preserve"> a</w:t>
      </w:r>
      <w:r w:rsidR="00B75082">
        <w:t xml:space="preserve"> </w:t>
      </w:r>
      <w:r w:rsidR="0098534F" w:rsidRPr="002D6525">
        <w:t>NK1 RA</w:t>
      </w:r>
      <w:r w:rsidRPr="002D6525">
        <w:t xml:space="preserve"> and</w:t>
      </w:r>
      <w:r w:rsidR="003B4AAE" w:rsidRPr="002D6525">
        <w:t xml:space="preserve"> a</w:t>
      </w:r>
      <w:r w:rsidRPr="002D6525">
        <w:t xml:space="preserve"> </w:t>
      </w:r>
      <w:r w:rsidR="0098534F" w:rsidRPr="002D6525">
        <w:t>5HT3 RA</w:t>
      </w:r>
      <w:r w:rsidR="00E95B72" w:rsidRPr="002D6525">
        <w:t xml:space="preserve"> at equi-effective doses</w:t>
      </w:r>
      <w:r w:rsidRPr="002D6525">
        <w:t>.</w:t>
      </w:r>
      <w:r w:rsidR="004710D6" w:rsidRPr="002D6525">
        <w:t xml:space="preserve"> The PBAC noted that it could only recommend listing NEPA IV at a higher price than the alternative therapy or therapies if it was satisfied that it would provide, for some patients, a significant improvement in efficacy or reduction of toxicity over the alternative therapy or therapies (</w:t>
      </w:r>
      <w:r w:rsidR="00EE4EFF" w:rsidRPr="002D6525">
        <w:t>the Act</w:t>
      </w:r>
      <w:r w:rsidR="004710D6" w:rsidRPr="002D6525">
        <w:t xml:space="preserve">, Section 101(3B)). </w:t>
      </w:r>
      <w:r w:rsidR="00B75082">
        <w:t>Based on the evidence presented in the submission t</w:t>
      </w:r>
      <w:r w:rsidR="004710D6" w:rsidRPr="002D6525">
        <w:t xml:space="preserve">he PBAC considered that </w:t>
      </w:r>
      <w:r w:rsidR="00B75082">
        <w:t xml:space="preserve">it could not be satisfied that </w:t>
      </w:r>
      <w:r w:rsidR="004710D6" w:rsidRPr="002D6525">
        <w:t>NEPA IV provide</w:t>
      </w:r>
      <w:r w:rsidR="00B75082">
        <w:t>s</w:t>
      </w:r>
      <w:r w:rsidR="004710D6" w:rsidRPr="002D6525">
        <w:t xml:space="preserve"> a significant improvement in efficacy or reduction of toxicity over the alternative therapies.</w:t>
      </w:r>
    </w:p>
    <w:p w:rsidR="00B35E16" w:rsidRPr="002D6525" w:rsidRDefault="00F77D04" w:rsidP="001751DD">
      <w:pPr>
        <w:pStyle w:val="3Bodytext"/>
      </w:pPr>
      <w:r w:rsidRPr="002D6525">
        <w:t xml:space="preserve">The PBAC advised </w:t>
      </w:r>
      <w:r w:rsidR="00546870" w:rsidRPr="002D6525">
        <w:t xml:space="preserve">under Section 101(3BA) of the </w:t>
      </w:r>
      <w:r w:rsidR="00725722" w:rsidRPr="002D6525">
        <w:t>Act</w:t>
      </w:r>
      <w:r w:rsidR="00546870" w:rsidRPr="002D6525">
        <w:t xml:space="preserve"> that </w:t>
      </w:r>
      <w:r w:rsidRPr="002D6525">
        <w:t xml:space="preserve">NEPA IV should not be treated as interchangeable </w:t>
      </w:r>
      <w:r w:rsidR="00320121" w:rsidRPr="002D6525">
        <w:t>with any other drugs</w:t>
      </w:r>
      <w:r w:rsidR="001751DD" w:rsidRPr="002D6525">
        <w:t xml:space="preserve"> on an individual patient basis</w:t>
      </w:r>
      <w:r w:rsidRPr="002D6525">
        <w:t>.</w:t>
      </w:r>
    </w:p>
    <w:p w:rsidR="00680130" w:rsidRPr="002D6525" w:rsidRDefault="00680130" w:rsidP="00680130">
      <w:pPr>
        <w:pStyle w:val="3Bodytext"/>
      </w:pPr>
      <w:r w:rsidRPr="002D6525">
        <w:t xml:space="preserve">The PBAC noted the only difference in </w:t>
      </w:r>
      <w:r w:rsidR="00320121" w:rsidRPr="002D6525">
        <w:t xml:space="preserve">the </w:t>
      </w:r>
      <w:r w:rsidRPr="002D6525">
        <w:t xml:space="preserve">restriction between NEPA IV and NEPA oral was the revised </w:t>
      </w:r>
      <w:r w:rsidR="00320121" w:rsidRPr="002D6525">
        <w:t>prescribing instructions</w:t>
      </w:r>
      <w:r w:rsidRPr="002D6525">
        <w:t xml:space="preserve"> ‘no more than 1 vial will be authorised per cycle of cytotoxic chemotherapy’, to suit the IV form, and considered this appropriate.</w:t>
      </w:r>
    </w:p>
    <w:p w:rsidR="00F77D04" w:rsidRPr="002D6525" w:rsidRDefault="00F77D04" w:rsidP="004C1ECB">
      <w:pPr>
        <w:pStyle w:val="3Bodytext"/>
      </w:pPr>
      <w:r w:rsidRPr="002D6525">
        <w:t xml:space="preserve">The PBAC advised that NEPA IV is suitable for prescribing by nurse practitioners under the </w:t>
      </w:r>
      <w:r w:rsidR="004E2443" w:rsidRPr="002D6525">
        <w:t>G</w:t>
      </w:r>
      <w:r w:rsidRPr="002D6525">
        <w:t xml:space="preserve">eneral </w:t>
      </w:r>
      <w:r w:rsidR="004E2443" w:rsidRPr="002D6525">
        <w:t>S</w:t>
      </w:r>
      <w:r w:rsidRPr="002D6525">
        <w:t>chedule listing.</w:t>
      </w:r>
    </w:p>
    <w:p w:rsidR="00F77D04" w:rsidRDefault="00F77D04" w:rsidP="004C1ECB">
      <w:pPr>
        <w:pStyle w:val="3Bodytext"/>
      </w:pPr>
      <w:r w:rsidRPr="002D6525">
        <w:t xml:space="preserve">The </w:t>
      </w:r>
      <w:r w:rsidR="00546870" w:rsidRPr="002D6525">
        <w:t>PBAC advised that the Early Supply Rule should not apply to NEPA IV</w:t>
      </w:r>
      <w:r w:rsidRPr="002D6525">
        <w:t>.</w:t>
      </w:r>
    </w:p>
    <w:p w:rsidR="005B1354" w:rsidRPr="002D6525" w:rsidRDefault="005B1354" w:rsidP="004C1ECB">
      <w:pPr>
        <w:pStyle w:val="3Bodytext"/>
      </w:pPr>
      <w:r w:rsidRPr="00574A54">
        <w:t xml:space="preserve">The PBAC noted that its recommendation was on a cost-minimisation basis and advised that, because </w:t>
      </w:r>
      <w:r>
        <w:t xml:space="preserve">NEPA IV </w:t>
      </w:r>
      <w:r w:rsidRPr="00574A54">
        <w:t>is not expected to provide a substantial and clinically relevant improvement in efficacy, or reduction of toxicity, over</w:t>
      </w:r>
      <w:r>
        <w:t xml:space="preserve"> </w:t>
      </w:r>
      <w:r w:rsidRPr="002D6525">
        <w:t xml:space="preserve">the lowest cost </w:t>
      </w:r>
      <w:r w:rsidRPr="002D6525">
        <w:lastRenderedPageBreak/>
        <w:t xml:space="preserve">combination </w:t>
      </w:r>
      <w:r>
        <w:t xml:space="preserve">of a </w:t>
      </w:r>
      <w:r w:rsidRPr="002D6525">
        <w:t>NK1 RA and a 5HT3 RA at equi-effective doses</w:t>
      </w:r>
      <w:r w:rsidRPr="00574A54">
        <w:t>, or not expected to address a high and urgent unmet clinical need given the presence of an alternative therapy, the criteria prescribed by the National Health (Pharmaceuticals and Vaccines – Cost Recovery) Regulations 2009 for Pricing Pathway A were not met.</w:t>
      </w:r>
    </w:p>
    <w:p w:rsidR="00574A54" w:rsidRPr="002D6525" w:rsidRDefault="00F77D04" w:rsidP="005B1354">
      <w:pPr>
        <w:pStyle w:val="3-BodyText"/>
      </w:pPr>
      <w:r w:rsidRPr="002D6525">
        <w:t>The PBAC noted that this submission is not eligible for an Independent Review since it received a positive recommendation.</w:t>
      </w:r>
    </w:p>
    <w:p w:rsidR="00683E77" w:rsidRPr="002D6525" w:rsidRDefault="00683E77" w:rsidP="00683E77">
      <w:pPr>
        <w:pStyle w:val="3Bodytext"/>
        <w:numPr>
          <w:ilvl w:val="0"/>
          <w:numId w:val="0"/>
        </w:numPr>
      </w:pPr>
      <w:r w:rsidRPr="002D6525">
        <w:rPr>
          <w:b/>
        </w:rPr>
        <w:t>Outcome</w:t>
      </w:r>
      <w:r w:rsidR="00F77D04" w:rsidRPr="002D6525">
        <w:rPr>
          <w:b/>
        </w:rPr>
        <w:t xml:space="preserve">: </w:t>
      </w:r>
      <w:r w:rsidRPr="002D6525">
        <w:rPr>
          <w:b/>
        </w:rPr>
        <w:br/>
      </w:r>
      <w:r w:rsidRPr="002D6525">
        <w:t>Recommended</w:t>
      </w:r>
    </w:p>
    <w:p w:rsidR="00683E77" w:rsidRPr="002D6525" w:rsidRDefault="00683E77" w:rsidP="00683E77">
      <w:pPr>
        <w:pStyle w:val="2-SectionHeading"/>
      </w:pPr>
      <w:r w:rsidRPr="002D6525">
        <w:t>Recommended listing</w:t>
      </w:r>
    </w:p>
    <w:p w:rsidR="00C30B19" w:rsidRPr="002D6525" w:rsidRDefault="009E061D" w:rsidP="00683E77">
      <w:pPr>
        <w:pStyle w:val="3Bodytext"/>
      </w:pPr>
      <w:r>
        <w:t>Add new</w:t>
      </w:r>
      <w:r w:rsidR="0058642B" w:rsidRPr="002D6525">
        <w:t xml:space="preserve"> medicinal product</w:t>
      </w:r>
      <w:r w:rsidR="00683E77" w:rsidRPr="002D6525">
        <w:t>:</w:t>
      </w:r>
    </w:p>
    <w:p w:rsidR="00C30B19" w:rsidRPr="002D6525" w:rsidRDefault="00C30B19" w:rsidP="00C30B19">
      <w:pPr>
        <w:pStyle w:val="3-BodyText"/>
        <w:numPr>
          <w:ilvl w:val="0"/>
          <w:numId w:val="0"/>
        </w:numPr>
        <w:ind w:left="720" w:hanging="720"/>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992"/>
        <w:gridCol w:w="709"/>
        <w:gridCol w:w="709"/>
        <w:gridCol w:w="708"/>
        <w:gridCol w:w="992"/>
      </w:tblGrid>
      <w:tr w:rsidR="006F6236" w:rsidRPr="002D6525" w:rsidTr="006F6236">
        <w:trPr>
          <w:cantSplit/>
          <w:trHeight w:val="471"/>
        </w:trPr>
        <w:tc>
          <w:tcPr>
            <w:tcW w:w="4815" w:type="dxa"/>
          </w:tcPr>
          <w:p w:rsidR="006F6236" w:rsidRPr="002D6525" w:rsidRDefault="006F6236" w:rsidP="00455993">
            <w:pPr>
              <w:keepNext/>
              <w:ind w:left="-108"/>
              <w:rPr>
                <w:rFonts w:ascii="Arial Narrow" w:hAnsi="Arial Narrow" w:cs="Arial"/>
                <w:b/>
                <w:sz w:val="18"/>
                <w:szCs w:val="18"/>
              </w:rPr>
            </w:pPr>
            <w:r w:rsidRPr="002D6525">
              <w:rPr>
                <w:rFonts w:ascii="Arial Narrow" w:hAnsi="Arial Narrow" w:cs="Arial"/>
                <w:b/>
                <w:sz w:val="18"/>
                <w:szCs w:val="18"/>
              </w:rPr>
              <w:t>Name</w:t>
            </w:r>
            <w:r w:rsidR="00455993" w:rsidRPr="002D6525">
              <w:rPr>
                <w:rFonts w:ascii="Arial Narrow" w:hAnsi="Arial Narrow" w:cs="Arial"/>
                <w:b/>
                <w:sz w:val="18"/>
                <w:szCs w:val="18"/>
              </w:rPr>
              <w:t>, strength, manner of administration</w:t>
            </w:r>
            <w:r w:rsidRPr="002D6525">
              <w:rPr>
                <w:rFonts w:ascii="Arial Narrow" w:hAnsi="Arial Narrow" w:cs="Arial"/>
                <w:b/>
                <w:sz w:val="18"/>
                <w:szCs w:val="18"/>
              </w:rPr>
              <w:t xml:space="preserve"> and form</w:t>
            </w:r>
          </w:p>
        </w:tc>
        <w:tc>
          <w:tcPr>
            <w:tcW w:w="992" w:type="dxa"/>
          </w:tcPr>
          <w:p w:rsidR="006F6236" w:rsidRPr="002D6525" w:rsidRDefault="006F6236" w:rsidP="006F6236">
            <w:pPr>
              <w:keepNext/>
              <w:ind w:left="-108"/>
              <w:jc w:val="center"/>
              <w:rPr>
                <w:rFonts w:ascii="Arial Narrow" w:hAnsi="Arial Narrow" w:cs="Arial"/>
                <w:b/>
                <w:sz w:val="18"/>
                <w:szCs w:val="18"/>
              </w:rPr>
            </w:pPr>
            <w:r w:rsidRPr="002D6525">
              <w:rPr>
                <w:rFonts w:ascii="Arial Narrow" w:hAnsi="Arial Narrow" w:cs="Arial"/>
                <w:b/>
                <w:sz w:val="18"/>
                <w:szCs w:val="18"/>
              </w:rPr>
              <w:t>PBS item code</w:t>
            </w:r>
            <w:r w:rsidR="00455993" w:rsidRPr="002D6525">
              <w:rPr>
                <w:rFonts w:ascii="Arial Narrow" w:hAnsi="Arial Narrow" w:cs="Arial"/>
                <w:b/>
                <w:sz w:val="18"/>
                <w:szCs w:val="18"/>
              </w:rPr>
              <w:t>s</w:t>
            </w:r>
          </w:p>
        </w:tc>
        <w:tc>
          <w:tcPr>
            <w:tcW w:w="709" w:type="dxa"/>
          </w:tcPr>
          <w:p w:rsidR="006F6236" w:rsidRPr="002D6525" w:rsidRDefault="006F6236" w:rsidP="006F6236">
            <w:pPr>
              <w:keepNext/>
              <w:ind w:left="-108"/>
              <w:jc w:val="center"/>
              <w:rPr>
                <w:rFonts w:ascii="Arial Narrow" w:hAnsi="Arial Narrow" w:cs="Arial"/>
                <w:b/>
                <w:sz w:val="18"/>
                <w:szCs w:val="18"/>
              </w:rPr>
            </w:pPr>
            <w:r w:rsidRPr="002D6525">
              <w:rPr>
                <w:rFonts w:ascii="Arial Narrow" w:hAnsi="Arial Narrow" w:cs="Arial"/>
                <w:b/>
                <w:sz w:val="18"/>
                <w:szCs w:val="18"/>
              </w:rPr>
              <w:t>Max. qty packs</w:t>
            </w:r>
          </w:p>
        </w:tc>
        <w:tc>
          <w:tcPr>
            <w:tcW w:w="709" w:type="dxa"/>
          </w:tcPr>
          <w:p w:rsidR="006F6236" w:rsidRPr="002D6525" w:rsidRDefault="006F6236" w:rsidP="006F6236">
            <w:pPr>
              <w:keepNext/>
              <w:ind w:left="-108"/>
              <w:jc w:val="center"/>
              <w:rPr>
                <w:rFonts w:ascii="Arial Narrow" w:hAnsi="Arial Narrow" w:cs="Arial"/>
                <w:b/>
                <w:sz w:val="18"/>
                <w:szCs w:val="18"/>
              </w:rPr>
            </w:pPr>
            <w:r w:rsidRPr="002D6525">
              <w:rPr>
                <w:rFonts w:ascii="Arial Narrow" w:hAnsi="Arial Narrow" w:cs="Arial"/>
                <w:b/>
                <w:sz w:val="18"/>
                <w:szCs w:val="18"/>
              </w:rPr>
              <w:t>Max. qty units</w:t>
            </w:r>
          </w:p>
        </w:tc>
        <w:tc>
          <w:tcPr>
            <w:tcW w:w="708" w:type="dxa"/>
          </w:tcPr>
          <w:p w:rsidR="006F6236" w:rsidRPr="002D6525" w:rsidRDefault="006F6236" w:rsidP="006F6236">
            <w:pPr>
              <w:keepNext/>
              <w:ind w:left="-108"/>
              <w:jc w:val="center"/>
              <w:rPr>
                <w:rFonts w:ascii="Arial Narrow" w:hAnsi="Arial Narrow" w:cs="Arial"/>
                <w:b/>
                <w:sz w:val="18"/>
                <w:szCs w:val="18"/>
              </w:rPr>
            </w:pPr>
            <w:r w:rsidRPr="002D6525">
              <w:rPr>
                <w:rFonts w:ascii="Arial Narrow" w:hAnsi="Arial Narrow" w:cs="Arial"/>
                <w:b/>
                <w:sz w:val="18"/>
                <w:szCs w:val="18"/>
              </w:rPr>
              <w:t>№.of</w:t>
            </w:r>
          </w:p>
          <w:p w:rsidR="006F6236" w:rsidRPr="002D6525" w:rsidRDefault="006F6236" w:rsidP="006F6236">
            <w:pPr>
              <w:keepNext/>
              <w:ind w:left="-108"/>
              <w:jc w:val="center"/>
              <w:rPr>
                <w:rFonts w:ascii="Arial Narrow" w:hAnsi="Arial Narrow" w:cs="Arial"/>
                <w:b/>
                <w:sz w:val="18"/>
                <w:szCs w:val="18"/>
              </w:rPr>
            </w:pPr>
            <w:r w:rsidRPr="002D6525">
              <w:rPr>
                <w:rFonts w:ascii="Arial Narrow" w:hAnsi="Arial Narrow" w:cs="Arial"/>
                <w:b/>
                <w:sz w:val="18"/>
                <w:szCs w:val="18"/>
              </w:rPr>
              <w:t>Rpts</w:t>
            </w:r>
          </w:p>
        </w:tc>
        <w:tc>
          <w:tcPr>
            <w:tcW w:w="992" w:type="dxa"/>
          </w:tcPr>
          <w:p w:rsidR="006F6236" w:rsidRPr="006A28D1" w:rsidRDefault="006F6236" w:rsidP="006F6236">
            <w:pPr>
              <w:keepNext/>
              <w:rPr>
                <w:rFonts w:ascii="Arial Narrow" w:hAnsi="Arial Narrow" w:cs="Arial"/>
                <w:b/>
                <w:sz w:val="18"/>
                <w:szCs w:val="18"/>
              </w:rPr>
            </w:pPr>
            <w:r w:rsidRPr="002D6525">
              <w:rPr>
                <w:rFonts w:ascii="Arial Narrow" w:hAnsi="Arial Narrow" w:cs="Arial"/>
                <w:b/>
                <w:sz w:val="18"/>
                <w:szCs w:val="18"/>
              </w:rPr>
              <w:t>Available brands</w:t>
            </w:r>
          </w:p>
        </w:tc>
      </w:tr>
      <w:tr w:rsidR="006F6236" w:rsidRPr="002D6525" w:rsidTr="006F6236">
        <w:trPr>
          <w:cantSplit/>
          <w:trHeight w:val="512"/>
        </w:trPr>
        <w:tc>
          <w:tcPr>
            <w:tcW w:w="4815" w:type="dxa"/>
          </w:tcPr>
          <w:p w:rsidR="006F6236" w:rsidRPr="002D6525" w:rsidRDefault="006F6236" w:rsidP="006F6236">
            <w:pPr>
              <w:keepNext/>
              <w:ind w:left="-108"/>
              <w:rPr>
                <w:rFonts w:ascii="Arial Narrow" w:hAnsi="Arial Narrow" w:cs="Arial"/>
                <w:sz w:val="18"/>
                <w:szCs w:val="18"/>
              </w:rPr>
            </w:pPr>
            <w:r w:rsidRPr="002D6525">
              <w:rPr>
                <w:rFonts w:ascii="Arial Narrow" w:hAnsi="Arial Narrow" w:cs="Arial"/>
                <w:sz w:val="18"/>
                <w:szCs w:val="18"/>
              </w:rPr>
              <w:t xml:space="preserve">FOSNETUPITANT + PALONOSETRON </w:t>
            </w:r>
          </w:p>
          <w:p w:rsidR="006F6236" w:rsidRPr="002D6525" w:rsidRDefault="006F6236" w:rsidP="006F6236">
            <w:pPr>
              <w:keepNext/>
              <w:ind w:left="-108"/>
              <w:rPr>
                <w:rFonts w:ascii="Arial Narrow" w:hAnsi="Arial Narrow" w:cs="Arial"/>
                <w:sz w:val="18"/>
                <w:szCs w:val="18"/>
              </w:rPr>
            </w:pPr>
            <w:r w:rsidRPr="002D6525">
              <w:rPr>
                <w:rFonts w:ascii="Arial Narrow" w:hAnsi="Arial Narrow" w:cs="Arial"/>
                <w:sz w:val="18"/>
                <w:szCs w:val="18"/>
              </w:rPr>
              <w:t>fosnetupitant 235 mg + palonosetron 250 microgram injection, 1 vial</w:t>
            </w:r>
          </w:p>
        </w:tc>
        <w:tc>
          <w:tcPr>
            <w:tcW w:w="992" w:type="dxa"/>
            <w:vAlign w:val="center"/>
          </w:tcPr>
          <w:p w:rsidR="006F6236" w:rsidRPr="002D6525" w:rsidRDefault="006F6236" w:rsidP="006F6236">
            <w:pPr>
              <w:keepNext/>
              <w:ind w:left="-108"/>
              <w:jc w:val="center"/>
              <w:rPr>
                <w:rFonts w:ascii="Arial Narrow" w:hAnsi="Arial Narrow" w:cs="Arial"/>
                <w:sz w:val="18"/>
                <w:szCs w:val="18"/>
              </w:rPr>
            </w:pPr>
            <w:r w:rsidRPr="002D6525">
              <w:rPr>
                <w:rFonts w:ascii="Arial Narrow" w:hAnsi="Arial Narrow" w:cs="Arial"/>
                <w:sz w:val="18"/>
                <w:szCs w:val="18"/>
              </w:rPr>
              <w:t>NEW</w:t>
            </w:r>
            <w:r w:rsidR="00455993" w:rsidRPr="002D6525">
              <w:rPr>
                <w:rFonts w:ascii="Arial Narrow" w:hAnsi="Arial Narrow" w:cs="Arial"/>
                <w:sz w:val="18"/>
                <w:szCs w:val="18"/>
              </w:rPr>
              <w:t xml:space="preserve"> (several)</w:t>
            </w:r>
          </w:p>
        </w:tc>
        <w:tc>
          <w:tcPr>
            <w:tcW w:w="709" w:type="dxa"/>
            <w:vAlign w:val="center"/>
          </w:tcPr>
          <w:p w:rsidR="006F6236" w:rsidRPr="002D6525" w:rsidRDefault="006F6236" w:rsidP="006F6236">
            <w:pPr>
              <w:keepNext/>
              <w:jc w:val="center"/>
              <w:rPr>
                <w:rFonts w:ascii="Arial Narrow" w:hAnsi="Arial Narrow" w:cs="Arial"/>
                <w:sz w:val="18"/>
                <w:szCs w:val="18"/>
              </w:rPr>
            </w:pPr>
            <w:r w:rsidRPr="002D6525">
              <w:rPr>
                <w:rFonts w:ascii="Arial Narrow" w:hAnsi="Arial Narrow" w:cs="Arial"/>
                <w:sz w:val="18"/>
                <w:szCs w:val="18"/>
              </w:rPr>
              <w:t>1</w:t>
            </w:r>
          </w:p>
        </w:tc>
        <w:tc>
          <w:tcPr>
            <w:tcW w:w="709" w:type="dxa"/>
            <w:vAlign w:val="center"/>
          </w:tcPr>
          <w:p w:rsidR="006F6236" w:rsidRPr="002D6525" w:rsidRDefault="006F6236" w:rsidP="006F6236">
            <w:pPr>
              <w:keepNext/>
              <w:ind w:left="-108"/>
              <w:jc w:val="center"/>
              <w:rPr>
                <w:rFonts w:ascii="Arial Narrow" w:hAnsi="Arial Narrow" w:cs="Arial"/>
                <w:sz w:val="18"/>
                <w:szCs w:val="18"/>
              </w:rPr>
            </w:pPr>
            <w:r w:rsidRPr="002D6525">
              <w:rPr>
                <w:rFonts w:ascii="Arial Narrow" w:hAnsi="Arial Narrow" w:cs="Arial"/>
                <w:sz w:val="18"/>
                <w:szCs w:val="18"/>
              </w:rPr>
              <w:t>1</w:t>
            </w:r>
          </w:p>
        </w:tc>
        <w:tc>
          <w:tcPr>
            <w:tcW w:w="708" w:type="dxa"/>
            <w:vAlign w:val="center"/>
          </w:tcPr>
          <w:p w:rsidR="006F6236" w:rsidRPr="002D6525" w:rsidRDefault="006F6236" w:rsidP="006F6236">
            <w:pPr>
              <w:keepNext/>
              <w:ind w:left="-108"/>
              <w:jc w:val="center"/>
              <w:rPr>
                <w:rFonts w:ascii="Arial Narrow" w:hAnsi="Arial Narrow" w:cs="Arial"/>
                <w:sz w:val="18"/>
                <w:szCs w:val="18"/>
              </w:rPr>
            </w:pPr>
            <w:r w:rsidRPr="002D6525">
              <w:rPr>
                <w:rFonts w:ascii="Arial Narrow" w:hAnsi="Arial Narrow" w:cs="Arial"/>
                <w:sz w:val="18"/>
                <w:szCs w:val="18"/>
              </w:rPr>
              <w:t>5</w:t>
            </w:r>
          </w:p>
        </w:tc>
        <w:tc>
          <w:tcPr>
            <w:tcW w:w="992" w:type="dxa"/>
            <w:vAlign w:val="center"/>
          </w:tcPr>
          <w:p w:rsidR="006F6236" w:rsidRPr="002D6525" w:rsidRDefault="006F6236" w:rsidP="006F6236">
            <w:pPr>
              <w:keepNext/>
              <w:jc w:val="center"/>
              <w:rPr>
                <w:rFonts w:ascii="Arial Narrow" w:hAnsi="Arial Narrow" w:cs="Arial"/>
                <w:sz w:val="18"/>
                <w:szCs w:val="18"/>
              </w:rPr>
            </w:pPr>
            <w:r w:rsidRPr="002D6525">
              <w:rPr>
                <w:rFonts w:ascii="Arial Narrow" w:hAnsi="Arial Narrow" w:cs="Arial"/>
                <w:sz w:val="18"/>
                <w:szCs w:val="18"/>
              </w:rPr>
              <w:t>Akynzeo IV</w:t>
            </w:r>
          </w:p>
        </w:tc>
      </w:tr>
    </w:tbl>
    <w:p w:rsidR="006F6236" w:rsidRPr="002D6525" w:rsidRDefault="006F6236" w:rsidP="006F6236">
      <w:pPr>
        <w:pStyle w:val="3-BodyText"/>
        <w:numPr>
          <w:ilvl w:val="0"/>
          <w:numId w:val="0"/>
        </w:num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C30B19" w:rsidRPr="002D6525" w:rsidTr="007428C4">
        <w:tc>
          <w:tcPr>
            <w:tcW w:w="4447" w:type="pct"/>
            <w:tcBorders>
              <w:top w:val="single" w:sz="4" w:space="0" w:color="auto"/>
              <w:left w:val="single" w:sz="4" w:space="0" w:color="auto"/>
              <w:bottom w:val="single" w:sz="4" w:space="0" w:color="auto"/>
              <w:right w:val="single" w:sz="4" w:space="0" w:color="auto"/>
            </w:tcBorders>
          </w:tcPr>
          <w:p w:rsidR="00C30B19" w:rsidRPr="002D6525" w:rsidRDefault="00C30B19" w:rsidP="007428C4">
            <w:pPr>
              <w:rPr>
                <w:rFonts w:ascii="Arial Narrow" w:hAnsi="Arial Narrow" w:cs="Arial"/>
                <w:sz w:val="18"/>
                <w:szCs w:val="18"/>
              </w:rPr>
            </w:pPr>
            <w:r w:rsidRPr="002D6525">
              <w:rPr>
                <w:rFonts w:ascii="Arial Narrow" w:hAnsi="Arial Narrow" w:cs="Arial"/>
                <w:b/>
                <w:sz w:val="18"/>
                <w:szCs w:val="18"/>
              </w:rPr>
              <w:t xml:space="preserve">Category / Program:   </w:t>
            </w:r>
            <w:r w:rsidRPr="002D6525">
              <w:rPr>
                <w:rFonts w:ascii="Arial Narrow" w:hAnsi="Arial Narrow" w:cs="Arial"/>
                <w:sz w:val="18"/>
                <w:szCs w:val="18"/>
              </w:rPr>
              <w:t>GENERAL – General Schedule (Code GE)</w:t>
            </w:r>
          </w:p>
        </w:tc>
      </w:tr>
      <w:tr w:rsidR="00C30B19" w:rsidRPr="002D6525" w:rsidTr="007428C4">
        <w:trPr>
          <w:trHeight w:val="240"/>
        </w:trPr>
        <w:tc>
          <w:tcPr>
            <w:tcW w:w="4447" w:type="pct"/>
            <w:tcBorders>
              <w:top w:val="single" w:sz="4" w:space="0" w:color="auto"/>
              <w:left w:val="single" w:sz="4" w:space="0" w:color="auto"/>
              <w:bottom w:val="single" w:sz="4" w:space="0" w:color="auto"/>
              <w:right w:val="single" w:sz="4" w:space="0" w:color="auto"/>
            </w:tcBorders>
          </w:tcPr>
          <w:p w:rsidR="00C30B19" w:rsidRPr="002D6525" w:rsidRDefault="00C30B19" w:rsidP="00364FEE">
            <w:pPr>
              <w:rPr>
                <w:rFonts w:ascii="Arial Narrow" w:hAnsi="Arial Narrow" w:cs="Arial"/>
                <w:b/>
                <w:sz w:val="18"/>
                <w:szCs w:val="18"/>
              </w:rPr>
            </w:pPr>
            <w:r w:rsidRPr="002D6525">
              <w:rPr>
                <w:rFonts w:ascii="Arial Narrow" w:hAnsi="Arial Narrow" w:cs="Arial"/>
                <w:b/>
                <w:sz w:val="18"/>
                <w:szCs w:val="18"/>
              </w:rPr>
              <w:t xml:space="preserve">Prescriber type:   </w:t>
            </w:r>
            <w:r w:rsidRPr="006A28D1">
              <w:rPr>
                <w:rFonts w:ascii="Arial Narrow" w:hAnsi="Arial Narrow" w:cs="Arial"/>
                <w:sz w:val="18"/>
                <w:szCs w:val="18"/>
              </w:rPr>
              <w:fldChar w:fldCharType="begin">
                <w:ffData>
                  <w:name w:val=""/>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6A28D1">
              <w:rPr>
                <w:rFonts w:ascii="Arial Narrow" w:hAnsi="Arial Narrow" w:cs="Arial"/>
                <w:sz w:val="18"/>
                <w:szCs w:val="18"/>
              </w:rPr>
              <w:fldChar w:fldCharType="end"/>
            </w:r>
            <w:r w:rsidRPr="002D6525">
              <w:rPr>
                <w:rFonts w:ascii="Arial Narrow" w:hAnsi="Arial Narrow" w:cs="Arial"/>
                <w:sz w:val="18"/>
                <w:szCs w:val="18"/>
              </w:rPr>
              <w:t xml:space="preserve">Medical Practitioners    </w:t>
            </w:r>
            <w:r w:rsidRPr="006A28D1">
              <w:rPr>
                <w:rFonts w:ascii="Arial Narrow" w:hAnsi="Arial Narrow" w:cs="Arial"/>
                <w:sz w:val="18"/>
                <w:szCs w:val="18"/>
              </w:rPr>
              <w:fldChar w:fldCharType="begin">
                <w:ffData>
                  <w:name w:val="Check3"/>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6A28D1">
              <w:rPr>
                <w:rFonts w:ascii="Arial Narrow" w:hAnsi="Arial Narrow" w:cs="Arial"/>
                <w:sz w:val="18"/>
                <w:szCs w:val="18"/>
              </w:rPr>
              <w:fldChar w:fldCharType="end"/>
            </w:r>
            <w:r w:rsidRPr="002D6525">
              <w:rPr>
                <w:rFonts w:ascii="Arial Narrow" w:hAnsi="Arial Narrow" w:cs="Arial"/>
                <w:sz w:val="18"/>
                <w:szCs w:val="18"/>
              </w:rPr>
              <w:t xml:space="preserve">Nurse practitioners </w:t>
            </w:r>
          </w:p>
        </w:tc>
      </w:tr>
      <w:tr w:rsidR="00C30B19" w:rsidRPr="002D6525" w:rsidTr="007428C4">
        <w:trPr>
          <w:trHeight w:val="240"/>
        </w:trPr>
        <w:tc>
          <w:tcPr>
            <w:tcW w:w="4447" w:type="pct"/>
            <w:tcBorders>
              <w:top w:val="single" w:sz="4" w:space="0" w:color="auto"/>
              <w:left w:val="single" w:sz="4" w:space="0" w:color="auto"/>
              <w:bottom w:val="single" w:sz="4" w:space="0" w:color="auto"/>
              <w:right w:val="single" w:sz="4" w:space="0" w:color="auto"/>
            </w:tcBorders>
          </w:tcPr>
          <w:p w:rsidR="00C30B19" w:rsidRPr="002D6525" w:rsidRDefault="00C30B19" w:rsidP="007428C4">
            <w:pPr>
              <w:rPr>
                <w:rFonts w:ascii="Arial Narrow" w:hAnsi="Arial Narrow" w:cs="Arial"/>
                <w:sz w:val="18"/>
                <w:szCs w:val="18"/>
              </w:rPr>
            </w:pPr>
            <w:r w:rsidRPr="002D6525">
              <w:rPr>
                <w:rFonts w:ascii="Arial Narrow" w:hAnsi="Arial Narrow" w:cs="Arial"/>
                <w:b/>
                <w:sz w:val="18"/>
                <w:szCs w:val="18"/>
              </w:rPr>
              <w:t xml:space="preserve">Category / Program:   </w:t>
            </w:r>
            <w:r w:rsidRPr="002D6525">
              <w:rPr>
                <w:rFonts w:ascii="Arial Narrow" w:hAnsi="Arial Narrow" w:cs="Arial"/>
                <w:sz w:val="18"/>
                <w:szCs w:val="18"/>
              </w:rPr>
              <w:t>Section 100 – Efficient Funding of Chemotherapy</w:t>
            </w:r>
            <w:r w:rsidR="009E7078" w:rsidRPr="002D6525">
              <w:rPr>
                <w:rFonts w:ascii="Arial Narrow" w:hAnsi="Arial Narrow" w:cs="Arial"/>
                <w:sz w:val="18"/>
                <w:szCs w:val="18"/>
              </w:rPr>
              <w:t xml:space="preserve"> (Code CT)</w:t>
            </w:r>
          </w:p>
        </w:tc>
      </w:tr>
      <w:tr w:rsidR="00C30B19" w:rsidRPr="002D6525" w:rsidTr="007428C4">
        <w:trPr>
          <w:trHeight w:val="240"/>
        </w:trPr>
        <w:tc>
          <w:tcPr>
            <w:tcW w:w="4447" w:type="pct"/>
            <w:tcBorders>
              <w:top w:val="single" w:sz="4" w:space="0" w:color="auto"/>
              <w:left w:val="single" w:sz="4" w:space="0" w:color="auto"/>
              <w:bottom w:val="single" w:sz="4" w:space="0" w:color="auto"/>
              <w:right w:val="single" w:sz="4" w:space="0" w:color="auto"/>
            </w:tcBorders>
          </w:tcPr>
          <w:p w:rsidR="00C30B19" w:rsidRPr="002D6525" w:rsidRDefault="00C30B19" w:rsidP="00364FEE">
            <w:pPr>
              <w:rPr>
                <w:rFonts w:ascii="Arial Narrow" w:hAnsi="Arial Narrow" w:cs="Arial"/>
                <w:b/>
                <w:sz w:val="18"/>
                <w:szCs w:val="18"/>
              </w:rPr>
            </w:pPr>
            <w:r w:rsidRPr="002D6525">
              <w:rPr>
                <w:rFonts w:ascii="Arial Narrow" w:hAnsi="Arial Narrow" w:cs="Arial"/>
                <w:b/>
                <w:sz w:val="18"/>
                <w:szCs w:val="18"/>
              </w:rPr>
              <w:t xml:space="preserve">Prescriber type:   </w:t>
            </w:r>
            <w:r w:rsidRPr="006A28D1">
              <w:rPr>
                <w:rFonts w:ascii="Arial Narrow" w:hAnsi="Arial Narrow" w:cs="Arial"/>
                <w:sz w:val="18"/>
                <w:szCs w:val="18"/>
              </w:rPr>
              <w:fldChar w:fldCharType="begin">
                <w:ffData>
                  <w:name w:val=""/>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6A28D1">
              <w:rPr>
                <w:rFonts w:ascii="Arial Narrow" w:hAnsi="Arial Narrow" w:cs="Arial"/>
                <w:sz w:val="18"/>
                <w:szCs w:val="18"/>
              </w:rPr>
              <w:fldChar w:fldCharType="end"/>
            </w:r>
            <w:r w:rsidRPr="002D6525">
              <w:rPr>
                <w:rFonts w:ascii="Arial Narrow" w:hAnsi="Arial Narrow" w:cs="Arial"/>
                <w:sz w:val="18"/>
                <w:szCs w:val="18"/>
              </w:rPr>
              <w:t>Medical Practitioners</w:t>
            </w:r>
            <w:bookmarkStart w:id="0" w:name="_GoBack"/>
            <w:bookmarkEnd w:id="0"/>
            <w:r w:rsidRPr="002D6525">
              <w:rPr>
                <w:rFonts w:ascii="Arial Narrow" w:hAnsi="Arial Narrow" w:cs="Arial"/>
                <w:sz w:val="18"/>
                <w:szCs w:val="18"/>
              </w:rPr>
              <w:t xml:space="preserve"> </w:t>
            </w:r>
          </w:p>
        </w:tc>
      </w:tr>
    </w:tbl>
    <w:p w:rsidR="00C30B19" w:rsidRPr="002D6525" w:rsidRDefault="00C30B19" w:rsidP="00C30B19">
      <w:pPr>
        <w:pStyle w:val="3-BodyText"/>
        <w:numPr>
          <w:ilvl w:val="0"/>
          <w:numId w:val="0"/>
        </w:numPr>
        <w:ind w:left="720" w:hanging="720"/>
      </w:pPr>
    </w:p>
    <w:p w:rsidR="00C30B19" w:rsidRPr="002D6525" w:rsidRDefault="00C30B19" w:rsidP="00C30B19">
      <w:pPr>
        <w:pStyle w:val="TableFigureHeading"/>
      </w:pPr>
      <w:r w:rsidRPr="002D6525">
        <w:t>Restriction Summary 5991</w:t>
      </w:r>
      <w:r w:rsidR="006F6236" w:rsidRPr="002D6525">
        <w:t xml:space="preserve"> edited:</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58642B" w:rsidRPr="002D6525" w:rsidTr="00455993">
        <w:trPr>
          <w:trHeight w:val="194"/>
        </w:trPr>
        <w:tc>
          <w:tcPr>
            <w:tcW w:w="5000" w:type="pct"/>
            <w:tcBorders>
              <w:top w:val="single" w:sz="4" w:space="0" w:color="auto"/>
              <w:left w:val="single" w:sz="4" w:space="0" w:color="auto"/>
              <w:bottom w:val="single" w:sz="4" w:space="0" w:color="auto"/>
              <w:right w:val="single" w:sz="4" w:space="0" w:color="auto"/>
            </w:tcBorders>
          </w:tcPr>
          <w:p w:rsidR="0058642B" w:rsidRPr="002D6525" w:rsidRDefault="0058642B" w:rsidP="006F6236">
            <w:pPr>
              <w:rPr>
                <w:rFonts w:ascii="Arial Narrow" w:hAnsi="Arial Narrow" w:cs="Arial"/>
                <w:b/>
                <w:sz w:val="18"/>
                <w:szCs w:val="18"/>
              </w:rPr>
            </w:pPr>
            <w:r w:rsidRPr="002D6525">
              <w:rPr>
                <w:rFonts w:ascii="Arial Narrow" w:hAnsi="Arial Narrow" w:cs="Arial"/>
                <w:b/>
                <w:sz w:val="18"/>
                <w:szCs w:val="18"/>
              </w:rPr>
              <w:t>Restriction</w:t>
            </w:r>
            <w:r w:rsidR="001256A2" w:rsidRPr="002D6525">
              <w:rPr>
                <w:rFonts w:ascii="Arial Narrow" w:hAnsi="Arial Narrow" w:cs="Arial"/>
                <w:b/>
                <w:sz w:val="18"/>
                <w:szCs w:val="18"/>
              </w:rPr>
              <w:t xml:space="preserve"> </w:t>
            </w:r>
            <w:r w:rsidRPr="002D6525">
              <w:rPr>
                <w:rFonts w:ascii="Arial Narrow" w:hAnsi="Arial Narrow" w:cs="Arial"/>
                <w:b/>
                <w:sz w:val="18"/>
                <w:szCs w:val="18"/>
              </w:rPr>
              <w:t xml:space="preserve">Type / Method: </w:t>
            </w:r>
            <w:r w:rsidRPr="006A28D1">
              <w:rPr>
                <w:rFonts w:ascii="Arial Narrow" w:hAnsi="Arial Narrow" w:cs="Arial"/>
                <w:sz w:val="18"/>
                <w:szCs w:val="18"/>
              </w:rPr>
              <w:fldChar w:fldCharType="begin">
                <w:ffData>
                  <w:name w:val=""/>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6A28D1">
              <w:rPr>
                <w:rFonts w:ascii="Arial Narrow" w:hAnsi="Arial Narrow" w:cs="Arial"/>
                <w:sz w:val="18"/>
                <w:szCs w:val="18"/>
              </w:rPr>
              <w:fldChar w:fldCharType="end"/>
            </w:r>
            <w:r w:rsidRPr="002D6525">
              <w:rPr>
                <w:rFonts w:ascii="Arial Narrow" w:hAnsi="Arial Narrow" w:cs="Arial"/>
                <w:sz w:val="18"/>
                <w:szCs w:val="18"/>
              </w:rPr>
              <w:t xml:space="preserve">Authority Required </w:t>
            </w:r>
            <w:r w:rsidR="00455993" w:rsidRPr="002D6525">
              <w:rPr>
                <w:rFonts w:ascii="Arial Narrow" w:hAnsi="Arial Narrow" w:cs="Arial"/>
                <w:sz w:val="18"/>
                <w:szCs w:val="18"/>
              </w:rPr>
              <w:t>–</w:t>
            </w:r>
            <w:r w:rsidRPr="002D6525">
              <w:rPr>
                <w:rFonts w:ascii="Arial Narrow" w:hAnsi="Arial Narrow" w:cs="Arial"/>
                <w:sz w:val="18"/>
                <w:szCs w:val="18"/>
              </w:rPr>
              <w:t xml:space="preserve"> Streamlined</w:t>
            </w:r>
            <w:r w:rsidR="00455993" w:rsidRPr="002D6525">
              <w:rPr>
                <w:rFonts w:ascii="Arial Narrow" w:hAnsi="Arial Narrow" w:cs="Arial"/>
                <w:sz w:val="18"/>
                <w:szCs w:val="18"/>
              </w:rPr>
              <w:t xml:space="preserve"> (new 4 or 5 digit code)</w:t>
            </w:r>
          </w:p>
        </w:tc>
      </w:tr>
      <w:tr w:rsidR="0058642B" w:rsidRPr="002D6525" w:rsidTr="0058642B">
        <w:tc>
          <w:tcPr>
            <w:tcW w:w="5000" w:type="pct"/>
            <w:tcBorders>
              <w:bottom w:val="single" w:sz="4" w:space="0" w:color="auto"/>
            </w:tcBorders>
            <w:vAlign w:val="center"/>
          </w:tcPr>
          <w:p w:rsidR="0058642B" w:rsidRPr="002D6525" w:rsidRDefault="0058642B" w:rsidP="007428C4">
            <w:pPr>
              <w:rPr>
                <w:rFonts w:ascii="Arial Narrow" w:hAnsi="Arial Narrow"/>
                <w:b/>
                <w:bCs/>
                <w:color w:val="333333"/>
                <w:sz w:val="18"/>
                <w:szCs w:val="18"/>
              </w:rPr>
            </w:pPr>
            <w:r w:rsidRPr="002D6525">
              <w:rPr>
                <w:rFonts w:ascii="Arial Narrow" w:hAnsi="Arial Narrow"/>
                <w:b/>
                <w:bCs/>
                <w:color w:val="333333"/>
                <w:sz w:val="18"/>
                <w:szCs w:val="18"/>
              </w:rPr>
              <w:t>Indication:</w:t>
            </w:r>
            <w:r w:rsidRPr="002D6525">
              <w:rPr>
                <w:rFonts w:ascii="Arial Narrow" w:hAnsi="Arial Narrow"/>
                <w:color w:val="333333"/>
                <w:sz w:val="18"/>
                <w:szCs w:val="18"/>
              </w:rPr>
              <w:t xml:space="preserve"> Nausea and vomiting</w:t>
            </w:r>
          </w:p>
        </w:tc>
      </w:tr>
      <w:tr w:rsidR="0058642B" w:rsidRPr="002D6525" w:rsidTr="0058642B">
        <w:tc>
          <w:tcPr>
            <w:tcW w:w="5000" w:type="pct"/>
            <w:tcBorders>
              <w:bottom w:val="nil"/>
            </w:tcBorders>
            <w:vAlign w:val="center"/>
          </w:tcPr>
          <w:p w:rsidR="0058642B" w:rsidRPr="002D6525" w:rsidRDefault="0058642B" w:rsidP="0058642B">
            <w:r w:rsidRPr="002D6525">
              <w:rPr>
                <w:rFonts w:ascii="Arial Narrow" w:hAnsi="Arial Narrow"/>
                <w:b/>
                <w:bCs/>
                <w:color w:val="333333"/>
                <w:sz w:val="18"/>
                <w:szCs w:val="18"/>
              </w:rPr>
              <w:t>Clinical criteria:</w:t>
            </w:r>
            <w:r w:rsidRPr="002D6525">
              <w:t xml:space="preserve"> </w:t>
            </w:r>
          </w:p>
        </w:tc>
      </w:tr>
      <w:tr w:rsidR="0058642B" w:rsidRPr="002D6525" w:rsidTr="0058642B">
        <w:tc>
          <w:tcPr>
            <w:tcW w:w="5000" w:type="pct"/>
            <w:tcBorders>
              <w:top w:val="nil"/>
              <w:bottom w:val="nil"/>
            </w:tcBorders>
            <w:vAlign w:val="center"/>
          </w:tcPr>
          <w:p w:rsidR="0058642B" w:rsidRPr="002D6525" w:rsidRDefault="0058642B" w:rsidP="000509B2">
            <w:pPr>
              <w:pStyle w:val="ListParagraph"/>
              <w:numPr>
                <w:ilvl w:val="0"/>
                <w:numId w:val="26"/>
              </w:numPr>
              <w:spacing w:after="0"/>
              <w:rPr>
                <w:rFonts w:ascii="Arial Narrow" w:hAnsi="Arial Narrow"/>
                <w:bCs/>
                <w:color w:val="333333"/>
                <w:sz w:val="18"/>
                <w:szCs w:val="18"/>
              </w:rPr>
            </w:pPr>
            <w:r w:rsidRPr="002D6525">
              <w:rPr>
                <w:rFonts w:ascii="Arial Narrow" w:hAnsi="Arial Narrow"/>
                <w:bCs/>
                <w:color w:val="333333"/>
                <w:sz w:val="18"/>
                <w:szCs w:val="18"/>
              </w:rPr>
              <w:t>The condition must be associated with cytotoxic chemotherapy being used to treat malignancy</w:t>
            </w:r>
          </w:p>
        </w:tc>
      </w:tr>
      <w:tr w:rsidR="0058642B" w:rsidRPr="002D6525" w:rsidTr="0058642B">
        <w:tc>
          <w:tcPr>
            <w:tcW w:w="5000" w:type="pct"/>
            <w:tcBorders>
              <w:top w:val="nil"/>
              <w:bottom w:val="nil"/>
            </w:tcBorders>
            <w:vAlign w:val="center"/>
          </w:tcPr>
          <w:p w:rsidR="0058642B" w:rsidRPr="002D6525" w:rsidRDefault="0058642B" w:rsidP="000509B2">
            <w:pPr>
              <w:pStyle w:val="ListParagraph"/>
              <w:numPr>
                <w:ilvl w:val="0"/>
                <w:numId w:val="0"/>
              </w:numPr>
              <w:spacing w:after="0"/>
              <w:ind w:left="720"/>
              <w:rPr>
                <w:rFonts w:ascii="Arial Narrow" w:hAnsi="Arial Narrow"/>
                <w:color w:val="333333"/>
                <w:sz w:val="18"/>
                <w:szCs w:val="18"/>
              </w:rPr>
            </w:pPr>
            <w:r w:rsidRPr="002D6525">
              <w:rPr>
                <w:rFonts w:ascii="Arial Narrow" w:hAnsi="Arial Narrow"/>
                <w:b/>
                <w:bCs/>
                <w:color w:val="333333"/>
                <w:sz w:val="18"/>
                <w:szCs w:val="18"/>
              </w:rPr>
              <w:t>AND</w:t>
            </w:r>
          </w:p>
        </w:tc>
      </w:tr>
      <w:tr w:rsidR="0058642B" w:rsidRPr="002D6525" w:rsidTr="0058642B">
        <w:tc>
          <w:tcPr>
            <w:tcW w:w="5000" w:type="pct"/>
            <w:tcBorders>
              <w:top w:val="nil"/>
            </w:tcBorders>
            <w:vAlign w:val="center"/>
          </w:tcPr>
          <w:p w:rsidR="0058642B" w:rsidRPr="002D6525" w:rsidRDefault="0058642B" w:rsidP="000509B2">
            <w:pPr>
              <w:pStyle w:val="ListParagraph"/>
              <w:numPr>
                <w:ilvl w:val="0"/>
                <w:numId w:val="26"/>
              </w:numPr>
              <w:spacing w:after="0"/>
              <w:rPr>
                <w:rFonts w:ascii="Calibri" w:hAnsi="Calibri"/>
              </w:rPr>
            </w:pPr>
            <w:r w:rsidRPr="002D6525">
              <w:rPr>
                <w:rFonts w:ascii="Arial Narrow" w:hAnsi="Arial Narrow"/>
                <w:bCs/>
                <w:color w:val="333333"/>
                <w:sz w:val="18"/>
                <w:szCs w:val="18"/>
              </w:rPr>
              <w:t>The treatment must be in combination with dexamethasone</w:t>
            </w:r>
          </w:p>
        </w:tc>
      </w:tr>
      <w:tr w:rsidR="0058642B" w:rsidRPr="002D6525" w:rsidTr="0058642B">
        <w:tc>
          <w:tcPr>
            <w:tcW w:w="5000" w:type="pct"/>
            <w:tcBorders>
              <w:bottom w:val="single" w:sz="4" w:space="0" w:color="auto"/>
            </w:tcBorders>
            <w:vAlign w:val="center"/>
          </w:tcPr>
          <w:p w:rsidR="0058642B" w:rsidRPr="002D6525" w:rsidRDefault="0058642B" w:rsidP="00966DF5">
            <w:pPr>
              <w:rPr>
                <w:rFonts w:ascii="Arial Narrow" w:hAnsi="Arial Narrow"/>
                <w:color w:val="333333"/>
                <w:sz w:val="18"/>
                <w:szCs w:val="18"/>
              </w:rPr>
            </w:pPr>
            <w:r w:rsidRPr="002D6525">
              <w:rPr>
                <w:rFonts w:ascii="Arial Narrow" w:hAnsi="Arial Narrow"/>
                <w:b/>
                <w:bCs/>
                <w:color w:val="333333"/>
                <w:sz w:val="18"/>
                <w:szCs w:val="18"/>
              </w:rPr>
              <w:t>Prescribing Instructions:</w:t>
            </w:r>
            <w:r w:rsidRPr="002D6525">
              <w:rPr>
                <w:rFonts w:ascii="Arial Narrow" w:hAnsi="Arial Narrow"/>
                <w:color w:val="333333"/>
                <w:sz w:val="18"/>
                <w:szCs w:val="18"/>
              </w:rPr>
              <w:t xml:space="preserve"> No more than 1 vial will be authorised per cycle of cytotoxic chemotherapy</w:t>
            </w:r>
            <w:r w:rsidR="00797CBA">
              <w:rPr>
                <w:rFonts w:ascii="Arial Narrow" w:hAnsi="Arial Narrow"/>
                <w:color w:val="333333"/>
                <w:sz w:val="18"/>
                <w:szCs w:val="18"/>
              </w:rPr>
              <w:t xml:space="preserve">, </w:t>
            </w:r>
            <w:r w:rsidR="007D596D">
              <w:rPr>
                <w:rFonts w:ascii="Arial Narrow" w:hAnsi="Arial Narrow"/>
                <w:color w:val="333333"/>
                <w:sz w:val="18"/>
                <w:szCs w:val="18"/>
              </w:rPr>
              <w:t xml:space="preserve">This product is also not </w:t>
            </w:r>
            <w:r w:rsidR="00FB347C">
              <w:rPr>
                <w:rFonts w:ascii="Arial Narrow" w:hAnsi="Arial Narrow"/>
                <w:color w:val="333333"/>
                <w:sz w:val="18"/>
                <w:szCs w:val="18"/>
              </w:rPr>
              <w:t xml:space="preserve">subsidised </w:t>
            </w:r>
            <w:r w:rsidR="007D596D">
              <w:rPr>
                <w:rFonts w:ascii="Arial Narrow" w:hAnsi="Arial Narrow"/>
                <w:color w:val="333333"/>
                <w:sz w:val="18"/>
                <w:szCs w:val="18"/>
              </w:rPr>
              <w:t xml:space="preserve">for use with another </w:t>
            </w:r>
            <w:r w:rsidR="00AB7C7F">
              <w:rPr>
                <w:rFonts w:ascii="Arial Narrow" w:hAnsi="Arial Narrow"/>
                <w:color w:val="333333"/>
                <w:sz w:val="18"/>
                <w:szCs w:val="18"/>
              </w:rPr>
              <w:t>receptor antagonist</w:t>
            </w:r>
            <w:r w:rsidR="007D596D">
              <w:rPr>
                <w:rFonts w:ascii="Arial Narrow" w:hAnsi="Arial Narrow"/>
                <w:color w:val="333333"/>
                <w:sz w:val="18"/>
                <w:szCs w:val="18"/>
              </w:rPr>
              <w:t xml:space="preserve"> drug within the same pharmacological classes </w:t>
            </w:r>
            <w:r w:rsidR="005F0EE5">
              <w:rPr>
                <w:rFonts w:ascii="Arial Narrow" w:hAnsi="Arial Narrow"/>
                <w:color w:val="333333"/>
                <w:sz w:val="18"/>
                <w:szCs w:val="18"/>
              </w:rPr>
              <w:t>as</w:t>
            </w:r>
            <w:r w:rsidR="007D596D">
              <w:rPr>
                <w:rFonts w:ascii="Arial Narrow" w:hAnsi="Arial Narrow"/>
                <w:color w:val="333333"/>
                <w:sz w:val="18"/>
                <w:szCs w:val="18"/>
              </w:rPr>
              <w:t xml:space="preserve"> the component drugs.</w:t>
            </w:r>
          </w:p>
        </w:tc>
      </w:tr>
      <w:tr w:rsidR="0058642B" w:rsidRPr="002D6525" w:rsidTr="0058642B">
        <w:tc>
          <w:tcPr>
            <w:tcW w:w="5000" w:type="pct"/>
            <w:tcBorders>
              <w:bottom w:val="nil"/>
            </w:tcBorders>
            <w:vAlign w:val="center"/>
          </w:tcPr>
          <w:p w:rsidR="005F0EE5" w:rsidRDefault="0058642B" w:rsidP="007428C4">
            <w:pPr>
              <w:rPr>
                <w:rFonts w:ascii="Arial Narrow" w:hAnsi="Arial Narrow"/>
                <w:b/>
                <w:bCs/>
                <w:color w:val="333333"/>
                <w:sz w:val="18"/>
                <w:szCs w:val="18"/>
              </w:rPr>
            </w:pPr>
            <w:r w:rsidRPr="002D6525">
              <w:rPr>
                <w:rFonts w:ascii="Arial Narrow" w:hAnsi="Arial Narrow"/>
                <w:b/>
                <w:bCs/>
                <w:color w:val="333333"/>
                <w:sz w:val="18"/>
                <w:szCs w:val="18"/>
              </w:rPr>
              <w:t>Administrative Advice:</w:t>
            </w:r>
            <w:r w:rsidR="005F0EE5">
              <w:rPr>
                <w:rFonts w:ascii="Arial Narrow" w:hAnsi="Arial Narrow"/>
                <w:b/>
                <w:bCs/>
                <w:color w:val="333333"/>
                <w:sz w:val="18"/>
                <w:szCs w:val="18"/>
              </w:rPr>
              <w:t xml:space="preserve"> </w:t>
            </w:r>
          </w:p>
          <w:p w:rsidR="0058642B" w:rsidRPr="005F0EE5" w:rsidRDefault="0058642B" w:rsidP="007428C4">
            <w:pPr>
              <w:rPr>
                <w:rFonts w:ascii="Arial Narrow" w:hAnsi="Arial Narrow"/>
                <w:b/>
                <w:bCs/>
                <w:color w:val="333333"/>
                <w:sz w:val="18"/>
                <w:szCs w:val="18"/>
              </w:rPr>
            </w:pPr>
            <w:r w:rsidRPr="002D6525">
              <w:rPr>
                <w:rFonts w:ascii="Arial Narrow" w:hAnsi="Arial Narrow"/>
                <w:bCs/>
                <w:color w:val="333333"/>
                <w:sz w:val="18"/>
                <w:szCs w:val="18"/>
              </w:rPr>
              <w:t>No increase in the maximum number of repeats may be authorised.</w:t>
            </w:r>
          </w:p>
        </w:tc>
      </w:tr>
      <w:tr w:rsidR="0058642B" w:rsidRPr="002D6525" w:rsidTr="0058642B">
        <w:tc>
          <w:tcPr>
            <w:tcW w:w="5000" w:type="pct"/>
            <w:tcBorders>
              <w:top w:val="nil"/>
              <w:bottom w:val="nil"/>
            </w:tcBorders>
            <w:vAlign w:val="center"/>
          </w:tcPr>
          <w:p w:rsidR="0058642B" w:rsidRPr="002D6525" w:rsidRDefault="0058642B" w:rsidP="007428C4">
            <w:pPr>
              <w:rPr>
                <w:rFonts w:ascii="Arial Narrow" w:hAnsi="Arial Narrow"/>
                <w:color w:val="333333"/>
                <w:sz w:val="18"/>
                <w:szCs w:val="18"/>
              </w:rPr>
            </w:pPr>
            <w:r w:rsidRPr="002D6525">
              <w:rPr>
                <w:rFonts w:ascii="Arial Narrow" w:hAnsi="Arial Narrow"/>
                <w:bCs/>
                <w:color w:val="333333"/>
                <w:sz w:val="18"/>
                <w:szCs w:val="18"/>
              </w:rPr>
              <w:t>No increase in the maximum quantity or number of units may be authorised.</w:t>
            </w:r>
          </w:p>
        </w:tc>
      </w:tr>
      <w:tr w:rsidR="0058642B" w:rsidRPr="002D6525" w:rsidTr="0058642B">
        <w:tc>
          <w:tcPr>
            <w:tcW w:w="5000" w:type="pct"/>
            <w:tcBorders>
              <w:top w:val="nil"/>
            </w:tcBorders>
            <w:vAlign w:val="center"/>
          </w:tcPr>
          <w:p w:rsidR="0058642B" w:rsidRPr="002D6525" w:rsidRDefault="0058642B" w:rsidP="007428C4">
            <w:pPr>
              <w:rPr>
                <w:rFonts w:ascii="Arial Narrow" w:hAnsi="Arial Narrow"/>
                <w:color w:val="333333"/>
                <w:sz w:val="18"/>
                <w:szCs w:val="18"/>
              </w:rPr>
            </w:pPr>
            <w:r w:rsidRPr="002D6525">
              <w:rPr>
                <w:rFonts w:ascii="Arial Narrow" w:hAnsi="Arial Narrow"/>
                <w:bCs/>
                <w:color w:val="333333"/>
                <w:sz w:val="18"/>
                <w:szCs w:val="18"/>
              </w:rPr>
              <w:t>This medicine is not PBS-subsidised for nausea and vomiting associated with radiotherapy being used to treat malignancy.</w:t>
            </w:r>
          </w:p>
        </w:tc>
      </w:tr>
    </w:tbl>
    <w:p w:rsidR="00C30B19" w:rsidRPr="002D6525" w:rsidRDefault="00C30B19" w:rsidP="00C30B19">
      <w:pPr>
        <w:pStyle w:val="3-BodyText"/>
        <w:numPr>
          <w:ilvl w:val="0"/>
          <w:numId w:val="0"/>
        </w:numPr>
        <w:ind w:left="720" w:hanging="720"/>
      </w:pPr>
    </w:p>
    <w:p w:rsidR="009F0ADE" w:rsidRDefault="009F0ADE">
      <w:pPr>
        <w:jc w:val="left"/>
        <w:rPr>
          <w:rFonts w:ascii="Arial Narrow" w:eastAsiaTheme="majorEastAsia" w:hAnsi="Arial Narrow" w:cstheme="majorBidi"/>
          <w:b/>
          <w:bCs/>
          <w:sz w:val="20"/>
        </w:rPr>
      </w:pPr>
      <w:r>
        <w:br w:type="page"/>
      </w:r>
    </w:p>
    <w:p w:rsidR="00C30B19" w:rsidRPr="002D6525" w:rsidRDefault="00C30B19" w:rsidP="00C30B19">
      <w:pPr>
        <w:pStyle w:val="TableFigureHeading"/>
      </w:pPr>
      <w:r w:rsidRPr="002D6525">
        <w:t>Restriction Summary 5994</w:t>
      </w:r>
      <w:r w:rsidR="0058642B" w:rsidRPr="002D6525">
        <w:t xml:space="preserve"> edited:</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58642B" w:rsidRPr="002D6525" w:rsidTr="00DA0BBF">
        <w:tc>
          <w:tcPr>
            <w:tcW w:w="5000" w:type="pct"/>
            <w:tcBorders>
              <w:top w:val="single" w:sz="4" w:space="0" w:color="auto"/>
              <w:left w:val="single" w:sz="4" w:space="0" w:color="auto"/>
              <w:bottom w:val="single" w:sz="4" w:space="0" w:color="auto"/>
              <w:right w:val="single" w:sz="4" w:space="0" w:color="auto"/>
            </w:tcBorders>
          </w:tcPr>
          <w:p w:rsidR="0058642B" w:rsidRPr="002D6525" w:rsidRDefault="0058642B" w:rsidP="0058642B">
            <w:pPr>
              <w:rPr>
                <w:rFonts w:ascii="Arial Narrow" w:hAnsi="Arial Narrow" w:cs="Arial"/>
                <w:b/>
                <w:sz w:val="18"/>
                <w:szCs w:val="18"/>
              </w:rPr>
            </w:pPr>
            <w:r w:rsidRPr="002D6525">
              <w:rPr>
                <w:rFonts w:ascii="Arial Narrow" w:hAnsi="Arial Narrow" w:cs="Arial"/>
                <w:b/>
                <w:sz w:val="18"/>
                <w:szCs w:val="18"/>
              </w:rPr>
              <w:t xml:space="preserve">Restriction Type / Method: </w:t>
            </w:r>
            <w:r w:rsidRPr="006A28D1">
              <w:rPr>
                <w:rFonts w:ascii="Arial Narrow" w:hAnsi="Arial Narrow" w:cs="Arial"/>
                <w:sz w:val="18"/>
                <w:szCs w:val="18"/>
              </w:rPr>
              <w:fldChar w:fldCharType="begin">
                <w:ffData>
                  <w:name w:val=""/>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6A28D1">
              <w:rPr>
                <w:rFonts w:ascii="Arial Narrow" w:hAnsi="Arial Narrow" w:cs="Arial"/>
                <w:sz w:val="18"/>
                <w:szCs w:val="18"/>
              </w:rPr>
              <w:fldChar w:fldCharType="end"/>
            </w:r>
            <w:r w:rsidRPr="002D6525">
              <w:rPr>
                <w:rFonts w:ascii="Arial Narrow" w:hAnsi="Arial Narrow" w:cs="Arial"/>
                <w:sz w:val="18"/>
                <w:szCs w:val="18"/>
              </w:rPr>
              <w:t xml:space="preserve">Authority Required </w:t>
            </w:r>
            <w:r w:rsidR="00455993" w:rsidRPr="002D6525">
              <w:rPr>
                <w:rFonts w:ascii="Arial Narrow" w:hAnsi="Arial Narrow" w:cs="Arial"/>
                <w:sz w:val="18"/>
                <w:szCs w:val="18"/>
              </w:rPr>
              <w:t>–</w:t>
            </w:r>
            <w:r w:rsidRPr="002D6525">
              <w:rPr>
                <w:rFonts w:ascii="Arial Narrow" w:hAnsi="Arial Narrow" w:cs="Arial"/>
                <w:sz w:val="18"/>
                <w:szCs w:val="18"/>
              </w:rPr>
              <w:t xml:space="preserve"> Streamlined</w:t>
            </w:r>
            <w:r w:rsidR="00455993" w:rsidRPr="002D6525">
              <w:rPr>
                <w:rFonts w:ascii="Arial Narrow" w:hAnsi="Arial Narrow" w:cs="Arial"/>
                <w:sz w:val="18"/>
                <w:szCs w:val="18"/>
              </w:rPr>
              <w:t xml:space="preserve"> (new 4 or 5 digit code)</w:t>
            </w:r>
          </w:p>
        </w:tc>
      </w:tr>
      <w:tr w:rsidR="0058642B" w:rsidRPr="002D6525" w:rsidTr="00DA0BBF">
        <w:tc>
          <w:tcPr>
            <w:tcW w:w="5000" w:type="pct"/>
            <w:tcBorders>
              <w:bottom w:val="single" w:sz="4" w:space="0" w:color="auto"/>
            </w:tcBorders>
            <w:vAlign w:val="center"/>
          </w:tcPr>
          <w:p w:rsidR="0058642B" w:rsidRPr="002D6525" w:rsidRDefault="0058642B" w:rsidP="007428C4">
            <w:pPr>
              <w:rPr>
                <w:rFonts w:ascii="Arial Narrow" w:hAnsi="Arial Narrow"/>
                <w:b/>
                <w:bCs/>
                <w:color w:val="333333"/>
                <w:sz w:val="18"/>
                <w:szCs w:val="18"/>
              </w:rPr>
            </w:pPr>
            <w:r w:rsidRPr="002D6525">
              <w:rPr>
                <w:rFonts w:ascii="Arial Narrow" w:hAnsi="Arial Narrow"/>
                <w:b/>
                <w:bCs/>
                <w:color w:val="333333"/>
                <w:sz w:val="18"/>
                <w:szCs w:val="18"/>
              </w:rPr>
              <w:t>Indication:</w:t>
            </w:r>
            <w:r w:rsidRPr="002D6525">
              <w:rPr>
                <w:rFonts w:ascii="Arial Narrow" w:hAnsi="Arial Narrow"/>
                <w:color w:val="333333"/>
                <w:sz w:val="18"/>
                <w:szCs w:val="18"/>
              </w:rPr>
              <w:t xml:space="preserve"> Nausea and vomiting</w:t>
            </w:r>
          </w:p>
        </w:tc>
      </w:tr>
      <w:tr w:rsidR="0058642B" w:rsidRPr="002D6525" w:rsidTr="00DA0BBF">
        <w:tc>
          <w:tcPr>
            <w:tcW w:w="5000" w:type="pct"/>
            <w:tcBorders>
              <w:bottom w:val="nil"/>
            </w:tcBorders>
            <w:vAlign w:val="center"/>
          </w:tcPr>
          <w:p w:rsidR="0058642B" w:rsidRPr="002D6525" w:rsidRDefault="0058642B" w:rsidP="007428C4">
            <w:r w:rsidRPr="002D6525">
              <w:rPr>
                <w:rFonts w:ascii="Arial Narrow" w:hAnsi="Arial Narrow"/>
                <w:b/>
                <w:bCs/>
                <w:color w:val="333333"/>
                <w:sz w:val="18"/>
                <w:szCs w:val="18"/>
              </w:rPr>
              <w:t>Clinical criteria:</w:t>
            </w:r>
          </w:p>
        </w:tc>
      </w:tr>
      <w:tr w:rsidR="0058642B" w:rsidRPr="002D6525" w:rsidTr="00DA0BBF">
        <w:tc>
          <w:tcPr>
            <w:tcW w:w="5000" w:type="pct"/>
            <w:tcBorders>
              <w:top w:val="nil"/>
              <w:bottom w:val="nil"/>
            </w:tcBorders>
            <w:vAlign w:val="center"/>
          </w:tcPr>
          <w:p w:rsidR="0058642B" w:rsidRPr="002D6525" w:rsidRDefault="0058642B" w:rsidP="0058642B">
            <w:pPr>
              <w:pStyle w:val="ListParagraph"/>
              <w:numPr>
                <w:ilvl w:val="0"/>
                <w:numId w:val="27"/>
              </w:numPr>
              <w:spacing w:after="0"/>
              <w:ind w:left="714" w:hanging="357"/>
              <w:rPr>
                <w:rFonts w:ascii="Arial Narrow" w:hAnsi="Arial Narrow"/>
                <w:b/>
                <w:bCs/>
                <w:color w:val="333333"/>
                <w:sz w:val="18"/>
                <w:szCs w:val="18"/>
              </w:rPr>
            </w:pPr>
            <w:r w:rsidRPr="002D6525">
              <w:rPr>
                <w:rFonts w:ascii="Arial Narrow" w:hAnsi="Arial Narrow"/>
                <w:bCs/>
                <w:color w:val="333333"/>
                <w:sz w:val="18"/>
                <w:szCs w:val="18"/>
              </w:rPr>
              <w:t>The condition must be associated with cytotoxic chemotherapy being used to treat breast cancer</w:t>
            </w:r>
          </w:p>
        </w:tc>
      </w:tr>
      <w:tr w:rsidR="0058642B" w:rsidRPr="002D6525" w:rsidTr="00DA0BBF">
        <w:tc>
          <w:tcPr>
            <w:tcW w:w="5000" w:type="pct"/>
            <w:tcBorders>
              <w:top w:val="nil"/>
              <w:bottom w:val="nil"/>
            </w:tcBorders>
            <w:vAlign w:val="center"/>
          </w:tcPr>
          <w:p w:rsidR="0058642B" w:rsidRPr="002D6525" w:rsidRDefault="0058642B" w:rsidP="00DA0BBF">
            <w:pPr>
              <w:pStyle w:val="ListParagraph"/>
              <w:numPr>
                <w:ilvl w:val="0"/>
                <w:numId w:val="0"/>
              </w:numPr>
              <w:spacing w:after="0"/>
              <w:ind w:left="714"/>
              <w:rPr>
                <w:rFonts w:ascii="Arial Narrow" w:hAnsi="Arial Narrow"/>
                <w:color w:val="333333"/>
                <w:sz w:val="18"/>
                <w:szCs w:val="18"/>
              </w:rPr>
            </w:pPr>
            <w:r w:rsidRPr="002D6525">
              <w:rPr>
                <w:rFonts w:ascii="Arial Narrow" w:hAnsi="Arial Narrow"/>
                <w:b/>
                <w:bCs/>
                <w:color w:val="333333"/>
                <w:sz w:val="18"/>
                <w:szCs w:val="18"/>
              </w:rPr>
              <w:t>AND</w:t>
            </w:r>
          </w:p>
        </w:tc>
      </w:tr>
      <w:tr w:rsidR="0058642B" w:rsidRPr="002D6525" w:rsidTr="00DA0BBF">
        <w:tc>
          <w:tcPr>
            <w:tcW w:w="5000" w:type="pct"/>
            <w:tcBorders>
              <w:top w:val="nil"/>
              <w:bottom w:val="nil"/>
            </w:tcBorders>
            <w:vAlign w:val="center"/>
          </w:tcPr>
          <w:p w:rsidR="0058642B" w:rsidRPr="002D6525" w:rsidRDefault="0058642B" w:rsidP="0058642B">
            <w:pPr>
              <w:pStyle w:val="ListParagraph"/>
              <w:numPr>
                <w:ilvl w:val="0"/>
                <w:numId w:val="27"/>
              </w:numPr>
              <w:spacing w:after="0"/>
              <w:ind w:left="714" w:hanging="357"/>
              <w:rPr>
                <w:rFonts w:ascii="Arial Narrow" w:hAnsi="Arial Narrow"/>
                <w:bCs/>
                <w:color w:val="333333"/>
                <w:sz w:val="18"/>
                <w:szCs w:val="18"/>
              </w:rPr>
            </w:pPr>
            <w:r w:rsidRPr="002D6525">
              <w:rPr>
                <w:rFonts w:ascii="Arial Narrow" w:hAnsi="Arial Narrow"/>
                <w:bCs/>
                <w:color w:val="333333"/>
                <w:sz w:val="18"/>
                <w:szCs w:val="18"/>
              </w:rPr>
              <w:t>The treatment must be in combination with dexamethasone</w:t>
            </w:r>
          </w:p>
        </w:tc>
      </w:tr>
      <w:tr w:rsidR="0058642B" w:rsidRPr="002D6525" w:rsidTr="00DA0BBF">
        <w:tc>
          <w:tcPr>
            <w:tcW w:w="5000" w:type="pct"/>
            <w:tcBorders>
              <w:top w:val="nil"/>
              <w:bottom w:val="nil"/>
            </w:tcBorders>
            <w:vAlign w:val="center"/>
          </w:tcPr>
          <w:p w:rsidR="0058642B" w:rsidRPr="002D6525" w:rsidRDefault="0058642B" w:rsidP="00DA0BBF">
            <w:pPr>
              <w:pStyle w:val="ListParagraph"/>
              <w:numPr>
                <w:ilvl w:val="0"/>
                <w:numId w:val="0"/>
              </w:numPr>
              <w:spacing w:after="0"/>
              <w:ind w:left="714"/>
              <w:rPr>
                <w:rFonts w:ascii="Arial Narrow" w:hAnsi="Arial Narrow"/>
                <w:b/>
                <w:bCs/>
                <w:color w:val="333333"/>
                <w:sz w:val="18"/>
                <w:szCs w:val="18"/>
              </w:rPr>
            </w:pPr>
            <w:r w:rsidRPr="002D6525">
              <w:rPr>
                <w:rFonts w:ascii="Arial Narrow" w:hAnsi="Arial Narrow"/>
                <w:b/>
                <w:color w:val="333333"/>
                <w:sz w:val="18"/>
                <w:szCs w:val="18"/>
              </w:rPr>
              <w:t>AND</w:t>
            </w:r>
          </w:p>
        </w:tc>
      </w:tr>
      <w:tr w:rsidR="0058642B" w:rsidRPr="002D6525" w:rsidTr="00DA0BBF">
        <w:tc>
          <w:tcPr>
            <w:tcW w:w="5000" w:type="pct"/>
            <w:tcBorders>
              <w:top w:val="nil"/>
            </w:tcBorders>
            <w:vAlign w:val="center"/>
          </w:tcPr>
          <w:p w:rsidR="0058642B" w:rsidRPr="002D6525" w:rsidRDefault="0058642B" w:rsidP="0058642B">
            <w:pPr>
              <w:pStyle w:val="ListParagraph"/>
              <w:numPr>
                <w:ilvl w:val="0"/>
                <w:numId w:val="27"/>
              </w:numPr>
              <w:spacing w:after="0"/>
              <w:ind w:left="714" w:hanging="357"/>
              <w:rPr>
                <w:rFonts w:ascii="Arial Narrow" w:hAnsi="Arial Narrow"/>
                <w:color w:val="333333"/>
                <w:sz w:val="18"/>
                <w:szCs w:val="18"/>
              </w:rPr>
            </w:pPr>
            <w:r w:rsidRPr="002D6525">
              <w:rPr>
                <w:rFonts w:ascii="Arial Narrow" w:hAnsi="Arial Narrow"/>
                <w:color w:val="333333"/>
                <w:sz w:val="18"/>
                <w:szCs w:val="18"/>
              </w:rPr>
              <w:t>Patient must be scheduled to be co-administered cyclophosphamide and an anthracycline</w:t>
            </w:r>
          </w:p>
        </w:tc>
      </w:tr>
      <w:tr w:rsidR="0058642B" w:rsidRPr="002D6525" w:rsidTr="00DA0BBF">
        <w:tc>
          <w:tcPr>
            <w:tcW w:w="5000" w:type="pct"/>
            <w:tcBorders>
              <w:bottom w:val="single" w:sz="4" w:space="0" w:color="auto"/>
            </w:tcBorders>
            <w:vAlign w:val="center"/>
          </w:tcPr>
          <w:p w:rsidR="0058642B" w:rsidRPr="002D6525" w:rsidRDefault="0058642B" w:rsidP="00266098">
            <w:pPr>
              <w:rPr>
                <w:rFonts w:ascii="Arial Narrow" w:hAnsi="Arial Narrow"/>
                <w:color w:val="333333"/>
                <w:sz w:val="18"/>
                <w:szCs w:val="18"/>
              </w:rPr>
            </w:pPr>
            <w:r w:rsidRPr="002D6525">
              <w:rPr>
                <w:rFonts w:ascii="Arial Narrow" w:hAnsi="Arial Narrow"/>
                <w:b/>
                <w:bCs/>
                <w:color w:val="333333"/>
                <w:sz w:val="18"/>
                <w:szCs w:val="18"/>
              </w:rPr>
              <w:t>Prescribing Instructions:</w:t>
            </w:r>
            <w:r w:rsidR="00DA0BBF" w:rsidRPr="002D6525">
              <w:rPr>
                <w:rFonts w:ascii="Arial Narrow" w:hAnsi="Arial Narrow"/>
                <w:color w:val="333333"/>
                <w:sz w:val="18"/>
                <w:szCs w:val="18"/>
              </w:rPr>
              <w:t xml:space="preserve"> </w:t>
            </w:r>
            <w:r w:rsidRPr="002D6525">
              <w:rPr>
                <w:rFonts w:ascii="Arial Narrow" w:hAnsi="Arial Narrow"/>
                <w:color w:val="333333"/>
                <w:sz w:val="18"/>
                <w:szCs w:val="18"/>
              </w:rPr>
              <w:t>No more than 1 vial will be authorised per cycle of cytotoxic chemotherapy</w:t>
            </w:r>
            <w:r w:rsidR="00266098">
              <w:rPr>
                <w:rFonts w:ascii="Arial Narrow" w:hAnsi="Arial Narrow"/>
                <w:color w:val="333333"/>
                <w:sz w:val="18"/>
                <w:szCs w:val="18"/>
              </w:rPr>
              <w:t>. This product is also not subsidised for use with another drug within the same pharmacological classes as the component drugs.</w:t>
            </w:r>
          </w:p>
        </w:tc>
      </w:tr>
      <w:tr w:rsidR="0058642B" w:rsidRPr="002D6525" w:rsidTr="00DA0BBF">
        <w:tc>
          <w:tcPr>
            <w:tcW w:w="5000" w:type="pct"/>
            <w:tcBorders>
              <w:bottom w:val="nil"/>
            </w:tcBorders>
            <w:vAlign w:val="center"/>
          </w:tcPr>
          <w:p w:rsidR="0058642B" w:rsidRPr="002D6525" w:rsidRDefault="0058642B" w:rsidP="007428C4">
            <w:pPr>
              <w:rPr>
                <w:rFonts w:ascii="Arial Narrow" w:hAnsi="Arial Narrow"/>
                <w:color w:val="333333"/>
                <w:sz w:val="18"/>
                <w:szCs w:val="18"/>
              </w:rPr>
            </w:pPr>
            <w:r w:rsidRPr="002D6525">
              <w:rPr>
                <w:rFonts w:ascii="Arial Narrow" w:hAnsi="Arial Narrow"/>
                <w:b/>
                <w:bCs/>
                <w:color w:val="333333"/>
                <w:sz w:val="18"/>
                <w:szCs w:val="18"/>
              </w:rPr>
              <w:t>Administrative Advice:</w:t>
            </w:r>
          </w:p>
          <w:p w:rsidR="0058642B" w:rsidRPr="002D6525" w:rsidRDefault="0058642B" w:rsidP="007428C4">
            <w:pPr>
              <w:rPr>
                <w:rFonts w:ascii="Arial Narrow" w:hAnsi="Arial Narrow"/>
                <w:bCs/>
                <w:color w:val="333333"/>
                <w:sz w:val="18"/>
                <w:szCs w:val="18"/>
              </w:rPr>
            </w:pPr>
            <w:r w:rsidRPr="002D6525">
              <w:rPr>
                <w:rFonts w:ascii="Arial Narrow" w:hAnsi="Arial Narrow"/>
                <w:bCs/>
                <w:color w:val="333333"/>
                <w:sz w:val="18"/>
                <w:szCs w:val="18"/>
              </w:rPr>
              <w:t>No increase in the maximum number of repeats may be authorised.</w:t>
            </w:r>
          </w:p>
        </w:tc>
      </w:tr>
      <w:tr w:rsidR="0058642B" w:rsidRPr="002D6525" w:rsidTr="00DA0BBF">
        <w:tc>
          <w:tcPr>
            <w:tcW w:w="5000" w:type="pct"/>
            <w:tcBorders>
              <w:top w:val="nil"/>
              <w:bottom w:val="nil"/>
            </w:tcBorders>
            <w:vAlign w:val="center"/>
          </w:tcPr>
          <w:p w:rsidR="0058642B" w:rsidRPr="002D6525" w:rsidRDefault="0058642B" w:rsidP="007428C4">
            <w:pPr>
              <w:rPr>
                <w:rFonts w:ascii="Arial Narrow" w:hAnsi="Arial Narrow"/>
                <w:bCs/>
                <w:color w:val="333333"/>
                <w:sz w:val="18"/>
                <w:szCs w:val="18"/>
              </w:rPr>
            </w:pPr>
            <w:r w:rsidRPr="002D6525">
              <w:rPr>
                <w:rFonts w:ascii="Arial Narrow" w:hAnsi="Arial Narrow"/>
                <w:bCs/>
                <w:color w:val="333333"/>
                <w:sz w:val="18"/>
                <w:szCs w:val="18"/>
              </w:rPr>
              <w:t>No increase in the maximum quantity or number of units may be authorised.</w:t>
            </w:r>
          </w:p>
        </w:tc>
      </w:tr>
      <w:tr w:rsidR="0058642B" w:rsidRPr="002D6525" w:rsidTr="00DA0BBF">
        <w:tc>
          <w:tcPr>
            <w:tcW w:w="5000" w:type="pct"/>
            <w:tcBorders>
              <w:top w:val="nil"/>
            </w:tcBorders>
            <w:vAlign w:val="center"/>
          </w:tcPr>
          <w:p w:rsidR="0058642B" w:rsidRPr="002D6525" w:rsidRDefault="0058642B" w:rsidP="007428C4">
            <w:pPr>
              <w:rPr>
                <w:rFonts w:ascii="Arial Narrow" w:hAnsi="Arial Narrow"/>
                <w:bCs/>
                <w:color w:val="333333"/>
                <w:sz w:val="18"/>
                <w:szCs w:val="18"/>
              </w:rPr>
            </w:pPr>
            <w:r w:rsidRPr="002D6525">
              <w:rPr>
                <w:rFonts w:ascii="Arial Narrow" w:hAnsi="Arial Narrow"/>
                <w:bCs/>
                <w:color w:val="333333"/>
                <w:sz w:val="18"/>
                <w:szCs w:val="18"/>
              </w:rPr>
              <w:t>This medicine is not PBS-subsidised for nausea and vomiting associated with radiotherapy being used to treat malignancy.</w:t>
            </w:r>
          </w:p>
        </w:tc>
      </w:tr>
    </w:tbl>
    <w:p w:rsidR="00C30B19" w:rsidRPr="002D6525" w:rsidRDefault="00C30B19" w:rsidP="00C30B19">
      <w:pPr>
        <w:pStyle w:val="3-BodyText"/>
        <w:numPr>
          <w:ilvl w:val="0"/>
          <w:numId w:val="0"/>
        </w:numPr>
        <w:ind w:left="720" w:hanging="720"/>
      </w:pPr>
    </w:p>
    <w:p w:rsidR="00C30B19" w:rsidRPr="002D6525" w:rsidRDefault="00C30B19" w:rsidP="00C30B19">
      <w:pPr>
        <w:pStyle w:val="TableFigureHeading"/>
      </w:pPr>
      <w:r w:rsidRPr="002D6525">
        <w:t>Restriction Summary 6937</w:t>
      </w:r>
      <w:r w:rsidR="00DA0BBF" w:rsidRPr="002D6525">
        <w:t xml:space="preserve"> edited:</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DA0BBF" w:rsidRPr="002D6525" w:rsidTr="00DA0BBF">
        <w:tc>
          <w:tcPr>
            <w:tcW w:w="5000" w:type="pct"/>
            <w:tcBorders>
              <w:top w:val="single" w:sz="4" w:space="0" w:color="auto"/>
              <w:left w:val="single" w:sz="4" w:space="0" w:color="auto"/>
              <w:bottom w:val="single" w:sz="4" w:space="0" w:color="auto"/>
              <w:right w:val="single" w:sz="4" w:space="0" w:color="auto"/>
            </w:tcBorders>
          </w:tcPr>
          <w:p w:rsidR="00DA0BBF" w:rsidRPr="002D6525" w:rsidRDefault="00625032" w:rsidP="007428C4">
            <w:pPr>
              <w:rPr>
                <w:rFonts w:ascii="Arial Narrow" w:hAnsi="Arial Narrow" w:cs="Arial"/>
                <w:b/>
                <w:sz w:val="18"/>
                <w:szCs w:val="18"/>
              </w:rPr>
            </w:pPr>
            <w:r w:rsidRPr="002D6525">
              <w:rPr>
                <w:rFonts w:ascii="Arial Narrow" w:hAnsi="Arial Narrow" w:cs="Arial"/>
                <w:b/>
                <w:sz w:val="18"/>
                <w:szCs w:val="18"/>
              </w:rPr>
              <w:t xml:space="preserve">Restriction Type / Method: </w:t>
            </w:r>
            <w:r w:rsidR="00DA0BBF" w:rsidRPr="006A28D1">
              <w:rPr>
                <w:rFonts w:ascii="Arial Narrow" w:hAnsi="Arial Narrow" w:cs="Arial"/>
                <w:sz w:val="18"/>
                <w:szCs w:val="18"/>
              </w:rPr>
              <w:fldChar w:fldCharType="begin">
                <w:ffData>
                  <w:name w:val=""/>
                  <w:enabled/>
                  <w:calcOnExit w:val="0"/>
                  <w:checkBox>
                    <w:sizeAuto/>
                    <w:default w:val="1"/>
                  </w:checkBox>
                </w:ffData>
              </w:fldChar>
            </w:r>
            <w:r w:rsidR="00DA0BBF"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00DA0BBF" w:rsidRPr="006A28D1">
              <w:rPr>
                <w:rFonts w:ascii="Arial Narrow" w:hAnsi="Arial Narrow" w:cs="Arial"/>
                <w:sz w:val="18"/>
                <w:szCs w:val="18"/>
              </w:rPr>
              <w:fldChar w:fldCharType="end"/>
            </w:r>
            <w:r w:rsidR="00DA0BBF" w:rsidRPr="002D6525">
              <w:rPr>
                <w:rFonts w:ascii="Arial Narrow" w:hAnsi="Arial Narrow" w:cs="Arial"/>
                <w:sz w:val="18"/>
                <w:szCs w:val="18"/>
              </w:rPr>
              <w:t xml:space="preserve">Authority Required </w:t>
            </w:r>
            <w:r w:rsidR="00455993" w:rsidRPr="002D6525">
              <w:rPr>
                <w:rFonts w:ascii="Arial Narrow" w:hAnsi="Arial Narrow" w:cs="Arial"/>
                <w:sz w:val="18"/>
                <w:szCs w:val="18"/>
              </w:rPr>
              <w:t>–</w:t>
            </w:r>
            <w:r w:rsidR="00DA0BBF" w:rsidRPr="002D6525">
              <w:rPr>
                <w:rFonts w:ascii="Arial Narrow" w:hAnsi="Arial Narrow" w:cs="Arial"/>
                <w:sz w:val="18"/>
                <w:szCs w:val="18"/>
              </w:rPr>
              <w:t xml:space="preserve"> Streamlined</w:t>
            </w:r>
            <w:r w:rsidR="00455993" w:rsidRPr="002D6525">
              <w:rPr>
                <w:rFonts w:ascii="Arial Narrow" w:hAnsi="Arial Narrow" w:cs="Arial"/>
                <w:sz w:val="18"/>
                <w:szCs w:val="18"/>
              </w:rPr>
              <w:t xml:space="preserve"> (new 4 or 5 digit code)</w:t>
            </w:r>
          </w:p>
        </w:tc>
      </w:tr>
      <w:tr w:rsidR="00DA0BBF" w:rsidRPr="002D6525" w:rsidTr="00625032">
        <w:tc>
          <w:tcPr>
            <w:tcW w:w="5000" w:type="pct"/>
            <w:tcBorders>
              <w:bottom w:val="single" w:sz="4" w:space="0" w:color="auto"/>
            </w:tcBorders>
            <w:vAlign w:val="center"/>
          </w:tcPr>
          <w:p w:rsidR="00DA0BBF" w:rsidRPr="002D6525" w:rsidRDefault="00DA0BBF" w:rsidP="007428C4">
            <w:pPr>
              <w:rPr>
                <w:rFonts w:ascii="Arial Narrow" w:hAnsi="Arial Narrow"/>
                <w:b/>
                <w:bCs/>
                <w:color w:val="333333"/>
                <w:sz w:val="18"/>
                <w:szCs w:val="18"/>
              </w:rPr>
            </w:pPr>
            <w:r w:rsidRPr="002D6525">
              <w:rPr>
                <w:rFonts w:ascii="Arial Narrow" w:hAnsi="Arial Narrow"/>
                <w:b/>
                <w:bCs/>
                <w:color w:val="333333"/>
                <w:sz w:val="18"/>
                <w:szCs w:val="18"/>
              </w:rPr>
              <w:t>Indication:</w:t>
            </w:r>
            <w:r w:rsidRPr="002D6525">
              <w:rPr>
                <w:rFonts w:ascii="Arial Narrow" w:hAnsi="Arial Narrow"/>
                <w:color w:val="333333"/>
                <w:sz w:val="18"/>
                <w:szCs w:val="18"/>
              </w:rPr>
              <w:t xml:space="preserve"> Nausea and vomiting</w:t>
            </w:r>
          </w:p>
        </w:tc>
      </w:tr>
      <w:tr w:rsidR="00DA0BBF" w:rsidRPr="002D6525" w:rsidTr="00625032">
        <w:tc>
          <w:tcPr>
            <w:tcW w:w="5000" w:type="pct"/>
            <w:tcBorders>
              <w:bottom w:val="nil"/>
            </w:tcBorders>
            <w:vAlign w:val="center"/>
          </w:tcPr>
          <w:p w:rsidR="00DA0BBF" w:rsidRPr="002D6525" w:rsidRDefault="00DA0BBF" w:rsidP="007428C4">
            <w:r w:rsidRPr="002D6525">
              <w:rPr>
                <w:rFonts w:ascii="Arial Narrow" w:hAnsi="Arial Narrow"/>
                <w:b/>
                <w:bCs/>
                <w:color w:val="333333"/>
                <w:sz w:val="18"/>
                <w:szCs w:val="18"/>
              </w:rPr>
              <w:t>Clinical criteria:</w:t>
            </w:r>
          </w:p>
        </w:tc>
      </w:tr>
      <w:tr w:rsidR="00625032" w:rsidRPr="002D6525" w:rsidTr="00625032">
        <w:tc>
          <w:tcPr>
            <w:tcW w:w="5000" w:type="pct"/>
            <w:tcBorders>
              <w:top w:val="nil"/>
              <w:bottom w:val="nil"/>
            </w:tcBorders>
            <w:vAlign w:val="center"/>
          </w:tcPr>
          <w:p w:rsidR="00625032" w:rsidRPr="002D6525" w:rsidRDefault="00625032" w:rsidP="00625032">
            <w:pPr>
              <w:pStyle w:val="ListParagraph"/>
              <w:numPr>
                <w:ilvl w:val="0"/>
                <w:numId w:val="28"/>
              </w:numPr>
              <w:spacing w:after="0"/>
              <w:ind w:left="714" w:hanging="357"/>
              <w:rPr>
                <w:rFonts w:ascii="Arial Narrow" w:hAnsi="Arial Narrow"/>
                <w:bCs/>
                <w:color w:val="333333"/>
                <w:sz w:val="18"/>
                <w:szCs w:val="18"/>
              </w:rPr>
            </w:pPr>
            <w:r w:rsidRPr="002D6525">
              <w:rPr>
                <w:rFonts w:ascii="Arial Narrow" w:hAnsi="Arial Narrow"/>
                <w:bCs/>
                <w:color w:val="333333"/>
                <w:sz w:val="18"/>
                <w:szCs w:val="18"/>
              </w:rPr>
              <w:t>The condition must be associated with moderately emetogenic cytotoxic chemotherapy being used to treat malignancy</w:t>
            </w:r>
          </w:p>
        </w:tc>
      </w:tr>
      <w:tr w:rsidR="00DA0BBF" w:rsidRPr="002D6525" w:rsidTr="00625032">
        <w:tc>
          <w:tcPr>
            <w:tcW w:w="5000" w:type="pct"/>
            <w:tcBorders>
              <w:top w:val="nil"/>
              <w:bottom w:val="nil"/>
            </w:tcBorders>
            <w:vAlign w:val="center"/>
          </w:tcPr>
          <w:p w:rsidR="00DA0BBF" w:rsidRPr="002D6525" w:rsidRDefault="00DA0BBF" w:rsidP="00625032">
            <w:pPr>
              <w:pStyle w:val="ListParagraph"/>
              <w:numPr>
                <w:ilvl w:val="0"/>
                <w:numId w:val="0"/>
              </w:numPr>
              <w:spacing w:after="0"/>
              <w:ind w:left="714"/>
              <w:rPr>
                <w:rFonts w:ascii="Arial Narrow" w:hAnsi="Arial Narrow"/>
                <w:color w:val="333333"/>
                <w:sz w:val="18"/>
                <w:szCs w:val="18"/>
              </w:rPr>
            </w:pPr>
            <w:r w:rsidRPr="002D6525">
              <w:rPr>
                <w:rFonts w:ascii="Arial Narrow" w:hAnsi="Arial Narrow"/>
                <w:b/>
                <w:bCs/>
                <w:color w:val="333333"/>
                <w:sz w:val="18"/>
                <w:szCs w:val="18"/>
              </w:rPr>
              <w:t>AND</w:t>
            </w:r>
          </w:p>
        </w:tc>
      </w:tr>
      <w:tr w:rsidR="00DA0BBF" w:rsidRPr="002D6525" w:rsidTr="00625032">
        <w:tc>
          <w:tcPr>
            <w:tcW w:w="5000" w:type="pct"/>
            <w:tcBorders>
              <w:top w:val="nil"/>
              <w:bottom w:val="nil"/>
            </w:tcBorders>
            <w:vAlign w:val="center"/>
          </w:tcPr>
          <w:p w:rsidR="00DA0BBF" w:rsidRPr="002D6525" w:rsidRDefault="00DA0BBF" w:rsidP="00625032">
            <w:pPr>
              <w:pStyle w:val="ListParagraph"/>
              <w:numPr>
                <w:ilvl w:val="0"/>
                <w:numId w:val="28"/>
              </w:numPr>
              <w:spacing w:after="0"/>
              <w:ind w:left="714" w:hanging="357"/>
              <w:rPr>
                <w:rFonts w:ascii="Arial Narrow" w:hAnsi="Arial Narrow"/>
                <w:bCs/>
                <w:color w:val="333333"/>
                <w:sz w:val="18"/>
                <w:szCs w:val="18"/>
              </w:rPr>
            </w:pPr>
            <w:r w:rsidRPr="002D6525">
              <w:rPr>
                <w:rFonts w:ascii="Arial Narrow" w:hAnsi="Arial Narrow"/>
                <w:bCs/>
                <w:color w:val="333333"/>
                <w:sz w:val="18"/>
                <w:szCs w:val="18"/>
              </w:rPr>
              <w:t>The treatment must be in combination with dexamethasone on day 1 of a chemotherapy cycle</w:t>
            </w:r>
          </w:p>
        </w:tc>
      </w:tr>
      <w:tr w:rsidR="00DA0BBF" w:rsidRPr="002D6525" w:rsidTr="00625032">
        <w:tc>
          <w:tcPr>
            <w:tcW w:w="5000" w:type="pct"/>
            <w:tcBorders>
              <w:top w:val="nil"/>
              <w:bottom w:val="nil"/>
            </w:tcBorders>
            <w:vAlign w:val="center"/>
          </w:tcPr>
          <w:p w:rsidR="00DA0BBF" w:rsidRPr="002D6525" w:rsidRDefault="00DA0BBF" w:rsidP="00625032">
            <w:pPr>
              <w:pStyle w:val="ListParagraph"/>
              <w:numPr>
                <w:ilvl w:val="0"/>
                <w:numId w:val="0"/>
              </w:numPr>
              <w:spacing w:after="0"/>
              <w:ind w:left="714"/>
              <w:rPr>
                <w:rFonts w:ascii="Arial Narrow" w:hAnsi="Arial Narrow"/>
                <w:b/>
                <w:bCs/>
                <w:color w:val="333333"/>
                <w:sz w:val="18"/>
                <w:szCs w:val="18"/>
              </w:rPr>
            </w:pPr>
            <w:r w:rsidRPr="002D6525">
              <w:rPr>
                <w:rFonts w:ascii="Arial Narrow" w:hAnsi="Arial Narrow"/>
                <w:b/>
                <w:color w:val="333333"/>
                <w:sz w:val="18"/>
                <w:szCs w:val="18"/>
              </w:rPr>
              <w:t>AND</w:t>
            </w:r>
          </w:p>
        </w:tc>
      </w:tr>
      <w:tr w:rsidR="00DA0BBF" w:rsidRPr="002D6525" w:rsidTr="00625032">
        <w:tc>
          <w:tcPr>
            <w:tcW w:w="5000" w:type="pct"/>
            <w:tcBorders>
              <w:top w:val="nil"/>
              <w:bottom w:val="nil"/>
            </w:tcBorders>
            <w:vAlign w:val="center"/>
          </w:tcPr>
          <w:p w:rsidR="00DA0BBF" w:rsidRPr="002D6525" w:rsidRDefault="00DA0BBF" w:rsidP="00625032">
            <w:pPr>
              <w:pStyle w:val="ListParagraph"/>
              <w:numPr>
                <w:ilvl w:val="0"/>
                <w:numId w:val="28"/>
              </w:numPr>
              <w:spacing w:after="0"/>
              <w:ind w:left="714" w:hanging="357"/>
              <w:rPr>
                <w:rFonts w:ascii="Arial Narrow" w:hAnsi="Arial Narrow"/>
                <w:color w:val="333333"/>
                <w:sz w:val="18"/>
                <w:szCs w:val="18"/>
              </w:rPr>
            </w:pPr>
            <w:r w:rsidRPr="002D6525">
              <w:rPr>
                <w:rFonts w:ascii="Arial Narrow" w:hAnsi="Arial Narrow"/>
                <w:color w:val="333333"/>
                <w:sz w:val="18"/>
                <w:szCs w:val="18"/>
              </w:rPr>
              <w:t>Patient must have had a prior episode of chemotherapy induced nausea or vomiting</w:t>
            </w:r>
          </w:p>
        </w:tc>
      </w:tr>
      <w:tr w:rsidR="00DA0BBF" w:rsidRPr="002D6525" w:rsidTr="00625032">
        <w:tc>
          <w:tcPr>
            <w:tcW w:w="5000" w:type="pct"/>
            <w:tcBorders>
              <w:top w:val="nil"/>
              <w:bottom w:val="nil"/>
            </w:tcBorders>
            <w:vAlign w:val="center"/>
          </w:tcPr>
          <w:p w:rsidR="00DA0BBF" w:rsidRPr="002D6525" w:rsidRDefault="00DA0BBF" w:rsidP="00625032">
            <w:pPr>
              <w:pStyle w:val="ListParagraph"/>
              <w:numPr>
                <w:ilvl w:val="0"/>
                <w:numId w:val="0"/>
              </w:numPr>
              <w:spacing w:after="0"/>
              <w:ind w:left="714"/>
              <w:rPr>
                <w:rFonts w:ascii="Arial Narrow" w:hAnsi="Arial Narrow"/>
                <w:b/>
                <w:bCs/>
                <w:color w:val="333333"/>
                <w:sz w:val="18"/>
                <w:szCs w:val="18"/>
              </w:rPr>
            </w:pPr>
            <w:r w:rsidRPr="002D6525">
              <w:rPr>
                <w:rFonts w:ascii="Arial Narrow" w:hAnsi="Arial Narrow"/>
                <w:b/>
                <w:color w:val="333333"/>
                <w:sz w:val="18"/>
                <w:szCs w:val="18"/>
              </w:rPr>
              <w:t>AND</w:t>
            </w:r>
          </w:p>
        </w:tc>
      </w:tr>
      <w:tr w:rsidR="00DA0BBF" w:rsidRPr="002D6525" w:rsidTr="00625032">
        <w:tc>
          <w:tcPr>
            <w:tcW w:w="5000" w:type="pct"/>
            <w:tcBorders>
              <w:top w:val="nil"/>
            </w:tcBorders>
            <w:vAlign w:val="center"/>
          </w:tcPr>
          <w:p w:rsidR="00DA0BBF" w:rsidRPr="002D6525" w:rsidRDefault="00DA0BBF" w:rsidP="00625032">
            <w:pPr>
              <w:pStyle w:val="ListParagraph"/>
              <w:numPr>
                <w:ilvl w:val="0"/>
                <w:numId w:val="28"/>
              </w:numPr>
              <w:spacing w:after="0"/>
              <w:ind w:left="714" w:hanging="357"/>
              <w:rPr>
                <w:rFonts w:ascii="Arial Narrow" w:hAnsi="Arial Narrow"/>
                <w:b/>
                <w:bCs/>
                <w:color w:val="333333"/>
                <w:sz w:val="18"/>
                <w:szCs w:val="18"/>
              </w:rPr>
            </w:pPr>
            <w:r w:rsidRPr="002D6525">
              <w:rPr>
                <w:rFonts w:ascii="Arial Narrow" w:hAnsi="Arial Narrow"/>
                <w:color w:val="333333"/>
                <w:sz w:val="18"/>
                <w:szCs w:val="18"/>
              </w:rP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tc>
      </w:tr>
      <w:tr w:rsidR="00DA0BBF" w:rsidRPr="002D6525" w:rsidTr="00625032">
        <w:tc>
          <w:tcPr>
            <w:tcW w:w="5000" w:type="pct"/>
            <w:tcBorders>
              <w:bottom w:val="single" w:sz="4" w:space="0" w:color="auto"/>
            </w:tcBorders>
            <w:vAlign w:val="center"/>
          </w:tcPr>
          <w:p w:rsidR="00DA0BBF" w:rsidRPr="002D6525" w:rsidRDefault="00DA0BBF" w:rsidP="00625032">
            <w:pPr>
              <w:rPr>
                <w:rFonts w:ascii="Arial Narrow" w:hAnsi="Arial Narrow"/>
                <w:color w:val="333333"/>
                <w:sz w:val="18"/>
                <w:szCs w:val="18"/>
              </w:rPr>
            </w:pPr>
            <w:r w:rsidRPr="002D6525">
              <w:rPr>
                <w:rFonts w:ascii="Arial Narrow" w:hAnsi="Arial Narrow"/>
                <w:b/>
                <w:bCs/>
                <w:color w:val="333333"/>
                <w:sz w:val="18"/>
                <w:szCs w:val="18"/>
              </w:rPr>
              <w:t>Prescribing Instructions:</w:t>
            </w:r>
            <w:r w:rsidR="00625032" w:rsidRPr="002D6525">
              <w:rPr>
                <w:rFonts w:ascii="Arial Narrow" w:hAnsi="Arial Narrow"/>
                <w:color w:val="333333"/>
                <w:sz w:val="18"/>
                <w:szCs w:val="18"/>
              </w:rPr>
              <w:t xml:space="preserve"> </w:t>
            </w:r>
            <w:r w:rsidRPr="002D6525">
              <w:rPr>
                <w:rFonts w:ascii="Arial Narrow" w:hAnsi="Arial Narrow"/>
                <w:color w:val="333333"/>
                <w:sz w:val="18"/>
                <w:szCs w:val="18"/>
              </w:rPr>
              <w:t>No more than 1 vial will be authorised per cycle of cytotoxic chemotherapy.</w:t>
            </w:r>
            <w:r w:rsidR="00266098">
              <w:rPr>
                <w:rFonts w:ascii="Arial Narrow" w:hAnsi="Arial Narrow"/>
                <w:color w:val="333333"/>
                <w:sz w:val="18"/>
                <w:szCs w:val="18"/>
              </w:rPr>
              <w:t xml:space="preserve"> This product is also not subsidised for use with another drug within the same pharmacological classes as the component drugs.</w:t>
            </w:r>
          </w:p>
        </w:tc>
      </w:tr>
      <w:tr w:rsidR="00DA0BBF" w:rsidRPr="002D6525" w:rsidTr="00625032">
        <w:tc>
          <w:tcPr>
            <w:tcW w:w="5000" w:type="pct"/>
            <w:tcBorders>
              <w:bottom w:val="nil"/>
            </w:tcBorders>
            <w:vAlign w:val="center"/>
          </w:tcPr>
          <w:p w:rsidR="00DA0BBF" w:rsidRPr="002D6525" w:rsidRDefault="00DA0BBF" w:rsidP="007428C4">
            <w:pPr>
              <w:rPr>
                <w:rFonts w:ascii="Arial Narrow" w:hAnsi="Arial Narrow"/>
                <w:color w:val="333333"/>
                <w:sz w:val="18"/>
                <w:szCs w:val="18"/>
              </w:rPr>
            </w:pPr>
            <w:r w:rsidRPr="002D6525">
              <w:rPr>
                <w:rFonts w:ascii="Arial Narrow" w:hAnsi="Arial Narrow"/>
                <w:b/>
                <w:bCs/>
                <w:color w:val="333333"/>
                <w:sz w:val="18"/>
                <w:szCs w:val="18"/>
              </w:rPr>
              <w:t>Administrative Advice:</w:t>
            </w:r>
          </w:p>
          <w:p w:rsidR="00DA0BBF" w:rsidRPr="002D6525" w:rsidRDefault="00DA0BBF" w:rsidP="007428C4">
            <w:pPr>
              <w:rPr>
                <w:rFonts w:ascii="Arial Narrow" w:hAnsi="Arial Narrow"/>
                <w:bCs/>
                <w:color w:val="333333"/>
                <w:sz w:val="18"/>
                <w:szCs w:val="18"/>
              </w:rPr>
            </w:pPr>
            <w:r w:rsidRPr="002D6525">
              <w:rPr>
                <w:rFonts w:ascii="Arial Narrow" w:hAnsi="Arial Narrow"/>
                <w:bCs/>
                <w:color w:val="333333"/>
                <w:sz w:val="18"/>
                <w:szCs w:val="18"/>
              </w:rPr>
              <w:t>No increase in the maximum number of repeats may be authorised.</w:t>
            </w:r>
          </w:p>
        </w:tc>
      </w:tr>
      <w:tr w:rsidR="00DA0BBF" w:rsidRPr="002D6525" w:rsidTr="00625032">
        <w:tc>
          <w:tcPr>
            <w:tcW w:w="5000" w:type="pct"/>
            <w:tcBorders>
              <w:top w:val="nil"/>
              <w:bottom w:val="nil"/>
            </w:tcBorders>
            <w:vAlign w:val="center"/>
          </w:tcPr>
          <w:p w:rsidR="00DA0BBF" w:rsidRPr="002D6525" w:rsidRDefault="00DA0BBF" w:rsidP="007428C4">
            <w:pPr>
              <w:rPr>
                <w:rFonts w:ascii="Arial Narrow" w:hAnsi="Arial Narrow"/>
                <w:bCs/>
                <w:color w:val="333333"/>
                <w:sz w:val="18"/>
                <w:szCs w:val="18"/>
              </w:rPr>
            </w:pPr>
            <w:r w:rsidRPr="002D6525">
              <w:rPr>
                <w:rFonts w:ascii="Arial Narrow" w:hAnsi="Arial Narrow"/>
                <w:bCs/>
                <w:color w:val="333333"/>
                <w:sz w:val="18"/>
                <w:szCs w:val="18"/>
              </w:rPr>
              <w:t>No increase in the maximum quantity or number of units may be authorised.</w:t>
            </w:r>
          </w:p>
        </w:tc>
      </w:tr>
      <w:tr w:rsidR="00DA0BBF" w:rsidRPr="002D6525" w:rsidTr="00625032">
        <w:tc>
          <w:tcPr>
            <w:tcW w:w="5000" w:type="pct"/>
            <w:tcBorders>
              <w:top w:val="nil"/>
            </w:tcBorders>
            <w:vAlign w:val="center"/>
          </w:tcPr>
          <w:p w:rsidR="00DA0BBF" w:rsidRPr="002D6525" w:rsidRDefault="00DA0BBF" w:rsidP="007428C4">
            <w:pPr>
              <w:rPr>
                <w:rFonts w:ascii="Arial Narrow" w:hAnsi="Arial Narrow"/>
                <w:bCs/>
                <w:color w:val="333333"/>
                <w:sz w:val="18"/>
                <w:szCs w:val="18"/>
              </w:rPr>
            </w:pPr>
            <w:r w:rsidRPr="002D6525">
              <w:rPr>
                <w:rFonts w:ascii="Arial Narrow" w:hAnsi="Arial Narrow"/>
                <w:bCs/>
                <w:color w:val="333333"/>
                <w:sz w:val="18"/>
                <w:szCs w:val="18"/>
              </w:rPr>
              <w:t>This medicine is not PBS-subsidised for nausea and vomiting associated with radiotherapy being used to treat malignancy.</w:t>
            </w:r>
          </w:p>
        </w:tc>
      </w:tr>
    </w:tbl>
    <w:p w:rsidR="00C30B19" w:rsidRPr="002D6525" w:rsidRDefault="00C30B19" w:rsidP="00C30B19">
      <w:pPr>
        <w:pStyle w:val="3-BodyText"/>
        <w:numPr>
          <w:ilvl w:val="0"/>
          <w:numId w:val="0"/>
        </w:numPr>
        <w:ind w:left="720" w:hanging="720"/>
      </w:pPr>
    </w:p>
    <w:p w:rsidR="009F0ADE" w:rsidRDefault="009F0ADE">
      <w:pPr>
        <w:jc w:val="left"/>
        <w:rPr>
          <w:rFonts w:ascii="Arial Narrow" w:eastAsiaTheme="majorEastAsia" w:hAnsi="Arial Narrow" w:cstheme="majorBidi"/>
          <w:b/>
          <w:bCs/>
          <w:sz w:val="20"/>
        </w:rPr>
      </w:pPr>
      <w:r>
        <w:br w:type="page"/>
      </w:r>
    </w:p>
    <w:p w:rsidR="00C30B19" w:rsidRPr="002D6525" w:rsidRDefault="00C30B19" w:rsidP="00C30B19">
      <w:pPr>
        <w:pStyle w:val="TableFigureHeading"/>
      </w:pPr>
      <w:r w:rsidRPr="002D6525">
        <w:t>Restriction Summary 6879</w:t>
      </w:r>
      <w:r w:rsidR="00625032" w:rsidRPr="002D6525">
        <w:t xml:space="preserve"> edited:</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625032" w:rsidRPr="002D6525" w:rsidTr="00625032">
        <w:tc>
          <w:tcPr>
            <w:tcW w:w="5000" w:type="pct"/>
            <w:tcBorders>
              <w:top w:val="single" w:sz="4" w:space="0" w:color="auto"/>
              <w:left w:val="single" w:sz="4" w:space="0" w:color="auto"/>
              <w:bottom w:val="single" w:sz="4" w:space="0" w:color="auto"/>
              <w:right w:val="single" w:sz="4" w:space="0" w:color="auto"/>
            </w:tcBorders>
          </w:tcPr>
          <w:p w:rsidR="00625032" w:rsidRPr="002D6525" w:rsidRDefault="00625032" w:rsidP="00625032">
            <w:pPr>
              <w:rPr>
                <w:rFonts w:ascii="Arial Narrow" w:hAnsi="Arial Narrow" w:cs="Arial"/>
                <w:b/>
                <w:sz w:val="18"/>
                <w:szCs w:val="18"/>
              </w:rPr>
            </w:pPr>
            <w:r w:rsidRPr="002D6525">
              <w:rPr>
                <w:rFonts w:ascii="Arial Narrow" w:hAnsi="Arial Narrow" w:cs="Arial"/>
                <w:b/>
                <w:sz w:val="18"/>
                <w:szCs w:val="18"/>
              </w:rPr>
              <w:t xml:space="preserve">Restriction Type / Method: </w:t>
            </w:r>
            <w:r w:rsidRPr="006A28D1">
              <w:rPr>
                <w:rFonts w:ascii="Arial Narrow" w:hAnsi="Arial Narrow" w:cs="Arial"/>
                <w:sz w:val="18"/>
                <w:szCs w:val="18"/>
              </w:rPr>
              <w:fldChar w:fldCharType="begin">
                <w:ffData>
                  <w:name w:val=""/>
                  <w:enabled/>
                  <w:calcOnExit w:val="0"/>
                  <w:checkBox>
                    <w:sizeAuto/>
                    <w:default w:val="1"/>
                  </w:checkBox>
                </w:ffData>
              </w:fldChar>
            </w:r>
            <w:r w:rsidRPr="002D6525">
              <w:rPr>
                <w:rFonts w:ascii="Arial Narrow" w:hAnsi="Arial Narrow" w:cs="Arial"/>
                <w:sz w:val="18"/>
                <w:szCs w:val="18"/>
              </w:rPr>
              <w:instrText xml:space="preserve"> FORMCHECKBOX </w:instrText>
            </w:r>
            <w:r w:rsidR="00364FEE">
              <w:rPr>
                <w:rFonts w:ascii="Arial Narrow" w:hAnsi="Arial Narrow" w:cs="Arial"/>
                <w:sz w:val="18"/>
                <w:szCs w:val="18"/>
              </w:rPr>
            </w:r>
            <w:r w:rsidR="00364FEE">
              <w:rPr>
                <w:rFonts w:ascii="Arial Narrow" w:hAnsi="Arial Narrow" w:cs="Arial"/>
                <w:sz w:val="18"/>
                <w:szCs w:val="18"/>
              </w:rPr>
              <w:fldChar w:fldCharType="separate"/>
            </w:r>
            <w:r w:rsidRPr="006A28D1">
              <w:rPr>
                <w:rFonts w:ascii="Arial Narrow" w:hAnsi="Arial Narrow" w:cs="Arial"/>
                <w:sz w:val="18"/>
                <w:szCs w:val="18"/>
              </w:rPr>
              <w:fldChar w:fldCharType="end"/>
            </w:r>
            <w:r w:rsidRPr="002D6525">
              <w:rPr>
                <w:rFonts w:ascii="Arial Narrow" w:hAnsi="Arial Narrow" w:cs="Arial"/>
                <w:sz w:val="18"/>
                <w:szCs w:val="18"/>
              </w:rPr>
              <w:t xml:space="preserve">Authority Required </w:t>
            </w:r>
            <w:r w:rsidR="00455993" w:rsidRPr="002D6525">
              <w:rPr>
                <w:rFonts w:ascii="Arial Narrow" w:hAnsi="Arial Narrow" w:cs="Arial"/>
                <w:sz w:val="18"/>
                <w:szCs w:val="18"/>
              </w:rPr>
              <w:t>–</w:t>
            </w:r>
            <w:r w:rsidRPr="002D6525">
              <w:rPr>
                <w:rFonts w:ascii="Arial Narrow" w:hAnsi="Arial Narrow" w:cs="Arial"/>
                <w:sz w:val="18"/>
                <w:szCs w:val="18"/>
              </w:rPr>
              <w:t xml:space="preserve"> Streamlined</w:t>
            </w:r>
            <w:r w:rsidR="00455993" w:rsidRPr="002D6525">
              <w:rPr>
                <w:rFonts w:ascii="Arial Narrow" w:hAnsi="Arial Narrow" w:cs="Arial"/>
                <w:sz w:val="18"/>
                <w:szCs w:val="18"/>
              </w:rPr>
              <w:t xml:space="preserve"> (new 4 or 5 digit code)</w:t>
            </w:r>
          </w:p>
        </w:tc>
      </w:tr>
      <w:tr w:rsidR="00625032" w:rsidRPr="002D6525" w:rsidTr="00625032">
        <w:tc>
          <w:tcPr>
            <w:tcW w:w="5000" w:type="pct"/>
            <w:tcBorders>
              <w:bottom w:val="single" w:sz="4" w:space="0" w:color="auto"/>
            </w:tcBorders>
            <w:vAlign w:val="center"/>
          </w:tcPr>
          <w:p w:rsidR="00625032" w:rsidRPr="002D6525" w:rsidRDefault="00625032" w:rsidP="007428C4">
            <w:pPr>
              <w:rPr>
                <w:rFonts w:ascii="Arial Narrow" w:hAnsi="Arial Narrow"/>
                <w:b/>
                <w:bCs/>
                <w:color w:val="333333"/>
                <w:sz w:val="18"/>
                <w:szCs w:val="18"/>
              </w:rPr>
            </w:pPr>
            <w:r w:rsidRPr="002D6525">
              <w:rPr>
                <w:rFonts w:ascii="Arial Narrow" w:hAnsi="Arial Narrow"/>
                <w:b/>
                <w:bCs/>
                <w:color w:val="333333"/>
                <w:sz w:val="18"/>
                <w:szCs w:val="18"/>
              </w:rPr>
              <w:t>Indication:</w:t>
            </w:r>
            <w:r w:rsidRPr="002D6525">
              <w:rPr>
                <w:rFonts w:ascii="Arial Narrow" w:hAnsi="Arial Narrow"/>
                <w:color w:val="333333"/>
                <w:sz w:val="18"/>
                <w:szCs w:val="18"/>
              </w:rPr>
              <w:t xml:space="preserve"> Nausea and vomiting</w:t>
            </w:r>
          </w:p>
        </w:tc>
      </w:tr>
      <w:tr w:rsidR="00625032" w:rsidRPr="002D6525" w:rsidTr="00625032">
        <w:tc>
          <w:tcPr>
            <w:tcW w:w="5000" w:type="pct"/>
            <w:tcBorders>
              <w:bottom w:val="nil"/>
            </w:tcBorders>
            <w:vAlign w:val="center"/>
          </w:tcPr>
          <w:p w:rsidR="00625032" w:rsidRPr="002D6525" w:rsidRDefault="00625032" w:rsidP="007428C4">
            <w:r w:rsidRPr="002D6525">
              <w:rPr>
                <w:rFonts w:ascii="Arial Narrow" w:hAnsi="Arial Narrow"/>
                <w:b/>
                <w:bCs/>
                <w:color w:val="333333"/>
                <w:sz w:val="18"/>
                <w:szCs w:val="18"/>
              </w:rPr>
              <w:t>Clinical criteria:</w:t>
            </w:r>
          </w:p>
        </w:tc>
      </w:tr>
      <w:tr w:rsidR="00625032" w:rsidRPr="002D6525" w:rsidTr="00625032">
        <w:tc>
          <w:tcPr>
            <w:tcW w:w="5000" w:type="pct"/>
            <w:tcBorders>
              <w:top w:val="nil"/>
              <w:bottom w:val="nil"/>
            </w:tcBorders>
            <w:vAlign w:val="center"/>
          </w:tcPr>
          <w:p w:rsidR="00625032" w:rsidRPr="002D6525" w:rsidRDefault="00625032" w:rsidP="00625032">
            <w:pPr>
              <w:pStyle w:val="ListParagraph"/>
              <w:numPr>
                <w:ilvl w:val="0"/>
                <w:numId w:val="29"/>
              </w:numPr>
              <w:spacing w:after="0"/>
              <w:ind w:left="714" w:hanging="357"/>
              <w:rPr>
                <w:rFonts w:ascii="Arial Narrow" w:hAnsi="Arial Narrow"/>
                <w:b/>
                <w:bCs/>
                <w:color w:val="333333"/>
                <w:sz w:val="18"/>
                <w:szCs w:val="18"/>
              </w:rPr>
            </w:pPr>
            <w:r w:rsidRPr="002D6525">
              <w:rPr>
                <w:rFonts w:ascii="Arial Narrow" w:hAnsi="Arial Narrow"/>
                <w:bCs/>
                <w:color w:val="333333"/>
                <w:sz w:val="18"/>
                <w:szCs w:val="18"/>
              </w:rPr>
              <w:t>The condition must be associated with moderately emetogenic cytotoxic chemotherapy being used to treat malignancy</w:t>
            </w:r>
          </w:p>
        </w:tc>
      </w:tr>
      <w:tr w:rsidR="00625032" w:rsidRPr="002D6525" w:rsidTr="00625032">
        <w:tc>
          <w:tcPr>
            <w:tcW w:w="5000" w:type="pct"/>
            <w:tcBorders>
              <w:top w:val="nil"/>
              <w:bottom w:val="nil"/>
            </w:tcBorders>
            <w:vAlign w:val="center"/>
          </w:tcPr>
          <w:p w:rsidR="00625032" w:rsidRPr="002D6525" w:rsidRDefault="00625032" w:rsidP="00625032">
            <w:pPr>
              <w:pStyle w:val="ListParagraph"/>
              <w:numPr>
                <w:ilvl w:val="0"/>
                <w:numId w:val="0"/>
              </w:numPr>
              <w:spacing w:after="0"/>
              <w:ind w:left="714"/>
              <w:rPr>
                <w:rFonts w:ascii="Arial Narrow" w:hAnsi="Arial Narrow"/>
                <w:color w:val="333333"/>
                <w:sz w:val="18"/>
                <w:szCs w:val="18"/>
              </w:rPr>
            </w:pPr>
            <w:r w:rsidRPr="002D6525">
              <w:rPr>
                <w:rFonts w:ascii="Arial Narrow" w:hAnsi="Arial Narrow"/>
                <w:b/>
                <w:bCs/>
                <w:color w:val="333333"/>
                <w:sz w:val="18"/>
                <w:szCs w:val="18"/>
              </w:rPr>
              <w:t>AND</w:t>
            </w:r>
          </w:p>
        </w:tc>
      </w:tr>
      <w:tr w:rsidR="00625032" w:rsidRPr="002D6525" w:rsidTr="00625032">
        <w:tc>
          <w:tcPr>
            <w:tcW w:w="5000" w:type="pct"/>
            <w:tcBorders>
              <w:top w:val="nil"/>
              <w:bottom w:val="nil"/>
            </w:tcBorders>
            <w:vAlign w:val="center"/>
          </w:tcPr>
          <w:p w:rsidR="00625032" w:rsidRPr="002D6525" w:rsidRDefault="00625032" w:rsidP="00625032">
            <w:pPr>
              <w:pStyle w:val="ListParagraph"/>
              <w:numPr>
                <w:ilvl w:val="0"/>
                <w:numId w:val="29"/>
              </w:numPr>
              <w:spacing w:after="0"/>
              <w:ind w:left="714" w:hanging="357"/>
              <w:rPr>
                <w:rFonts w:ascii="Arial Narrow" w:hAnsi="Arial Narrow"/>
                <w:bCs/>
                <w:color w:val="333333"/>
                <w:sz w:val="18"/>
                <w:szCs w:val="18"/>
              </w:rPr>
            </w:pPr>
            <w:r w:rsidRPr="002D6525">
              <w:rPr>
                <w:rFonts w:ascii="Arial Narrow" w:hAnsi="Arial Narrow"/>
                <w:bCs/>
                <w:color w:val="333333"/>
                <w:sz w:val="18"/>
                <w:szCs w:val="18"/>
              </w:rPr>
              <w:t>The treatment must be in combination with dexamethasone on day 1 of a chemotherapy cycle</w:t>
            </w:r>
          </w:p>
        </w:tc>
      </w:tr>
      <w:tr w:rsidR="00625032" w:rsidRPr="002D6525" w:rsidTr="00625032">
        <w:tc>
          <w:tcPr>
            <w:tcW w:w="5000" w:type="pct"/>
            <w:tcBorders>
              <w:top w:val="nil"/>
              <w:bottom w:val="nil"/>
            </w:tcBorders>
            <w:vAlign w:val="center"/>
          </w:tcPr>
          <w:p w:rsidR="00625032" w:rsidRPr="002D6525" w:rsidRDefault="00625032" w:rsidP="00625032">
            <w:pPr>
              <w:pStyle w:val="ListParagraph"/>
              <w:numPr>
                <w:ilvl w:val="0"/>
                <w:numId w:val="0"/>
              </w:numPr>
              <w:spacing w:after="0"/>
              <w:ind w:left="714"/>
              <w:rPr>
                <w:rFonts w:ascii="Arial Narrow" w:hAnsi="Arial Narrow"/>
                <w:b/>
                <w:bCs/>
                <w:color w:val="333333"/>
                <w:sz w:val="18"/>
                <w:szCs w:val="18"/>
              </w:rPr>
            </w:pPr>
            <w:r w:rsidRPr="002D6525">
              <w:rPr>
                <w:rFonts w:ascii="Arial Narrow" w:hAnsi="Arial Narrow"/>
                <w:b/>
                <w:color w:val="333333"/>
                <w:sz w:val="18"/>
                <w:szCs w:val="18"/>
              </w:rPr>
              <w:t>AND</w:t>
            </w:r>
          </w:p>
        </w:tc>
      </w:tr>
      <w:tr w:rsidR="00625032" w:rsidRPr="002D6525" w:rsidTr="00625032">
        <w:tc>
          <w:tcPr>
            <w:tcW w:w="5000" w:type="pct"/>
            <w:tcBorders>
              <w:top w:val="nil"/>
            </w:tcBorders>
            <w:vAlign w:val="center"/>
          </w:tcPr>
          <w:p w:rsidR="00625032" w:rsidRPr="002D6525" w:rsidRDefault="00625032" w:rsidP="00625032">
            <w:pPr>
              <w:pStyle w:val="ListParagraph"/>
              <w:numPr>
                <w:ilvl w:val="0"/>
                <w:numId w:val="29"/>
              </w:numPr>
              <w:spacing w:after="0"/>
              <w:ind w:left="714" w:hanging="357"/>
              <w:rPr>
                <w:rFonts w:ascii="Arial Narrow" w:hAnsi="Arial Narrow"/>
                <w:color w:val="333333"/>
                <w:sz w:val="18"/>
                <w:szCs w:val="18"/>
              </w:rPr>
            </w:pPr>
            <w:r w:rsidRPr="002D6525">
              <w:rPr>
                <w:rFonts w:ascii="Arial Narrow" w:hAnsi="Arial Narrow"/>
                <w:color w:val="333333"/>
                <w:sz w:val="18"/>
                <w:szCs w:val="18"/>
              </w:rPr>
              <w:t>Patient must be scheduled to be administered a chemotherapy regimen that includes either carboplatin or oxaliplatin</w:t>
            </w:r>
          </w:p>
        </w:tc>
      </w:tr>
      <w:tr w:rsidR="00625032" w:rsidRPr="002D6525" w:rsidTr="00625032">
        <w:tc>
          <w:tcPr>
            <w:tcW w:w="5000" w:type="pct"/>
            <w:tcBorders>
              <w:bottom w:val="single" w:sz="4" w:space="0" w:color="auto"/>
            </w:tcBorders>
            <w:vAlign w:val="center"/>
          </w:tcPr>
          <w:p w:rsidR="00625032" w:rsidRPr="002D6525" w:rsidRDefault="00625032" w:rsidP="00625032">
            <w:pPr>
              <w:rPr>
                <w:rFonts w:ascii="Arial Narrow" w:hAnsi="Arial Narrow"/>
                <w:color w:val="333333"/>
                <w:sz w:val="18"/>
                <w:szCs w:val="18"/>
              </w:rPr>
            </w:pPr>
            <w:r w:rsidRPr="002D6525">
              <w:rPr>
                <w:rFonts w:ascii="Arial Narrow" w:hAnsi="Arial Narrow"/>
                <w:b/>
                <w:bCs/>
                <w:color w:val="333333"/>
                <w:sz w:val="18"/>
                <w:szCs w:val="18"/>
              </w:rPr>
              <w:t xml:space="preserve">Prescribing Instructions: </w:t>
            </w:r>
            <w:r w:rsidRPr="002D6525">
              <w:rPr>
                <w:rFonts w:ascii="Arial Narrow" w:hAnsi="Arial Narrow"/>
                <w:color w:val="333333"/>
                <w:sz w:val="18"/>
                <w:szCs w:val="18"/>
              </w:rPr>
              <w:t>No more than 1 vial will be authorised per cycle of cytotoxic chemotherapy.</w:t>
            </w:r>
            <w:r w:rsidR="00266098">
              <w:rPr>
                <w:rFonts w:ascii="Arial Narrow" w:hAnsi="Arial Narrow"/>
                <w:color w:val="333333"/>
                <w:sz w:val="18"/>
                <w:szCs w:val="18"/>
              </w:rPr>
              <w:t xml:space="preserve"> This product is also not subsidised for use with another drug within the same pharmacological classes as the component drugs.</w:t>
            </w:r>
          </w:p>
        </w:tc>
      </w:tr>
      <w:tr w:rsidR="00625032" w:rsidRPr="002D6525" w:rsidTr="00625032">
        <w:tc>
          <w:tcPr>
            <w:tcW w:w="5000" w:type="pct"/>
            <w:tcBorders>
              <w:bottom w:val="nil"/>
            </w:tcBorders>
            <w:vAlign w:val="center"/>
          </w:tcPr>
          <w:p w:rsidR="00625032" w:rsidRPr="002D6525" w:rsidRDefault="00625032" w:rsidP="007428C4">
            <w:pPr>
              <w:rPr>
                <w:rFonts w:ascii="Arial Narrow" w:hAnsi="Arial Narrow"/>
                <w:color w:val="333333"/>
                <w:sz w:val="18"/>
                <w:szCs w:val="18"/>
              </w:rPr>
            </w:pPr>
            <w:r w:rsidRPr="002D6525">
              <w:rPr>
                <w:rFonts w:ascii="Arial Narrow" w:hAnsi="Arial Narrow"/>
                <w:b/>
                <w:bCs/>
                <w:color w:val="333333"/>
                <w:sz w:val="18"/>
                <w:szCs w:val="18"/>
              </w:rPr>
              <w:t>Administrative Advice:</w:t>
            </w:r>
          </w:p>
          <w:p w:rsidR="00625032" w:rsidRPr="002D6525" w:rsidRDefault="00625032" w:rsidP="007428C4">
            <w:pPr>
              <w:rPr>
                <w:rFonts w:ascii="Arial Narrow" w:hAnsi="Arial Narrow"/>
                <w:bCs/>
                <w:color w:val="333333"/>
                <w:sz w:val="18"/>
                <w:szCs w:val="18"/>
              </w:rPr>
            </w:pPr>
            <w:r w:rsidRPr="002D6525">
              <w:rPr>
                <w:rFonts w:ascii="Arial Narrow" w:hAnsi="Arial Narrow"/>
                <w:bCs/>
                <w:color w:val="333333"/>
                <w:sz w:val="18"/>
                <w:szCs w:val="18"/>
              </w:rPr>
              <w:t>No increase in the maximum number of repeats may be authorised.</w:t>
            </w:r>
          </w:p>
        </w:tc>
      </w:tr>
      <w:tr w:rsidR="00625032" w:rsidRPr="002D6525" w:rsidTr="00625032">
        <w:tc>
          <w:tcPr>
            <w:tcW w:w="5000" w:type="pct"/>
            <w:tcBorders>
              <w:top w:val="nil"/>
              <w:bottom w:val="nil"/>
            </w:tcBorders>
            <w:vAlign w:val="center"/>
          </w:tcPr>
          <w:p w:rsidR="00625032" w:rsidRPr="002D6525" w:rsidRDefault="00625032" w:rsidP="007428C4">
            <w:pPr>
              <w:rPr>
                <w:rFonts w:ascii="Arial Narrow" w:hAnsi="Arial Narrow"/>
                <w:bCs/>
                <w:color w:val="333333"/>
                <w:sz w:val="18"/>
                <w:szCs w:val="18"/>
              </w:rPr>
            </w:pPr>
            <w:r w:rsidRPr="002D6525">
              <w:rPr>
                <w:rFonts w:ascii="Arial Narrow" w:hAnsi="Arial Narrow"/>
                <w:bCs/>
                <w:color w:val="333333"/>
                <w:sz w:val="18"/>
                <w:szCs w:val="18"/>
              </w:rPr>
              <w:t>No increase in the maximum quantity or number of units may be authorised.</w:t>
            </w:r>
          </w:p>
        </w:tc>
      </w:tr>
      <w:tr w:rsidR="00625032" w:rsidRPr="002D6525" w:rsidTr="00625032">
        <w:tc>
          <w:tcPr>
            <w:tcW w:w="5000" w:type="pct"/>
            <w:tcBorders>
              <w:top w:val="nil"/>
            </w:tcBorders>
            <w:vAlign w:val="center"/>
          </w:tcPr>
          <w:p w:rsidR="00625032" w:rsidRPr="002D6525" w:rsidRDefault="00625032" w:rsidP="007428C4">
            <w:pPr>
              <w:rPr>
                <w:rFonts w:ascii="Arial Narrow" w:hAnsi="Arial Narrow"/>
                <w:bCs/>
                <w:color w:val="333333"/>
                <w:sz w:val="18"/>
                <w:szCs w:val="18"/>
              </w:rPr>
            </w:pPr>
            <w:r w:rsidRPr="002D6525">
              <w:rPr>
                <w:rFonts w:ascii="Arial Narrow" w:hAnsi="Arial Narrow"/>
                <w:bCs/>
                <w:color w:val="333333"/>
                <w:sz w:val="18"/>
                <w:szCs w:val="18"/>
              </w:rPr>
              <w:t>This medicine is not PBS-subsidised for nausea and vomiting associated with radiotherapy being used to treat malignancy.</w:t>
            </w:r>
          </w:p>
        </w:tc>
      </w:tr>
    </w:tbl>
    <w:p w:rsidR="00683E77" w:rsidRDefault="00683E77" w:rsidP="003F624A">
      <w:pPr>
        <w:rPr>
          <w:rFonts w:cs="Calibri"/>
        </w:rPr>
      </w:pPr>
    </w:p>
    <w:p w:rsidR="003F624A" w:rsidRDefault="003F624A" w:rsidP="003F624A">
      <w:pPr>
        <w:rPr>
          <w:rFonts w:cs="Calibri"/>
        </w:rPr>
      </w:pPr>
      <w:r>
        <w:rPr>
          <w:rFonts w:cs="Calibri"/>
        </w:rPr>
        <w:t>7.2</w:t>
      </w:r>
      <w:r>
        <w:rPr>
          <w:rFonts w:cs="Calibri"/>
        </w:rPr>
        <w:tab/>
        <w:t>Flow-on changes</w:t>
      </w:r>
    </w:p>
    <w:p w:rsidR="006F365A" w:rsidRDefault="006F365A" w:rsidP="003F624A">
      <w:pPr>
        <w:ind w:left="720"/>
        <w:rPr>
          <w:rFonts w:cs="Calibri"/>
        </w:rPr>
      </w:pPr>
    </w:p>
    <w:p w:rsidR="003F624A" w:rsidRDefault="003F624A" w:rsidP="003F624A">
      <w:pPr>
        <w:ind w:left="720"/>
      </w:pPr>
      <w:r>
        <w:rPr>
          <w:rFonts w:cs="Calibri"/>
        </w:rPr>
        <w:t xml:space="preserve">Apply the following changes to </w:t>
      </w:r>
      <w:r w:rsidR="00531D96">
        <w:t xml:space="preserve">fosaprepitant </w:t>
      </w:r>
      <w:r w:rsidR="006F365A">
        <w:t xml:space="preserve">150 mg injection, 1 vial (PBS item codes: </w:t>
      </w:r>
      <w:r w:rsidR="006F365A" w:rsidRPr="006F365A">
        <w:t>11103J</w:t>
      </w:r>
      <w:r w:rsidR="006F365A">
        <w:t xml:space="preserve"> &amp; 11107N</w:t>
      </w:r>
      <w:r w:rsidR="00531D96">
        <w:t xml:space="preserve">) </w:t>
      </w:r>
      <w:r>
        <w:t xml:space="preserve">to prevent the </w:t>
      </w:r>
      <w:r w:rsidR="006F365A">
        <w:t xml:space="preserve">simultaneous </w:t>
      </w:r>
      <w:r>
        <w:t xml:space="preserve">subsidy of multiple </w:t>
      </w:r>
      <w:r w:rsidR="00D55B36">
        <w:t>anti-nauseant, injectable drugs</w:t>
      </w:r>
      <w:r>
        <w:t>:</w:t>
      </w:r>
    </w:p>
    <w:p w:rsidR="003F624A" w:rsidRDefault="003F624A" w:rsidP="003F624A">
      <w:pPr>
        <w:rPr>
          <w:rFonts w:cs="Calibri"/>
        </w:rPr>
      </w:pPr>
    </w:p>
    <w:tbl>
      <w:tblPr>
        <w:tblStyle w:val="TableGrid"/>
        <w:tblW w:w="0" w:type="auto"/>
        <w:tblLook w:val="04A0" w:firstRow="1" w:lastRow="0" w:firstColumn="1" w:lastColumn="0" w:noHBand="0" w:noVBand="1"/>
      </w:tblPr>
      <w:tblGrid>
        <w:gridCol w:w="704"/>
        <w:gridCol w:w="8312"/>
      </w:tblGrid>
      <w:tr w:rsidR="00531D96" w:rsidTr="006F365A">
        <w:tc>
          <w:tcPr>
            <w:tcW w:w="704" w:type="dxa"/>
          </w:tcPr>
          <w:p w:rsidR="00531D96" w:rsidRDefault="00531D96" w:rsidP="003F624A">
            <w:pPr>
              <w:rPr>
                <w:rFonts w:ascii="Arial Narrow" w:hAnsi="Arial Narrow" w:cs="Calibri"/>
                <w:sz w:val="18"/>
                <w:szCs w:val="18"/>
              </w:rPr>
            </w:pPr>
          </w:p>
          <w:p w:rsidR="00531D96" w:rsidRPr="00531D96" w:rsidRDefault="00531D96" w:rsidP="006F365A">
            <w:pPr>
              <w:jc w:val="center"/>
              <w:rPr>
                <w:rFonts w:ascii="Arial Narrow" w:hAnsi="Arial Narrow" w:cs="Calibri"/>
                <w:sz w:val="18"/>
                <w:szCs w:val="18"/>
              </w:rPr>
            </w:pPr>
            <w:r w:rsidRPr="006F365A">
              <w:rPr>
                <w:rFonts w:ascii="Arial Narrow" w:hAnsi="Arial Narrow" w:cs="Calibri"/>
                <w:sz w:val="18"/>
                <w:szCs w:val="18"/>
              </w:rPr>
              <w:t xml:space="preserve">Edit </w:t>
            </w:r>
            <w:r w:rsidRPr="00531D96">
              <w:rPr>
                <w:rFonts w:ascii="Arial Narrow" w:hAnsi="Arial Narrow" w:cs="Calibri"/>
                <w:sz w:val="18"/>
                <w:szCs w:val="18"/>
              </w:rPr>
              <w:t>20391</w:t>
            </w:r>
          </w:p>
        </w:tc>
        <w:tc>
          <w:tcPr>
            <w:tcW w:w="8312" w:type="dxa"/>
          </w:tcPr>
          <w:p w:rsidR="00531D96" w:rsidRPr="00531D96" w:rsidRDefault="00531D96" w:rsidP="003F624A">
            <w:pPr>
              <w:rPr>
                <w:rFonts w:ascii="Arial Narrow" w:hAnsi="Arial Narrow" w:cs="Calibri"/>
                <w:b/>
                <w:sz w:val="18"/>
                <w:szCs w:val="18"/>
              </w:rPr>
            </w:pPr>
            <w:r w:rsidRPr="00531D96">
              <w:rPr>
                <w:rFonts w:ascii="Arial Narrow" w:hAnsi="Arial Narrow" w:cs="Calibri"/>
                <w:b/>
                <w:sz w:val="18"/>
                <w:szCs w:val="18"/>
              </w:rPr>
              <w:t>Prescriber Instructions:</w:t>
            </w:r>
          </w:p>
          <w:p w:rsidR="00531D96" w:rsidRPr="00531D96" w:rsidRDefault="00531D96" w:rsidP="00531D96">
            <w:pPr>
              <w:rPr>
                <w:rFonts w:ascii="Arial Narrow" w:hAnsi="Arial Narrow" w:cs="Calibri"/>
                <w:sz w:val="18"/>
                <w:szCs w:val="18"/>
              </w:rPr>
            </w:pPr>
            <w:r w:rsidRPr="00531D96">
              <w:rPr>
                <w:rFonts w:ascii="Arial Narrow" w:hAnsi="Arial Narrow" w:cs="Calibri"/>
                <w:sz w:val="18"/>
                <w:szCs w:val="18"/>
              </w:rPr>
              <w:t xml:space="preserve">No more than 1 vial </w:t>
            </w:r>
            <w:r w:rsidRPr="00531D96">
              <w:rPr>
                <w:rFonts w:ascii="Arial Narrow" w:hAnsi="Arial Narrow" w:cs="Calibri"/>
                <w:strike/>
                <w:sz w:val="18"/>
                <w:szCs w:val="18"/>
              </w:rPr>
              <w:t>of fosaprepitant 150 mg injection</w:t>
            </w:r>
            <w:r w:rsidRPr="00531D96">
              <w:rPr>
                <w:rFonts w:ascii="Arial Narrow" w:hAnsi="Arial Narrow" w:cs="Calibri"/>
                <w:sz w:val="18"/>
                <w:szCs w:val="18"/>
              </w:rPr>
              <w:t xml:space="preserve"> will be authorised per cycle of cytotoxic chemotherapy. </w:t>
            </w:r>
            <w:r w:rsidRPr="005B1354">
              <w:rPr>
                <w:rFonts w:ascii="Arial Narrow" w:hAnsi="Arial Narrow" w:cs="Calibri"/>
                <w:sz w:val="18"/>
                <w:szCs w:val="18"/>
              </w:rPr>
              <w:t>This product is also not subsidised for use with another drug within the same pharmacological class.</w:t>
            </w:r>
          </w:p>
        </w:tc>
      </w:tr>
    </w:tbl>
    <w:p w:rsidR="003F624A" w:rsidRPr="003F624A" w:rsidRDefault="003F624A" w:rsidP="003F624A">
      <w:pPr>
        <w:rPr>
          <w:rFonts w:cs="Calibri"/>
        </w:rPr>
      </w:pPr>
    </w:p>
    <w:p w:rsidR="00683E77" w:rsidRDefault="005B1354" w:rsidP="00C30B19">
      <w:pPr>
        <w:rPr>
          <w:b/>
          <w:i/>
        </w:rPr>
      </w:pPr>
      <w:r w:rsidRPr="005B1354">
        <w:rPr>
          <w:b/>
          <w:i/>
        </w:rPr>
        <w:t>The restrictions may be subject to further review. Should there be any changes made to the restriction the Sponsor will be informed.</w:t>
      </w:r>
    </w:p>
    <w:p w:rsidR="00C11BB7" w:rsidRDefault="00C11BB7" w:rsidP="00C11BB7">
      <w:pPr>
        <w:pStyle w:val="2-SectionHeading"/>
        <w:numPr>
          <w:ilvl w:val="0"/>
          <w:numId w:val="2"/>
        </w:numPr>
        <w:rPr>
          <w:color w:val="1F497D"/>
        </w:rPr>
      </w:pPr>
      <w:r w:rsidRPr="00C07617">
        <w:t>Context for Decision</w:t>
      </w:r>
    </w:p>
    <w:p w:rsidR="00C11BB7" w:rsidRPr="007129F2" w:rsidRDefault="00C11BB7" w:rsidP="00C11BB7">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11BB7" w:rsidRPr="00C07617" w:rsidRDefault="00C11BB7" w:rsidP="00C11BB7">
      <w:pPr>
        <w:pStyle w:val="2-SectionHeading"/>
        <w:numPr>
          <w:ilvl w:val="0"/>
          <w:numId w:val="2"/>
        </w:numPr>
        <w:rPr>
          <w:b w:val="0"/>
        </w:rPr>
      </w:pPr>
      <w:r>
        <w:t>Sponsor’s Comment</w:t>
      </w:r>
    </w:p>
    <w:p w:rsidR="00B10CBF" w:rsidRPr="00C07617" w:rsidRDefault="00B10CBF" w:rsidP="00B10CBF">
      <w:pPr>
        <w:spacing w:after="120"/>
        <w:rPr>
          <w:rFonts w:asciiTheme="minorHAnsi" w:hAnsiTheme="minorHAnsi"/>
          <w:bCs/>
        </w:rPr>
      </w:pPr>
      <w:r w:rsidRPr="00B10CBF">
        <w:rPr>
          <w:rFonts w:asciiTheme="minorHAnsi" w:hAnsiTheme="minorHAnsi"/>
          <w:bCs/>
          <w:lang w:val="en-GB"/>
        </w:rPr>
        <w:t>Mundipharma welcomes the PBAC’s decision.</w:t>
      </w:r>
    </w:p>
    <w:p w:rsidR="00C11BB7" w:rsidRPr="005B1354" w:rsidRDefault="00C11BB7" w:rsidP="00C30B19">
      <w:pPr>
        <w:rPr>
          <w:b/>
          <w:i/>
        </w:rPr>
      </w:pPr>
    </w:p>
    <w:sectPr w:rsidR="00C11BB7" w:rsidRPr="005B1354" w:rsidSect="00B42612">
      <w:headerReference w:type="default" r:id="rId8"/>
      <w:footerReference w:type="default" r:id="rId9"/>
      <w:pgSz w:w="11906" w:h="16838"/>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8636E" w16cex:dateUtc="2020-07-2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82994B" w16cid:durableId="22C8636E"/>
  <w16cid:commentId w16cid:paraId="76D7C464" w16cid:durableId="22C660D1"/>
  <w16cid:commentId w16cid:paraId="69478D3B" w16cid:durableId="22C69E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B8" w:rsidRDefault="002069B8" w:rsidP="00487921">
      <w:r>
        <w:separator/>
      </w:r>
    </w:p>
  </w:endnote>
  <w:endnote w:type="continuationSeparator" w:id="0">
    <w:p w:rsidR="002069B8" w:rsidRDefault="002069B8" w:rsidP="0048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36" w:rsidRDefault="006F6236">
    <w:pPr>
      <w:pStyle w:val="Footer"/>
      <w:jc w:val="center"/>
    </w:pPr>
  </w:p>
  <w:p w:rsidR="006F6236" w:rsidRPr="00BC7B10" w:rsidRDefault="00364FEE">
    <w:pPr>
      <w:pStyle w:val="Footer"/>
      <w:jc w:val="center"/>
      <w:rPr>
        <w:b/>
      </w:rPr>
    </w:pPr>
    <w:sdt>
      <w:sdtPr>
        <w:rPr>
          <w:b/>
        </w:rPr>
        <w:id w:val="-570736484"/>
        <w:docPartObj>
          <w:docPartGallery w:val="Page Numbers (Bottom of Page)"/>
          <w:docPartUnique/>
        </w:docPartObj>
      </w:sdtPr>
      <w:sdtEndPr>
        <w:rPr>
          <w:noProof/>
        </w:rPr>
      </w:sdtEndPr>
      <w:sdtContent>
        <w:r w:rsidR="006F6236" w:rsidRPr="00BC7B10">
          <w:rPr>
            <w:b/>
          </w:rPr>
          <w:fldChar w:fldCharType="begin"/>
        </w:r>
        <w:r w:rsidR="006F6236" w:rsidRPr="00BC7B10">
          <w:rPr>
            <w:b/>
          </w:rPr>
          <w:instrText xml:space="preserve"> PAGE   \* MERGEFORMAT </w:instrText>
        </w:r>
        <w:r w:rsidR="006F6236" w:rsidRPr="00BC7B10">
          <w:rPr>
            <w:b/>
          </w:rPr>
          <w:fldChar w:fldCharType="separate"/>
        </w:r>
        <w:r>
          <w:rPr>
            <w:b/>
            <w:noProof/>
          </w:rPr>
          <w:t>10</w:t>
        </w:r>
        <w:r w:rsidR="006F6236" w:rsidRPr="00BC7B10">
          <w:rPr>
            <w:b/>
            <w:noProof/>
          </w:rPr>
          <w:fldChar w:fldCharType="end"/>
        </w:r>
      </w:sdtContent>
    </w:sdt>
  </w:p>
  <w:p w:rsidR="006F6236" w:rsidRPr="009E2E6F" w:rsidRDefault="006F6236" w:rsidP="00A65886">
    <w:pPr>
      <w:pStyle w:val="Page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B8" w:rsidRDefault="002069B8" w:rsidP="00487921">
      <w:r>
        <w:separator/>
      </w:r>
    </w:p>
  </w:footnote>
  <w:footnote w:type="continuationSeparator" w:id="0">
    <w:p w:rsidR="002069B8" w:rsidRDefault="002069B8" w:rsidP="00487921">
      <w:r>
        <w:continuationSeparator/>
      </w:r>
    </w:p>
  </w:footnote>
  <w:footnote w:id="1">
    <w:p w:rsidR="006F6236" w:rsidRPr="00680130" w:rsidRDefault="006F6236" w:rsidP="004C1ECB">
      <w:pPr>
        <w:pStyle w:val="PBACFooter"/>
        <w:jc w:val="left"/>
        <w:rPr>
          <w:b w:val="0"/>
        </w:rPr>
      </w:pPr>
      <w:r w:rsidRPr="00AE50CC">
        <w:rPr>
          <w:rStyle w:val="FootnoteReference"/>
          <w:b w:val="0"/>
          <w:sz w:val="16"/>
        </w:rPr>
        <w:footnoteRef/>
      </w:r>
      <w:r w:rsidRPr="00680130">
        <w:rPr>
          <w:b w:val="0"/>
          <w:sz w:val="16"/>
        </w:rPr>
        <w:t xml:space="preserve"> </w:t>
      </w:r>
      <w:hyperlink r:id="rId1" w:history="1">
        <w:r w:rsidRPr="00680130">
          <w:rPr>
            <w:rStyle w:val="Hyperlink"/>
            <w:b w:val="0"/>
            <w:sz w:val="16"/>
          </w:rPr>
          <w:t>https://www.eviq.org.au/clinical-resources/side-effect-and-toxicity-management/gastrointestinal/7-prevention-of-antineoplastic-induced-nausea-and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36" w:rsidRPr="00BC7B10" w:rsidRDefault="004958C4" w:rsidP="00BC7B10">
    <w:pPr>
      <w:pStyle w:val="PageHeader"/>
      <w:rPr>
        <w:i/>
      </w:rPr>
    </w:pPr>
    <w:r>
      <w:rPr>
        <w:i/>
      </w:rPr>
      <w:t>Public Summary Document</w:t>
    </w:r>
    <w:r w:rsidR="006F6236">
      <w:rPr>
        <w:i/>
      </w:rPr>
      <w:t xml:space="preserve"> </w:t>
    </w:r>
    <w:r w:rsidR="006F6236" w:rsidRPr="00BC7B10">
      <w:rPr>
        <w:i/>
      </w:rPr>
      <w:t>– July 2020 PBAC Meeting</w:t>
    </w:r>
  </w:p>
  <w:p w:rsidR="006F6236" w:rsidRDefault="006F6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C8E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83A6C"/>
    <w:multiLevelType w:val="hybridMultilevel"/>
    <w:tmpl w:val="1EA4E6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134A0"/>
    <w:multiLevelType w:val="hybridMultilevel"/>
    <w:tmpl w:val="B61CC482"/>
    <w:lvl w:ilvl="0" w:tplc="434ADB40">
      <w:start w:val="1"/>
      <w:numFmt w:val="bullet"/>
      <w:lvlText w:val=""/>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257C2E"/>
    <w:multiLevelType w:val="multilevel"/>
    <w:tmpl w:val="AD5C492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346AD7"/>
    <w:multiLevelType w:val="hybridMultilevel"/>
    <w:tmpl w:val="1C72B826"/>
    <w:lvl w:ilvl="0" w:tplc="39945510">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EC54822"/>
    <w:multiLevelType w:val="hybridMultilevel"/>
    <w:tmpl w:val="FF3655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7F4FD5"/>
    <w:multiLevelType w:val="hybridMultilevel"/>
    <w:tmpl w:val="B8CE60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956612"/>
    <w:multiLevelType w:val="hybridMultilevel"/>
    <w:tmpl w:val="3806C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247DB"/>
    <w:multiLevelType w:val="hybridMultilevel"/>
    <w:tmpl w:val="A00EC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8A161C"/>
    <w:multiLevelType w:val="hybridMultilevel"/>
    <w:tmpl w:val="BA46B9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836E8B"/>
    <w:multiLevelType w:val="multilevel"/>
    <w:tmpl w:val="E9A063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D033C"/>
    <w:multiLevelType w:val="multilevel"/>
    <w:tmpl w:val="CAA4900A"/>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CE3801"/>
    <w:multiLevelType w:val="multilevel"/>
    <w:tmpl w:val="2974C158"/>
    <w:lvl w:ilvl="0">
      <w:start w:val="1"/>
      <w:numFmt w:val="upperRoman"/>
      <w:lvlText w:val="Article %1."/>
      <w:lvlJc w:val="left"/>
      <w:pPr>
        <w:ind w:left="0" w:firstLine="0"/>
      </w:pPr>
    </w:lvl>
    <w:lvl w:ilvl="1">
      <w:start w:val="1"/>
      <w:numFmt w:val="decimalZero"/>
      <w:isLgl/>
      <w:lvlText w:val="Section %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2"/>
  </w:num>
  <w:num w:numId="2">
    <w:abstractNumId w:val="11"/>
  </w:num>
  <w:num w:numId="3">
    <w:abstractNumId w:val="11"/>
  </w:num>
  <w:num w:numId="4">
    <w:abstractNumId w:val="12"/>
  </w:num>
  <w:num w:numId="5">
    <w:abstractNumId w:val="4"/>
  </w:num>
  <w:num w:numId="6">
    <w:abstractNumId w:val="4"/>
  </w:num>
  <w:num w:numId="7">
    <w:abstractNumId w:val="0"/>
  </w:num>
  <w:num w:numId="8">
    <w:abstractNumId w:val="4"/>
  </w:num>
  <w:num w:numId="9">
    <w:abstractNumId w:val="4"/>
  </w:num>
  <w:num w:numId="10">
    <w:abstractNumId w:val="11"/>
  </w:num>
  <w:num w:numId="11">
    <w:abstractNumId w:val="11"/>
  </w:num>
  <w:num w:numId="12">
    <w:abstractNumId w:val="11"/>
  </w:num>
  <w:num w:numId="13">
    <w:abstractNumId w:val="11"/>
  </w:num>
  <w:num w:numId="14">
    <w:abstractNumId w:val="4"/>
  </w:num>
  <w:num w:numId="15">
    <w:abstractNumId w:val="4"/>
  </w:num>
  <w:num w:numId="16">
    <w:abstractNumId w:val="4"/>
  </w:num>
  <w:num w:numId="17">
    <w:abstractNumId w:val="4"/>
  </w:num>
  <w:num w:numId="18">
    <w:abstractNumId w:val="4"/>
  </w:num>
  <w:num w:numId="19">
    <w:abstractNumId w:val="11"/>
  </w:num>
  <w:num w:numId="20">
    <w:abstractNumId w:val="11"/>
  </w:num>
  <w:num w:numId="21">
    <w:abstractNumId w:val="13"/>
  </w:num>
  <w:num w:numId="22">
    <w:abstractNumId w:val="3"/>
  </w:num>
  <w:num w:numId="23">
    <w:abstractNumId w:val="1"/>
  </w:num>
  <w:num w:numId="24">
    <w:abstractNumId w:val="8"/>
  </w:num>
  <w:num w:numId="25">
    <w:abstractNumId w:val="7"/>
  </w:num>
  <w:num w:numId="26">
    <w:abstractNumId w:val="2"/>
  </w:num>
  <w:num w:numId="27">
    <w:abstractNumId w:val="5"/>
  </w:num>
  <w:num w:numId="28">
    <w:abstractNumId w:val="9"/>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A6"/>
    <w:rsid w:val="00004ED0"/>
    <w:rsid w:val="0000582E"/>
    <w:rsid w:val="00021E4F"/>
    <w:rsid w:val="00026F58"/>
    <w:rsid w:val="0003149A"/>
    <w:rsid w:val="000357A8"/>
    <w:rsid w:val="000406E3"/>
    <w:rsid w:val="00041745"/>
    <w:rsid w:val="00041D84"/>
    <w:rsid w:val="000509B2"/>
    <w:rsid w:val="00051037"/>
    <w:rsid w:val="00051551"/>
    <w:rsid w:val="00051C2C"/>
    <w:rsid w:val="00055985"/>
    <w:rsid w:val="00055B70"/>
    <w:rsid w:val="00064437"/>
    <w:rsid w:val="00074FF2"/>
    <w:rsid w:val="00075AAD"/>
    <w:rsid w:val="000A04A0"/>
    <w:rsid w:val="000A083F"/>
    <w:rsid w:val="000A7447"/>
    <w:rsid w:val="000B3DDE"/>
    <w:rsid w:val="000B47C3"/>
    <w:rsid w:val="000C03D2"/>
    <w:rsid w:val="000D0ECD"/>
    <w:rsid w:val="000D3E90"/>
    <w:rsid w:val="000D6674"/>
    <w:rsid w:val="001031FC"/>
    <w:rsid w:val="001066EA"/>
    <w:rsid w:val="00110185"/>
    <w:rsid w:val="00111F3E"/>
    <w:rsid w:val="001256A2"/>
    <w:rsid w:val="001329AC"/>
    <w:rsid w:val="00135B36"/>
    <w:rsid w:val="001410E7"/>
    <w:rsid w:val="001425D4"/>
    <w:rsid w:val="00144033"/>
    <w:rsid w:val="00144840"/>
    <w:rsid w:val="0015580F"/>
    <w:rsid w:val="00156B45"/>
    <w:rsid w:val="00162742"/>
    <w:rsid w:val="00167B1C"/>
    <w:rsid w:val="0017479D"/>
    <w:rsid w:val="001751DD"/>
    <w:rsid w:val="001828AA"/>
    <w:rsid w:val="00184A07"/>
    <w:rsid w:val="0018501E"/>
    <w:rsid w:val="00187377"/>
    <w:rsid w:val="00190F67"/>
    <w:rsid w:val="001943AA"/>
    <w:rsid w:val="0019758D"/>
    <w:rsid w:val="001C1402"/>
    <w:rsid w:val="001D79CB"/>
    <w:rsid w:val="001E5BAE"/>
    <w:rsid w:val="001E67A0"/>
    <w:rsid w:val="001F7115"/>
    <w:rsid w:val="0020072A"/>
    <w:rsid w:val="00201849"/>
    <w:rsid w:val="00201F08"/>
    <w:rsid w:val="00206109"/>
    <w:rsid w:val="002069B8"/>
    <w:rsid w:val="00211A55"/>
    <w:rsid w:val="00214782"/>
    <w:rsid w:val="00221564"/>
    <w:rsid w:val="002239F5"/>
    <w:rsid w:val="00234485"/>
    <w:rsid w:val="002362C9"/>
    <w:rsid w:val="00241A51"/>
    <w:rsid w:val="00243AE8"/>
    <w:rsid w:val="00251275"/>
    <w:rsid w:val="00261DFA"/>
    <w:rsid w:val="0026321F"/>
    <w:rsid w:val="002643B5"/>
    <w:rsid w:val="00266098"/>
    <w:rsid w:val="002669DC"/>
    <w:rsid w:val="00271DCE"/>
    <w:rsid w:val="0027254F"/>
    <w:rsid w:val="00274575"/>
    <w:rsid w:val="00277015"/>
    <w:rsid w:val="00280050"/>
    <w:rsid w:val="002816BC"/>
    <w:rsid w:val="00282A80"/>
    <w:rsid w:val="00283712"/>
    <w:rsid w:val="00284B18"/>
    <w:rsid w:val="00287C10"/>
    <w:rsid w:val="00296A43"/>
    <w:rsid w:val="002A21A5"/>
    <w:rsid w:val="002B2EC4"/>
    <w:rsid w:val="002B3B37"/>
    <w:rsid w:val="002B3CAB"/>
    <w:rsid w:val="002D6525"/>
    <w:rsid w:val="002F5875"/>
    <w:rsid w:val="003059CD"/>
    <w:rsid w:val="00316803"/>
    <w:rsid w:val="00320121"/>
    <w:rsid w:val="00320C2D"/>
    <w:rsid w:val="00325DAA"/>
    <w:rsid w:val="00331C23"/>
    <w:rsid w:val="00351DCC"/>
    <w:rsid w:val="003521E3"/>
    <w:rsid w:val="00361D79"/>
    <w:rsid w:val="00364FEE"/>
    <w:rsid w:val="0037018E"/>
    <w:rsid w:val="0037557C"/>
    <w:rsid w:val="00382645"/>
    <w:rsid w:val="00392984"/>
    <w:rsid w:val="003946DD"/>
    <w:rsid w:val="003A025B"/>
    <w:rsid w:val="003A59F7"/>
    <w:rsid w:val="003B1CB5"/>
    <w:rsid w:val="003B4AAE"/>
    <w:rsid w:val="003C12F6"/>
    <w:rsid w:val="003C4CCD"/>
    <w:rsid w:val="003C628E"/>
    <w:rsid w:val="003C6697"/>
    <w:rsid w:val="003E6864"/>
    <w:rsid w:val="003F0EA2"/>
    <w:rsid w:val="003F624A"/>
    <w:rsid w:val="003F6BD4"/>
    <w:rsid w:val="004078AE"/>
    <w:rsid w:val="004101DD"/>
    <w:rsid w:val="0042129D"/>
    <w:rsid w:val="0042346D"/>
    <w:rsid w:val="00427B4B"/>
    <w:rsid w:val="004309F2"/>
    <w:rsid w:val="00431469"/>
    <w:rsid w:val="0043599B"/>
    <w:rsid w:val="004430A5"/>
    <w:rsid w:val="00445CE7"/>
    <w:rsid w:val="004473CA"/>
    <w:rsid w:val="00455993"/>
    <w:rsid w:val="0046055A"/>
    <w:rsid w:val="00462C9D"/>
    <w:rsid w:val="004710D6"/>
    <w:rsid w:val="00474DA6"/>
    <w:rsid w:val="00480B54"/>
    <w:rsid w:val="00485FE8"/>
    <w:rsid w:val="00487921"/>
    <w:rsid w:val="004958C4"/>
    <w:rsid w:val="004A28E8"/>
    <w:rsid w:val="004A3D7B"/>
    <w:rsid w:val="004A63F1"/>
    <w:rsid w:val="004C1ECB"/>
    <w:rsid w:val="004C2430"/>
    <w:rsid w:val="004D1C3C"/>
    <w:rsid w:val="004D47EF"/>
    <w:rsid w:val="004D6BEB"/>
    <w:rsid w:val="004E2443"/>
    <w:rsid w:val="004E32E7"/>
    <w:rsid w:val="004E6372"/>
    <w:rsid w:val="0053104F"/>
    <w:rsid w:val="00531D96"/>
    <w:rsid w:val="00541972"/>
    <w:rsid w:val="005422D5"/>
    <w:rsid w:val="00546870"/>
    <w:rsid w:val="00546F6A"/>
    <w:rsid w:val="0055165A"/>
    <w:rsid w:val="0055793A"/>
    <w:rsid w:val="00560B3F"/>
    <w:rsid w:val="00570D58"/>
    <w:rsid w:val="00574A54"/>
    <w:rsid w:val="005768C9"/>
    <w:rsid w:val="0058642B"/>
    <w:rsid w:val="00596EC8"/>
    <w:rsid w:val="005A2448"/>
    <w:rsid w:val="005A42AE"/>
    <w:rsid w:val="005A7C78"/>
    <w:rsid w:val="005A7EBE"/>
    <w:rsid w:val="005B1354"/>
    <w:rsid w:val="005C1BEA"/>
    <w:rsid w:val="005C5B17"/>
    <w:rsid w:val="005E352A"/>
    <w:rsid w:val="005F0B63"/>
    <w:rsid w:val="005F0EE5"/>
    <w:rsid w:val="005F31C4"/>
    <w:rsid w:val="00605A69"/>
    <w:rsid w:val="00607778"/>
    <w:rsid w:val="00617E33"/>
    <w:rsid w:val="0062245A"/>
    <w:rsid w:val="00622668"/>
    <w:rsid w:val="0062284B"/>
    <w:rsid w:val="00624431"/>
    <w:rsid w:val="00625032"/>
    <w:rsid w:val="0066081C"/>
    <w:rsid w:val="006678B6"/>
    <w:rsid w:val="006713CB"/>
    <w:rsid w:val="00680130"/>
    <w:rsid w:val="0068060A"/>
    <w:rsid w:val="00682E1F"/>
    <w:rsid w:val="00683E77"/>
    <w:rsid w:val="00684B2A"/>
    <w:rsid w:val="00684C23"/>
    <w:rsid w:val="0068717F"/>
    <w:rsid w:val="006A28D1"/>
    <w:rsid w:val="006A48DD"/>
    <w:rsid w:val="006B272A"/>
    <w:rsid w:val="006B4A76"/>
    <w:rsid w:val="006C3CBC"/>
    <w:rsid w:val="006C7867"/>
    <w:rsid w:val="006D2F59"/>
    <w:rsid w:val="006D487D"/>
    <w:rsid w:val="006D4B38"/>
    <w:rsid w:val="006D5429"/>
    <w:rsid w:val="006D7304"/>
    <w:rsid w:val="006E4871"/>
    <w:rsid w:val="006E7A71"/>
    <w:rsid w:val="006F365A"/>
    <w:rsid w:val="006F6204"/>
    <w:rsid w:val="006F6236"/>
    <w:rsid w:val="007079DA"/>
    <w:rsid w:val="00710C32"/>
    <w:rsid w:val="00713853"/>
    <w:rsid w:val="00721554"/>
    <w:rsid w:val="00725722"/>
    <w:rsid w:val="007262EE"/>
    <w:rsid w:val="0072698E"/>
    <w:rsid w:val="007270C7"/>
    <w:rsid w:val="00741E05"/>
    <w:rsid w:val="007428C4"/>
    <w:rsid w:val="007434BD"/>
    <w:rsid w:val="00762FF8"/>
    <w:rsid w:val="00764BC2"/>
    <w:rsid w:val="007759D4"/>
    <w:rsid w:val="00797CBA"/>
    <w:rsid w:val="007A3BEB"/>
    <w:rsid w:val="007B0920"/>
    <w:rsid w:val="007B42F9"/>
    <w:rsid w:val="007B457E"/>
    <w:rsid w:val="007C353B"/>
    <w:rsid w:val="007D596D"/>
    <w:rsid w:val="007D7ABF"/>
    <w:rsid w:val="007F2BD9"/>
    <w:rsid w:val="008042C1"/>
    <w:rsid w:val="00815E93"/>
    <w:rsid w:val="00836237"/>
    <w:rsid w:val="00837D9C"/>
    <w:rsid w:val="00852B84"/>
    <w:rsid w:val="0085300D"/>
    <w:rsid w:val="00863870"/>
    <w:rsid w:val="00864749"/>
    <w:rsid w:val="00870DBC"/>
    <w:rsid w:val="008801E0"/>
    <w:rsid w:val="00892B37"/>
    <w:rsid w:val="0089770D"/>
    <w:rsid w:val="008A1B49"/>
    <w:rsid w:val="008C08E4"/>
    <w:rsid w:val="008C7D32"/>
    <w:rsid w:val="008D02B1"/>
    <w:rsid w:val="008D1F76"/>
    <w:rsid w:val="008D7BC9"/>
    <w:rsid w:val="008E2ABE"/>
    <w:rsid w:val="008E2DA7"/>
    <w:rsid w:val="008F672E"/>
    <w:rsid w:val="00902255"/>
    <w:rsid w:val="00904037"/>
    <w:rsid w:val="00906DA7"/>
    <w:rsid w:val="009133D8"/>
    <w:rsid w:val="00914C49"/>
    <w:rsid w:val="00926740"/>
    <w:rsid w:val="00926949"/>
    <w:rsid w:val="00935065"/>
    <w:rsid w:val="00945853"/>
    <w:rsid w:val="00954429"/>
    <w:rsid w:val="00962B98"/>
    <w:rsid w:val="00966DF5"/>
    <w:rsid w:val="00971F24"/>
    <w:rsid w:val="00972948"/>
    <w:rsid w:val="009812D4"/>
    <w:rsid w:val="0098534F"/>
    <w:rsid w:val="00995A1E"/>
    <w:rsid w:val="0099782E"/>
    <w:rsid w:val="009B34BE"/>
    <w:rsid w:val="009C0681"/>
    <w:rsid w:val="009D0EAB"/>
    <w:rsid w:val="009D7D5A"/>
    <w:rsid w:val="009E061D"/>
    <w:rsid w:val="009E2E6F"/>
    <w:rsid w:val="009E7078"/>
    <w:rsid w:val="009F0ADE"/>
    <w:rsid w:val="009F3102"/>
    <w:rsid w:val="00A105C0"/>
    <w:rsid w:val="00A10D65"/>
    <w:rsid w:val="00A13491"/>
    <w:rsid w:val="00A3441C"/>
    <w:rsid w:val="00A35721"/>
    <w:rsid w:val="00A5447B"/>
    <w:rsid w:val="00A54851"/>
    <w:rsid w:val="00A6198D"/>
    <w:rsid w:val="00A61B5A"/>
    <w:rsid w:val="00A64052"/>
    <w:rsid w:val="00A65886"/>
    <w:rsid w:val="00A6760C"/>
    <w:rsid w:val="00A70575"/>
    <w:rsid w:val="00A73C48"/>
    <w:rsid w:val="00A77699"/>
    <w:rsid w:val="00A84BF9"/>
    <w:rsid w:val="00AA3681"/>
    <w:rsid w:val="00AB3E1F"/>
    <w:rsid w:val="00AB7C7F"/>
    <w:rsid w:val="00AC4B2C"/>
    <w:rsid w:val="00AC646F"/>
    <w:rsid w:val="00AD723C"/>
    <w:rsid w:val="00AD7739"/>
    <w:rsid w:val="00AE50CC"/>
    <w:rsid w:val="00AF5220"/>
    <w:rsid w:val="00B10CBF"/>
    <w:rsid w:val="00B14CB8"/>
    <w:rsid w:val="00B21574"/>
    <w:rsid w:val="00B35E16"/>
    <w:rsid w:val="00B412C1"/>
    <w:rsid w:val="00B415F7"/>
    <w:rsid w:val="00B42612"/>
    <w:rsid w:val="00B43A82"/>
    <w:rsid w:val="00B46FA9"/>
    <w:rsid w:val="00B54F83"/>
    <w:rsid w:val="00B57E22"/>
    <w:rsid w:val="00B60F68"/>
    <w:rsid w:val="00B6280E"/>
    <w:rsid w:val="00B75082"/>
    <w:rsid w:val="00B7546A"/>
    <w:rsid w:val="00B77433"/>
    <w:rsid w:val="00B83401"/>
    <w:rsid w:val="00B84BDE"/>
    <w:rsid w:val="00B870F9"/>
    <w:rsid w:val="00B951CF"/>
    <w:rsid w:val="00BA5E8A"/>
    <w:rsid w:val="00BB58E1"/>
    <w:rsid w:val="00BC0905"/>
    <w:rsid w:val="00BC34C8"/>
    <w:rsid w:val="00BC7B10"/>
    <w:rsid w:val="00BD66FC"/>
    <w:rsid w:val="00BF6C31"/>
    <w:rsid w:val="00BF77DB"/>
    <w:rsid w:val="00C03667"/>
    <w:rsid w:val="00C11BB7"/>
    <w:rsid w:val="00C15D56"/>
    <w:rsid w:val="00C17DA3"/>
    <w:rsid w:val="00C25758"/>
    <w:rsid w:val="00C30B19"/>
    <w:rsid w:val="00C33168"/>
    <w:rsid w:val="00C419A5"/>
    <w:rsid w:val="00C51183"/>
    <w:rsid w:val="00C5214F"/>
    <w:rsid w:val="00C60111"/>
    <w:rsid w:val="00C80F5D"/>
    <w:rsid w:val="00C94175"/>
    <w:rsid w:val="00C94901"/>
    <w:rsid w:val="00C95096"/>
    <w:rsid w:val="00CA7DBA"/>
    <w:rsid w:val="00CB022B"/>
    <w:rsid w:val="00CB10AB"/>
    <w:rsid w:val="00CB4146"/>
    <w:rsid w:val="00CB602B"/>
    <w:rsid w:val="00CC4E23"/>
    <w:rsid w:val="00CD1B46"/>
    <w:rsid w:val="00CD1C7D"/>
    <w:rsid w:val="00CD2F4A"/>
    <w:rsid w:val="00CD6366"/>
    <w:rsid w:val="00CD726D"/>
    <w:rsid w:val="00CE2B0F"/>
    <w:rsid w:val="00CE7176"/>
    <w:rsid w:val="00CF0942"/>
    <w:rsid w:val="00D12579"/>
    <w:rsid w:val="00D14F20"/>
    <w:rsid w:val="00D1672F"/>
    <w:rsid w:val="00D206F7"/>
    <w:rsid w:val="00D2266D"/>
    <w:rsid w:val="00D26BA5"/>
    <w:rsid w:val="00D3015A"/>
    <w:rsid w:val="00D36CBA"/>
    <w:rsid w:val="00D377BB"/>
    <w:rsid w:val="00D53947"/>
    <w:rsid w:val="00D55B36"/>
    <w:rsid w:val="00D6498F"/>
    <w:rsid w:val="00D718FA"/>
    <w:rsid w:val="00D72CCD"/>
    <w:rsid w:val="00D854D2"/>
    <w:rsid w:val="00D9269E"/>
    <w:rsid w:val="00D94677"/>
    <w:rsid w:val="00D94AEF"/>
    <w:rsid w:val="00D94ED7"/>
    <w:rsid w:val="00D94FE2"/>
    <w:rsid w:val="00D97CB0"/>
    <w:rsid w:val="00DA0BBF"/>
    <w:rsid w:val="00DA4D89"/>
    <w:rsid w:val="00DC78B6"/>
    <w:rsid w:val="00DE1F20"/>
    <w:rsid w:val="00DF00AD"/>
    <w:rsid w:val="00DF68DB"/>
    <w:rsid w:val="00E01F12"/>
    <w:rsid w:val="00E02752"/>
    <w:rsid w:val="00E12A46"/>
    <w:rsid w:val="00E253B2"/>
    <w:rsid w:val="00E27972"/>
    <w:rsid w:val="00E30C2E"/>
    <w:rsid w:val="00E34356"/>
    <w:rsid w:val="00E53E99"/>
    <w:rsid w:val="00E651CE"/>
    <w:rsid w:val="00E67E18"/>
    <w:rsid w:val="00E84D8A"/>
    <w:rsid w:val="00E879C0"/>
    <w:rsid w:val="00E910B3"/>
    <w:rsid w:val="00E95B72"/>
    <w:rsid w:val="00EA0306"/>
    <w:rsid w:val="00EA0E29"/>
    <w:rsid w:val="00EA749D"/>
    <w:rsid w:val="00EB2B09"/>
    <w:rsid w:val="00EC57C4"/>
    <w:rsid w:val="00EE4EFF"/>
    <w:rsid w:val="00F0055F"/>
    <w:rsid w:val="00F05A78"/>
    <w:rsid w:val="00F14D6C"/>
    <w:rsid w:val="00F23992"/>
    <w:rsid w:val="00F25324"/>
    <w:rsid w:val="00F2555D"/>
    <w:rsid w:val="00F43AB0"/>
    <w:rsid w:val="00F7257E"/>
    <w:rsid w:val="00F77D04"/>
    <w:rsid w:val="00F818D9"/>
    <w:rsid w:val="00F821D0"/>
    <w:rsid w:val="00F83B0B"/>
    <w:rsid w:val="00F84958"/>
    <w:rsid w:val="00F90197"/>
    <w:rsid w:val="00F961DD"/>
    <w:rsid w:val="00FA5CB9"/>
    <w:rsid w:val="00FB347C"/>
    <w:rsid w:val="00FE3C70"/>
    <w:rsid w:val="00FE4636"/>
    <w:rsid w:val="00FF3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01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DA6"/>
    <w:pPr>
      <w:jc w:val="both"/>
    </w:pPr>
    <w:rPr>
      <w:rFonts w:ascii="Calibri" w:hAnsi="Calibri"/>
      <w:sz w:val="24"/>
      <w:szCs w:val="24"/>
    </w:rPr>
  </w:style>
  <w:style w:type="paragraph" w:styleId="Heading1">
    <w:name w:val="heading 1"/>
    <w:basedOn w:val="Normal"/>
    <w:next w:val="Normal"/>
    <w:link w:val="Heading1Char"/>
    <w:uiPriority w:val="9"/>
    <w:rsid w:val="00576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4-Subsection Heading"/>
    <w:basedOn w:val="Normal"/>
    <w:next w:val="3-BodyText"/>
    <w:link w:val="Heading2Char"/>
    <w:qFormat/>
    <w:rsid w:val="00474DA6"/>
    <w:pPr>
      <w:keepNext/>
      <w:spacing w:before="120" w:after="120"/>
      <w:outlineLvl w:val="1"/>
    </w:pPr>
    <w:rPr>
      <w:rFonts w:asciiTheme="minorHAnsi" w:eastAsiaTheme="majorEastAsia" w:hAnsiTheme="minorHAnsi" w:cstheme="majorBidi"/>
      <w:b/>
      <w:i/>
      <w:spacing w:val="5"/>
      <w:kern w:val="28"/>
      <w:sz w:val="28"/>
      <w:szCs w:val="36"/>
    </w:rPr>
  </w:style>
  <w:style w:type="paragraph" w:styleId="Heading3">
    <w:name w:val="heading 3"/>
    <w:basedOn w:val="Normal"/>
    <w:next w:val="Normal"/>
    <w:link w:val="Heading3Char"/>
    <w:uiPriority w:val="9"/>
    <w:semiHidden/>
    <w:unhideWhenUsed/>
    <w:rsid w:val="00F84958"/>
    <w:pPr>
      <w:keepNext/>
      <w:keepLines/>
      <w:numPr>
        <w:ilvl w:val="2"/>
        <w:numId w:val="4"/>
      </w:numPr>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4-Subsection Heading Char"/>
    <w:basedOn w:val="DefaultParagraphFont"/>
    <w:link w:val="Heading2"/>
    <w:rsid w:val="00474DA6"/>
    <w:rPr>
      <w:rFonts w:asciiTheme="minorHAnsi" w:eastAsiaTheme="majorEastAsia" w:hAnsiTheme="minorHAnsi" w:cstheme="majorBidi"/>
      <w:b/>
      <w:i/>
      <w:spacing w:val="5"/>
      <w:kern w:val="28"/>
      <w:sz w:val="28"/>
      <w:szCs w:val="36"/>
    </w:rPr>
  </w:style>
  <w:style w:type="paragraph" w:customStyle="1" w:styleId="1-MainHeading">
    <w:name w:val="1-Main Heading"/>
    <w:link w:val="1-MainHeadingChar"/>
    <w:qFormat/>
    <w:rsid w:val="00474DA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74DA6"/>
    <w:rPr>
      <w:rFonts w:asciiTheme="minorHAnsi" w:eastAsiaTheme="majorEastAsia" w:hAnsiTheme="minorHAnsi" w:cstheme="majorBidi"/>
      <w:b/>
      <w:spacing w:val="5"/>
      <w:kern w:val="28"/>
      <w:sz w:val="36"/>
      <w:szCs w:val="36"/>
    </w:rPr>
  </w:style>
  <w:style w:type="paragraph" w:customStyle="1" w:styleId="2-SectionHeading">
    <w:name w:val="2-Section Heading"/>
    <w:qFormat/>
    <w:rsid w:val="00474DA6"/>
    <w:pPr>
      <w:keepNext/>
      <w:numPr>
        <w:numId w:val="20"/>
      </w:numPr>
      <w:spacing w:before="240" w:after="120"/>
      <w:outlineLvl w:val="0"/>
    </w:pPr>
    <w:rPr>
      <w:rFonts w:asciiTheme="minorHAnsi" w:hAnsiTheme="minorHAnsi" w:cs="Arial"/>
      <w:b/>
      <w:snapToGrid w:val="0"/>
      <w:sz w:val="32"/>
      <w:szCs w:val="32"/>
    </w:rPr>
  </w:style>
  <w:style w:type="paragraph" w:customStyle="1" w:styleId="3-BodyText">
    <w:name w:val="3-Body Text"/>
    <w:link w:val="3-BodyTextChar"/>
    <w:qFormat/>
    <w:rsid w:val="00474DA6"/>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74DA6"/>
    <w:rPr>
      <w:rFonts w:asciiTheme="minorHAnsi" w:eastAsiaTheme="minorHAnsi" w:hAnsiTheme="minorHAnsi" w:cstheme="minorBidi"/>
      <w:snapToGrid/>
      <w:sz w:val="24"/>
      <w:szCs w:val="22"/>
    </w:rPr>
  </w:style>
  <w:style w:type="paragraph" w:customStyle="1" w:styleId="GeneralHeading">
    <w:name w:val="General Heading"/>
    <w:qFormat/>
    <w:rsid w:val="00474DA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74DA6"/>
    <w:pPr>
      <w:keepNext/>
    </w:pPr>
    <w:rPr>
      <w:rFonts w:ascii="Arial Narrow" w:eastAsiaTheme="majorEastAsia" w:hAnsi="Arial Narrow"/>
      <w:b/>
      <w:szCs w:val="24"/>
      <w:lang w:val="en-US"/>
    </w:rPr>
  </w:style>
  <w:style w:type="paragraph" w:customStyle="1" w:styleId="PageFooter">
    <w:name w:val="Page Footer"/>
    <w:basedOn w:val="Normal"/>
    <w:link w:val="PageFooterChar"/>
    <w:qFormat/>
    <w:rsid w:val="00474DA6"/>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74DA6"/>
    <w:rPr>
      <w:rFonts w:ascii="Calibri" w:hAnsi="Calibri" w:cs="Arial"/>
      <w:b/>
      <w:sz w:val="24"/>
      <w:szCs w:val="24"/>
    </w:rPr>
  </w:style>
  <w:style w:type="paragraph" w:customStyle="1" w:styleId="PageHeader">
    <w:name w:val="Page Header"/>
    <w:basedOn w:val="Normal"/>
    <w:link w:val="PageHeaderChar"/>
    <w:qFormat/>
    <w:rsid w:val="00474DA6"/>
    <w:pPr>
      <w:keepNext/>
      <w:tabs>
        <w:tab w:val="center" w:pos="4513"/>
        <w:tab w:val="right" w:pos="9026"/>
      </w:tabs>
      <w:jc w:val="center"/>
    </w:pPr>
  </w:style>
  <w:style w:type="character" w:customStyle="1" w:styleId="PageHeaderChar">
    <w:name w:val="Page Header Char"/>
    <w:basedOn w:val="DefaultParagraphFont"/>
    <w:link w:val="PageHeader"/>
    <w:rsid w:val="00474DA6"/>
    <w:rPr>
      <w:rFonts w:ascii="Calibri" w:hAnsi="Calibri"/>
      <w:sz w:val="24"/>
      <w:szCs w:val="24"/>
    </w:rPr>
  </w:style>
  <w:style w:type="paragraph" w:styleId="Header">
    <w:name w:val="header"/>
    <w:basedOn w:val="Normal"/>
    <w:link w:val="HeaderChar"/>
    <w:uiPriority w:val="99"/>
    <w:unhideWhenUsed/>
    <w:rsid w:val="00F84958"/>
    <w:pPr>
      <w:tabs>
        <w:tab w:val="center" w:pos="4513"/>
        <w:tab w:val="right" w:pos="9026"/>
      </w:tabs>
    </w:pPr>
  </w:style>
  <w:style w:type="character" w:customStyle="1" w:styleId="HeaderChar">
    <w:name w:val="Header Char"/>
    <w:basedOn w:val="DefaultParagraphFont"/>
    <w:link w:val="Header"/>
    <w:uiPriority w:val="99"/>
    <w:rsid w:val="00F84958"/>
    <w:rPr>
      <w:rFonts w:ascii="Calibri" w:eastAsia="Times New Roman" w:hAnsi="Calibri"/>
      <w:sz w:val="24"/>
      <w:szCs w:val="24"/>
    </w:rPr>
  </w:style>
  <w:style w:type="paragraph" w:customStyle="1" w:styleId="TableText">
    <w:name w:val="Table Text"/>
    <w:link w:val="TableTextChar"/>
    <w:qFormat/>
    <w:rsid w:val="00474DA6"/>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474DA6"/>
    <w:rPr>
      <w:rFonts w:ascii="Arial Narrow" w:eastAsiaTheme="majorEastAsia" w:hAnsi="Arial Narrow" w:cstheme="majorBidi"/>
      <w:bCs/>
      <w:szCs w:val="24"/>
    </w:rPr>
  </w:style>
  <w:style w:type="paragraph" w:customStyle="1" w:styleId="TableFigureFooter">
    <w:name w:val="Table/Figure Footer"/>
    <w:basedOn w:val="Normal"/>
    <w:link w:val="TableFigureFooterChar"/>
    <w:qFormat/>
    <w:rsid w:val="00474DA6"/>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74DA6"/>
    <w:rPr>
      <w:rFonts w:ascii="Arial Narrow" w:hAnsi="Arial Narrow" w:cs="Arial"/>
      <w:snapToGrid w:val="0"/>
      <w:sz w:val="18"/>
      <w:szCs w:val="22"/>
    </w:rPr>
  </w:style>
  <w:style w:type="paragraph" w:customStyle="1" w:styleId="TableFigureHeading">
    <w:name w:val="Table/Figure Heading"/>
    <w:link w:val="TableFigureHeadingChar"/>
    <w:qFormat/>
    <w:rsid w:val="00474DA6"/>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74DA6"/>
    <w:rPr>
      <w:rFonts w:ascii="Arial Narrow" w:eastAsiaTheme="majorEastAsia" w:hAnsi="Arial Narrow" w:cstheme="majorBidi"/>
      <w:b/>
      <w:bCs/>
      <w:szCs w:val="24"/>
    </w:rPr>
  </w:style>
  <w:style w:type="paragraph" w:customStyle="1" w:styleId="5-SubsectionSubheading">
    <w:name w:val="5-Subsection Subheading"/>
    <w:basedOn w:val="Heading3"/>
    <w:next w:val="3-BodyText"/>
    <w:link w:val="5-SubsectionSubheadingChar"/>
    <w:qFormat/>
    <w:rsid w:val="00474DA6"/>
    <w:pPr>
      <w:numPr>
        <w:ilvl w:val="0"/>
        <w:numId w:val="0"/>
      </w:numPr>
    </w:pPr>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474DA6"/>
    <w:rPr>
      <w:rFonts w:asciiTheme="minorHAnsi" w:eastAsiaTheme="majorEastAsia" w:hAnsiTheme="minorHAnsi" w:cstheme="majorBidi"/>
      <w:b/>
      <w:color w:val="000000" w:themeColor="text1"/>
      <w:sz w:val="24"/>
      <w:szCs w:val="24"/>
    </w:rPr>
  </w:style>
  <w:style w:type="character" w:customStyle="1" w:styleId="Heading3Char">
    <w:name w:val="Heading 3 Char"/>
    <w:basedOn w:val="DefaultParagraphFont"/>
    <w:link w:val="Heading3"/>
    <w:uiPriority w:val="9"/>
    <w:semiHidden/>
    <w:rsid w:val="00F84958"/>
    <w:rPr>
      <w:rFonts w:asciiTheme="majorHAnsi" w:eastAsiaTheme="majorEastAsia" w:hAnsiTheme="majorHAnsi" w:cstheme="majorBidi"/>
      <w:color w:val="1F4D78" w:themeColor="accent1" w:themeShade="7F"/>
      <w:sz w:val="24"/>
      <w:szCs w:val="24"/>
    </w:rPr>
  </w:style>
  <w:style w:type="paragraph" w:styleId="ListParagraph">
    <w:name w:val="List Paragraph"/>
    <w:aliases w:val="Body Text Bullet Points,BulletPoints,Footnote,Bullet point,List Paragraph1,List Paragraph11,Recommendation,Numbered para,ES Paragraph,PBAC ES Paragraph,PBAC normal points,Bullet List"/>
    <w:next w:val="ListBullet"/>
    <w:link w:val="ListParagraphChar"/>
    <w:uiPriority w:val="34"/>
    <w:qFormat/>
    <w:rsid w:val="00474DA6"/>
    <w:pPr>
      <w:numPr>
        <w:numId w:val="6"/>
      </w:numPr>
      <w:spacing w:after="120"/>
      <w:ind w:left="1134" w:hanging="357"/>
    </w:pPr>
    <w:rPr>
      <w:rFonts w:asciiTheme="minorHAnsi" w:hAnsiTheme="minorHAnsi" w:cs="Arial"/>
      <w:snapToGrid w:val="0"/>
      <w:sz w:val="24"/>
      <w:szCs w:val="24"/>
    </w:rPr>
  </w:style>
  <w:style w:type="character" w:customStyle="1" w:styleId="ListParagraphChar">
    <w:name w:val="List Paragraph Char"/>
    <w:aliases w:val="Body Text Bullet Points Char,BulletPoints Char,Footnote Char,Bullet point Char,List Paragraph1 Char,List Paragraph11 Char,Recommendation Char,Numbered para Char,ES Paragraph Char,PBAC ES Paragraph Char,PBAC normal points Char"/>
    <w:basedOn w:val="DefaultParagraphFont"/>
    <w:link w:val="ListParagraph"/>
    <w:uiPriority w:val="34"/>
    <w:qFormat/>
    <w:locked/>
    <w:rsid w:val="00474DA6"/>
    <w:rPr>
      <w:rFonts w:asciiTheme="minorHAnsi" w:hAnsiTheme="minorHAnsi" w:cs="Arial"/>
      <w:snapToGrid w:val="0"/>
      <w:sz w:val="24"/>
      <w:szCs w:val="24"/>
    </w:rPr>
  </w:style>
  <w:style w:type="paragraph" w:styleId="ListContinue">
    <w:name w:val="List Continue"/>
    <w:basedOn w:val="Normal"/>
    <w:uiPriority w:val="99"/>
    <w:semiHidden/>
    <w:unhideWhenUsed/>
    <w:rsid w:val="00906DA7"/>
    <w:pPr>
      <w:spacing w:after="120"/>
      <w:ind w:left="283"/>
      <w:contextualSpacing/>
    </w:pPr>
  </w:style>
  <w:style w:type="paragraph" w:styleId="ListBullet">
    <w:name w:val="List Bullet"/>
    <w:basedOn w:val="Normal"/>
    <w:uiPriority w:val="99"/>
    <w:semiHidden/>
    <w:unhideWhenUsed/>
    <w:rsid w:val="00906DA7"/>
    <w:pPr>
      <w:numPr>
        <w:numId w:val="7"/>
      </w:numPr>
      <w:contextualSpacing/>
    </w:pPr>
  </w:style>
  <w:style w:type="paragraph" w:customStyle="1" w:styleId="2Sections">
    <w:name w:val="2. Sections"/>
    <w:qFormat/>
    <w:rsid w:val="001329AC"/>
    <w:pPr>
      <w:spacing w:before="240" w:after="120"/>
      <w:ind w:left="720" w:hanging="720"/>
      <w:outlineLvl w:val="0"/>
    </w:pPr>
    <w:rPr>
      <w:rFonts w:asciiTheme="minorHAnsi" w:hAnsiTheme="minorHAnsi" w:cs="Arial"/>
      <w:b/>
      <w:snapToGrid w:val="0"/>
      <w:sz w:val="32"/>
      <w:szCs w:val="32"/>
    </w:rPr>
  </w:style>
  <w:style w:type="paragraph" w:customStyle="1" w:styleId="3Bodytext">
    <w:name w:val="3. Body text"/>
    <w:basedOn w:val="3-BodyText"/>
    <w:link w:val="3BodytextChar"/>
    <w:qFormat/>
    <w:rsid w:val="00234485"/>
  </w:style>
  <w:style w:type="character" w:customStyle="1" w:styleId="3BodytextChar">
    <w:name w:val="3. Body text Char"/>
    <w:basedOn w:val="DefaultParagraphFont"/>
    <w:link w:val="3Bodytext"/>
    <w:rsid w:val="00234485"/>
    <w:rPr>
      <w:rFonts w:asciiTheme="minorHAnsi" w:eastAsiaTheme="minorHAnsi" w:hAnsiTheme="minorHAnsi" w:cstheme="minorBidi"/>
      <w:sz w:val="24"/>
      <w:szCs w:val="22"/>
    </w:rPr>
  </w:style>
  <w:style w:type="character" w:styleId="CommentReference">
    <w:name w:val="annotation reference"/>
    <w:basedOn w:val="DefaultParagraphFont"/>
    <w:uiPriority w:val="99"/>
    <w:semiHidden/>
    <w:unhideWhenUsed/>
    <w:rsid w:val="0055793A"/>
    <w:rPr>
      <w:sz w:val="16"/>
      <w:szCs w:val="16"/>
    </w:rPr>
  </w:style>
  <w:style w:type="paragraph" w:styleId="CommentText">
    <w:name w:val="annotation text"/>
    <w:basedOn w:val="Normal"/>
    <w:link w:val="CommentTextChar"/>
    <w:uiPriority w:val="99"/>
    <w:semiHidden/>
    <w:unhideWhenUsed/>
    <w:rsid w:val="0055793A"/>
    <w:rPr>
      <w:sz w:val="20"/>
      <w:szCs w:val="20"/>
    </w:rPr>
  </w:style>
  <w:style w:type="character" w:customStyle="1" w:styleId="CommentTextChar">
    <w:name w:val="Comment Text Char"/>
    <w:basedOn w:val="DefaultParagraphFont"/>
    <w:link w:val="CommentText"/>
    <w:uiPriority w:val="99"/>
    <w:semiHidden/>
    <w:rsid w:val="0055793A"/>
    <w:rPr>
      <w:rFonts w:ascii="Calibri" w:hAnsi="Calibri"/>
    </w:rPr>
  </w:style>
  <w:style w:type="paragraph" w:styleId="CommentSubject">
    <w:name w:val="annotation subject"/>
    <w:basedOn w:val="CommentText"/>
    <w:next w:val="CommentText"/>
    <w:link w:val="CommentSubjectChar"/>
    <w:uiPriority w:val="99"/>
    <w:semiHidden/>
    <w:unhideWhenUsed/>
    <w:rsid w:val="0055793A"/>
    <w:rPr>
      <w:b/>
      <w:bCs/>
    </w:rPr>
  </w:style>
  <w:style w:type="character" w:customStyle="1" w:styleId="CommentSubjectChar">
    <w:name w:val="Comment Subject Char"/>
    <w:basedOn w:val="CommentTextChar"/>
    <w:link w:val="CommentSubject"/>
    <w:uiPriority w:val="99"/>
    <w:semiHidden/>
    <w:rsid w:val="0055793A"/>
    <w:rPr>
      <w:rFonts w:ascii="Calibri" w:hAnsi="Calibri"/>
      <w:b/>
      <w:bCs/>
    </w:rPr>
  </w:style>
  <w:style w:type="paragraph" w:styleId="BalloonText">
    <w:name w:val="Balloon Text"/>
    <w:basedOn w:val="Normal"/>
    <w:link w:val="BalloonTextChar"/>
    <w:uiPriority w:val="99"/>
    <w:semiHidden/>
    <w:unhideWhenUsed/>
    <w:rsid w:val="00557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93A"/>
    <w:rPr>
      <w:rFonts w:ascii="Segoe UI" w:hAnsi="Segoe UI" w:cs="Segoe UI"/>
      <w:sz w:val="18"/>
      <w:szCs w:val="18"/>
    </w:rPr>
  </w:style>
  <w:style w:type="table" w:styleId="TableGrid">
    <w:name w:val="Table Grid"/>
    <w:aliases w:val="ASD Table,RTI AMCP Table"/>
    <w:basedOn w:val="TableNormal"/>
    <w:uiPriority w:val="39"/>
    <w:rsid w:val="0048792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Snormal">
    <w:name w:val="PBS normal"/>
    <w:basedOn w:val="Normal"/>
    <w:link w:val="PBSnormalChar"/>
    <w:qFormat/>
    <w:rsid w:val="00487921"/>
    <w:pPr>
      <w:spacing w:before="120" w:after="120" w:line="360" w:lineRule="auto"/>
    </w:pPr>
    <w:rPr>
      <w:rFonts w:ascii="Arial" w:hAnsi="Arial"/>
      <w:sz w:val="22"/>
      <w:szCs w:val="20"/>
      <w:lang w:eastAsia="en-AU"/>
    </w:rPr>
  </w:style>
  <w:style w:type="character" w:customStyle="1" w:styleId="PBSnormalChar">
    <w:name w:val="PBS normal Char"/>
    <w:basedOn w:val="DefaultParagraphFont"/>
    <w:link w:val="PBSnormal"/>
    <w:rsid w:val="00487921"/>
    <w:rPr>
      <w:rFonts w:ascii="Arial" w:hAnsi="Arial"/>
      <w:sz w:val="22"/>
      <w:lang w:eastAsia="en-AU"/>
    </w:rPr>
  </w:style>
  <w:style w:type="paragraph" w:styleId="Caption">
    <w:name w:val="caption"/>
    <w:basedOn w:val="Normal"/>
    <w:next w:val="Normal"/>
    <w:unhideWhenUsed/>
    <w:qFormat/>
    <w:rsid w:val="00487921"/>
    <w:pPr>
      <w:keepNext/>
      <w:jc w:val="left"/>
    </w:pPr>
    <w:rPr>
      <w:rFonts w:ascii="Arial Narrow" w:hAnsi="Arial Narrow"/>
      <w:b/>
      <w:iCs/>
      <w:sz w:val="20"/>
      <w:szCs w:val="20"/>
      <w:lang w:eastAsia="en-AU"/>
    </w:rPr>
  </w:style>
  <w:style w:type="paragraph" w:styleId="FootnoteText">
    <w:name w:val="footnote text"/>
    <w:basedOn w:val="Normal"/>
    <w:link w:val="FootnoteTextChar"/>
    <w:semiHidden/>
    <w:unhideWhenUsed/>
    <w:rsid w:val="00487921"/>
    <w:pPr>
      <w:jc w:val="left"/>
    </w:pPr>
    <w:rPr>
      <w:rFonts w:ascii="Times New Roman" w:hAnsi="Times New Roman"/>
      <w:sz w:val="20"/>
      <w:szCs w:val="20"/>
      <w:lang w:eastAsia="en-AU"/>
    </w:rPr>
  </w:style>
  <w:style w:type="character" w:customStyle="1" w:styleId="FootnoteTextChar">
    <w:name w:val="Footnote Text Char"/>
    <w:basedOn w:val="DefaultParagraphFont"/>
    <w:link w:val="FootnoteText"/>
    <w:semiHidden/>
    <w:rsid w:val="00487921"/>
    <w:rPr>
      <w:lang w:eastAsia="en-AU"/>
    </w:rPr>
  </w:style>
  <w:style w:type="character" w:styleId="FootnoteReference">
    <w:name w:val="footnote reference"/>
    <w:basedOn w:val="DefaultParagraphFont"/>
    <w:semiHidden/>
    <w:unhideWhenUsed/>
    <w:rsid w:val="00487921"/>
    <w:rPr>
      <w:vertAlign w:val="superscript"/>
    </w:rPr>
  </w:style>
  <w:style w:type="paragraph" w:styleId="Footer">
    <w:name w:val="footer"/>
    <w:basedOn w:val="Normal"/>
    <w:link w:val="FooterChar"/>
    <w:uiPriority w:val="99"/>
    <w:unhideWhenUsed/>
    <w:rsid w:val="009E2E6F"/>
    <w:pPr>
      <w:tabs>
        <w:tab w:val="center" w:pos="4513"/>
        <w:tab w:val="right" w:pos="9026"/>
      </w:tabs>
    </w:pPr>
  </w:style>
  <w:style w:type="character" w:customStyle="1" w:styleId="FooterChar">
    <w:name w:val="Footer Char"/>
    <w:basedOn w:val="DefaultParagraphFont"/>
    <w:link w:val="Footer"/>
    <w:uiPriority w:val="99"/>
    <w:rsid w:val="009E2E6F"/>
    <w:rPr>
      <w:rFonts w:ascii="Calibri" w:hAnsi="Calibri"/>
      <w:sz w:val="24"/>
      <w:szCs w:val="24"/>
    </w:rPr>
  </w:style>
  <w:style w:type="paragraph" w:customStyle="1" w:styleId="MinorOVRHeader">
    <w:name w:val="Minor OVR Header"/>
    <w:basedOn w:val="Header"/>
    <w:link w:val="MinorOVRHeaderChar"/>
    <w:rsid w:val="009E2E6F"/>
    <w:pPr>
      <w:tabs>
        <w:tab w:val="clear" w:pos="4513"/>
        <w:tab w:val="clear" w:pos="9026"/>
        <w:tab w:val="center" w:pos="4153"/>
        <w:tab w:val="right" w:pos="8306"/>
      </w:tabs>
      <w:jc w:val="right"/>
    </w:pPr>
    <w:rPr>
      <w:rFonts w:asciiTheme="minorHAnsi" w:hAnsiTheme="minorHAnsi" w:cs="Arial"/>
      <w:lang w:eastAsia="en-AU"/>
    </w:rPr>
  </w:style>
  <w:style w:type="character" w:customStyle="1" w:styleId="MinorOVRHeaderChar">
    <w:name w:val="Minor OVR Header Char"/>
    <w:basedOn w:val="DefaultParagraphFont"/>
    <w:link w:val="MinorOVRHeader"/>
    <w:rsid w:val="009E2E6F"/>
    <w:rPr>
      <w:rFonts w:asciiTheme="minorHAnsi" w:hAnsiTheme="minorHAnsi" w:cs="Arial"/>
      <w:sz w:val="24"/>
      <w:szCs w:val="24"/>
      <w:lang w:eastAsia="en-AU"/>
    </w:rPr>
  </w:style>
  <w:style w:type="paragraph" w:customStyle="1" w:styleId="PBACFooter">
    <w:name w:val="PBAC Footer"/>
    <w:basedOn w:val="Footer"/>
    <w:link w:val="PBACFooterChar"/>
    <w:qFormat/>
    <w:rsid w:val="009E2E6F"/>
    <w:pPr>
      <w:tabs>
        <w:tab w:val="clear" w:pos="4513"/>
        <w:tab w:val="clear" w:pos="9026"/>
        <w:tab w:val="center" w:pos="4153"/>
        <w:tab w:val="right" w:pos="8306"/>
      </w:tabs>
      <w:jc w:val="center"/>
    </w:pPr>
    <w:rPr>
      <w:rFonts w:ascii="Arial" w:hAnsi="Arial" w:cs="Arial"/>
      <w:b/>
      <w:lang w:eastAsia="en-AU"/>
    </w:rPr>
  </w:style>
  <w:style w:type="character" w:customStyle="1" w:styleId="PBACFooterChar">
    <w:name w:val="PBAC Footer Char"/>
    <w:basedOn w:val="FooterChar"/>
    <w:link w:val="PBACFooter"/>
    <w:rsid w:val="009E2E6F"/>
    <w:rPr>
      <w:rFonts w:ascii="Arial" w:hAnsi="Arial" w:cs="Arial"/>
      <w:b/>
      <w:sz w:val="24"/>
      <w:szCs w:val="24"/>
      <w:lang w:eastAsia="en-AU"/>
    </w:rPr>
  </w:style>
  <w:style w:type="paragraph" w:customStyle="1" w:styleId="Tabletitles">
    <w:name w:val="Table titles"/>
    <w:basedOn w:val="NoSpacing"/>
    <w:link w:val="TabletitlesChar"/>
    <w:qFormat/>
    <w:rsid w:val="00C80F5D"/>
    <w:pPr>
      <w:spacing w:after="60"/>
    </w:pPr>
    <w:rPr>
      <w:rFonts w:ascii="Arial Narrow" w:hAnsi="Arial Narrow"/>
      <w:b/>
      <w:sz w:val="20"/>
      <w:szCs w:val="22"/>
      <w:lang w:eastAsia="en-AU"/>
    </w:rPr>
  </w:style>
  <w:style w:type="character" w:customStyle="1" w:styleId="TabletitlesChar">
    <w:name w:val="Table titles Char"/>
    <w:basedOn w:val="DefaultParagraphFont"/>
    <w:link w:val="Tabletitles"/>
    <w:rsid w:val="00C80F5D"/>
    <w:rPr>
      <w:rFonts w:ascii="Arial Narrow" w:hAnsi="Arial Narrow"/>
      <w:b/>
      <w:szCs w:val="22"/>
      <w:lang w:eastAsia="en-AU"/>
    </w:rPr>
  </w:style>
  <w:style w:type="paragraph" w:styleId="NoSpacing">
    <w:name w:val="No Spacing"/>
    <w:uiPriority w:val="1"/>
    <w:rsid w:val="00C80F5D"/>
    <w:pPr>
      <w:jc w:val="both"/>
    </w:pPr>
    <w:rPr>
      <w:rFonts w:ascii="Calibri" w:hAnsi="Calibri"/>
      <w:sz w:val="24"/>
      <w:szCs w:val="24"/>
    </w:rPr>
  </w:style>
  <w:style w:type="paragraph" w:customStyle="1" w:styleId="Default">
    <w:name w:val="Default"/>
    <w:rsid w:val="00C80F5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362C9"/>
    <w:rPr>
      <w:rFonts w:ascii="Calibri" w:hAnsi="Calibri"/>
      <w:sz w:val="24"/>
      <w:szCs w:val="24"/>
    </w:rPr>
  </w:style>
  <w:style w:type="paragraph" w:customStyle="1" w:styleId="PBACHeading1">
    <w:name w:val="PBAC Heading 1"/>
    <w:qFormat/>
    <w:rsid w:val="00EA0306"/>
    <w:pPr>
      <w:ind w:left="720" w:hanging="720"/>
    </w:pPr>
    <w:rPr>
      <w:rFonts w:ascii="Arial" w:hAnsi="Arial" w:cs="Arial"/>
      <w:b/>
      <w:snapToGrid w:val="0"/>
      <w:sz w:val="22"/>
      <w:szCs w:val="22"/>
    </w:rPr>
  </w:style>
  <w:style w:type="paragraph" w:customStyle="1" w:styleId="TableHeading">
    <w:name w:val="TableHeading"/>
    <w:basedOn w:val="Normal"/>
    <w:qFormat/>
    <w:rsid w:val="00A105C0"/>
    <w:pPr>
      <w:keepNext/>
      <w:spacing w:before="40" w:after="40"/>
      <w:jc w:val="left"/>
    </w:pPr>
    <w:rPr>
      <w:rFonts w:ascii="Arial Narrow" w:hAnsi="Arial Narrow" w:cs="Arial Narrow"/>
      <w:b/>
      <w:bCs/>
      <w:sz w:val="20"/>
      <w:szCs w:val="20"/>
    </w:rPr>
  </w:style>
  <w:style w:type="character" w:customStyle="1" w:styleId="Heading1Char">
    <w:name w:val="Heading 1 Char"/>
    <w:basedOn w:val="DefaultParagraphFont"/>
    <w:link w:val="Heading1"/>
    <w:uiPriority w:val="9"/>
    <w:rsid w:val="005768C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768C9"/>
    <w:rPr>
      <w:color w:val="0563C1" w:themeColor="hyperlink"/>
      <w:u w:val="single"/>
    </w:rPr>
  </w:style>
  <w:style w:type="character" w:styleId="Emphasis">
    <w:name w:val="Emphasis"/>
    <w:basedOn w:val="DefaultParagraphFont"/>
    <w:uiPriority w:val="20"/>
    <w:qFormat/>
    <w:rsid w:val="001410E7"/>
    <w:rPr>
      <w:i/>
      <w:iCs/>
    </w:rPr>
  </w:style>
  <w:style w:type="character" w:styleId="FollowedHyperlink">
    <w:name w:val="FollowedHyperlink"/>
    <w:rsid w:val="00167B1C"/>
    <w:rPr>
      <w:color w:val="008080"/>
      <w:u w:val="single"/>
    </w:rPr>
  </w:style>
  <w:style w:type="paragraph" w:customStyle="1" w:styleId="ExecSumBodyText">
    <w:name w:val="Exec Sum Body Text"/>
    <w:basedOn w:val="Normal"/>
    <w:qFormat/>
    <w:rsid w:val="00C11BB7"/>
    <w:pPr>
      <w:spacing w:after="120"/>
      <w:ind w:left="720" w:hanging="720"/>
    </w:pPr>
    <w:rPr>
      <w:rFonts w:asciiTheme="minorHAnsi" w:hAnsiTheme="minorHAnsi" w:cs="Arial"/>
      <w:snapToGrid w:val="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77625">
      <w:bodyDiv w:val="1"/>
      <w:marLeft w:val="0"/>
      <w:marRight w:val="0"/>
      <w:marTop w:val="0"/>
      <w:marBottom w:val="0"/>
      <w:divBdr>
        <w:top w:val="none" w:sz="0" w:space="0" w:color="auto"/>
        <w:left w:val="none" w:sz="0" w:space="0" w:color="auto"/>
        <w:bottom w:val="none" w:sz="0" w:space="0" w:color="auto"/>
        <w:right w:val="none" w:sz="0" w:space="0" w:color="auto"/>
      </w:divBdr>
    </w:div>
    <w:div w:id="709260539">
      <w:bodyDiv w:val="1"/>
      <w:marLeft w:val="0"/>
      <w:marRight w:val="0"/>
      <w:marTop w:val="0"/>
      <w:marBottom w:val="0"/>
      <w:divBdr>
        <w:top w:val="none" w:sz="0" w:space="0" w:color="auto"/>
        <w:left w:val="none" w:sz="0" w:space="0" w:color="auto"/>
        <w:bottom w:val="none" w:sz="0" w:space="0" w:color="auto"/>
        <w:right w:val="none" w:sz="0" w:space="0" w:color="auto"/>
      </w:divBdr>
    </w:div>
    <w:div w:id="1119228167">
      <w:bodyDiv w:val="1"/>
      <w:marLeft w:val="0"/>
      <w:marRight w:val="0"/>
      <w:marTop w:val="0"/>
      <w:marBottom w:val="0"/>
      <w:divBdr>
        <w:top w:val="none" w:sz="0" w:space="0" w:color="auto"/>
        <w:left w:val="none" w:sz="0" w:space="0" w:color="auto"/>
        <w:bottom w:val="none" w:sz="0" w:space="0" w:color="auto"/>
        <w:right w:val="none" w:sz="0" w:space="0" w:color="auto"/>
      </w:divBdr>
    </w:div>
    <w:div w:id="1603761779">
      <w:bodyDiv w:val="1"/>
      <w:marLeft w:val="0"/>
      <w:marRight w:val="0"/>
      <w:marTop w:val="0"/>
      <w:marBottom w:val="0"/>
      <w:divBdr>
        <w:top w:val="none" w:sz="0" w:space="0" w:color="auto"/>
        <w:left w:val="none" w:sz="0" w:space="0" w:color="auto"/>
        <w:bottom w:val="none" w:sz="0" w:space="0" w:color="auto"/>
        <w:right w:val="none" w:sz="0" w:space="0" w:color="auto"/>
      </w:divBdr>
    </w:div>
    <w:div w:id="1662924318">
      <w:bodyDiv w:val="1"/>
      <w:marLeft w:val="0"/>
      <w:marRight w:val="0"/>
      <w:marTop w:val="0"/>
      <w:marBottom w:val="0"/>
      <w:divBdr>
        <w:top w:val="none" w:sz="0" w:space="0" w:color="auto"/>
        <w:left w:val="none" w:sz="0" w:space="0" w:color="auto"/>
        <w:bottom w:val="none" w:sz="0" w:space="0" w:color="auto"/>
        <w:right w:val="none" w:sz="0" w:space="0" w:color="auto"/>
      </w:divBdr>
    </w:div>
    <w:div w:id="17217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viq.org.au/clinical-resources/side-effect-and-toxicity-management/gastrointestinal/7-prevention-of-antineoplastic-induced-nausea-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FE39E96-13AD-4B8F-9F1D-8407B2C1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2020-10-27T02:55:00Z</dcterms:created>
  <dcterms:modified xsi:type="dcterms:W3CDTF">2020-10-27T02:56:00Z</dcterms:modified>
</cp:coreProperties>
</file>